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86"/>
        <w:gridCol w:w="4986"/>
      </w:tblGrid>
      <w:tr>
        <w:tc>
          <w:tcPr>
            <w:tcW w:type="dxa" w:w="4986"/>
            <w:shd w:val="clear" w:fill="1C6E63"/>
          </w:tcPr>
          <w:p>
            <w:r>
              <w:rPr>
                <w:b/>
                <w:color w:val="FFFFFF"/>
                <w:sz w:val="20"/>
              </w:rPr>
              <w:t>Testahil   ·   Independent Valuation Study — Educational Analysis</w:t>
            </w:r>
          </w:p>
        </w:tc>
        <w:tc>
          <w:tcPr>
            <w:tcW w:type="dxa" w:w="4986"/>
            <w:shd w:val="clear" w:fill="C0A45F"/>
          </w:tcPr>
          <w:p>
            <w:r>
              <w:rPr>
                <w:b/>
                <w:color w:val="FFFFFF"/>
                <w:sz w:val="20"/>
              </w:rPr>
              <w:t>Not investment advice</w:t>
            </w:r>
          </w:p>
        </w:tc>
      </w:tr>
    </w:tbl>
    <w:p/>
    <w:p>
      <w:pPr>
        <w:spacing w:after="80"/>
      </w:pPr>
      <w:r>
        <w:rPr>
          <w:rFonts w:ascii="Arial" w:hAnsi="Arial"/>
          <w:b/>
          <w:i w:val="0"/>
          <w:sz w:val="24"/>
        </w:rPr>
        <w:t>Independent Valuation Study — Educational Analysis</w:t>
      </w:r>
    </w:p>
    <w:p>
      <w:pPr>
        <w:spacing w:after="40"/>
      </w:pPr>
      <w:r>
        <w:rPr>
          <w:rFonts w:ascii="Arial" w:hAnsi="Arial"/>
          <w:b/>
          <w:i w:val="0"/>
          <w:color w:val="1C6E63"/>
          <w:sz w:val="32"/>
        </w:rPr>
        <w:t>Edita Food Industries S.A.E.  (EGX: EFID)</w:t>
      </w:r>
    </w:p>
    <w:p>
      <w:pPr>
        <w:spacing w:after="160"/>
      </w:pPr>
      <w:r>
        <w:rPr>
          <w:rFonts w:ascii="Arial" w:hAnsi="Arial"/>
          <w:b w:val="0"/>
          <w:i/>
          <w:sz w:val="20"/>
        </w:rPr>
        <w:t>Fundamental analysis · Technical analysis · Monte Carlo simulation — one integrated read</w:t>
      </w:r>
    </w:p>
    <w:p>
      <w:pPr>
        <w:spacing w:after="160"/>
      </w:pPr>
      <w:r>
        <w:rPr>
          <w:rFonts w:ascii="Arial" w:hAnsi="Arial"/>
          <w:b w:val="0"/>
          <w:i w:val="0"/>
          <w:sz w:val="19"/>
        </w:rPr>
      </w:r>
      <w:r>
        <w:rPr>
          <w:rFonts w:ascii="Arial" w:hAnsi="Arial"/>
          <w:b/>
          <w:i w:val="0"/>
          <w:sz w:val="19"/>
        </w:rPr>
        <w:t>Anchor:</w:t>
      </w:r>
      <w:r>
        <w:rPr>
          <w:rFonts w:ascii="Arial" w:hAnsi="Arial"/>
          <w:b w:val="0"/>
          <w:i w:val="0"/>
          <w:sz w:val="19"/>
        </w:rPr>
        <w:t xml:space="preserve"> EGP 27.34 (01 Jul 2026 close) · 1,400.04m shares · mkt cap ~EGP 38.3bn · EV ~EGP 37.4bn (net cash EGP 853m, 31-Mar-26) · Egypt’s leading packaged-snacks franchise — cakes, croissants, rusks, wafers, candy and biscuits under Molto, Todo, Bake Rolz, MiMix, Freska and the HoHos/Twinkies/Tiger Tail (HTT) brands, now owned across all of Africa · prices and probabilities computed 03 Jul 2026 from the attached daily history · primary lens: going-concern FCFF DCF with a segment gross-profit build · gross-margin durability through the next EGP move is the swing factor.</w:t>
      </w:r>
    </w:p>
    <w:tbl>
      <w:tblPr>
        <w:tblStyle w:val="TableGrid"/>
        <w:tblW w:type="auto" w:w="0"/>
        <w:tblLook w:firstColumn="1" w:firstRow="1" w:lastColumn="0" w:lastRow="0" w:noHBand="0" w:noVBand="1" w:val="04A0"/>
      </w:tblPr>
      <w:tblGrid>
        <w:gridCol w:w="9972"/>
      </w:tblGrid>
      <w:tr>
        <w:tc>
          <w:tcPr>
            <w:tcW w:type="dxa" w:w="9972"/>
            <w:shd w:val="clear" w:fill="EAF3F1"/>
          </w:tcPr>
          <w:p>
            <w:r>
              <w:rPr>
                <w:sz w:val="17"/>
              </w:rPr>
              <w:t>READ FIRST — what this document is, and is not.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the Egyptian Financial Regulatory Authority (FRA) or any other securities regulator in any jurisdiction, holds no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(FY2025 earnings release, 11 Mar 2026; 1Q2026 release, 17 May 2026); forward-looking inputs — the growth and margin path, the multiples, the DCF and the Monte-Carlo factor probabilities — are the preparer’s judgments and are flagged throughout. A note on the share count: shareholders approved a capital action in September 2025 that doubled the share count to 1,400.04m; the attached price history is split-adjusted and all per-share figures in this study use the current count. Consult a licensed financial advisor before any investment decision.</w:t>
            </w:r>
          </w:p>
        </w:tc>
      </w:tr>
    </w:tbl>
    <w:p/>
    <w:p>
      <w:pPr>
        <w:pStyle w:val="Heading1"/>
      </w:pPr>
      <w:r>
        <w:t>Headline</w:t>
      </w:r>
    </w:p>
    <w:p>
      <w:pPr>
        <w:spacing w:after="80"/>
      </w:pPr>
      <w:r>
        <w:rPr>
          <w:rFonts w:ascii="Arial" w:hAnsi="Arial"/>
          <w:b w:val="0"/>
          <w:i w:val="0"/>
          <w:sz w:val="19"/>
        </w:rPr>
      </w:r>
      <w:r>
        <w:rPr>
          <w:rFonts w:ascii="Arial" w:hAnsi="Arial"/>
          <w:b/>
          <w:i w:val="0"/>
          <w:sz w:val="19"/>
        </w:rPr>
        <w:t>The model’s read: fairly valued, with the distribution tilted slightly to the upside.</w:t>
      </w:r>
      <w:r>
        <w:rPr>
          <w:rFonts w:ascii="Arial" w:hAnsi="Arial"/>
          <w:b w:val="0"/>
          <w:i w:val="0"/>
          <w:sz w:val="19"/>
        </w:rPr>
        <w:t xml:space="preserve"> At EGP 27.34 the shares sit essentially on top of our weighted central estimate of EGP 27.68 — a 1% gap that is noise, not signal. Beneath that flat surface the lenses genuinely disagree: the FCFF DCF (EGP 29.7) and the segment gross-profit build (EGP 30.1) see modest upside from a business compounding revenue at ~30% with ~19% EBITDA margins and a newly net-cash balance sheet, while the normalized-earnings read (EGP 26.7) and especially the dividend-discount sanity check (EGP 16.5) remind you how expensive equity duration is at a 21% cost of capital in Egyptian pounds. The bear-to-bull FCFF span is EGP 16.4 to EGP 42.8 — the honest width of a single-country consumer franchise priced in a high-inflation currency.</w:t>
      </w:r>
    </w:p>
    <w:p>
      <w:pPr>
        <w:spacing w:after="80"/>
      </w:pPr>
      <w:r>
        <w:rPr>
          <w:rFonts w:ascii="Arial" w:hAnsi="Arial"/>
          <w:b w:val="0"/>
          <w:i w:val="0"/>
          <w:sz w:val="19"/>
        </w:rPr>
        <w:t>Three years of context matter more than the point estimate. Edita has already delivered the devaluation trade: revenue rose from EGP 7.7bn in 2022 to EGP 20.9bn in 2025, net profit from EGP 1.0bn to EGP 2.4bn, and the split-adjusted share price roughly six-folded from its 2022 low. What remains is a different, slower question — whether a branded snacks franchise can keep converting Egyptian price-point migration into volume growth (1Q2026 tons +36.7% y-o-y) and hold the 34–35% gross margin it printed once input-cost tailwinds and a stable pound flattered the ledger. Our Monte Carlo, which deliberately excludes the fundamental view from its drift, puts the three-month 50% band at EGP 24.40–31.65 with a 53.6% probability of closing above spot at T+60.</w:t>
      </w:r>
    </w:p>
    <w:p>
      <w:pPr>
        <w:pStyle w:val="Heading1"/>
      </w:pPr>
      <w:r>
        <w:t>Valuation summary — every read at a glance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608"/>
            <w:shd w:val="clear" w:fill="1C6E63"/>
          </w:tcPr>
          <w:p>
            <w:r>
              <w:rPr>
                <w:rFonts w:ascii="Arial" w:hAnsi="Arial"/>
                <w:b/>
                <w:color w:val="FFFFFF"/>
                <w:sz w:val="17"/>
              </w:rPr>
              <w:t>Lens / read</w:t>
            </w:r>
          </w:p>
        </w:tc>
        <w:tc>
          <w:tcPr>
            <w:tcW w:type="dxa" w:w="1701"/>
            <w:shd w:val="clear" w:fill="1C6E63"/>
          </w:tcPr>
          <w:p>
            <w:r>
              <w:rPr>
                <w:rFonts w:ascii="Arial" w:hAnsi="Arial"/>
                <w:b/>
                <w:color w:val="FFFFFF"/>
                <w:sz w:val="17"/>
              </w:rPr>
              <w:t>Value (EGP/sh)</w:t>
            </w:r>
          </w:p>
        </w:tc>
        <w:tc>
          <w:tcPr>
            <w:tcW w:type="dxa" w:w="1247"/>
            <w:shd w:val="clear" w:fill="1C6E63"/>
          </w:tcPr>
          <w:p>
            <w:r>
              <w:rPr>
                <w:rFonts w:ascii="Arial" w:hAnsi="Arial"/>
                <w:b/>
                <w:color w:val="FFFFFF"/>
                <w:sz w:val="17"/>
              </w:rPr>
              <w:t>Vs spot</w:t>
            </w:r>
          </w:p>
        </w:tc>
        <w:tc>
          <w:tcPr>
            <w:tcW w:type="dxa" w:w="3969"/>
            <w:shd w:val="clear" w:fill="1C6E63"/>
          </w:tcPr>
          <w:p>
            <w:r>
              <w:rPr>
                <w:rFonts w:ascii="Arial" w:hAnsi="Arial"/>
                <w:b/>
                <w:color w:val="FFFFFF"/>
                <w:sz w:val="17"/>
              </w:rPr>
              <w:t>One-line basis</w:t>
            </w:r>
          </w:p>
        </w:tc>
      </w:tr>
      <w:tr>
        <w:tc>
          <w:tcPr>
            <w:tcW w:type="dxa" w:w="2608"/>
          </w:tcPr>
          <w:p>
            <w:r>
              <w:rPr>
                <w:rFonts w:ascii="Arial" w:hAnsi="Arial"/>
                <w:sz w:val="17"/>
              </w:rPr>
              <w:t>FCFF DCF (primary)</w:t>
            </w:r>
          </w:p>
        </w:tc>
        <w:tc>
          <w:tcPr>
            <w:tcW w:type="dxa" w:w="1701"/>
          </w:tcPr>
          <w:p>
            <w:r>
              <w:rPr>
                <w:rFonts w:ascii="Arial" w:hAnsi="Arial"/>
                <w:sz w:val="17"/>
              </w:rPr>
              <w:t>29.74</w:t>
            </w:r>
          </w:p>
        </w:tc>
        <w:tc>
          <w:tcPr>
            <w:tcW w:type="dxa" w:w="1247"/>
          </w:tcPr>
          <w:p>
            <w:r>
              <w:rPr>
                <w:rFonts w:ascii="Arial" w:hAnsi="Arial"/>
                <w:sz w:val="17"/>
              </w:rPr>
              <w:t>+8.8%</w:t>
            </w:r>
          </w:p>
        </w:tc>
        <w:tc>
          <w:tcPr>
            <w:tcW w:type="dxa" w:w="3969"/>
          </w:tcPr>
          <w:p>
            <w:r>
              <w:rPr>
                <w:rFonts w:ascii="Arial" w:hAnsi="Arial"/>
                <w:sz w:val="17"/>
              </w:rPr>
              <w:t>5-yr explicit FCFF, WACC 20.7%, terminal g 13.5% nominal</w:t>
            </w:r>
          </w:p>
        </w:tc>
      </w:tr>
      <w:tr>
        <w:tc>
          <w:tcPr>
            <w:tcW w:type="dxa" w:w="2608"/>
            <w:shd w:val="clear" w:fill="F4F8F7"/>
          </w:tcPr>
          <w:p>
            <w:r>
              <w:rPr>
                <w:rFonts w:ascii="Arial" w:hAnsi="Arial"/>
                <w:sz w:val="17"/>
              </w:rPr>
              <w:t>Segment gross-profit build</w:t>
            </w:r>
          </w:p>
        </w:tc>
        <w:tc>
          <w:tcPr>
            <w:tcW w:type="dxa" w:w="1701"/>
            <w:shd w:val="clear" w:fill="F4F8F7"/>
          </w:tcPr>
          <w:p>
            <w:r>
              <w:rPr>
                <w:rFonts w:ascii="Arial" w:hAnsi="Arial"/>
                <w:sz w:val="17"/>
              </w:rPr>
              <w:t>30.09</w:t>
            </w:r>
          </w:p>
        </w:tc>
        <w:tc>
          <w:tcPr>
            <w:tcW w:type="dxa" w:w="1247"/>
            <w:shd w:val="clear" w:fill="F4F8F7"/>
          </w:tcPr>
          <w:p>
            <w:r>
              <w:rPr>
                <w:rFonts w:ascii="Arial" w:hAnsi="Arial"/>
                <w:sz w:val="17"/>
              </w:rPr>
              <w:t>+10.1%</w:t>
            </w:r>
          </w:p>
        </w:tc>
        <w:tc>
          <w:tcPr>
            <w:tcW w:type="dxa" w:w="3969"/>
            <w:shd w:val="clear" w:fill="F4F8F7"/>
          </w:tcPr>
          <w:p>
            <w:r>
              <w:rPr>
                <w:rFonts w:ascii="Arial" w:hAnsi="Arial"/>
                <w:sz w:val="17"/>
              </w:rPr>
              <w:t>FY26E segment GP × 4.4x EV/GP + net cash</w:t>
            </w:r>
          </w:p>
        </w:tc>
      </w:tr>
      <w:tr>
        <w:tc>
          <w:tcPr>
            <w:tcW w:type="dxa" w:w="2608"/>
          </w:tcPr>
          <w:p>
            <w:r>
              <w:rPr>
                <w:rFonts w:ascii="Arial" w:hAnsi="Arial"/>
                <w:sz w:val="17"/>
              </w:rPr>
              <w:t>Relative multiples</w:t>
            </w:r>
          </w:p>
        </w:tc>
        <w:tc>
          <w:tcPr>
            <w:tcW w:type="dxa" w:w="1701"/>
          </w:tcPr>
          <w:p>
            <w:r>
              <w:rPr>
                <w:rFonts w:ascii="Arial" w:hAnsi="Arial"/>
                <w:sz w:val="17"/>
              </w:rPr>
              <w:t>29.09</w:t>
            </w:r>
          </w:p>
        </w:tc>
        <w:tc>
          <w:tcPr>
            <w:tcW w:type="dxa" w:w="1247"/>
          </w:tcPr>
          <w:p>
            <w:r>
              <w:rPr>
                <w:rFonts w:ascii="Arial" w:hAnsi="Arial"/>
                <w:sz w:val="17"/>
              </w:rPr>
              <w:t>+6.4%</w:t>
            </w:r>
          </w:p>
        </w:tc>
        <w:tc>
          <w:tcPr>
            <w:tcW w:type="dxa" w:w="3969"/>
          </w:tcPr>
          <w:p>
            <w:r>
              <w:rPr>
                <w:rFonts w:ascii="Arial" w:hAnsi="Arial"/>
                <w:sz w:val="17"/>
              </w:rPr>
              <w:t>11.5x FY26E EPS blended with 7.0x FY26E EV/EBITDA</w:t>
            </w:r>
          </w:p>
        </w:tc>
      </w:tr>
      <w:tr>
        <w:tc>
          <w:tcPr>
            <w:tcW w:type="dxa" w:w="2608"/>
            <w:shd w:val="clear" w:fill="F4F8F7"/>
          </w:tcPr>
          <w:p>
            <w:r>
              <w:rPr>
                <w:rFonts w:ascii="Arial" w:hAnsi="Arial"/>
                <w:sz w:val="17"/>
              </w:rPr>
              <w:t>Normalized earnings power</w:t>
            </w:r>
          </w:p>
        </w:tc>
        <w:tc>
          <w:tcPr>
            <w:tcW w:type="dxa" w:w="1701"/>
            <w:shd w:val="clear" w:fill="F4F8F7"/>
          </w:tcPr>
          <w:p>
            <w:r>
              <w:rPr>
                <w:rFonts w:ascii="Arial" w:hAnsi="Arial"/>
                <w:sz w:val="17"/>
              </w:rPr>
              <w:t>26.70</w:t>
            </w:r>
          </w:p>
        </w:tc>
        <w:tc>
          <w:tcPr>
            <w:tcW w:type="dxa" w:w="1247"/>
            <w:shd w:val="clear" w:fill="F4F8F7"/>
          </w:tcPr>
          <w:p>
            <w:r>
              <w:rPr>
                <w:rFonts w:ascii="Arial" w:hAnsi="Arial"/>
                <w:sz w:val="17"/>
              </w:rPr>
              <w:t>−2.3%</w:t>
            </w:r>
          </w:p>
        </w:tc>
        <w:tc>
          <w:tcPr>
            <w:tcW w:type="dxa" w:w="3969"/>
            <w:shd w:val="clear" w:fill="F4F8F7"/>
          </w:tcPr>
          <w:p>
            <w:r>
              <w:rPr>
                <w:rFonts w:ascii="Arial" w:hAnsi="Arial"/>
                <w:sz w:val="17"/>
              </w:rPr>
              <w:t>11% mid-cycle net margin × 12.5x justified P/E</w:t>
            </w:r>
          </w:p>
        </w:tc>
      </w:tr>
      <w:tr>
        <w:tc>
          <w:tcPr>
            <w:tcW w:type="dxa" w:w="2608"/>
          </w:tcPr>
          <w:p>
            <w:r>
              <w:rPr>
                <w:rFonts w:ascii="Arial" w:hAnsi="Arial"/>
                <w:sz w:val="17"/>
              </w:rPr>
              <w:t>DDM (sanity)</w:t>
            </w:r>
          </w:p>
        </w:tc>
        <w:tc>
          <w:tcPr>
            <w:tcW w:type="dxa" w:w="1701"/>
          </w:tcPr>
          <w:p>
            <w:r>
              <w:rPr>
                <w:rFonts w:ascii="Arial" w:hAnsi="Arial"/>
                <w:sz w:val="17"/>
              </w:rPr>
              <w:t>16.51</w:t>
            </w:r>
          </w:p>
        </w:tc>
        <w:tc>
          <w:tcPr>
            <w:tcW w:type="dxa" w:w="1247"/>
          </w:tcPr>
          <w:p>
            <w:r>
              <w:rPr>
                <w:rFonts w:ascii="Arial" w:hAnsi="Arial"/>
                <w:sz w:val="17"/>
              </w:rPr>
              <w:t>−39.6%</w:t>
            </w:r>
          </w:p>
        </w:tc>
        <w:tc>
          <w:tcPr>
            <w:tcW w:type="dxa" w:w="3969"/>
          </w:tcPr>
          <w:p>
            <w:r>
              <w:rPr>
                <w:rFonts w:ascii="Arial" w:hAnsi="Arial"/>
                <w:sz w:val="17"/>
              </w:rPr>
              <w:t>45% payout discounted at a 21.4% cost of equity</w:t>
            </w:r>
          </w:p>
        </w:tc>
      </w:tr>
      <w:tr>
        <w:tc>
          <w:tcPr>
            <w:tcW w:type="dxa" w:w="2608"/>
            <w:shd w:val="clear" w:fill="F4F8F7"/>
          </w:tcPr>
          <w:p>
            <w:r>
              <w:rPr>
                <w:rFonts w:ascii="Arial" w:hAnsi="Arial"/>
                <w:sz w:val="17"/>
              </w:rPr>
              <w:t>Weighted fair value</w:t>
            </w:r>
          </w:p>
        </w:tc>
        <w:tc>
          <w:tcPr>
            <w:tcW w:type="dxa" w:w="1701"/>
            <w:shd w:val="clear" w:fill="F4F8F7"/>
          </w:tcPr>
          <w:p>
            <w:r>
              <w:rPr>
                <w:rFonts w:ascii="Arial" w:hAnsi="Arial"/>
                <w:sz w:val="17"/>
              </w:rPr>
              <w:t>27.68</w:t>
            </w:r>
          </w:p>
        </w:tc>
        <w:tc>
          <w:tcPr>
            <w:tcW w:type="dxa" w:w="1247"/>
            <w:shd w:val="clear" w:fill="F4F8F7"/>
          </w:tcPr>
          <w:p>
            <w:r>
              <w:rPr>
                <w:rFonts w:ascii="Arial" w:hAnsi="Arial"/>
                <w:sz w:val="17"/>
              </w:rPr>
              <w:t>+1.3%</w:t>
            </w:r>
          </w:p>
        </w:tc>
        <w:tc>
          <w:tcPr>
            <w:tcW w:type="dxa" w:w="3969"/>
            <w:shd w:val="clear" w:fill="F4F8F7"/>
          </w:tcPr>
          <w:p>
            <w:r>
              <w:rPr>
                <w:rFonts w:ascii="Arial" w:hAnsi="Arial"/>
                <w:sz w:val="17"/>
              </w:rPr>
              <w:t>35/25/20/10/10 weights across the five lenses</w:t>
            </w:r>
          </w:p>
        </w:tc>
      </w:tr>
      <w:tr>
        <w:tc>
          <w:tcPr>
            <w:tcW w:type="dxa" w:w="2608"/>
          </w:tcPr>
          <w:p>
            <w:r>
              <w:rPr>
                <w:rFonts w:ascii="Arial" w:hAnsi="Arial"/>
                <w:sz w:val="17"/>
              </w:rPr>
              <w:t>FCFF bear / bull</w:t>
            </w:r>
          </w:p>
        </w:tc>
        <w:tc>
          <w:tcPr>
            <w:tcW w:type="dxa" w:w="1701"/>
          </w:tcPr>
          <w:p>
            <w:r>
              <w:rPr>
                <w:rFonts w:ascii="Arial" w:hAnsi="Arial"/>
                <w:sz w:val="17"/>
              </w:rPr>
              <w:t>16.41 / 42.78</w:t>
            </w:r>
          </w:p>
        </w:tc>
        <w:tc>
          <w:tcPr>
            <w:tcW w:type="dxa" w:w="1247"/>
          </w:tcPr>
          <w:p>
            <w:r>
              <w:rPr>
                <w:rFonts w:ascii="Arial" w:hAnsi="Arial"/>
                <w:sz w:val="17"/>
              </w:rPr>
              <w:t>−40% / +56%</w:t>
            </w:r>
          </w:p>
        </w:tc>
        <w:tc>
          <w:tcPr>
            <w:tcW w:type="dxa" w:w="3969"/>
          </w:tcPr>
          <w:p>
            <w:r>
              <w:rPr>
                <w:rFonts w:ascii="Arial" w:hAnsi="Arial"/>
                <w:sz w:val="17"/>
              </w:rPr>
              <w:t>margin 18% &amp; WACC 22.5% vs margin 20.5% &amp; WACC 20.5%</w:t>
            </w:r>
          </w:p>
        </w:tc>
      </w:tr>
      <w:tr>
        <w:tc>
          <w:tcPr>
            <w:tcW w:type="dxa" w:w="2608"/>
            <w:shd w:val="clear" w:fill="F4F8F7"/>
          </w:tcPr>
          <w:p>
            <w:r>
              <w:rPr>
                <w:rFonts w:ascii="Arial" w:hAnsi="Arial"/>
                <w:sz w:val="17"/>
              </w:rPr>
              <w:t>Monte Carlo T+60 median</w:t>
            </w:r>
          </w:p>
        </w:tc>
        <w:tc>
          <w:tcPr>
            <w:tcW w:type="dxa" w:w="1701"/>
            <w:shd w:val="clear" w:fill="F4F8F7"/>
          </w:tcPr>
          <w:p>
            <w:r>
              <w:rPr>
                <w:rFonts w:ascii="Arial" w:hAnsi="Arial"/>
                <w:sz w:val="17"/>
              </w:rPr>
              <w:t>27.82</w:t>
            </w:r>
          </w:p>
        </w:tc>
        <w:tc>
          <w:tcPr>
            <w:tcW w:type="dxa" w:w="1247"/>
            <w:shd w:val="clear" w:fill="F4F8F7"/>
          </w:tcPr>
          <w:p>
            <w:r>
              <w:rPr>
                <w:rFonts w:ascii="Arial" w:hAnsi="Arial"/>
                <w:sz w:val="17"/>
              </w:rPr>
              <w:t>+1.8%</w:t>
            </w:r>
          </w:p>
        </w:tc>
        <w:tc>
          <w:tcPr>
            <w:tcW w:type="dxa" w:w="3969"/>
            <w:shd w:val="clear" w:fill="F4F8F7"/>
          </w:tcPr>
          <w:p>
            <w:r>
              <w:rPr>
                <w:rFonts w:ascii="Arial" w:hAnsi="Arial"/>
                <w:sz w:val="17"/>
              </w:rPr>
              <w:t>50,000 paths from spot; value gap kept out of the drift</w:t>
            </w:r>
          </w:p>
        </w:tc>
      </w:tr>
      <w:tr>
        <w:tc>
          <w:tcPr>
            <w:tcW w:type="dxa" w:w="2608"/>
          </w:tcPr>
          <w:p>
            <w:r>
              <w:rPr>
                <w:rFonts w:ascii="Arial" w:hAnsi="Arial"/>
                <w:sz w:val="17"/>
              </w:rPr>
              <w:t>MC 50% band (T+60)</w:t>
            </w:r>
          </w:p>
        </w:tc>
        <w:tc>
          <w:tcPr>
            <w:tcW w:type="dxa" w:w="1701"/>
          </w:tcPr>
          <w:p>
            <w:r>
              <w:rPr>
                <w:rFonts w:ascii="Arial" w:hAnsi="Arial"/>
                <w:sz w:val="17"/>
              </w:rPr>
              <w:t>24.40 – 31.65</w:t>
            </w:r>
          </w:p>
        </w:tc>
        <w:tc>
          <w:tcPr>
            <w:tcW w:type="dxa" w:w="1247"/>
          </w:tcPr>
          <w:p>
            <w:r>
              <w:rPr>
                <w:rFonts w:ascii="Arial" w:hAnsi="Arial"/>
                <w:sz w:val="17"/>
              </w:rPr>
              <w:t>−11% / +16%</w:t>
            </w:r>
          </w:p>
        </w:tc>
        <w:tc>
          <w:tcPr>
            <w:tcW w:type="dxa" w:w="3969"/>
          </w:tcPr>
          <w:p>
            <w:r>
              <w:rPr>
                <w:rFonts w:ascii="Arial" w:hAnsi="Arial"/>
                <w:sz w:val="17"/>
              </w:rPr>
              <w:t>the instrument’s genuine quarter-ahead uncertainty</w:t>
            </w:r>
          </w:p>
        </w:tc>
      </w:tr>
      <w:tr>
        <w:tc>
          <w:tcPr>
            <w:tcW w:type="dxa" w:w="2608"/>
            <w:shd w:val="clear" w:fill="F4F8F7"/>
          </w:tcPr>
          <w:p>
            <w:r>
              <w:rPr>
                <w:rFonts w:ascii="Arial" w:hAnsi="Arial"/>
                <w:sz w:val="17"/>
              </w:rPr>
              <w:t>Spot (01-Jul-2026)</w:t>
            </w:r>
          </w:p>
        </w:tc>
        <w:tc>
          <w:tcPr>
            <w:tcW w:type="dxa" w:w="1701"/>
            <w:shd w:val="clear" w:fill="F4F8F7"/>
          </w:tcPr>
          <w:p>
            <w:r>
              <w:rPr>
                <w:rFonts w:ascii="Arial" w:hAnsi="Arial"/>
                <w:sz w:val="17"/>
              </w:rPr>
              <w:t>27.34</w:t>
            </w:r>
          </w:p>
        </w:tc>
        <w:tc>
          <w:tcPr>
            <w:tcW w:type="dxa" w:w="1247"/>
            <w:shd w:val="clear" w:fill="F4F8F7"/>
          </w:tcPr>
          <w:p>
            <w:r>
              <w:rPr>
                <w:rFonts w:ascii="Arial" w:hAnsi="Arial"/>
                <w:sz w:val="17"/>
              </w:rPr>
              <w:t>—</w:t>
            </w:r>
          </w:p>
        </w:tc>
        <w:tc>
          <w:tcPr>
            <w:tcW w:type="dxa" w:w="3969"/>
            <w:shd w:val="clear" w:fill="F4F8F7"/>
          </w:tcPr>
          <w:p>
            <w:r>
              <w:rPr>
                <w:rFonts w:ascii="Arial" w:hAnsi="Arial"/>
                <w:sz w:val="17"/>
              </w:rPr>
              <w:t>EGX close, split-adjusted series</w:t>
            </w:r>
          </w:p>
        </w:tc>
      </w:tr>
    </w:tbl>
    <w:p>
      <w:pPr>
        <w:spacing w:after="40"/>
      </w:pPr>
    </w:p>
    <w:p>
      <w:pPr>
        <w:pStyle w:val="Heading1"/>
      </w:pPr>
      <w:r>
        <w:t>Company overview — Edita at a glance</w:t>
      </w:r>
    </w:p>
    <w:tbl>
      <w:tblPr>
        <w:tblStyle w:val="TableGrid"/>
        <w:tblW w:type="auto" w:w="0"/>
        <w:jc w:val="center"/>
        <w:tblLook w:firstColumn="1" w:firstRow="1" w:lastColumn="0" w:lastRow="0" w:noHBand="0" w:noVBand="1" w:val="04A0"/>
      </w:tblPr>
      <w:tblGrid>
        <w:gridCol w:w="4986"/>
        <w:gridCol w:w="4986"/>
      </w:tblGrid>
      <w:tr>
        <w:tc>
          <w:tcPr>
            <w:tcW w:type="dxa" w:w="2608"/>
            <w:shd w:val="clear" w:fill="1C6E63"/>
          </w:tcPr>
          <w:p>
            <w:r>
              <w:rPr>
                <w:rFonts w:ascii="Arial" w:hAnsi="Arial"/>
                <w:b/>
                <w:color w:val="FFFFFF"/>
                <w:sz w:val="17"/>
              </w:rPr>
              <w:t>Item</w:t>
            </w:r>
          </w:p>
        </w:tc>
        <w:tc>
          <w:tcPr>
            <w:tcW w:type="dxa" w:w="6917"/>
            <w:shd w:val="clear" w:fill="1C6E63"/>
          </w:tcPr>
          <w:p>
            <w:r>
              <w:rPr>
                <w:rFonts w:ascii="Arial" w:hAnsi="Arial"/>
                <w:b/>
                <w:color w:val="FFFFFF"/>
                <w:sz w:val="17"/>
              </w:rPr>
              <w:t>Value</w:t>
            </w:r>
          </w:p>
        </w:tc>
      </w:tr>
      <w:tr>
        <w:tc>
          <w:tcPr>
            <w:tcW w:type="dxa" w:w="2608"/>
          </w:tcPr>
          <w:p>
            <w:r>
              <w:rPr>
                <w:rFonts w:ascii="Arial" w:hAnsi="Arial"/>
                <w:sz w:val="17"/>
              </w:rPr>
              <w:t>Listing</w:t>
            </w:r>
          </w:p>
        </w:tc>
        <w:tc>
          <w:tcPr>
            <w:tcW w:type="dxa" w:w="6917"/>
          </w:tcPr>
          <w:p>
            <w:r>
              <w:rPr>
                <w:rFonts w:ascii="Arial" w:hAnsi="Arial"/>
                <w:sz w:val="17"/>
              </w:rPr>
              <w:t>EGX: EFID (GDR history on LSE); founded 1996, HQ 6th of October City</w:t>
            </w:r>
          </w:p>
        </w:tc>
      </w:tr>
      <w:tr>
        <w:tc>
          <w:tcPr>
            <w:tcW w:type="dxa" w:w="2608"/>
            <w:shd w:val="clear" w:fill="F4F8F7"/>
          </w:tcPr>
          <w:p>
            <w:r>
              <w:rPr>
                <w:rFonts w:ascii="Arial" w:hAnsi="Arial"/>
                <w:sz w:val="17"/>
              </w:rPr>
              <w:t>Business</w:t>
            </w:r>
          </w:p>
        </w:tc>
        <w:tc>
          <w:tcPr>
            <w:tcW w:type="dxa" w:w="6917"/>
            <w:shd w:val="clear" w:fill="F4F8F7"/>
          </w:tcPr>
          <w:p>
            <w:r>
              <w:rPr>
                <w:rFonts w:ascii="Arial" w:hAnsi="Arial"/>
                <w:sz w:val="17"/>
              </w:rPr>
              <w:t>Packaged snack foods: cakes, croissants/bakery, rusks, wafers, candy, biscuits, frozen bakery</w:t>
            </w:r>
          </w:p>
        </w:tc>
      </w:tr>
      <w:tr>
        <w:tc>
          <w:tcPr>
            <w:tcW w:type="dxa" w:w="2608"/>
          </w:tcPr>
          <w:p>
            <w:r>
              <w:rPr>
                <w:rFonts w:ascii="Arial" w:hAnsi="Arial"/>
                <w:sz w:val="17"/>
              </w:rPr>
              <w:t>Brands</w:t>
            </w:r>
          </w:p>
        </w:tc>
        <w:tc>
          <w:tcPr>
            <w:tcW w:type="dxa" w:w="6917"/>
          </w:tcPr>
          <w:p>
            <w:r>
              <w:rPr>
                <w:rFonts w:ascii="Arial" w:hAnsi="Arial"/>
                <w:sz w:val="17"/>
              </w:rPr>
              <w:t>Molto, Todo, Bake Rolz, Bake Stix, MiMix, Freska, Oniro, Molto Forni; HoHos/Twinkies/Tiger Tail owned across Africa since Jan-2026</w:t>
            </w:r>
          </w:p>
        </w:tc>
      </w:tr>
      <w:tr>
        <w:tc>
          <w:tcPr>
            <w:tcW w:type="dxa" w:w="2608"/>
            <w:shd w:val="clear" w:fill="F4F8F7"/>
          </w:tcPr>
          <w:p>
            <w:r>
              <w:rPr>
                <w:rFonts w:ascii="Arial" w:hAnsi="Arial"/>
                <w:sz w:val="17"/>
              </w:rPr>
              <w:t>Footprint</w:t>
            </w:r>
          </w:p>
        </w:tc>
        <w:tc>
          <w:tcPr>
            <w:tcW w:type="dxa" w:w="6917"/>
            <w:shd w:val="clear" w:fill="F4F8F7"/>
          </w:tcPr>
          <w:p>
            <w:r>
              <w:rPr>
                <w:rFonts w:ascii="Arial" w:hAnsi="Arial"/>
                <w:sz w:val="17"/>
              </w:rPr>
              <w:t>~7,000 employees; plants in 6th of October, 10th of Ramadan and Beni Suef; subsidiary in Morocco; 49% of TJA (Iraq) since Jan-2025</w:t>
            </w:r>
          </w:p>
        </w:tc>
      </w:tr>
      <w:tr>
        <w:tc>
          <w:tcPr>
            <w:tcW w:type="dxa" w:w="2608"/>
          </w:tcPr>
          <w:p>
            <w:r>
              <w:rPr>
                <w:rFonts w:ascii="Arial" w:hAnsi="Arial"/>
                <w:sz w:val="17"/>
              </w:rPr>
              <w:t>FY2025 revenue / EBITDA / net profit</w:t>
            </w:r>
          </w:p>
        </w:tc>
        <w:tc>
          <w:tcPr>
            <w:tcW w:type="dxa" w:w="6917"/>
          </w:tcPr>
          <w:p>
            <w:r>
              <w:rPr>
                <w:rFonts w:ascii="Arial" w:hAnsi="Arial"/>
                <w:sz w:val="17"/>
              </w:rPr>
              <w:t>EGP 20,915m / 4,011m (19.2%) / 2,442m (11.7%) — IFRS management accounts</w:t>
            </w:r>
          </w:p>
        </w:tc>
      </w:tr>
      <w:tr>
        <w:tc>
          <w:tcPr>
            <w:tcW w:type="dxa" w:w="2608"/>
            <w:shd w:val="clear" w:fill="F4F8F7"/>
          </w:tcPr>
          <w:p>
            <w:r>
              <w:rPr>
                <w:rFonts w:ascii="Arial" w:hAnsi="Arial"/>
                <w:sz w:val="17"/>
              </w:rPr>
              <w:t>1Q2026</w:t>
            </w:r>
          </w:p>
        </w:tc>
        <w:tc>
          <w:tcPr>
            <w:tcW w:type="dxa" w:w="6917"/>
            <w:shd w:val="clear" w:fill="F4F8F7"/>
          </w:tcPr>
          <w:p>
            <w:r>
              <w:rPr>
                <w:rFonts w:ascii="Arial" w:hAnsi="Arial"/>
                <w:sz w:val="17"/>
              </w:rPr>
              <w:t>Revenue EGP 5,770m (+34.7%), EBITDA 18.3%, net profit EGP 793m (+108%)</w:t>
            </w:r>
          </w:p>
        </w:tc>
      </w:tr>
      <w:tr>
        <w:tc>
          <w:tcPr>
            <w:tcW w:type="dxa" w:w="2608"/>
          </w:tcPr>
          <w:p>
            <w:r>
              <w:rPr>
                <w:rFonts w:ascii="Arial" w:hAnsi="Arial"/>
                <w:sz w:val="17"/>
              </w:rPr>
              <w:t>Volumes</w:t>
            </w:r>
          </w:p>
        </w:tc>
        <w:tc>
          <w:tcPr>
            <w:tcW w:type="dxa" w:w="6917"/>
          </w:tcPr>
          <w:p>
            <w:r>
              <w:rPr>
                <w:rFonts w:ascii="Arial" w:hAnsi="Arial"/>
                <w:sz w:val="17"/>
              </w:rPr>
              <w:t>FY2025: 3.79bn packs, 154.7k tons (+19.3%); 1Q2026 tons +36.7% y-o-y</w:t>
            </w:r>
          </w:p>
        </w:tc>
      </w:tr>
      <w:tr>
        <w:tc>
          <w:tcPr>
            <w:tcW w:type="dxa" w:w="2608"/>
            <w:shd w:val="clear" w:fill="F4F8F7"/>
          </w:tcPr>
          <w:p>
            <w:r>
              <w:rPr>
                <w:rFonts w:ascii="Arial" w:hAnsi="Arial"/>
                <w:sz w:val="17"/>
              </w:rPr>
              <w:t>Exports</w:t>
            </w:r>
          </w:p>
        </w:tc>
        <w:tc>
          <w:tcPr>
            <w:tcW w:type="dxa" w:w="6917"/>
            <w:shd w:val="clear" w:fill="F4F8F7"/>
          </w:tcPr>
          <w:p>
            <w:r>
              <w:rPr>
                <w:rFonts w:ascii="Arial" w:hAnsi="Arial"/>
                <w:sz w:val="17"/>
              </w:rPr>
              <w:t>FY2025 EGP 1.96bn (9.5% of sales); 1Q2026 +73% y-o-y; Morocco EGP 572m FY2025</w:t>
            </w:r>
          </w:p>
        </w:tc>
      </w:tr>
      <w:tr>
        <w:tc>
          <w:tcPr>
            <w:tcW w:type="dxa" w:w="2608"/>
          </w:tcPr>
          <w:p>
            <w:r>
              <w:rPr>
                <w:rFonts w:ascii="Arial" w:hAnsi="Arial"/>
                <w:sz w:val="17"/>
              </w:rPr>
              <w:t>Balance sheet</w:t>
            </w:r>
          </w:p>
        </w:tc>
        <w:tc>
          <w:tcPr>
            <w:tcW w:type="dxa" w:w="6917"/>
          </w:tcPr>
          <w:p>
            <w:r>
              <w:rPr>
                <w:rFonts w:ascii="Arial" w:hAnsi="Arial"/>
                <w:sz w:val="17"/>
              </w:rPr>
              <w:t>Net cash EGP 853m at 31-Mar-2026 (net debt EGP 2,144m a year earlier); FY2025 capex EGP 1,393m</w:t>
            </w:r>
          </w:p>
        </w:tc>
      </w:tr>
      <w:tr>
        <w:tc>
          <w:tcPr>
            <w:tcW w:type="dxa" w:w="2608"/>
            <w:shd w:val="clear" w:fill="F4F8F7"/>
          </w:tcPr>
          <w:p>
            <w:r>
              <w:rPr>
                <w:rFonts w:ascii="Arial" w:hAnsi="Arial"/>
                <w:sz w:val="17"/>
              </w:rPr>
              <w:t>Shareholders (1Q2026)</w:t>
            </w:r>
          </w:p>
        </w:tc>
        <w:tc>
          <w:tcPr>
            <w:tcW w:type="dxa" w:w="6917"/>
            <w:shd w:val="clear" w:fill="F4F8F7"/>
          </w:tcPr>
          <w:p>
            <w:r>
              <w:rPr>
                <w:rFonts w:ascii="Arial" w:hAnsi="Arial"/>
                <w:sz w:val="17"/>
              </w:rPr>
              <w:t>Quantum Invest BV 49% · RIMCO 10% · Kingsway Fund 6% · free float/others 35%</w:t>
            </w:r>
          </w:p>
        </w:tc>
      </w:tr>
      <w:tr>
        <w:tc>
          <w:tcPr>
            <w:tcW w:type="dxa" w:w="2608"/>
          </w:tcPr>
          <w:p>
            <w:r>
              <w:rPr>
                <w:rFonts w:ascii="Arial" w:hAnsi="Arial"/>
                <w:sz w:val="17"/>
              </w:rPr>
              <w:t>Shares / market cap</w:t>
            </w:r>
          </w:p>
        </w:tc>
        <w:tc>
          <w:tcPr>
            <w:tcW w:type="dxa" w:w="6917"/>
          </w:tcPr>
          <w:p>
            <w:r>
              <w:rPr>
                <w:rFonts w:ascii="Arial" w:hAnsi="Arial"/>
                <w:sz w:val="17"/>
              </w:rPr>
              <w:t>1,400.04m shares (post Sep-2025 capital action) · ~EGP 38.3bn at spot</w:t>
            </w:r>
          </w:p>
        </w:tc>
      </w:tr>
      <w:tr>
        <w:tc>
          <w:tcPr>
            <w:tcW w:type="dxa" w:w="2608"/>
            <w:shd w:val="clear" w:fill="F4F8F7"/>
          </w:tcPr>
          <w:p>
            <w:r>
              <w:rPr>
                <w:rFonts w:ascii="Arial" w:hAnsi="Arial"/>
                <w:sz w:val="17"/>
              </w:rPr>
              <w:t>Dividends</w:t>
            </w:r>
          </w:p>
        </w:tc>
        <w:tc>
          <w:tcPr>
            <w:tcW w:type="dxa" w:w="6917"/>
            <w:shd w:val="clear" w:fill="F4F8F7"/>
          </w:tcPr>
          <w:p>
            <w:r>
              <w:rPr>
                <w:rFonts w:ascii="Arial" w:hAnsi="Arial"/>
                <w:sz w:val="17"/>
              </w:rPr>
              <w:t>EGP 400m for 2022 and 2023 (plus EGP 300m interim); EGP 800m for 2024 (paid Apr-2025)</w:t>
            </w:r>
          </w:p>
        </w:tc>
      </w:tr>
      <w:tr>
        <w:tc>
          <w:tcPr>
            <w:tcW w:type="dxa" w:w="2608"/>
          </w:tcPr>
          <w:p>
            <w:r>
              <w:rPr>
                <w:rFonts w:ascii="Arial" w:hAnsi="Arial"/>
                <w:sz w:val="17"/>
              </w:rPr>
              <w:t>At spot</w:t>
            </w:r>
          </w:p>
        </w:tc>
        <w:tc>
          <w:tcPr>
            <w:tcW w:type="dxa" w:w="6917"/>
          </w:tcPr>
          <w:p>
            <w:r>
              <w:rPr>
                <w:rFonts w:ascii="Arial" w:hAnsi="Arial"/>
                <w:sz w:val="17"/>
              </w:rPr>
              <w:t>~10.0x FY2026E P/E · ~6.9x FY2026E EV/EBITDA · ~13.4x trailing P/E</w:t>
            </w:r>
          </w:p>
        </w:tc>
      </w:tr>
      <w:tr>
        <w:tc>
          <w:tcPr>
            <w:tcW w:type="dxa" w:w="2608"/>
            <w:shd w:val="clear" w:fill="F4F8F7"/>
          </w:tcPr>
          <w:p>
            <w:r>
              <w:rPr>
                <w:rFonts w:ascii="Arial" w:hAnsi="Arial"/>
                <w:sz w:val="17"/>
              </w:rPr>
              <w:t>Sources</w:t>
            </w:r>
          </w:p>
        </w:tc>
        <w:tc>
          <w:tcPr>
            <w:tcW w:type="dxa" w:w="6917"/>
            <w:shd w:val="clear" w:fill="F4F8F7"/>
          </w:tcPr>
          <w:p>
            <w:r>
              <w:rPr>
                <w:rFonts w:ascii="Arial" w:hAnsi="Arial"/>
                <w:sz w:val="17"/>
              </w:rPr>
              <w:t>Company earnings releases FY2023–FY2025 and 1Q2026; EGX disclosures via Mubasher; african-markets.com share data</w:t>
            </w:r>
          </w:p>
        </w:tc>
      </w:tr>
    </w:tbl>
    <w:p>
      <w:pPr>
        <w:spacing w:after="40"/>
      </w:pPr>
    </w:p>
    <w:p>
      <w:pPr>
        <w:pStyle w:val="Heading1"/>
      </w:pPr>
      <w:r>
        <w:t>1  Fundamental valuation</w:t>
      </w:r>
    </w:p>
    <w:p>
      <w:pPr>
        <w:spacing w:after="80"/>
      </w:pPr>
      <w:r>
        <w:rPr>
          <w:rFonts w:ascii="Arial" w:hAnsi="Arial"/>
          <w:b w:val="0"/>
          <w:i w:val="0"/>
          <w:sz w:val="19"/>
        </w:rPr>
        <w:t>Edita is a going concern with one dominant economic engine — branded, price-point-led snacks sold tens of millions of times a day — so the primary lens is a consolidated FCFF DCF, cross-checked by a segment gross-profit build, relative multiples, a normalized-earnings read and a dividend-discount sanity test. Every input sits on the Assumptions sheet of the companion model; nothing below is asserted without a visible calculation.</w:t>
      </w:r>
    </w:p>
    <w:p>
      <w:pPr>
        <w:pStyle w:val="Heading2"/>
      </w:pPr>
      <w:r>
        <w:t>1.1  FCFF DCF — the primary lens</w:t>
      </w:r>
    </w:p>
    <w:p>
      <w:pPr>
        <w:spacing w:after="80"/>
      </w:pPr>
      <w:r>
        <w:rPr>
          <w:rFonts w:ascii="Arial" w:hAnsi="Arial"/>
          <w:b w:val="0"/>
          <w:i w:val="0"/>
          <w:sz w:val="19"/>
        </w:rPr>
        <w:t>The forecast runs five years in nominal Egyptian pounds. Revenue growth starts at 30% for FY2026 — 1Q2026 printed +34.7% and management guides to continued price-point migration plus the ~15% capacity added by the October-2025 asset purchase — then fades to 13% by FY2030 as inflation normalizes. EBITDA margin is held at 19.2–19.5%, between the 19.2% of FY2025 and the 18.3% of a seasonally lighter 1Q2026, deliberately below the 21.5% peak of 4Q2025. Capex fades from 6.5% of sales to 5.0%; working capital consumes 2% of incremental revenue; tax is 26.5%, the 1Q2026 effective rate.</w:t>
      </w:r>
    </w:p>
    <w:tbl>
      <w:tblPr>
        <w:tblStyle w:val="TableGrid"/>
        <w:tblW w:type="auto" w:w="0"/>
        <w:jc w:val="center"/>
        <w:tblLook w:firstColumn="1" w:firstRow="1" w:lastColumn="0" w:lastRow="0" w:noHBand="0" w:noVBand="1" w:val="04A0"/>
      </w:tblPr>
      <w:tblGrid>
        <w:gridCol w:w="4986"/>
        <w:gridCol w:w="4986"/>
      </w:tblGrid>
      <w:tr>
        <w:tc>
          <w:tcPr>
            <w:tcW w:type="dxa" w:w="3969"/>
            <w:shd w:val="clear" w:fill="1C6E63"/>
          </w:tcPr>
          <w:p>
            <w:r>
              <w:rPr>
                <w:rFonts w:ascii="Arial" w:hAnsi="Arial"/>
                <w:b/>
                <w:color w:val="FFFFFF"/>
                <w:sz w:val="17"/>
              </w:rPr>
              <w:t>WACC build</w:t>
            </w:r>
          </w:p>
        </w:tc>
        <w:tc>
          <w:tcPr>
            <w:tcW w:type="dxa" w:w="5102"/>
            <w:shd w:val="clear" w:fill="1C6E63"/>
          </w:tcPr>
          <w:p>
            <w:r>
              <w:rPr>
                <w:rFonts w:ascii="Arial" w:hAnsi="Arial"/>
                <w:b/>
                <w:color w:val="FFFFFF"/>
                <w:sz w:val="17"/>
              </w:rPr>
              <w:t>Input</w:t>
            </w:r>
          </w:p>
        </w:tc>
      </w:tr>
      <w:tr>
        <w:tc>
          <w:tcPr>
            <w:tcW w:type="dxa" w:w="3969"/>
          </w:tcPr>
          <w:p>
            <w:r>
              <w:rPr>
                <w:rFonts w:ascii="Arial" w:hAnsi="Arial"/>
                <w:sz w:val="17"/>
              </w:rPr>
              <w:t>Risk-free (EGP 10-yr, mid-2026)</w:t>
            </w:r>
          </w:p>
        </w:tc>
        <w:tc>
          <w:tcPr>
            <w:tcW w:type="dxa" w:w="5102"/>
          </w:tcPr>
          <w:p>
            <w:r>
              <w:rPr>
                <w:rFonts w:ascii="Arial" w:hAnsi="Arial"/>
                <w:sz w:val="17"/>
              </w:rPr>
              <w:t>16.5%</w:t>
            </w:r>
          </w:p>
        </w:tc>
      </w:tr>
      <w:tr>
        <w:tc>
          <w:tcPr>
            <w:tcW w:type="dxa" w:w="3969"/>
            <w:shd w:val="clear" w:fill="F4F8F7"/>
          </w:tcPr>
          <w:p>
            <w:r>
              <w:rPr>
                <w:rFonts w:ascii="Arial" w:hAnsi="Arial"/>
                <w:sz w:val="17"/>
              </w:rPr>
              <w:t>Equity risk premium</w:t>
            </w:r>
          </w:p>
        </w:tc>
        <w:tc>
          <w:tcPr>
            <w:tcW w:type="dxa" w:w="5102"/>
            <w:shd w:val="clear" w:fill="F4F8F7"/>
          </w:tcPr>
          <w:p>
            <w:r>
              <w:rPr>
                <w:rFonts w:ascii="Arial" w:hAnsi="Arial"/>
                <w:sz w:val="17"/>
              </w:rPr>
              <w:t>7.0%</w:t>
            </w:r>
          </w:p>
        </w:tc>
      </w:tr>
      <w:tr>
        <w:tc>
          <w:tcPr>
            <w:tcW w:type="dxa" w:w="3969"/>
          </w:tcPr>
          <w:p>
            <w:r>
              <w:rPr>
                <w:rFonts w:ascii="Arial" w:hAnsi="Arial"/>
                <w:sz w:val="17"/>
              </w:rPr>
              <w:t>Beta</w:t>
            </w:r>
          </w:p>
        </w:tc>
        <w:tc>
          <w:tcPr>
            <w:tcW w:type="dxa" w:w="5102"/>
          </w:tcPr>
          <w:p>
            <w:r>
              <w:rPr>
                <w:rFonts w:ascii="Arial" w:hAnsi="Arial"/>
                <w:sz w:val="17"/>
              </w:rPr>
              <w:t>0.70</w:t>
            </w:r>
          </w:p>
        </w:tc>
      </w:tr>
      <w:tr>
        <w:tc>
          <w:tcPr>
            <w:tcW w:type="dxa" w:w="3969"/>
            <w:shd w:val="clear" w:fill="F4F8F7"/>
          </w:tcPr>
          <w:p>
            <w:r>
              <w:rPr>
                <w:rFonts w:ascii="Arial" w:hAnsi="Arial"/>
                <w:sz w:val="17"/>
              </w:rPr>
              <w:t>Cost of equity</w:t>
            </w:r>
          </w:p>
        </w:tc>
        <w:tc>
          <w:tcPr>
            <w:tcW w:type="dxa" w:w="5102"/>
            <w:shd w:val="clear" w:fill="F4F8F7"/>
          </w:tcPr>
          <w:p>
            <w:r>
              <w:rPr>
                <w:rFonts w:ascii="Arial" w:hAnsi="Arial"/>
                <w:sz w:val="17"/>
              </w:rPr>
              <w:t>21.4%</w:t>
            </w:r>
          </w:p>
        </w:tc>
      </w:tr>
      <w:tr>
        <w:tc>
          <w:tcPr>
            <w:tcW w:type="dxa" w:w="3969"/>
          </w:tcPr>
          <w:p>
            <w:r>
              <w:rPr>
                <w:rFonts w:ascii="Arial" w:hAnsi="Arial"/>
                <w:sz w:val="17"/>
              </w:rPr>
              <w:t>Pre-tax cost of debt</w:t>
            </w:r>
          </w:p>
        </w:tc>
        <w:tc>
          <w:tcPr>
            <w:tcW w:type="dxa" w:w="5102"/>
          </w:tcPr>
          <w:p>
            <w:r>
              <w:rPr>
                <w:rFonts w:ascii="Arial" w:hAnsi="Arial"/>
                <w:sz w:val="17"/>
              </w:rPr>
              <w:t>19.0% (largely subsidized industrial facilities in practice)</w:t>
            </w:r>
          </w:p>
        </w:tc>
      </w:tr>
      <w:tr>
        <w:tc>
          <w:tcPr>
            <w:tcW w:type="dxa" w:w="3969"/>
            <w:shd w:val="clear" w:fill="F4F8F7"/>
          </w:tcPr>
          <w:p>
            <w:r>
              <w:rPr>
                <w:rFonts w:ascii="Arial" w:hAnsi="Arial"/>
                <w:sz w:val="17"/>
              </w:rPr>
              <w:t>Debt weight / tax</w:t>
            </w:r>
          </w:p>
        </w:tc>
        <w:tc>
          <w:tcPr>
            <w:tcW w:type="dxa" w:w="5102"/>
            <w:shd w:val="clear" w:fill="F4F8F7"/>
          </w:tcPr>
          <w:p>
            <w:r>
              <w:rPr>
                <w:rFonts w:ascii="Arial" w:hAnsi="Arial"/>
                <w:sz w:val="17"/>
              </w:rPr>
              <w:t>10% / 26.5%</w:t>
            </w:r>
          </w:p>
        </w:tc>
      </w:tr>
      <w:tr>
        <w:tc>
          <w:tcPr>
            <w:tcW w:type="dxa" w:w="3969"/>
          </w:tcPr>
          <w:p>
            <w:r>
              <w:rPr>
                <w:rFonts w:ascii="Arial" w:hAnsi="Arial"/>
                <w:sz w:val="17"/>
              </w:rPr>
              <w:t>WACC</w:t>
            </w:r>
          </w:p>
        </w:tc>
        <w:tc>
          <w:tcPr>
            <w:tcW w:type="dxa" w:w="5102"/>
          </w:tcPr>
          <w:p>
            <w:r>
              <w:rPr>
                <w:rFonts w:ascii="Arial" w:hAnsi="Arial"/>
                <w:sz w:val="17"/>
              </w:rPr>
              <w:t>20.7%</w:t>
            </w:r>
          </w:p>
        </w:tc>
      </w:tr>
      <w:tr>
        <w:tc>
          <w:tcPr>
            <w:tcW w:type="dxa" w:w="3969"/>
            <w:shd w:val="clear" w:fill="F4F8F7"/>
          </w:tcPr>
          <w:p>
            <w:r>
              <w:rPr>
                <w:rFonts w:ascii="Arial" w:hAnsi="Arial"/>
                <w:sz w:val="17"/>
              </w:rPr>
              <w:t>Terminal growth (nominal)</w:t>
            </w:r>
          </w:p>
        </w:tc>
        <w:tc>
          <w:tcPr>
            <w:tcW w:type="dxa" w:w="5102"/>
            <w:shd w:val="clear" w:fill="F4F8F7"/>
          </w:tcPr>
          <w:p>
            <w:r>
              <w:rPr>
                <w:rFonts w:ascii="Arial" w:hAnsi="Arial"/>
                <w:sz w:val="17"/>
              </w:rPr>
              <w:t>13.5%</w:t>
            </w:r>
          </w:p>
        </w:tc>
      </w:tr>
    </w:tbl>
    <w:p>
      <w:pPr>
        <w:spacing w:after="40"/>
      </w:pP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041"/>
            <w:shd w:val="clear" w:fill="1C6E63"/>
          </w:tcPr>
          <w:p>
            <w:r>
              <w:rPr>
                <w:rFonts w:ascii="Arial" w:hAnsi="Arial"/>
                <w:b/>
                <w:color w:val="FFFFFF"/>
                <w:sz w:val="17"/>
              </w:rPr>
              <w:t>DCF (EGP m)</w:t>
            </w:r>
          </w:p>
        </w:tc>
        <w:tc>
          <w:tcPr>
            <w:tcW w:type="dxa" w:w="1417"/>
            <w:shd w:val="clear" w:fill="1C6E63"/>
          </w:tcPr>
          <w:p>
            <w:r>
              <w:rPr>
                <w:rFonts w:ascii="Arial" w:hAnsi="Arial"/>
                <w:b/>
                <w:color w:val="FFFFFF"/>
                <w:sz w:val="17"/>
              </w:rPr>
              <w:t>FY26E</w:t>
            </w:r>
          </w:p>
        </w:tc>
        <w:tc>
          <w:tcPr>
            <w:tcW w:type="dxa" w:w="1417"/>
            <w:shd w:val="clear" w:fill="1C6E63"/>
          </w:tcPr>
          <w:p>
            <w:r>
              <w:rPr>
                <w:rFonts w:ascii="Arial" w:hAnsi="Arial"/>
                <w:b/>
                <w:color w:val="FFFFFF"/>
                <w:sz w:val="17"/>
              </w:rPr>
              <w:t>FY27E</w:t>
            </w:r>
          </w:p>
        </w:tc>
        <w:tc>
          <w:tcPr>
            <w:tcW w:type="dxa" w:w="1417"/>
            <w:shd w:val="clear" w:fill="1C6E63"/>
          </w:tcPr>
          <w:p>
            <w:r>
              <w:rPr>
                <w:rFonts w:ascii="Arial" w:hAnsi="Arial"/>
                <w:b/>
                <w:color w:val="FFFFFF"/>
                <w:sz w:val="17"/>
              </w:rPr>
              <w:t>FY28E</w:t>
            </w:r>
          </w:p>
        </w:tc>
        <w:tc>
          <w:tcPr>
            <w:tcW w:type="dxa" w:w="1417"/>
            <w:shd w:val="clear" w:fill="1C6E63"/>
          </w:tcPr>
          <w:p>
            <w:r>
              <w:rPr>
                <w:rFonts w:ascii="Arial" w:hAnsi="Arial"/>
                <w:b/>
                <w:color w:val="FFFFFF"/>
                <w:sz w:val="17"/>
              </w:rPr>
              <w:t>FY29E</w:t>
            </w:r>
          </w:p>
        </w:tc>
        <w:tc>
          <w:tcPr>
            <w:tcW w:type="dxa" w:w="1417"/>
            <w:shd w:val="clear" w:fill="1C6E63"/>
          </w:tcPr>
          <w:p>
            <w:r>
              <w:rPr>
                <w:rFonts w:ascii="Arial" w:hAnsi="Arial"/>
                <w:b/>
                <w:color w:val="FFFFFF"/>
                <w:sz w:val="17"/>
              </w:rPr>
              <w:t>FY30E</w:t>
            </w:r>
          </w:p>
        </w:tc>
      </w:tr>
      <w:tr>
        <w:tc>
          <w:tcPr>
            <w:tcW w:type="dxa" w:w="2041"/>
          </w:tcPr>
          <w:p>
            <w:r>
              <w:rPr>
                <w:rFonts w:ascii="Arial" w:hAnsi="Arial"/>
                <w:sz w:val="17"/>
              </w:rPr>
              <w:t>Revenue</w:t>
            </w:r>
          </w:p>
        </w:tc>
        <w:tc>
          <w:tcPr>
            <w:tcW w:type="dxa" w:w="1417"/>
          </w:tcPr>
          <w:p>
            <w:r>
              <w:rPr>
                <w:rFonts w:ascii="Arial" w:hAnsi="Arial"/>
                <w:sz w:val="17"/>
              </w:rPr>
              <w:t>27,190</w:t>
            </w:r>
          </w:p>
        </w:tc>
        <w:tc>
          <w:tcPr>
            <w:tcW w:type="dxa" w:w="1417"/>
          </w:tcPr>
          <w:p>
            <w:r>
              <w:rPr>
                <w:rFonts w:ascii="Arial" w:hAnsi="Arial"/>
                <w:sz w:val="17"/>
              </w:rPr>
              <w:t>33,171</w:t>
            </w:r>
          </w:p>
        </w:tc>
        <w:tc>
          <w:tcPr>
            <w:tcW w:type="dxa" w:w="1417"/>
          </w:tcPr>
          <w:p>
            <w:r>
              <w:rPr>
                <w:rFonts w:ascii="Arial" w:hAnsi="Arial"/>
                <w:sz w:val="17"/>
              </w:rPr>
              <w:t>39,142</w:t>
            </w:r>
          </w:p>
        </w:tc>
        <w:tc>
          <w:tcPr>
            <w:tcW w:type="dxa" w:w="1417"/>
          </w:tcPr>
          <w:p>
            <w:r>
              <w:rPr>
                <w:rFonts w:ascii="Arial" w:hAnsi="Arial"/>
                <w:sz w:val="17"/>
              </w:rPr>
              <w:t>45,014</w:t>
            </w:r>
          </w:p>
        </w:tc>
        <w:tc>
          <w:tcPr>
            <w:tcW w:type="dxa" w:w="1417"/>
          </w:tcPr>
          <w:p>
            <w:r>
              <w:rPr>
                <w:rFonts w:ascii="Arial" w:hAnsi="Arial"/>
                <w:sz w:val="17"/>
              </w:rPr>
              <w:t>50,865</w:t>
            </w:r>
          </w:p>
        </w:tc>
      </w:tr>
      <w:tr>
        <w:tc>
          <w:tcPr>
            <w:tcW w:type="dxa" w:w="2041"/>
            <w:shd w:val="clear" w:fill="F4F8F7"/>
          </w:tcPr>
          <w:p>
            <w:r>
              <w:rPr>
                <w:rFonts w:ascii="Arial" w:hAnsi="Arial"/>
                <w:sz w:val="17"/>
              </w:rPr>
              <w:t>EBITDA</w:t>
            </w:r>
          </w:p>
        </w:tc>
        <w:tc>
          <w:tcPr>
            <w:tcW w:type="dxa" w:w="1417"/>
            <w:shd w:val="clear" w:fill="F4F8F7"/>
          </w:tcPr>
          <w:p>
            <w:r>
              <w:rPr>
                <w:rFonts w:ascii="Arial" w:hAnsi="Arial"/>
                <w:sz w:val="17"/>
              </w:rPr>
              <w:t>5,220</w:t>
            </w:r>
          </w:p>
        </w:tc>
        <w:tc>
          <w:tcPr>
            <w:tcW w:type="dxa" w:w="1417"/>
            <w:shd w:val="clear" w:fill="F4F8F7"/>
          </w:tcPr>
          <w:p>
            <w:r>
              <w:rPr>
                <w:rFonts w:ascii="Arial" w:hAnsi="Arial"/>
                <w:sz w:val="17"/>
              </w:rPr>
              <w:t>6,435</w:t>
            </w:r>
          </w:p>
        </w:tc>
        <w:tc>
          <w:tcPr>
            <w:tcW w:type="dxa" w:w="1417"/>
            <w:shd w:val="clear" w:fill="F4F8F7"/>
          </w:tcPr>
          <w:p>
            <w:r>
              <w:rPr>
                <w:rFonts w:ascii="Arial" w:hAnsi="Arial"/>
                <w:sz w:val="17"/>
              </w:rPr>
              <w:t>7,633</w:t>
            </w:r>
          </w:p>
        </w:tc>
        <w:tc>
          <w:tcPr>
            <w:tcW w:type="dxa" w:w="1417"/>
            <w:shd w:val="clear" w:fill="F4F8F7"/>
          </w:tcPr>
          <w:p>
            <w:r>
              <w:rPr>
                <w:rFonts w:ascii="Arial" w:hAnsi="Arial"/>
                <w:sz w:val="17"/>
              </w:rPr>
              <w:t>8,778</w:t>
            </w:r>
          </w:p>
        </w:tc>
        <w:tc>
          <w:tcPr>
            <w:tcW w:type="dxa" w:w="1417"/>
            <w:shd w:val="clear" w:fill="F4F8F7"/>
          </w:tcPr>
          <w:p>
            <w:r>
              <w:rPr>
                <w:rFonts w:ascii="Arial" w:hAnsi="Arial"/>
                <w:sz w:val="17"/>
              </w:rPr>
              <w:t>9,919</w:t>
            </w:r>
          </w:p>
        </w:tc>
      </w:tr>
      <w:tr>
        <w:tc>
          <w:tcPr>
            <w:tcW w:type="dxa" w:w="2041"/>
          </w:tcPr>
          <w:p>
            <w:r>
              <w:rPr>
                <w:rFonts w:ascii="Arial" w:hAnsi="Arial"/>
                <w:sz w:val="17"/>
              </w:rPr>
              <w:t>EBIT</w:t>
            </w:r>
          </w:p>
        </w:tc>
        <w:tc>
          <w:tcPr>
            <w:tcW w:type="dxa" w:w="1417"/>
          </w:tcPr>
          <w:p>
            <w:r>
              <w:rPr>
                <w:rFonts w:ascii="Arial" w:hAnsi="Arial"/>
                <w:sz w:val="17"/>
              </w:rPr>
              <w:t>4,514</w:t>
            </w:r>
          </w:p>
        </w:tc>
        <w:tc>
          <w:tcPr>
            <w:tcW w:type="dxa" w:w="1417"/>
          </w:tcPr>
          <w:p>
            <w:r>
              <w:rPr>
                <w:rFonts w:ascii="Arial" w:hAnsi="Arial"/>
                <w:sz w:val="17"/>
              </w:rPr>
              <w:t>5,573</w:t>
            </w:r>
          </w:p>
        </w:tc>
        <w:tc>
          <w:tcPr>
            <w:tcW w:type="dxa" w:w="1417"/>
          </w:tcPr>
          <w:p>
            <w:r>
              <w:rPr>
                <w:rFonts w:ascii="Arial" w:hAnsi="Arial"/>
                <w:sz w:val="17"/>
              </w:rPr>
              <w:t>6,615</w:t>
            </w:r>
          </w:p>
        </w:tc>
        <w:tc>
          <w:tcPr>
            <w:tcW w:type="dxa" w:w="1417"/>
          </w:tcPr>
          <w:p>
            <w:r>
              <w:rPr>
                <w:rFonts w:ascii="Arial" w:hAnsi="Arial"/>
                <w:sz w:val="17"/>
              </w:rPr>
              <w:t>7,562</w:t>
            </w:r>
          </w:p>
        </w:tc>
        <w:tc>
          <w:tcPr>
            <w:tcW w:type="dxa" w:w="1417"/>
          </w:tcPr>
          <w:p>
            <w:r>
              <w:rPr>
                <w:rFonts w:ascii="Arial" w:hAnsi="Arial"/>
                <w:sz w:val="17"/>
              </w:rPr>
              <w:t>8,545</w:t>
            </w:r>
          </w:p>
        </w:tc>
      </w:tr>
      <w:tr>
        <w:tc>
          <w:tcPr>
            <w:tcW w:type="dxa" w:w="2041"/>
            <w:shd w:val="clear" w:fill="F4F8F7"/>
          </w:tcPr>
          <w:p>
            <w:r>
              <w:rPr>
                <w:rFonts w:ascii="Arial" w:hAnsi="Arial"/>
                <w:sz w:val="17"/>
              </w:rPr>
              <w:t>NOPAT</w:t>
            </w:r>
          </w:p>
        </w:tc>
        <w:tc>
          <w:tcPr>
            <w:tcW w:type="dxa" w:w="1417"/>
            <w:shd w:val="clear" w:fill="F4F8F7"/>
          </w:tcPr>
          <w:p>
            <w:r>
              <w:rPr>
                <w:rFonts w:ascii="Arial" w:hAnsi="Arial"/>
                <w:sz w:val="17"/>
              </w:rPr>
              <w:t>3,318</w:t>
            </w:r>
          </w:p>
        </w:tc>
        <w:tc>
          <w:tcPr>
            <w:tcW w:type="dxa" w:w="1417"/>
            <w:shd w:val="clear" w:fill="F4F8F7"/>
          </w:tcPr>
          <w:p>
            <w:r>
              <w:rPr>
                <w:rFonts w:ascii="Arial" w:hAnsi="Arial"/>
                <w:sz w:val="17"/>
              </w:rPr>
              <w:t>4,096</w:t>
            </w:r>
          </w:p>
        </w:tc>
        <w:tc>
          <w:tcPr>
            <w:tcW w:type="dxa" w:w="1417"/>
            <w:shd w:val="clear" w:fill="F4F8F7"/>
          </w:tcPr>
          <w:p>
            <w:r>
              <w:rPr>
                <w:rFonts w:ascii="Arial" w:hAnsi="Arial"/>
                <w:sz w:val="17"/>
              </w:rPr>
              <w:t>4,862</w:t>
            </w:r>
          </w:p>
        </w:tc>
        <w:tc>
          <w:tcPr>
            <w:tcW w:type="dxa" w:w="1417"/>
            <w:shd w:val="clear" w:fill="F4F8F7"/>
          </w:tcPr>
          <w:p>
            <w:r>
              <w:rPr>
                <w:rFonts w:ascii="Arial" w:hAnsi="Arial"/>
                <w:sz w:val="17"/>
              </w:rPr>
              <w:t>5,558</w:t>
            </w:r>
          </w:p>
        </w:tc>
        <w:tc>
          <w:tcPr>
            <w:tcW w:type="dxa" w:w="1417"/>
            <w:shd w:val="clear" w:fill="F4F8F7"/>
          </w:tcPr>
          <w:p>
            <w:r>
              <w:rPr>
                <w:rFonts w:ascii="Arial" w:hAnsi="Arial"/>
                <w:sz w:val="17"/>
              </w:rPr>
              <w:t>6,281</w:t>
            </w:r>
          </w:p>
        </w:tc>
      </w:tr>
      <w:tr>
        <w:tc>
          <w:tcPr>
            <w:tcW w:type="dxa" w:w="2041"/>
          </w:tcPr>
          <w:p>
            <w:r>
              <w:rPr>
                <w:rFonts w:ascii="Arial" w:hAnsi="Arial"/>
                <w:sz w:val="17"/>
              </w:rPr>
              <w:t>− Capex</w:t>
            </w:r>
          </w:p>
        </w:tc>
        <w:tc>
          <w:tcPr>
            <w:tcW w:type="dxa" w:w="1417"/>
          </w:tcPr>
          <w:p>
            <w:r>
              <w:rPr>
                <w:rFonts w:ascii="Arial" w:hAnsi="Arial"/>
                <w:sz w:val="17"/>
              </w:rPr>
              <w:t>(1,767)</w:t>
            </w:r>
          </w:p>
        </w:tc>
        <w:tc>
          <w:tcPr>
            <w:tcW w:type="dxa" w:w="1417"/>
          </w:tcPr>
          <w:p>
            <w:r>
              <w:rPr>
                <w:rFonts w:ascii="Arial" w:hAnsi="Arial"/>
                <w:sz w:val="17"/>
              </w:rPr>
              <w:t>(1,990)</w:t>
            </w:r>
          </w:p>
        </w:tc>
        <w:tc>
          <w:tcPr>
            <w:tcW w:type="dxa" w:w="1417"/>
          </w:tcPr>
          <w:p>
            <w:r>
              <w:rPr>
                <w:rFonts w:ascii="Arial" w:hAnsi="Arial"/>
                <w:sz w:val="17"/>
              </w:rPr>
              <w:t>(2,153)</w:t>
            </w:r>
          </w:p>
        </w:tc>
        <w:tc>
          <w:tcPr>
            <w:tcW w:type="dxa" w:w="1417"/>
          </w:tcPr>
          <w:p>
            <w:r>
              <w:rPr>
                <w:rFonts w:ascii="Arial" w:hAnsi="Arial"/>
                <w:sz w:val="17"/>
              </w:rPr>
              <w:t>(2,251)</w:t>
            </w:r>
          </w:p>
        </w:tc>
        <w:tc>
          <w:tcPr>
            <w:tcW w:type="dxa" w:w="1417"/>
          </w:tcPr>
          <w:p>
            <w:r>
              <w:rPr>
                <w:rFonts w:ascii="Arial" w:hAnsi="Arial"/>
                <w:sz w:val="17"/>
              </w:rPr>
              <w:t>(2,543)</w:t>
            </w:r>
          </w:p>
        </w:tc>
      </w:tr>
      <w:tr>
        <w:tc>
          <w:tcPr>
            <w:tcW w:type="dxa" w:w="2041"/>
            <w:shd w:val="clear" w:fill="F4F8F7"/>
          </w:tcPr>
          <w:p>
            <w:r>
              <w:rPr>
                <w:rFonts w:ascii="Arial" w:hAnsi="Arial"/>
                <w:sz w:val="17"/>
              </w:rPr>
              <w:t>− Δ NWC</w:t>
            </w:r>
          </w:p>
        </w:tc>
        <w:tc>
          <w:tcPr>
            <w:tcW w:type="dxa" w:w="1417"/>
            <w:shd w:val="clear" w:fill="F4F8F7"/>
          </w:tcPr>
          <w:p>
            <w:r>
              <w:rPr>
                <w:rFonts w:ascii="Arial" w:hAnsi="Arial"/>
                <w:sz w:val="17"/>
              </w:rPr>
              <w:t>(125)</w:t>
            </w:r>
          </w:p>
        </w:tc>
        <w:tc>
          <w:tcPr>
            <w:tcW w:type="dxa" w:w="1417"/>
            <w:shd w:val="clear" w:fill="F4F8F7"/>
          </w:tcPr>
          <w:p>
            <w:r>
              <w:rPr>
                <w:rFonts w:ascii="Arial" w:hAnsi="Arial"/>
                <w:sz w:val="17"/>
              </w:rPr>
              <w:t>(120)</w:t>
            </w:r>
          </w:p>
        </w:tc>
        <w:tc>
          <w:tcPr>
            <w:tcW w:type="dxa" w:w="1417"/>
            <w:shd w:val="clear" w:fill="F4F8F7"/>
          </w:tcPr>
          <w:p>
            <w:r>
              <w:rPr>
                <w:rFonts w:ascii="Arial" w:hAnsi="Arial"/>
                <w:sz w:val="17"/>
              </w:rPr>
              <w:t>(119)</w:t>
            </w:r>
          </w:p>
        </w:tc>
        <w:tc>
          <w:tcPr>
            <w:tcW w:type="dxa" w:w="1417"/>
            <w:shd w:val="clear" w:fill="F4F8F7"/>
          </w:tcPr>
          <w:p>
            <w:r>
              <w:rPr>
                <w:rFonts w:ascii="Arial" w:hAnsi="Arial"/>
                <w:sz w:val="17"/>
              </w:rPr>
              <w:t>(117)</w:t>
            </w:r>
          </w:p>
        </w:tc>
        <w:tc>
          <w:tcPr>
            <w:tcW w:type="dxa" w:w="1417"/>
            <w:shd w:val="clear" w:fill="F4F8F7"/>
          </w:tcPr>
          <w:p>
            <w:r>
              <w:rPr>
                <w:rFonts w:ascii="Arial" w:hAnsi="Arial"/>
                <w:sz w:val="17"/>
              </w:rPr>
              <w:t>(117)</w:t>
            </w:r>
          </w:p>
        </w:tc>
      </w:tr>
      <w:tr>
        <w:tc>
          <w:tcPr>
            <w:tcW w:type="dxa" w:w="2041"/>
          </w:tcPr>
          <w:p>
            <w:r>
              <w:rPr>
                <w:rFonts w:ascii="Arial" w:hAnsi="Arial"/>
                <w:sz w:val="17"/>
              </w:rPr>
              <w:t>+ D&amp;A</w:t>
            </w:r>
          </w:p>
        </w:tc>
        <w:tc>
          <w:tcPr>
            <w:tcW w:type="dxa" w:w="1417"/>
          </w:tcPr>
          <w:p>
            <w:r>
              <w:rPr>
                <w:rFonts w:ascii="Arial" w:hAnsi="Arial"/>
                <w:sz w:val="17"/>
              </w:rPr>
              <w:t>707</w:t>
            </w:r>
          </w:p>
        </w:tc>
        <w:tc>
          <w:tcPr>
            <w:tcW w:type="dxa" w:w="1417"/>
          </w:tcPr>
          <w:p>
            <w:r>
              <w:rPr>
                <w:rFonts w:ascii="Arial" w:hAnsi="Arial"/>
                <w:sz w:val="17"/>
              </w:rPr>
              <w:t>862</w:t>
            </w:r>
          </w:p>
        </w:tc>
        <w:tc>
          <w:tcPr>
            <w:tcW w:type="dxa" w:w="1417"/>
          </w:tcPr>
          <w:p>
            <w:r>
              <w:rPr>
                <w:rFonts w:ascii="Arial" w:hAnsi="Arial"/>
                <w:sz w:val="17"/>
              </w:rPr>
              <w:t>1,018</w:t>
            </w:r>
          </w:p>
        </w:tc>
        <w:tc>
          <w:tcPr>
            <w:tcW w:type="dxa" w:w="1417"/>
          </w:tcPr>
          <w:p>
            <w:r>
              <w:rPr>
                <w:rFonts w:ascii="Arial" w:hAnsi="Arial"/>
                <w:sz w:val="17"/>
              </w:rPr>
              <w:t>1,215</w:t>
            </w:r>
          </w:p>
        </w:tc>
        <w:tc>
          <w:tcPr>
            <w:tcW w:type="dxa" w:w="1417"/>
          </w:tcPr>
          <w:p>
            <w:r>
              <w:rPr>
                <w:rFonts w:ascii="Arial" w:hAnsi="Arial"/>
                <w:sz w:val="17"/>
              </w:rPr>
              <w:t>1,373</w:t>
            </w:r>
          </w:p>
        </w:tc>
      </w:tr>
      <w:tr>
        <w:tc>
          <w:tcPr>
            <w:tcW w:type="dxa" w:w="2041"/>
            <w:shd w:val="clear" w:fill="F4F8F7"/>
          </w:tcPr>
          <w:p>
            <w:r>
              <w:rPr>
                <w:rFonts w:ascii="Arial" w:hAnsi="Arial"/>
                <w:sz w:val="17"/>
              </w:rPr>
              <w:t>FCFF</w:t>
            </w:r>
          </w:p>
        </w:tc>
        <w:tc>
          <w:tcPr>
            <w:tcW w:type="dxa" w:w="1417"/>
            <w:shd w:val="clear" w:fill="F4F8F7"/>
          </w:tcPr>
          <w:p>
            <w:r>
              <w:rPr>
                <w:rFonts w:ascii="Arial" w:hAnsi="Arial"/>
                <w:sz w:val="17"/>
              </w:rPr>
              <w:t>2,132</w:t>
            </w:r>
          </w:p>
        </w:tc>
        <w:tc>
          <w:tcPr>
            <w:tcW w:type="dxa" w:w="1417"/>
            <w:shd w:val="clear" w:fill="F4F8F7"/>
          </w:tcPr>
          <w:p>
            <w:r>
              <w:rPr>
                <w:rFonts w:ascii="Arial" w:hAnsi="Arial"/>
                <w:sz w:val="17"/>
              </w:rPr>
              <w:t>2,849</w:t>
            </w:r>
          </w:p>
        </w:tc>
        <w:tc>
          <w:tcPr>
            <w:tcW w:type="dxa" w:w="1417"/>
            <w:shd w:val="clear" w:fill="F4F8F7"/>
          </w:tcPr>
          <w:p>
            <w:r>
              <w:rPr>
                <w:rFonts w:ascii="Arial" w:hAnsi="Arial"/>
                <w:sz w:val="17"/>
              </w:rPr>
              <w:t>3,608</w:t>
            </w:r>
          </w:p>
        </w:tc>
        <w:tc>
          <w:tcPr>
            <w:tcW w:type="dxa" w:w="1417"/>
            <w:shd w:val="clear" w:fill="F4F8F7"/>
          </w:tcPr>
          <w:p>
            <w:r>
              <w:rPr>
                <w:rFonts w:ascii="Arial" w:hAnsi="Arial"/>
                <w:sz w:val="17"/>
              </w:rPr>
              <w:t>4,406</w:t>
            </w:r>
          </w:p>
        </w:tc>
        <w:tc>
          <w:tcPr>
            <w:tcW w:type="dxa" w:w="1417"/>
            <w:shd w:val="clear" w:fill="F4F8F7"/>
          </w:tcPr>
          <w:p>
            <w:r>
              <w:rPr>
                <w:rFonts w:ascii="Arial" w:hAnsi="Arial"/>
                <w:sz w:val="17"/>
              </w:rPr>
              <w:t>4,994</w:t>
            </w:r>
          </w:p>
        </w:tc>
      </w:tr>
      <w:tr>
        <w:tc>
          <w:tcPr>
            <w:tcW w:type="dxa" w:w="2041"/>
          </w:tcPr>
          <w:p>
            <w:r>
              <w:rPr>
                <w:rFonts w:ascii="Arial" w:hAnsi="Arial"/>
                <w:sz w:val="17"/>
              </w:rPr>
              <w:t>Discount factor @ 20.66% WACC</w:t>
            </w:r>
          </w:p>
        </w:tc>
        <w:tc>
          <w:tcPr>
            <w:tcW w:type="dxa" w:w="1417"/>
          </w:tcPr>
          <w:p>
            <w:r>
              <w:rPr>
                <w:rFonts w:ascii="Arial" w:hAnsi="Arial"/>
                <w:sz w:val="17"/>
              </w:rPr>
              <w:t>0.829</w:t>
            </w:r>
          </w:p>
        </w:tc>
        <w:tc>
          <w:tcPr>
            <w:tcW w:type="dxa" w:w="1417"/>
          </w:tcPr>
          <w:p>
            <w:r>
              <w:rPr>
                <w:rFonts w:ascii="Arial" w:hAnsi="Arial"/>
                <w:sz w:val="17"/>
              </w:rPr>
              <w:t>0.687</w:t>
            </w:r>
          </w:p>
        </w:tc>
        <w:tc>
          <w:tcPr>
            <w:tcW w:type="dxa" w:w="1417"/>
          </w:tcPr>
          <w:p>
            <w:r>
              <w:rPr>
                <w:rFonts w:ascii="Arial" w:hAnsi="Arial"/>
                <w:sz w:val="17"/>
              </w:rPr>
              <w:t>0.569</w:t>
            </w:r>
          </w:p>
        </w:tc>
        <w:tc>
          <w:tcPr>
            <w:tcW w:type="dxa" w:w="1417"/>
          </w:tcPr>
          <w:p>
            <w:r>
              <w:rPr>
                <w:rFonts w:ascii="Arial" w:hAnsi="Arial"/>
                <w:sz w:val="17"/>
              </w:rPr>
              <w:t>0.472</w:t>
            </w:r>
          </w:p>
        </w:tc>
        <w:tc>
          <w:tcPr>
            <w:tcW w:type="dxa" w:w="1417"/>
          </w:tcPr>
          <w:p>
            <w:r>
              <w:rPr>
                <w:rFonts w:ascii="Arial" w:hAnsi="Arial"/>
                <w:sz w:val="17"/>
              </w:rPr>
              <w:t>0.391</w:t>
            </w:r>
          </w:p>
        </w:tc>
      </w:tr>
      <w:tr>
        <w:tc>
          <w:tcPr>
            <w:tcW w:type="dxa" w:w="2041"/>
            <w:shd w:val="clear" w:fill="F4F8F7"/>
          </w:tcPr>
          <w:p>
            <w:r>
              <w:rPr>
                <w:rFonts w:ascii="Arial" w:hAnsi="Arial"/>
                <w:sz w:val="17"/>
              </w:rPr>
              <w:t>PV of FCFF</w:t>
            </w:r>
          </w:p>
        </w:tc>
        <w:tc>
          <w:tcPr>
            <w:tcW w:type="dxa" w:w="1417"/>
            <w:shd w:val="clear" w:fill="F4F8F7"/>
          </w:tcPr>
          <w:p>
            <w:r>
              <w:rPr>
                <w:rFonts w:ascii="Arial" w:hAnsi="Arial"/>
                <w:sz w:val="17"/>
              </w:rPr>
              <w:t>1,767</w:t>
            </w:r>
          </w:p>
        </w:tc>
        <w:tc>
          <w:tcPr>
            <w:tcW w:type="dxa" w:w="1417"/>
            <w:shd w:val="clear" w:fill="F4F8F7"/>
          </w:tcPr>
          <w:p>
            <w:r>
              <w:rPr>
                <w:rFonts w:ascii="Arial" w:hAnsi="Arial"/>
                <w:sz w:val="17"/>
              </w:rPr>
              <w:t>1,957</w:t>
            </w:r>
          </w:p>
        </w:tc>
        <w:tc>
          <w:tcPr>
            <w:tcW w:type="dxa" w:w="1417"/>
            <w:shd w:val="clear" w:fill="F4F8F7"/>
          </w:tcPr>
          <w:p>
            <w:r>
              <w:rPr>
                <w:rFonts w:ascii="Arial" w:hAnsi="Arial"/>
                <w:sz w:val="17"/>
              </w:rPr>
              <w:t>2,054</w:t>
            </w:r>
          </w:p>
        </w:tc>
        <w:tc>
          <w:tcPr>
            <w:tcW w:type="dxa" w:w="1417"/>
            <w:shd w:val="clear" w:fill="F4F8F7"/>
          </w:tcPr>
          <w:p>
            <w:r>
              <w:rPr>
                <w:rFonts w:ascii="Arial" w:hAnsi="Arial"/>
                <w:sz w:val="17"/>
              </w:rPr>
              <w:t>2,079</w:t>
            </w:r>
          </w:p>
        </w:tc>
        <w:tc>
          <w:tcPr>
            <w:tcW w:type="dxa" w:w="1417"/>
            <w:shd w:val="clear" w:fill="F4F8F7"/>
          </w:tcPr>
          <w:p>
            <w:r>
              <w:rPr>
                <w:rFonts w:ascii="Arial" w:hAnsi="Arial"/>
                <w:sz w:val="17"/>
              </w:rPr>
              <w:t>1,953</w:t>
            </w:r>
          </w:p>
        </w:tc>
      </w:tr>
    </w:tbl>
    <w:p>
      <w:pPr>
        <w:spacing w:after="40"/>
      </w:pPr>
    </w:p>
    <w:tbl>
      <w:tblPr>
        <w:tblStyle w:val="TableGrid"/>
        <w:tblW w:type="auto" w:w="0"/>
        <w:jc w:val="center"/>
        <w:tblLook w:firstColumn="1" w:firstRow="1" w:lastColumn="0" w:lastRow="0" w:noHBand="0" w:noVBand="1" w:val="04A0"/>
      </w:tblPr>
      <w:tblGrid>
        <w:gridCol w:w="3324"/>
        <w:gridCol w:w="3324"/>
        <w:gridCol w:w="3324"/>
      </w:tblGrid>
      <w:tr>
        <w:tc>
          <w:tcPr>
            <w:tcW w:type="dxa" w:w="3402"/>
            <w:shd w:val="clear" w:fill="1C6E63"/>
          </w:tcPr>
          <w:p>
            <w:r>
              <w:rPr>
                <w:rFonts w:ascii="Arial" w:hAnsi="Arial"/>
                <w:b/>
                <w:color w:val="FFFFFF"/>
                <w:sz w:val="17"/>
              </w:rPr>
              <w:t>DCF valuation bridge</w:t>
            </w:r>
          </w:p>
        </w:tc>
        <w:tc>
          <w:tcPr>
            <w:tcW w:type="dxa" w:w="1587"/>
            <w:shd w:val="clear" w:fill="1C6E63"/>
          </w:tcPr>
          <w:p>
            <w:r>
              <w:rPr>
                <w:rFonts w:ascii="Arial" w:hAnsi="Arial"/>
                <w:b/>
                <w:color w:val="FFFFFF"/>
                <w:sz w:val="17"/>
              </w:rPr>
              <w:t>EGP m</w:t>
            </w:r>
          </w:p>
        </w:tc>
        <w:tc>
          <w:tcPr>
            <w:tcW w:type="dxa" w:w="4195"/>
            <w:shd w:val="clear" w:fill="1C6E63"/>
          </w:tcPr>
          <w:p>
            <w:r>
              <w:rPr>
                <w:rFonts w:ascii="Arial" w:hAnsi="Arial"/>
                <w:b/>
                <w:color w:val="FFFFFF"/>
                <w:sz w:val="17"/>
              </w:rPr>
              <w:t>Working</w:t>
            </w:r>
          </w:p>
        </w:tc>
      </w:tr>
      <w:tr>
        <w:tc>
          <w:tcPr>
            <w:tcW w:type="dxa" w:w="3402"/>
          </w:tcPr>
          <w:p>
            <w:r>
              <w:rPr>
                <w:rFonts w:ascii="Arial" w:hAnsi="Arial"/>
                <w:sz w:val="17"/>
              </w:rPr>
              <w:t>Sum of PV, explicit FCFF FY26E–FY30E</w:t>
            </w:r>
          </w:p>
        </w:tc>
        <w:tc>
          <w:tcPr>
            <w:tcW w:type="dxa" w:w="1587"/>
          </w:tcPr>
          <w:p>
            <w:r>
              <w:rPr>
                <w:rFonts w:ascii="Arial" w:hAnsi="Arial"/>
                <w:sz w:val="17"/>
              </w:rPr>
              <w:t>9,809</w:t>
            </w:r>
          </w:p>
        </w:tc>
        <w:tc>
          <w:tcPr>
            <w:tcW w:type="dxa" w:w="4195"/>
          </w:tcPr>
          <w:p>
            <w:r>
              <w:rPr>
                <w:rFonts w:ascii="Arial" w:hAnsi="Arial"/>
                <w:sz w:val="17"/>
              </w:rPr>
              <w:t>the five PV cells above</w:t>
            </w:r>
          </w:p>
        </w:tc>
      </w:tr>
      <w:tr>
        <w:tc>
          <w:tcPr>
            <w:tcW w:type="dxa" w:w="3402"/>
            <w:shd w:val="clear" w:fill="F4F8F7"/>
          </w:tcPr>
          <w:p>
            <w:r>
              <w:rPr>
                <w:rFonts w:ascii="Arial" w:hAnsi="Arial"/>
                <w:sz w:val="17"/>
              </w:rPr>
              <w:t>Terminal value at end-FY2030E</w:t>
            </w:r>
          </w:p>
        </w:tc>
        <w:tc>
          <w:tcPr>
            <w:tcW w:type="dxa" w:w="1587"/>
            <w:shd w:val="clear" w:fill="F4F8F7"/>
          </w:tcPr>
          <w:p>
            <w:r>
              <w:rPr>
                <w:rFonts w:ascii="Arial" w:hAnsi="Arial"/>
                <w:sz w:val="17"/>
              </w:rPr>
              <w:t>79,202</w:t>
            </w:r>
          </w:p>
        </w:tc>
        <w:tc>
          <w:tcPr>
            <w:tcW w:type="dxa" w:w="4195"/>
            <w:shd w:val="clear" w:fill="F4F8F7"/>
          </w:tcPr>
          <w:p>
            <w:r>
              <w:rPr>
                <w:rFonts w:ascii="Arial" w:hAnsi="Arial"/>
                <w:sz w:val="17"/>
              </w:rPr>
              <w:t>FCFF₅ 4,994 × (1 + g 13.5%) / (WACC 20.66% − g 13.5%)</w:t>
            </w:r>
          </w:p>
        </w:tc>
      </w:tr>
      <w:tr>
        <w:tc>
          <w:tcPr>
            <w:tcW w:type="dxa" w:w="3402"/>
          </w:tcPr>
          <w:p>
            <w:r>
              <w:rPr>
                <w:rFonts w:ascii="Arial" w:hAnsi="Arial"/>
                <w:sz w:val="17"/>
              </w:rPr>
              <w:t>PV of terminal value</w:t>
            </w:r>
          </w:p>
        </w:tc>
        <w:tc>
          <w:tcPr>
            <w:tcW w:type="dxa" w:w="1587"/>
          </w:tcPr>
          <w:p>
            <w:r>
              <w:rPr>
                <w:rFonts w:ascii="Arial" w:hAnsi="Arial"/>
                <w:sz w:val="17"/>
              </w:rPr>
              <w:t>30,973</w:t>
            </w:r>
          </w:p>
        </w:tc>
        <w:tc>
          <w:tcPr>
            <w:tcW w:type="dxa" w:w="4195"/>
          </w:tcPr>
          <w:p>
            <w:r>
              <w:rPr>
                <w:rFonts w:ascii="Arial" w:hAnsi="Arial"/>
                <w:sz w:val="17"/>
              </w:rPr>
              <w:t>79,202 × 0.391 (year-5 discount factor)</w:t>
            </w:r>
          </w:p>
        </w:tc>
      </w:tr>
      <w:tr>
        <w:tc>
          <w:tcPr>
            <w:tcW w:type="dxa" w:w="3402"/>
            <w:shd w:val="clear" w:fill="F4F8F7"/>
          </w:tcPr>
          <w:p>
            <w:r>
              <w:rPr>
                <w:rFonts w:ascii="Arial" w:hAnsi="Arial"/>
                <w:sz w:val="17"/>
              </w:rPr>
              <w:t>Enterprise value</w:t>
            </w:r>
          </w:p>
        </w:tc>
        <w:tc>
          <w:tcPr>
            <w:tcW w:type="dxa" w:w="1587"/>
            <w:shd w:val="clear" w:fill="F4F8F7"/>
          </w:tcPr>
          <w:p>
            <w:r>
              <w:rPr>
                <w:rFonts w:ascii="Arial" w:hAnsi="Arial"/>
                <w:sz w:val="17"/>
              </w:rPr>
              <w:t>40,782</w:t>
            </w:r>
          </w:p>
        </w:tc>
        <w:tc>
          <w:tcPr>
            <w:tcW w:type="dxa" w:w="4195"/>
            <w:shd w:val="clear" w:fill="F4F8F7"/>
          </w:tcPr>
          <w:p>
            <w:r>
              <w:rPr>
                <w:rFonts w:ascii="Arial" w:hAnsi="Arial"/>
                <w:sz w:val="17"/>
              </w:rPr>
              <w:t>9,809 + 30,973</w:t>
            </w:r>
          </w:p>
        </w:tc>
      </w:tr>
      <w:tr>
        <w:tc>
          <w:tcPr>
            <w:tcW w:type="dxa" w:w="3402"/>
          </w:tcPr>
          <w:p>
            <w:r>
              <w:rPr>
                <w:rFonts w:ascii="Arial" w:hAnsi="Arial"/>
                <w:sz w:val="17"/>
              </w:rPr>
              <w:t>+ Net cash (31-Mar-2026)</w:t>
            </w:r>
          </w:p>
        </w:tc>
        <w:tc>
          <w:tcPr>
            <w:tcW w:type="dxa" w:w="1587"/>
          </w:tcPr>
          <w:p>
            <w:r>
              <w:rPr>
                <w:rFonts w:ascii="Arial" w:hAnsi="Arial"/>
                <w:sz w:val="17"/>
              </w:rPr>
              <w:t>853</w:t>
            </w:r>
          </w:p>
        </w:tc>
        <w:tc>
          <w:tcPr>
            <w:tcW w:type="dxa" w:w="4195"/>
          </w:tcPr>
          <w:p>
            <w:r>
              <w:rPr>
                <w:rFonts w:ascii="Arial" w:hAnsi="Arial"/>
                <w:sz w:val="17"/>
              </w:rPr>
              <w:t>1Q2026 earnings release</w:t>
            </w:r>
          </w:p>
        </w:tc>
      </w:tr>
      <w:tr>
        <w:tc>
          <w:tcPr>
            <w:tcW w:type="dxa" w:w="3402"/>
            <w:shd w:val="clear" w:fill="F4F8F7"/>
          </w:tcPr>
          <w:p>
            <w:r>
              <w:rPr>
                <w:rFonts w:ascii="Arial" w:hAnsi="Arial"/>
                <w:sz w:val="17"/>
              </w:rPr>
              <w:t>Equity value</w:t>
            </w:r>
          </w:p>
        </w:tc>
        <w:tc>
          <w:tcPr>
            <w:tcW w:type="dxa" w:w="1587"/>
            <w:shd w:val="clear" w:fill="F4F8F7"/>
          </w:tcPr>
          <w:p>
            <w:r>
              <w:rPr>
                <w:rFonts w:ascii="Arial" w:hAnsi="Arial"/>
                <w:sz w:val="17"/>
              </w:rPr>
              <w:t>41,635</w:t>
            </w:r>
          </w:p>
        </w:tc>
        <w:tc>
          <w:tcPr>
            <w:tcW w:type="dxa" w:w="4195"/>
            <w:shd w:val="clear" w:fill="F4F8F7"/>
          </w:tcPr>
          <w:p>
            <w:r>
              <w:rPr>
                <w:rFonts w:ascii="Arial" w:hAnsi="Arial"/>
                <w:sz w:val="17"/>
              </w:rPr>
              <w:t>—</w:t>
            </w:r>
          </w:p>
        </w:tc>
      </w:tr>
      <w:tr>
        <w:tc>
          <w:tcPr>
            <w:tcW w:type="dxa" w:w="3402"/>
          </w:tcPr>
          <w:p>
            <w:r>
              <w:rPr>
                <w:rFonts w:ascii="Arial" w:hAnsi="Arial"/>
                <w:sz w:val="17"/>
              </w:rPr>
              <w:t>÷ Shares outstanding</w:t>
            </w:r>
          </w:p>
        </w:tc>
        <w:tc>
          <w:tcPr>
            <w:tcW w:type="dxa" w:w="1587"/>
          </w:tcPr>
          <w:p>
            <w:r>
              <w:rPr>
                <w:rFonts w:ascii="Arial" w:hAnsi="Arial"/>
                <w:sz w:val="17"/>
              </w:rPr>
              <w:t>1,400.04m</w:t>
            </w:r>
          </w:p>
        </w:tc>
        <w:tc>
          <w:tcPr>
            <w:tcW w:type="dxa" w:w="4195"/>
          </w:tcPr>
          <w:p>
            <w:r>
              <w:rPr>
                <w:rFonts w:ascii="Arial" w:hAnsi="Arial"/>
                <w:sz w:val="17"/>
              </w:rPr>
              <w:t>post Sep-2025 capital action</w:t>
            </w:r>
          </w:p>
        </w:tc>
      </w:tr>
      <w:tr>
        <w:tc>
          <w:tcPr>
            <w:tcW w:type="dxa" w:w="3402"/>
            <w:shd w:val="clear" w:fill="F4F8F7"/>
          </w:tcPr>
          <w:p>
            <w:r>
              <w:rPr>
                <w:rFonts w:ascii="Arial" w:hAnsi="Arial"/>
                <w:sz w:val="17"/>
              </w:rPr>
              <w:t>DCF fair value per share</w:t>
            </w:r>
          </w:p>
        </w:tc>
        <w:tc>
          <w:tcPr>
            <w:tcW w:type="dxa" w:w="1587"/>
            <w:shd w:val="clear" w:fill="F4F8F7"/>
          </w:tcPr>
          <w:p>
            <w:r>
              <w:rPr>
                <w:rFonts w:ascii="Arial" w:hAnsi="Arial"/>
                <w:sz w:val="17"/>
              </w:rPr>
              <w:t>EGP 29.74</w:t>
            </w:r>
          </w:p>
        </w:tc>
        <w:tc>
          <w:tcPr>
            <w:tcW w:type="dxa" w:w="4195"/>
            <w:shd w:val="clear" w:fill="F4F8F7"/>
          </w:tcPr>
          <w:p>
            <w:r>
              <w:rPr>
                <w:rFonts w:ascii="Arial" w:hAnsi="Arial"/>
                <w:sz w:val="17"/>
              </w:rPr>
              <w:t>+8.8% vs spot 27.34</w:t>
            </w:r>
          </w:p>
        </w:tc>
      </w:tr>
      <w:tr>
        <w:tc>
          <w:tcPr>
            <w:tcW w:type="dxa" w:w="3402"/>
          </w:tcPr>
          <w:p>
            <w:r>
              <w:rPr>
                <w:rFonts w:ascii="Arial" w:hAnsi="Arial"/>
                <w:sz w:val="17"/>
              </w:rPr>
              <w:t>Terminal value share of EV</w:t>
            </w:r>
          </w:p>
        </w:tc>
        <w:tc>
          <w:tcPr>
            <w:tcW w:type="dxa" w:w="1587"/>
          </w:tcPr>
          <w:p>
            <w:r>
              <w:rPr>
                <w:rFonts w:ascii="Arial" w:hAnsi="Arial"/>
                <w:sz w:val="17"/>
              </w:rPr>
              <w:t>75.9%</w:t>
            </w:r>
          </w:p>
        </w:tc>
        <w:tc>
          <w:tcPr>
            <w:tcW w:type="dxa" w:w="4195"/>
          </w:tcPr>
          <w:p>
            <w:r>
              <w:rPr>
                <w:rFonts w:ascii="Arial" w:hAnsi="Arial"/>
                <w:sz w:val="17"/>
              </w:rPr>
              <w:t>the honest cost of a 7.2-point WACC−g spread</w:t>
            </w:r>
          </w:p>
        </w:tc>
      </w:tr>
    </w:tbl>
    <w:p>
      <w:pPr>
        <w:spacing w:after="40"/>
      </w:pPr>
    </w:p>
    <w:p>
      <w:pPr>
        <w:spacing w:after="80"/>
      </w:pPr>
      <w:r>
        <w:rPr>
          <w:rFonts w:ascii="Arial" w:hAnsi="Arial"/>
          <w:b w:val="0"/>
          <w:i w:val="0"/>
          <w:sz w:val="19"/>
        </w:rPr>
        <w:t xml:space="preserve">Every step of the build is shown above: five explicit years of free cash flow, each discounted at the 20.66% WACC; a Gordon terminal value on FY2030E FCFF; the year-5 discount back; net cash on top; a per-share answer of </w:t>
      </w:r>
      <w:r>
        <w:rPr>
          <w:rFonts w:ascii="Arial" w:hAnsi="Arial"/>
          <w:b/>
          <w:i w:val="0"/>
          <w:sz w:val="19"/>
        </w:rPr>
        <w:t>EGP 29.74</w:t>
      </w:r>
      <w:r>
        <w:rPr>
          <w:rFonts w:ascii="Arial" w:hAnsi="Arial"/>
          <w:b w:val="0"/>
          <w:i w:val="0"/>
          <w:sz w:val="19"/>
        </w:rPr>
        <w:t>, 8.8% above spot. The terminal value carries 75.9% of enterprise value — stated plainly rather than hidden, because that is what a 7.2-point WACC-minus-g spread leaves in any high-nominal-rate DCF. At fair value the implied FY2026E P/E is 10.9x and EV/EBITDA 7.6x — hardly heroic for a franchise earning a ~50% return on tangible capital.</w:t>
      </w:r>
    </w:p>
    <w:p>
      <w:pPr>
        <w:pStyle w:val="Heading2"/>
      </w:pPr>
      <w:r>
        <w:t>1.2  Cash flow — the cross-check</w:t>
      </w:r>
    </w:p>
    <w:p>
      <w:pPr>
        <w:spacing w:after="80"/>
      </w:pPr>
      <w:r>
        <w:rPr>
          <w:rFonts w:ascii="Arial" w:hAnsi="Arial"/>
          <w:b w:val="0"/>
          <w:i w:val="0"/>
          <w:sz w:val="19"/>
        </w:rPr>
        <w:t>The same forecast, run through the three statements, shows why the DCF is not a leap of faith: free cash flow after all capex runs EGP 2.7–5.6bn a year, dividends at a 45% payout consume EGP 1.7–3.0bn, and the cash balance still compounds from EGP 5.8bn (31-Mar-2026) to ~EGP 13.5bn by FY2030 with debt held flat. The FY2026E free-cash-flow yield on the current market cap is ~7.6%, rising to ~14% by FY2030 — in a currency whose deposits yield more, which is precisely why the pound-denominated cost of capital, not the business, is the valuation’s binding constraint.</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381"/>
            <w:shd w:val="clear" w:fill="1C6E63"/>
          </w:tcPr>
          <w:p>
            <w:r>
              <w:rPr>
                <w:rFonts w:ascii="Arial" w:hAnsi="Arial"/>
                <w:b/>
                <w:color w:val="FFFFFF"/>
                <w:sz w:val="17"/>
              </w:rPr>
              <w:t>Cash flow (EGP m)</w:t>
            </w:r>
          </w:p>
        </w:tc>
        <w:tc>
          <w:tcPr>
            <w:tcW w:type="dxa" w:w="1417"/>
            <w:shd w:val="clear" w:fill="1C6E63"/>
          </w:tcPr>
          <w:p>
            <w:r>
              <w:rPr>
                <w:rFonts w:ascii="Arial" w:hAnsi="Arial"/>
                <w:b/>
                <w:color w:val="FFFFFF"/>
                <w:sz w:val="17"/>
              </w:rPr>
              <w:t>FY26E</w:t>
            </w:r>
          </w:p>
        </w:tc>
        <w:tc>
          <w:tcPr>
            <w:tcW w:type="dxa" w:w="1417"/>
            <w:shd w:val="clear" w:fill="1C6E63"/>
          </w:tcPr>
          <w:p>
            <w:r>
              <w:rPr>
                <w:rFonts w:ascii="Arial" w:hAnsi="Arial"/>
                <w:b/>
                <w:color w:val="FFFFFF"/>
                <w:sz w:val="17"/>
              </w:rPr>
              <w:t>FY27E</w:t>
            </w:r>
          </w:p>
        </w:tc>
        <w:tc>
          <w:tcPr>
            <w:tcW w:type="dxa" w:w="1417"/>
            <w:shd w:val="clear" w:fill="1C6E63"/>
          </w:tcPr>
          <w:p>
            <w:r>
              <w:rPr>
                <w:rFonts w:ascii="Arial" w:hAnsi="Arial"/>
                <w:b/>
                <w:color w:val="FFFFFF"/>
                <w:sz w:val="17"/>
              </w:rPr>
              <w:t>FY28E</w:t>
            </w:r>
          </w:p>
        </w:tc>
        <w:tc>
          <w:tcPr>
            <w:tcW w:type="dxa" w:w="1417"/>
            <w:shd w:val="clear" w:fill="1C6E63"/>
          </w:tcPr>
          <w:p>
            <w:r>
              <w:rPr>
                <w:rFonts w:ascii="Arial" w:hAnsi="Arial"/>
                <w:b/>
                <w:color w:val="FFFFFF"/>
                <w:sz w:val="17"/>
              </w:rPr>
              <w:t>FY29E</w:t>
            </w:r>
          </w:p>
        </w:tc>
        <w:tc>
          <w:tcPr>
            <w:tcW w:type="dxa" w:w="1417"/>
            <w:shd w:val="clear" w:fill="1C6E63"/>
          </w:tcPr>
          <w:p>
            <w:r>
              <w:rPr>
                <w:rFonts w:ascii="Arial" w:hAnsi="Arial"/>
                <w:b/>
                <w:color w:val="FFFFFF"/>
                <w:sz w:val="17"/>
              </w:rPr>
              <w:t>FY30E</w:t>
            </w:r>
          </w:p>
        </w:tc>
      </w:tr>
      <w:tr>
        <w:tc>
          <w:tcPr>
            <w:tcW w:type="dxa" w:w="2381"/>
          </w:tcPr>
          <w:p>
            <w:r>
              <w:rPr>
                <w:rFonts w:ascii="Arial" w:hAnsi="Arial"/>
                <w:sz w:val="17"/>
              </w:rPr>
              <w:t>Cash from operations</w:t>
            </w:r>
          </w:p>
        </w:tc>
        <w:tc>
          <w:tcPr>
            <w:tcW w:type="dxa" w:w="1417"/>
          </w:tcPr>
          <w:p>
            <w:r>
              <w:rPr>
                <w:rFonts w:ascii="Arial" w:hAnsi="Arial"/>
                <w:sz w:val="17"/>
              </w:rPr>
              <w:t>4,690</w:t>
            </w:r>
          </w:p>
        </w:tc>
        <w:tc>
          <w:tcPr>
            <w:tcW w:type="dxa" w:w="1417"/>
          </w:tcPr>
          <w:p>
            <w:r>
              <w:rPr>
                <w:rFonts w:ascii="Arial" w:hAnsi="Arial"/>
                <w:sz w:val="17"/>
              </w:rPr>
              <w:t>5,509</w:t>
            </w:r>
          </w:p>
        </w:tc>
        <w:tc>
          <w:tcPr>
            <w:tcW w:type="dxa" w:w="1417"/>
          </w:tcPr>
          <w:p>
            <w:r>
              <w:rPr>
                <w:rFonts w:ascii="Arial" w:hAnsi="Arial"/>
                <w:sz w:val="17"/>
              </w:rPr>
              <w:t>6,461</w:t>
            </w:r>
          </w:p>
        </w:tc>
        <w:tc>
          <w:tcPr>
            <w:tcW w:type="dxa" w:w="1417"/>
          </w:tcPr>
          <w:p>
            <w:r>
              <w:rPr>
                <w:rFonts w:ascii="Arial" w:hAnsi="Arial"/>
                <w:sz w:val="17"/>
              </w:rPr>
              <w:t>7,332</w:t>
            </w:r>
          </w:p>
        </w:tc>
        <w:tc>
          <w:tcPr>
            <w:tcW w:type="dxa" w:w="1417"/>
          </w:tcPr>
          <w:p>
            <w:r>
              <w:rPr>
                <w:rFonts w:ascii="Arial" w:hAnsi="Arial"/>
                <w:sz w:val="17"/>
              </w:rPr>
              <w:t>8,251</w:t>
            </w:r>
          </w:p>
        </w:tc>
      </w:tr>
      <w:tr>
        <w:tc>
          <w:tcPr>
            <w:tcW w:type="dxa" w:w="2381"/>
            <w:shd w:val="clear" w:fill="F4F8F7"/>
          </w:tcPr>
          <w:p>
            <w:r>
              <w:rPr>
                <w:rFonts w:ascii="Arial" w:hAnsi="Arial"/>
                <w:sz w:val="17"/>
              </w:rPr>
              <w:t>Capex</w:t>
            </w:r>
          </w:p>
        </w:tc>
        <w:tc>
          <w:tcPr>
            <w:tcW w:type="dxa" w:w="1417"/>
            <w:shd w:val="clear" w:fill="F4F8F7"/>
          </w:tcPr>
          <w:p>
            <w:r>
              <w:rPr>
                <w:rFonts w:ascii="Arial" w:hAnsi="Arial"/>
                <w:sz w:val="17"/>
              </w:rPr>
              <w:t>(1,767)</w:t>
            </w:r>
          </w:p>
        </w:tc>
        <w:tc>
          <w:tcPr>
            <w:tcW w:type="dxa" w:w="1417"/>
            <w:shd w:val="clear" w:fill="F4F8F7"/>
          </w:tcPr>
          <w:p>
            <w:r>
              <w:rPr>
                <w:rFonts w:ascii="Arial" w:hAnsi="Arial"/>
                <w:sz w:val="17"/>
              </w:rPr>
              <w:t>(1,990)</w:t>
            </w:r>
          </w:p>
        </w:tc>
        <w:tc>
          <w:tcPr>
            <w:tcW w:type="dxa" w:w="1417"/>
            <w:shd w:val="clear" w:fill="F4F8F7"/>
          </w:tcPr>
          <w:p>
            <w:r>
              <w:rPr>
                <w:rFonts w:ascii="Arial" w:hAnsi="Arial"/>
                <w:sz w:val="17"/>
              </w:rPr>
              <w:t>(2,153)</w:t>
            </w:r>
          </w:p>
        </w:tc>
        <w:tc>
          <w:tcPr>
            <w:tcW w:type="dxa" w:w="1417"/>
            <w:shd w:val="clear" w:fill="F4F8F7"/>
          </w:tcPr>
          <w:p>
            <w:r>
              <w:rPr>
                <w:rFonts w:ascii="Arial" w:hAnsi="Arial"/>
                <w:sz w:val="17"/>
              </w:rPr>
              <w:t>(2,251)</w:t>
            </w:r>
          </w:p>
        </w:tc>
        <w:tc>
          <w:tcPr>
            <w:tcW w:type="dxa" w:w="1417"/>
            <w:shd w:val="clear" w:fill="F4F8F7"/>
          </w:tcPr>
          <w:p>
            <w:r>
              <w:rPr>
                <w:rFonts w:ascii="Arial" w:hAnsi="Arial"/>
                <w:sz w:val="17"/>
              </w:rPr>
              <w:t>(2,543)</w:t>
            </w:r>
          </w:p>
        </w:tc>
      </w:tr>
      <w:tr>
        <w:tc>
          <w:tcPr>
            <w:tcW w:type="dxa" w:w="2381"/>
          </w:tcPr>
          <w:p>
            <w:r>
              <w:rPr>
                <w:rFonts w:ascii="Arial" w:hAnsi="Arial"/>
                <w:sz w:val="17"/>
              </w:rPr>
              <w:t>Free cash flow</w:t>
            </w:r>
          </w:p>
        </w:tc>
        <w:tc>
          <w:tcPr>
            <w:tcW w:type="dxa" w:w="1417"/>
          </w:tcPr>
          <w:p>
            <w:r>
              <w:rPr>
                <w:rFonts w:ascii="Arial" w:hAnsi="Arial"/>
                <w:sz w:val="17"/>
              </w:rPr>
              <w:t>2,923</w:t>
            </w:r>
          </w:p>
        </w:tc>
        <w:tc>
          <w:tcPr>
            <w:tcW w:type="dxa" w:w="1417"/>
          </w:tcPr>
          <w:p>
            <w:r>
              <w:rPr>
                <w:rFonts w:ascii="Arial" w:hAnsi="Arial"/>
                <w:sz w:val="17"/>
              </w:rPr>
              <w:t>3,519</w:t>
            </w:r>
          </w:p>
        </w:tc>
        <w:tc>
          <w:tcPr>
            <w:tcW w:type="dxa" w:w="1417"/>
          </w:tcPr>
          <w:p>
            <w:r>
              <w:rPr>
                <w:rFonts w:ascii="Arial" w:hAnsi="Arial"/>
                <w:sz w:val="17"/>
              </w:rPr>
              <w:t>4,308</w:t>
            </w:r>
          </w:p>
        </w:tc>
        <w:tc>
          <w:tcPr>
            <w:tcW w:type="dxa" w:w="1417"/>
          </w:tcPr>
          <w:p>
            <w:r>
              <w:rPr>
                <w:rFonts w:ascii="Arial" w:hAnsi="Arial"/>
                <w:sz w:val="17"/>
              </w:rPr>
              <w:t>5,081</w:t>
            </w:r>
          </w:p>
        </w:tc>
        <w:tc>
          <w:tcPr>
            <w:tcW w:type="dxa" w:w="1417"/>
          </w:tcPr>
          <w:p>
            <w:r>
              <w:rPr>
                <w:rFonts w:ascii="Arial" w:hAnsi="Arial"/>
                <w:sz w:val="17"/>
              </w:rPr>
              <w:t>5,708</w:t>
            </w:r>
          </w:p>
        </w:tc>
      </w:tr>
      <w:tr>
        <w:tc>
          <w:tcPr>
            <w:tcW w:type="dxa" w:w="2381"/>
            <w:shd w:val="clear" w:fill="F4F8F7"/>
          </w:tcPr>
          <w:p>
            <w:r>
              <w:rPr>
                <w:rFonts w:ascii="Arial" w:hAnsi="Arial"/>
                <w:sz w:val="17"/>
              </w:rPr>
              <w:t>Dividends (45% payout)</w:t>
            </w:r>
          </w:p>
        </w:tc>
        <w:tc>
          <w:tcPr>
            <w:tcW w:type="dxa" w:w="1417"/>
            <w:shd w:val="clear" w:fill="F4F8F7"/>
          </w:tcPr>
          <w:p>
            <w:r>
              <w:rPr>
                <w:rFonts w:ascii="Arial" w:hAnsi="Arial"/>
                <w:sz w:val="17"/>
              </w:rPr>
              <w:t>(1,724)</w:t>
            </w:r>
          </w:p>
        </w:tc>
        <w:tc>
          <w:tcPr>
            <w:tcW w:type="dxa" w:w="1417"/>
            <w:shd w:val="clear" w:fill="F4F8F7"/>
          </w:tcPr>
          <w:p>
            <w:r>
              <w:rPr>
                <w:rFonts w:ascii="Arial" w:hAnsi="Arial"/>
                <w:sz w:val="17"/>
              </w:rPr>
              <w:t>(2,058)</w:t>
            </w:r>
          </w:p>
        </w:tc>
        <w:tc>
          <w:tcPr>
            <w:tcW w:type="dxa" w:w="1417"/>
            <w:shd w:val="clear" w:fill="F4F8F7"/>
          </w:tcPr>
          <w:p>
            <w:r>
              <w:rPr>
                <w:rFonts w:ascii="Arial" w:hAnsi="Arial"/>
                <w:sz w:val="17"/>
              </w:rPr>
              <w:t>(2,386)</w:t>
            </w:r>
          </w:p>
        </w:tc>
        <w:tc>
          <w:tcPr>
            <w:tcW w:type="dxa" w:w="1417"/>
            <w:shd w:val="clear" w:fill="F4F8F7"/>
          </w:tcPr>
          <w:p>
            <w:r>
              <w:rPr>
                <w:rFonts w:ascii="Arial" w:hAnsi="Arial"/>
                <w:sz w:val="17"/>
              </w:rPr>
              <w:t>(2,700)</w:t>
            </w:r>
          </w:p>
        </w:tc>
        <w:tc>
          <w:tcPr>
            <w:tcW w:type="dxa" w:w="1417"/>
            <w:shd w:val="clear" w:fill="F4F8F7"/>
          </w:tcPr>
          <w:p>
            <w:r>
              <w:rPr>
                <w:rFonts w:ascii="Arial" w:hAnsi="Arial"/>
                <w:sz w:val="17"/>
              </w:rPr>
              <w:t>(3,042)</w:t>
            </w:r>
          </w:p>
        </w:tc>
      </w:tr>
      <w:tr>
        <w:tc>
          <w:tcPr>
            <w:tcW w:type="dxa" w:w="2381"/>
          </w:tcPr>
          <w:p>
            <w:r>
              <w:rPr>
                <w:rFonts w:ascii="Arial" w:hAnsi="Arial"/>
                <w:sz w:val="17"/>
              </w:rPr>
              <w:t>Closing cash</w:t>
            </w:r>
          </w:p>
        </w:tc>
        <w:tc>
          <w:tcPr>
            <w:tcW w:type="dxa" w:w="1417"/>
          </w:tcPr>
          <w:p>
            <w:r>
              <w:rPr>
                <w:rFonts w:ascii="Arial" w:hAnsi="Arial"/>
                <w:sz w:val="17"/>
              </w:rPr>
              <w:t>5,762</w:t>
            </w:r>
          </w:p>
        </w:tc>
        <w:tc>
          <w:tcPr>
            <w:tcW w:type="dxa" w:w="1417"/>
          </w:tcPr>
          <w:p>
            <w:r>
              <w:rPr>
                <w:rFonts w:ascii="Arial" w:hAnsi="Arial"/>
                <w:sz w:val="17"/>
              </w:rPr>
              <w:t>7,117</w:t>
            </w:r>
          </w:p>
        </w:tc>
        <w:tc>
          <w:tcPr>
            <w:tcW w:type="dxa" w:w="1417"/>
          </w:tcPr>
          <w:p>
            <w:r>
              <w:rPr>
                <w:rFonts w:ascii="Arial" w:hAnsi="Arial"/>
                <w:sz w:val="17"/>
              </w:rPr>
              <w:t>8,848</w:t>
            </w:r>
          </w:p>
        </w:tc>
        <w:tc>
          <w:tcPr>
            <w:tcW w:type="dxa" w:w="1417"/>
          </w:tcPr>
          <w:p>
            <w:r>
              <w:rPr>
                <w:rFonts w:ascii="Arial" w:hAnsi="Arial"/>
                <w:sz w:val="17"/>
              </w:rPr>
              <w:t>11,041</w:t>
            </w:r>
          </w:p>
        </w:tc>
        <w:tc>
          <w:tcPr>
            <w:tcW w:type="dxa" w:w="1417"/>
          </w:tcPr>
          <w:p>
            <w:r>
              <w:rPr>
                <w:rFonts w:ascii="Arial" w:hAnsi="Arial"/>
                <w:sz w:val="17"/>
              </w:rPr>
              <w:t>13,494</w:t>
            </w:r>
          </w:p>
        </w:tc>
      </w:tr>
    </w:tbl>
    <w:p>
      <w:pPr>
        <w:spacing w:after="40"/>
      </w:pPr>
    </w:p>
    <w:p>
      <w:pPr>
        <w:pStyle w:val="Heading2"/>
      </w:pPr>
      <w:r>
        <w:t>1.3  Relative multiples</w:t>
      </w:r>
    </w:p>
    <w:p>
      <w:pPr>
        <w:spacing w:after="80"/>
      </w:pPr>
      <w:r>
        <w:rPr>
          <w:rFonts w:ascii="Arial" w:hAnsi="Arial"/>
          <w:b w:val="0"/>
          <w:i w:val="0"/>
          <w:sz w:val="19"/>
        </w:rPr>
        <w:t xml:space="preserve">The EGX consumer set trades cheap in absolute terms — a median ~7.8x forward earnings — because every name carries the same currency and purchasing-power risk. Edita has always commanded a premium for category leadership, brand depth and execution, and at spot it costs ~10.0x FY2026E earnings and ~6.9x EV/EBITDA. We set the target multiples at 11.5x P/E and 7.0x EV/EBITDA: a visible but not extravagant premium to peers, and a deep discount to regional quality (Almarai at ~21x) that acknowledges the pound. Applied to FY2026E EPS of EGP 2.74 and EBITDA of EGP 5,220m, the two reads average </w:t>
      </w:r>
      <w:r>
        <w:rPr>
          <w:rFonts w:ascii="Arial" w:hAnsi="Arial"/>
          <w:b/>
          <w:i w:val="0"/>
          <w:sz w:val="19"/>
        </w:rPr>
        <w:t>EGP 29.09</w:t>
      </w:r>
      <w:r>
        <w:rPr>
          <w:rFonts w:ascii="Arial" w:hAnsi="Arial"/>
          <w:b w:val="0"/>
          <w:i w:val="0"/>
          <w:sz w:val="19"/>
        </w:rPr>
        <w: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515"/>
            <w:shd w:val="clear" w:fill="1C6E63"/>
          </w:tcPr>
          <w:p>
            <w:r>
              <w:rPr>
                <w:rFonts w:ascii="Arial" w:hAnsi="Arial"/>
                <w:b/>
                <w:color w:val="FFFFFF"/>
                <w:sz w:val="17"/>
              </w:rPr>
              <w:t>Peer (Testahil estimates, Jul-2026)</w:t>
            </w:r>
          </w:p>
        </w:tc>
        <w:tc>
          <w:tcPr>
            <w:tcW w:type="dxa" w:w="1474"/>
            <w:shd w:val="clear" w:fill="1C6E63"/>
          </w:tcPr>
          <w:p>
            <w:r>
              <w:rPr>
                <w:rFonts w:ascii="Arial" w:hAnsi="Arial"/>
                <w:b/>
                <w:color w:val="FFFFFF"/>
                <w:sz w:val="17"/>
              </w:rPr>
              <w:t>Market</w:t>
            </w:r>
          </w:p>
        </w:tc>
        <w:tc>
          <w:tcPr>
            <w:tcW w:type="dxa" w:w="1587"/>
            <w:shd w:val="clear" w:fill="1C6E63"/>
          </w:tcPr>
          <w:p>
            <w:r>
              <w:rPr>
                <w:rFonts w:ascii="Arial" w:hAnsi="Arial"/>
                <w:b/>
                <w:color w:val="FFFFFF"/>
                <w:sz w:val="17"/>
              </w:rPr>
              <w:t>P/E fwd</w:t>
            </w:r>
          </w:p>
        </w:tc>
        <w:tc>
          <w:tcPr>
            <w:tcW w:type="dxa" w:w="1928"/>
            <w:shd w:val="clear" w:fill="1C6E63"/>
          </w:tcPr>
          <w:p>
            <w:r>
              <w:rPr>
                <w:rFonts w:ascii="Arial" w:hAnsi="Arial"/>
                <w:b/>
                <w:color w:val="FFFFFF"/>
                <w:sz w:val="17"/>
              </w:rPr>
              <w:t>EV/EBITDA fwd</w:t>
            </w:r>
          </w:p>
        </w:tc>
      </w:tr>
      <w:tr>
        <w:tc>
          <w:tcPr>
            <w:tcW w:type="dxa" w:w="3515"/>
          </w:tcPr>
          <w:p>
            <w:r>
              <w:rPr>
                <w:rFonts w:ascii="Arial" w:hAnsi="Arial"/>
                <w:sz w:val="17"/>
              </w:rPr>
              <w:t>Juhayna (JUFO)</w:t>
            </w:r>
          </w:p>
        </w:tc>
        <w:tc>
          <w:tcPr>
            <w:tcW w:type="dxa" w:w="1474"/>
          </w:tcPr>
          <w:p>
            <w:r>
              <w:rPr>
                <w:rFonts w:ascii="Arial" w:hAnsi="Arial"/>
                <w:sz w:val="17"/>
              </w:rPr>
              <w:t>EGX</w:t>
            </w:r>
          </w:p>
        </w:tc>
        <w:tc>
          <w:tcPr>
            <w:tcW w:type="dxa" w:w="1587"/>
          </w:tcPr>
          <w:p>
            <w:r>
              <w:rPr>
                <w:rFonts w:ascii="Arial" w:hAnsi="Arial"/>
                <w:sz w:val="17"/>
              </w:rPr>
              <w:t>10.5x</w:t>
            </w:r>
          </w:p>
        </w:tc>
        <w:tc>
          <w:tcPr>
            <w:tcW w:type="dxa" w:w="1928"/>
          </w:tcPr>
          <w:p>
            <w:r>
              <w:rPr>
                <w:rFonts w:ascii="Arial" w:hAnsi="Arial"/>
                <w:sz w:val="17"/>
              </w:rPr>
              <w:t>6.0x</w:t>
            </w:r>
          </w:p>
        </w:tc>
      </w:tr>
      <w:tr>
        <w:tc>
          <w:tcPr>
            <w:tcW w:type="dxa" w:w="3515"/>
            <w:shd w:val="clear" w:fill="F4F8F7"/>
          </w:tcPr>
          <w:p>
            <w:r>
              <w:rPr>
                <w:rFonts w:ascii="Arial" w:hAnsi="Arial"/>
                <w:sz w:val="17"/>
              </w:rPr>
              <w:t>Obour Land (OLFI)</w:t>
            </w:r>
          </w:p>
        </w:tc>
        <w:tc>
          <w:tcPr>
            <w:tcW w:type="dxa" w:w="1474"/>
            <w:shd w:val="clear" w:fill="F4F8F7"/>
          </w:tcPr>
          <w:p>
            <w:r>
              <w:rPr>
                <w:rFonts w:ascii="Arial" w:hAnsi="Arial"/>
                <w:sz w:val="17"/>
              </w:rPr>
              <w:t>EGX</w:t>
            </w:r>
          </w:p>
        </w:tc>
        <w:tc>
          <w:tcPr>
            <w:tcW w:type="dxa" w:w="1587"/>
            <w:shd w:val="clear" w:fill="F4F8F7"/>
          </w:tcPr>
          <w:p>
            <w:r>
              <w:rPr>
                <w:rFonts w:ascii="Arial" w:hAnsi="Arial"/>
                <w:sz w:val="17"/>
              </w:rPr>
              <w:t>8.0x</w:t>
            </w:r>
          </w:p>
        </w:tc>
        <w:tc>
          <w:tcPr>
            <w:tcW w:type="dxa" w:w="1928"/>
            <w:shd w:val="clear" w:fill="F4F8F7"/>
          </w:tcPr>
          <w:p>
            <w:r>
              <w:rPr>
                <w:rFonts w:ascii="Arial" w:hAnsi="Arial"/>
                <w:sz w:val="17"/>
              </w:rPr>
              <w:t>4.5x</w:t>
            </w:r>
          </w:p>
        </w:tc>
      </w:tr>
      <w:tr>
        <w:tc>
          <w:tcPr>
            <w:tcW w:type="dxa" w:w="3515"/>
          </w:tcPr>
          <w:p>
            <w:r>
              <w:rPr>
                <w:rFonts w:ascii="Arial" w:hAnsi="Arial"/>
                <w:sz w:val="17"/>
              </w:rPr>
              <w:t>Domty (DOMT)</w:t>
            </w:r>
          </w:p>
        </w:tc>
        <w:tc>
          <w:tcPr>
            <w:tcW w:type="dxa" w:w="1474"/>
          </w:tcPr>
          <w:p>
            <w:r>
              <w:rPr>
                <w:rFonts w:ascii="Arial" w:hAnsi="Arial"/>
                <w:sz w:val="17"/>
              </w:rPr>
              <w:t>EGX</w:t>
            </w:r>
          </w:p>
        </w:tc>
        <w:tc>
          <w:tcPr>
            <w:tcW w:type="dxa" w:w="1587"/>
          </w:tcPr>
          <w:p>
            <w:r>
              <w:rPr>
                <w:rFonts w:ascii="Arial" w:hAnsi="Arial"/>
                <w:sz w:val="17"/>
              </w:rPr>
              <w:t>7.5x</w:t>
            </w:r>
          </w:p>
        </w:tc>
        <w:tc>
          <w:tcPr>
            <w:tcW w:type="dxa" w:w="1928"/>
          </w:tcPr>
          <w:p>
            <w:r>
              <w:rPr>
                <w:rFonts w:ascii="Arial" w:hAnsi="Arial"/>
                <w:sz w:val="17"/>
              </w:rPr>
              <w:t>5.0x</w:t>
            </w:r>
          </w:p>
        </w:tc>
      </w:tr>
      <w:tr>
        <w:tc>
          <w:tcPr>
            <w:tcW w:type="dxa" w:w="3515"/>
            <w:shd w:val="clear" w:fill="F4F8F7"/>
          </w:tcPr>
          <w:p>
            <w:r>
              <w:rPr>
                <w:rFonts w:ascii="Arial" w:hAnsi="Arial"/>
                <w:sz w:val="17"/>
              </w:rPr>
              <w:t>Eastern Company (EAST)</w:t>
            </w:r>
          </w:p>
        </w:tc>
        <w:tc>
          <w:tcPr>
            <w:tcW w:type="dxa" w:w="1474"/>
            <w:shd w:val="clear" w:fill="F4F8F7"/>
          </w:tcPr>
          <w:p>
            <w:r>
              <w:rPr>
                <w:rFonts w:ascii="Arial" w:hAnsi="Arial"/>
                <w:sz w:val="17"/>
              </w:rPr>
              <w:t>EGX</w:t>
            </w:r>
          </w:p>
        </w:tc>
        <w:tc>
          <w:tcPr>
            <w:tcW w:type="dxa" w:w="1587"/>
            <w:shd w:val="clear" w:fill="F4F8F7"/>
          </w:tcPr>
          <w:p>
            <w:r>
              <w:rPr>
                <w:rFonts w:ascii="Arial" w:hAnsi="Arial"/>
                <w:sz w:val="17"/>
              </w:rPr>
              <w:t>7.0x</w:t>
            </w:r>
          </w:p>
        </w:tc>
        <w:tc>
          <w:tcPr>
            <w:tcW w:type="dxa" w:w="1928"/>
            <w:shd w:val="clear" w:fill="F4F8F7"/>
          </w:tcPr>
          <w:p>
            <w:r>
              <w:rPr>
                <w:rFonts w:ascii="Arial" w:hAnsi="Arial"/>
                <w:sz w:val="17"/>
              </w:rPr>
              <w:t>5.5x</w:t>
            </w:r>
          </w:p>
        </w:tc>
      </w:tr>
      <w:tr>
        <w:tc>
          <w:tcPr>
            <w:tcW w:type="dxa" w:w="3515"/>
          </w:tcPr>
          <w:p>
            <w:r>
              <w:rPr>
                <w:rFonts w:ascii="Arial" w:hAnsi="Arial"/>
                <w:sz w:val="17"/>
              </w:rPr>
              <w:t>EGX median</w:t>
            </w:r>
          </w:p>
        </w:tc>
        <w:tc>
          <w:tcPr>
            <w:tcW w:type="dxa" w:w="1474"/>
          </w:tcPr>
          <w:p>
            <w:r>
              <w:rPr>
                <w:rFonts w:ascii="Arial" w:hAnsi="Arial"/>
                <w:sz w:val="17"/>
              </w:rPr>
              <w:t>—</w:t>
            </w:r>
          </w:p>
        </w:tc>
        <w:tc>
          <w:tcPr>
            <w:tcW w:type="dxa" w:w="1587"/>
          </w:tcPr>
          <w:p>
            <w:r>
              <w:rPr>
                <w:rFonts w:ascii="Arial" w:hAnsi="Arial"/>
                <w:sz w:val="17"/>
              </w:rPr>
              <w:t>7.8x</w:t>
            </w:r>
          </w:p>
        </w:tc>
        <w:tc>
          <w:tcPr>
            <w:tcW w:type="dxa" w:w="1928"/>
          </w:tcPr>
          <w:p>
            <w:r>
              <w:rPr>
                <w:rFonts w:ascii="Arial" w:hAnsi="Arial"/>
                <w:sz w:val="17"/>
              </w:rPr>
              <w:t>5.3x</w:t>
            </w:r>
          </w:p>
        </w:tc>
      </w:tr>
      <w:tr>
        <w:tc>
          <w:tcPr>
            <w:tcW w:type="dxa" w:w="3515"/>
            <w:shd w:val="clear" w:fill="F4F8F7"/>
          </w:tcPr>
          <w:p>
            <w:r>
              <w:rPr>
                <w:rFonts w:ascii="Arial" w:hAnsi="Arial"/>
                <w:sz w:val="17"/>
              </w:rPr>
              <w:t>Almarai (2280.SE)</w:t>
            </w:r>
          </w:p>
        </w:tc>
        <w:tc>
          <w:tcPr>
            <w:tcW w:type="dxa" w:w="1474"/>
            <w:shd w:val="clear" w:fill="F4F8F7"/>
          </w:tcPr>
          <w:p>
            <w:r>
              <w:rPr>
                <w:rFonts w:ascii="Arial" w:hAnsi="Arial"/>
                <w:sz w:val="17"/>
              </w:rPr>
              <w:t>Tadawul</w:t>
            </w:r>
          </w:p>
        </w:tc>
        <w:tc>
          <w:tcPr>
            <w:tcW w:type="dxa" w:w="1587"/>
            <w:shd w:val="clear" w:fill="F4F8F7"/>
          </w:tcPr>
          <w:p>
            <w:r>
              <w:rPr>
                <w:rFonts w:ascii="Arial" w:hAnsi="Arial"/>
                <w:sz w:val="17"/>
              </w:rPr>
              <w:t>21.0x</w:t>
            </w:r>
          </w:p>
        </w:tc>
        <w:tc>
          <w:tcPr>
            <w:tcW w:type="dxa" w:w="1928"/>
            <w:shd w:val="clear" w:fill="F4F8F7"/>
          </w:tcPr>
          <w:p>
            <w:r>
              <w:rPr>
                <w:rFonts w:ascii="Arial" w:hAnsi="Arial"/>
                <w:sz w:val="17"/>
              </w:rPr>
              <w:t>12.0x</w:t>
            </w:r>
          </w:p>
        </w:tc>
      </w:tr>
      <w:tr>
        <w:tc>
          <w:tcPr>
            <w:tcW w:type="dxa" w:w="3515"/>
          </w:tcPr>
          <w:p>
            <w:r>
              <w:rPr>
                <w:rFonts w:ascii="Arial" w:hAnsi="Arial"/>
                <w:sz w:val="17"/>
              </w:rPr>
              <w:t>Edita at spot</w:t>
            </w:r>
          </w:p>
        </w:tc>
        <w:tc>
          <w:tcPr>
            <w:tcW w:type="dxa" w:w="1474"/>
          </w:tcPr>
          <w:p>
            <w:r>
              <w:rPr>
                <w:rFonts w:ascii="Arial" w:hAnsi="Arial"/>
                <w:sz w:val="17"/>
              </w:rPr>
              <w:t>EGX</w:t>
            </w:r>
          </w:p>
        </w:tc>
        <w:tc>
          <w:tcPr>
            <w:tcW w:type="dxa" w:w="1587"/>
          </w:tcPr>
          <w:p>
            <w:r>
              <w:rPr>
                <w:rFonts w:ascii="Arial" w:hAnsi="Arial"/>
                <w:sz w:val="17"/>
              </w:rPr>
              <w:t>10.0x</w:t>
            </w:r>
          </w:p>
        </w:tc>
        <w:tc>
          <w:tcPr>
            <w:tcW w:type="dxa" w:w="1928"/>
          </w:tcPr>
          <w:p>
            <w:r>
              <w:rPr>
                <w:rFonts w:ascii="Arial" w:hAnsi="Arial"/>
                <w:sz w:val="17"/>
              </w:rPr>
              <w:t>6.9x</w:t>
            </w:r>
          </w:p>
        </w:tc>
      </w:tr>
      <w:tr>
        <w:tc>
          <w:tcPr>
            <w:tcW w:type="dxa" w:w="3515"/>
            <w:shd w:val="clear" w:fill="F4F8F7"/>
          </w:tcPr>
          <w:p>
            <w:r>
              <w:rPr>
                <w:rFonts w:ascii="Arial" w:hAnsi="Arial"/>
                <w:sz w:val="17"/>
              </w:rPr>
              <w:t>Edita target</w:t>
            </w:r>
          </w:p>
        </w:tc>
        <w:tc>
          <w:tcPr>
            <w:tcW w:type="dxa" w:w="1474"/>
            <w:shd w:val="clear" w:fill="F4F8F7"/>
          </w:tcPr>
          <w:p>
            <w:r>
              <w:rPr>
                <w:rFonts w:ascii="Arial" w:hAnsi="Arial"/>
                <w:sz w:val="17"/>
              </w:rPr>
              <w:t>—</w:t>
            </w:r>
          </w:p>
        </w:tc>
        <w:tc>
          <w:tcPr>
            <w:tcW w:type="dxa" w:w="1587"/>
            <w:shd w:val="clear" w:fill="F4F8F7"/>
          </w:tcPr>
          <w:p>
            <w:r>
              <w:rPr>
                <w:rFonts w:ascii="Arial" w:hAnsi="Arial"/>
                <w:sz w:val="17"/>
              </w:rPr>
              <w:t>11.5x</w:t>
            </w:r>
          </w:p>
        </w:tc>
        <w:tc>
          <w:tcPr>
            <w:tcW w:type="dxa" w:w="1928"/>
            <w:shd w:val="clear" w:fill="F4F8F7"/>
          </w:tcPr>
          <w:p>
            <w:r>
              <w:rPr>
                <w:rFonts w:ascii="Arial" w:hAnsi="Arial"/>
                <w:sz w:val="17"/>
              </w:rPr>
              <w:t>7.0x</w:t>
            </w:r>
          </w:p>
        </w:tc>
      </w:tr>
    </w:tbl>
    <w:p>
      <w:pPr>
        <w:spacing w:after="40"/>
      </w:pPr>
    </w:p>
    <w:p>
      <w:pPr>
        <w:pStyle w:val="Heading2"/>
      </w:pPr>
      <w:r>
        <w:t>1.4  Normalized earnings power</w:t>
      </w:r>
    </w:p>
    <w:p>
      <w:pPr>
        <w:spacing w:after="80"/>
      </w:pPr>
      <w:r>
        <w:rPr>
          <w:rFonts w:ascii="Arial" w:hAnsi="Arial"/>
          <w:b w:val="0"/>
          <w:i w:val="0"/>
          <w:sz w:val="19"/>
        </w:rPr>
        <w:t xml:space="preserve">Strip the year: FY2024 net margin was 8.8% (devaluation squeeze), FY2025 11.7% (pricing catch-up plus soft commodities), 1Q2026 13.7% (operating leverage plus a large interest-income line). We take 11.0% as the honest mid-cycle margin — above the squeeze, below the sugar-and-cocoa-blessed present — on FY2026E revenue of EGP 27.2bn. That is EGP 2,991m of normalized profit, EGP 2.14 a share, worth </w:t>
      </w:r>
      <w:r>
        <w:rPr>
          <w:rFonts w:ascii="Arial" w:hAnsi="Arial"/>
          <w:b/>
          <w:i w:val="0"/>
          <w:sz w:val="19"/>
        </w:rPr>
        <w:t>EGP 26.70</w:t>
      </w:r>
      <w:r>
        <w:rPr>
          <w:rFonts w:ascii="Arial" w:hAnsi="Arial"/>
          <w:b w:val="0"/>
          <w:i w:val="0"/>
          <w:sz w:val="19"/>
        </w:rPr>
        <w:t xml:space="preserve"> at a 12.5x justified multiple. The lens deliberately refuses to capitalize the current interest windfall or the current commodity tailwind, which is why it lands below spot.</w:t>
      </w:r>
    </w:p>
    <w:p>
      <w:pPr>
        <w:pStyle w:val="Heading2"/>
      </w:pPr>
      <w:r>
        <w:t>1.5  Synthesis — five lenses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061"/>
            <w:shd w:val="clear" w:fill="1C6E63"/>
          </w:tcPr>
          <w:p>
            <w:r>
              <w:rPr>
                <w:rFonts w:ascii="Arial" w:hAnsi="Arial"/>
                <w:b/>
                <w:color w:val="FFFFFF"/>
                <w:sz w:val="17"/>
              </w:rPr>
              <w:t>Lens</w:t>
            </w:r>
          </w:p>
        </w:tc>
        <w:tc>
          <w:tcPr>
            <w:tcW w:type="dxa" w:w="1814"/>
            <w:shd w:val="clear" w:fill="1C6E63"/>
          </w:tcPr>
          <w:p>
            <w:r>
              <w:rPr>
                <w:rFonts w:ascii="Arial" w:hAnsi="Arial"/>
                <w:b/>
                <w:color w:val="FFFFFF"/>
                <w:sz w:val="17"/>
              </w:rPr>
              <w:t>Value (EGP/sh)</w:t>
            </w:r>
          </w:p>
        </w:tc>
        <w:tc>
          <w:tcPr>
            <w:tcW w:type="dxa" w:w="1474"/>
            <w:shd w:val="clear" w:fill="1C6E63"/>
          </w:tcPr>
          <w:p>
            <w:r>
              <w:rPr>
                <w:rFonts w:ascii="Arial" w:hAnsi="Arial"/>
                <w:b/>
                <w:color w:val="FFFFFF"/>
                <w:sz w:val="17"/>
              </w:rPr>
              <w:t>Weight</w:t>
            </w:r>
          </w:p>
        </w:tc>
        <w:tc>
          <w:tcPr>
            <w:tcW w:type="dxa" w:w="1928"/>
            <w:shd w:val="clear" w:fill="1C6E63"/>
          </w:tcPr>
          <w:p>
            <w:r>
              <w:rPr>
                <w:rFonts w:ascii="Arial" w:hAnsi="Arial"/>
                <w:b/>
                <w:color w:val="FFFFFF"/>
                <w:sz w:val="17"/>
              </w:rPr>
              <w:t>Contribution</w:t>
            </w:r>
          </w:p>
        </w:tc>
      </w:tr>
      <w:tr>
        <w:tc>
          <w:tcPr>
            <w:tcW w:type="dxa" w:w="3061"/>
          </w:tcPr>
          <w:p>
            <w:r>
              <w:rPr>
                <w:rFonts w:ascii="Arial" w:hAnsi="Arial"/>
                <w:sz w:val="17"/>
              </w:rPr>
              <w:t>FCFF DCF</w:t>
            </w:r>
          </w:p>
        </w:tc>
        <w:tc>
          <w:tcPr>
            <w:tcW w:type="dxa" w:w="1814"/>
          </w:tcPr>
          <w:p>
            <w:r>
              <w:rPr>
                <w:rFonts w:ascii="Arial" w:hAnsi="Arial"/>
                <w:sz w:val="17"/>
              </w:rPr>
              <w:t>29.74</w:t>
            </w:r>
          </w:p>
        </w:tc>
        <w:tc>
          <w:tcPr>
            <w:tcW w:type="dxa" w:w="1474"/>
          </w:tcPr>
          <w:p>
            <w:r>
              <w:rPr>
                <w:rFonts w:ascii="Arial" w:hAnsi="Arial"/>
                <w:sz w:val="17"/>
              </w:rPr>
              <w:t>35%</w:t>
            </w:r>
          </w:p>
        </w:tc>
        <w:tc>
          <w:tcPr>
            <w:tcW w:type="dxa" w:w="1928"/>
          </w:tcPr>
          <w:p>
            <w:r>
              <w:rPr>
                <w:rFonts w:ascii="Arial" w:hAnsi="Arial"/>
                <w:sz w:val="17"/>
              </w:rPr>
              <w:t>10.41</w:t>
            </w:r>
          </w:p>
        </w:tc>
      </w:tr>
      <w:tr>
        <w:tc>
          <w:tcPr>
            <w:tcW w:type="dxa" w:w="3061"/>
            <w:shd w:val="clear" w:fill="F4F8F7"/>
          </w:tcPr>
          <w:p>
            <w:r>
              <w:rPr>
                <w:rFonts w:ascii="Arial" w:hAnsi="Arial"/>
                <w:sz w:val="17"/>
              </w:rPr>
              <w:t>Relative multiples</w:t>
            </w:r>
          </w:p>
        </w:tc>
        <w:tc>
          <w:tcPr>
            <w:tcW w:type="dxa" w:w="1814"/>
            <w:shd w:val="clear" w:fill="F4F8F7"/>
          </w:tcPr>
          <w:p>
            <w:r>
              <w:rPr>
                <w:rFonts w:ascii="Arial" w:hAnsi="Arial"/>
                <w:sz w:val="17"/>
              </w:rPr>
              <w:t>29.09</w:t>
            </w:r>
          </w:p>
        </w:tc>
        <w:tc>
          <w:tcPr>
            <w:tcW w:type="dxa" w:w="1474"/>
            <w:shd w:val="clear" w:fill="F4F8F7"/>
          </w:tcPr>
          <w:p>
            <w:r>
              <w:rPr>
                <w:rFonts w:ascii="Arial" w:hAnsi="Arial"/>
                <w:sz w:val="17"/>
              </w:rPr>
              <w:t>25%</w:t>
            </w:r>
          </w:p>
        </w:tc>
        <w:tc>
          <w:tcPr>
            <w:tcW w:type="dxa" w:w="1928"/>
            <w:shd w:val="clear" w:fill="F4F8F7"/>
          </w:tcPr>
          <w:p>
            <w:r>
              <w:rPr>
                <w:rFonts w:ascii="Arial" w:hAnsi="Arial"/>
                <w:sz w:val="17"/>
              </w:rPr>
              <w:t>7.27</w:t>
            </w:r>
          </w:p>
        </w:tc>
      </w:tr>
      <w:tr>
        <w:tc>
          <w:tcPr>
            <w:tcW w:type="dxa" w:w="3061"/>
          </w:tcPr>
          <w:p>
            <w:r>
              <w:rPr>
                <w:rFonts w:ascii="Arial" w:hAnsi="Arial"/>
                <w:sz w:val="17"/>
              </w:rPr>
              <w:t>Normalized earnings power</w:t>
            </w:r>
          </w:p>
        </w:tc>
        <w:tc>
          <w:tcPr>
            <w:tcW w:type="dxa" w:w="1814"/>
          </w:tcPr>
          <w:p>
            <w:r>
              <w:rPr>
                <w:rFonts w:ascii="Arial" w:hAnsi="Arial"/>
                <w:sz w:val="17"/>
              </w:rPr>
              <w:t>26.70</w:t>
            </w:r>
          </w:p>
        </w:tc>
        <w:tc>
          <w:tcPr>
            <w:tcW w:type="dxa" w:w="1474"/>
          </w:tcPr>
          <w:p>
            <w:r>
              <w:rPr>
                <w:rFonts w:ascii="Arial" w:hAnsi="Arial"/>
                <w:sz w:val="17"/>
              </w:rPr>
              <w:t>20%</w:t>
            </w:r>
          </w:p>
        </w:tc>
        <w:tc>
          <w:tcPr>
            <w:tcW w:type="dxa" w:w="1928"/>
          </w:tcPr>
          <w:p>
            <w:r>
              <w:rPr>
                <w:rFonts w:ascii="Arial" w:hAnsi="Arial"/>
                <w:sz w:val="17"/>
              </w:rPr>
              <w:t>5.34</w:t>
            </w:r>
          </w:p>
        </w:tc>
      </w:tr>
      <w:tr>
        <w:tc>
          <w:tcPr>
            <w:tcW w:type="dxa" w:w="3061"/>
            <w:shd w:val="clear" w:fill="F4F8F7"/>
          </w:tcPr>
          <w:p>
            <w:r>
              <w:rPr>
                <w:rFonts w:ascii="Arial" w:hAnsi="Arial"/>
                <w:sz w:val="17"/>
              </w:rPr>
              <w:t>Segment GP build</w:t>
            </w:r>
          </w:p>
        </w:tc>
        <w:tc>
          <w:tcPr>
            <w:tcW w:type="dxa" w:w="1814"/>
            <w:shd w:val="clear" w:fill="F4F8F7"/>
          </w:tcPr>
          <w:p>
            <w:r>
              <w:rPr>
                <w:rFonts w:ascii="Arial" w:hAnsi="Arial"/>
                <w:sz w:val="17"/>
              </w:rPr>
              <w:t>30.09</w:t>
            </w:r>
          </w:p>
        </w:tc>
        <w:tc>
          <w:tcPr>
            <w:tcW w:type="dxa" w:w="1474"/>
            <w:shd w:val="clear" w:fill="F4F8F7"/>
          </w:tcPr>
          <w:p>
            <w:r>
              <w:rPr>
                <w:rFonts w:ascii="Arial" w:hAnsi="Arial"/>
                <w:sz w:val="17"/>
              </w:rPr>
              <w:t>10%</w:t>
            </w:r>
          </w:p>
        </w:tc>
        <w:tc>
          <w:tcPr>
            <w:tcW w:type="dxa" w:w="1928"/>
            <w:shd w:val="clear" w:fill="F4F8F7"/>
          </w:tcPr>
          <w:p>
            <w:r>
              <w:rPr>
                <w:rFonts w:ascii="Arial" w:hAnsi="Arial"/>
                <w:sz w:val="17"/>
              </w:rPr>
              <w:t>3.01</w:t>
            </w:r>
          </w:p>
        </w:tc>
      </w:tr>
      <w:tr>
        <w:tc>
          <w:tcPr>
            <w:tcW w:type="dxa" w:w="3061"/>
          </w:tcPr>
          <w:p>
            <w:r>
              <w:rPr>
                <w:rFonts w:ascii="Arial" w:hAnsi="Arial"/>
                <w:sz w:val="17"/>
              </w:rPr>
              <w:t>DDM</w:t>
            </w:r>
          </w:p>
        </w:tc>
        <w:tc>
          <w:tcPr>
            <w:tcW w:type="dxa" w:w="1814"/>
          </w:tcPr>
          <w:p>
            <w:r>
              <w:rPr>
                <w:rFonts w:ascii="Arial" w:hAnsi="Arial"/>
                <w:sz w:val="17"/>
              </w:rPr>
              <w:t>16.51</w:t>
            </w:r>
          </w:p>
        </w:tc>
        <w:tc>
          <w:tcPr>
            <w:tcW w:type="dxa" w:w="1474"/>
          </w:tcPr>
          <w:p>
            <w:r>
              <w:rPr>
                <w:rFonts w:ascii="Arial" w:hAnsi="Arial"/>
                <w:sz w:val="17"/>
              </w:rPr>
              <w:t>10%</w:t>
            </w:r>
          </w:p>
        </w:tc>
        <w:tc>
          <w:tcPr>
            <w:tcW w:type="dxa" w:w="1928"/>
          </w:tcPr>
          <w:p>
            <w:r>
              <w:rPr>
                <w:rFonts w:ascii="Arial" w:hAnsi="Arial"/>
                <w:sz w:val="17"/>
              </w:rPr>
              <w:t>1.65</w:t>
            </w:r>
          </w:p>
        </w:tc>
      </w:tr>
      <w:tr>
        <w:tc>
          <w:tcPr>
            <w:tcW w:type="dxa" w:w="3061"/>
            <w:shd w:val="clear" w:fill="F4F8F7"/>
          </w:tcPr>
          <w:p>
            <w:r>
              <w:rPr>
                <w:rFonts w:ascii="Arial" w:hAnsi="Arial"/>
                <w:sz w:val="17"/>
              </w:rPr>
              <w:t>Weighted fair value</w:t>
            </w:r>
          </w:p>
        </w:tc>
        <w:tc>
          <w:tcPr>
            <w:tcW w:type="dxa" w:w="1814"/>
            <w:shd w:val="clear" w:fill="F4F8F7"/>
          </w:tcPr>
          <w:p>
            <w:r>
              <w:rPr>
                <w:rFonts w:ascii="Arial" w:hAnsi="Arial"/>
                <w:sz w:val="17"/>
              </w:rPr>
            </w:r>
          </w:p>
        </w:tc>
        <w:tc>
          <w:tcPr>
            <w:tcW w:type="dxa" w:w="1474"/>
            <w:shd w:val="clear" w:fill="F4F8F7"/>
          </w:tcPr>
          <w:p>
            <w:r>
              <w:rPr>
                <w:rFonts w:ascii="Arial" w:hAnsi="Arial"/>
                <w:sz w:val="17"/>
              </w:rPr>
            </w:r>
          </w:p>
        </w:tc>
        <w:tc>
          <w:tcPr>
            <w:tcW w:type="dxa" w:w="1928"/>
            <w:shd w:val="clear" w:fill="F4F8F7"/>
          </w:tcPr>
          <w:p>
            <w:r>
              <w:rPr>
                <w:rFonts w:ascii="Arial" w:hAnsi="Arial"/>
                <w:sz w:val="17"/>
              </w:rPr>
              <w:t>27.68</w:t>
            </w:r>
          </w:p>
        </w:tc>
      </w:tr>
      <w:tr>
        <w:tc>
          <w:tcPr>
            <w:tcW w:type="dxa" w:w="3061"/>
          </w:tcPr>
          <w:p>
            <w:r>
              <w:rPr>
                <w:rFonts w:ascii="Arial" w:hAnsi="Arial"/>
                <w:sz w:val="17"/>
              </w:rPr>
              <w:t>Spot / implied upside</w:t>
            </w:r>
          </w:p>
        </w:tc>
        <w:tc>
          <w:tcPr>
            <w:tcW w:type="dxa" w:w="1814"/>
          </w:tcPr>
          <w:p>
            <w:r>
              <w:rPr>
                <w:rFonts w:ascii="Arial" w:hAnsi="Arial"/>
                <w:sz w:val="17"/>
              </w:rPr>
              <w:t>27.34</w:t>
            </w:r>
          </w:p>
        </w:tc>
        <w:tc>
          <w:tcPr>
            <w:tcW w:type="dxa" w:w="1474"/>
          </w:tcPr>
          <w:p>
            <w:r>
              <w:rPr>
                <w:rFonts w:ascii="Arial" w:hAnsi="Arial"/>
                <w:sz w:val="17"/>
              </w:rPr>
            </w:r>
          </w:p>
        </w:tc>
        <w:tc>
          <w:tcPr>
            <w:tcW w:type="dxa" w:w="1928"/>
          </w:tcPr>
          <w:p>
            <w:r>
              <w:rPr>
                <w:rFonts w:ascii="Arial" w:hAnsi="Arial"/>
                <w:sz w:val="17"/>
              </w:rPr>
              <w:t>+1.3%</w:t>
            </w:r>
          </w:p>
        </w:tc>
      </w:tr>
    </w:tbl>
    <w:p>
      <w:pPr>
        <w:spacing w:after="40"/>
      </w:pPr>
    </w:p>
    <w:p>
      <w:pPr>
        <w:jc w:val="center"/>
      </w:pPr>
      <w:r>
        <w:drawing>
          <wp:inline xmlns:a="http://schemas.openxmlformats.org/drawingml/2006/main" xmlns:pic="http://schemas.openxmlformats.org/drawingml/2006/picture">
            <wp:extent cx="5580000" cy="2585854"/>
            <wp:docPr id="1" name="Picture 1"/>
            <wp:cNvGraphicFramePr>
              <a:graphicFrameLocks noChangeAspect="1"/>
            </wp:cNvGraphicFramePr>
            <a:graphic>
              <a:graphicData uri="http://schemas.openxmlformats.org/drawingml/2006/picture">
                <pic:pic>
                  <pic:nvPicPr>
                    <pic:cNvPr id="0" name="ff_EFID.png"/>
                    <pic:cNvPicPr/>
                  </pic:nvPicPr>
                  <pic:blipFill>
                    <a:blip r:embed="rId9"/>
                    <a:stretch>
                      <a:fillRect/>
                    </a:stretch>
                  </pic:blipFill>
                  <pic:spPr>
                    <a:xfrm>
                      <a:off x="0" y="0"/>
                      <a:ext cx="5580000" cy="2585854"/>
                    </a:xfrm>
                    <a:prstGeom prst="rect"/>
                  </pic:spPr>
                </pic:pic>
              </a:graphicData>
            </a:graphic>
          </wp:inline>
        </w:drawing>
      </w:r>
    </w:p>
    <w:p>
      <w:pPr>
        <w:spacing w:after="160"/>
        <w:jc w:val="center"/>
      </w:pPr>
      <w:r>
        <w:rPr>
          <w:rFonts w:ascii="Arial" w:hAnsi="Arial"/>
          <w:b w:val="0"/>
          <w:i/>
          <w:color w:val="555555"/>
          <w:sz w:val="16"/>
        </w:rPr>
        <w:t>Figure 1 — the football field: five fundamental lenses plus the Monte-Carlo 50% band, one axis.</w:t>
      </w:r>
    </w:p>
    <w:p>
      <w:pPr>
        <w:spacing w:after="80"/>
      </w:pPr>
      <w:r>
        <w:rPr>
          <w:rFonts w:ascii="Arial" w:hAnsi="Arial"/>
          <w:b w:val="0"/>
          <w:i w:val="0"/>
          <w:sz w:val="19"/>
        </w:rPr>
        <w:t>The DDM is kept at a 10% weight and shown without apology: at a 21.4% cost of equity, cash actually distributed is worth far less than cash retained and compounded at a ~50% ROIC, and the EGP 16.5 read quantifies that gap rather than invalidating the other lenses. The three business-value lenses cluster at 26.7–30.1; the weighted EGP 27.68 sits inside that cluster and on top of the market.</w:t>
      </w:r>
    </w:p>
    <w:p>
      <w:pPr>
        <w:pStyle w:val="Heading2"/>
      </w:pPr>
      <w:r>
        <w:t>1.6  The segments — a deeper look</w:t>
      </w:r>
    </w:p>
    <w:p>
      <w:pPr>
        <w:spacing w:after="80"/>
      </w:pPr>
      <w:r>
        <w:rPr>
          <w:rFonts w:ascii="Arial" w:hAnsi="Arial"/>
          <w:b w:val="0"/>
          <w:i w:val="0"/>
          <w:sz w:val="19"/>
        </w:rPr>
        <w:t xml:space="preserve">Cakes remain the engine — 52% of FY2025 revenue at a 36.6% gross margin — but the past two years’ growth has been broad. Bakery (croissants and the new paté/Molto King lines) grew 26% in FY2025 and 68% in 1Q2026 on capacity additions; rusks +49%; wafers +16% with a toll-manufacturing agreement (MIFAD, Freska Square) signed in 1Q2026 to double capacity; biscuits +75% from a small base under Oniro. Frozen bakery is the one loss-maker (EGP −50m gross in FY2025) — a deliberate option on at-home consumption, small enough to carry. The FY2026E build below applies per-segment growth and margin assumptions and sums to EGP 27.3bn of revenue and EGP 9.36bn of gross profit; at 4.4x EV/gross-profit (what the peer set’s EV/EBITDA implies once SG&amp;A intensity is equalized) plus net cash, the segment lens reads </w:t>
      </w:r>
      <w:r>
        <w:rPr>
          <w:rFonts w:ascii="Arial" w:hAnsi="Arial"/>
          <w:b/>
          <w:i w:val="0"/>
          <w:sz w:val="19"/>
        </w:rPr>
        <w:t>EGP 30.09</w:t>
      </w:r>
      <w:r>
        <w:rPr>
          <w:rFonts w:ascii="Arial" w:hAnsi="Arial"/>
          <w:b w:val="0"/>
          <w:i w:val="0"/>
          <w:sz w:val="19"/>
        </w:rPr>
        <w:t>.</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928"/>
            <w:shd w:val="clear" w:fill="1C6E63"/>
          </w:tcPr>
          <w:p>
            <w:r>
              <w:rPr>
                <w:rFonts w:ascii="Arial" w:hAnsi="Arial"/>
                <w:b/>
                <w:color w:val="FFFFFF"/>
                <w:sz w:val="17"/>
              </w:rPr>
              <w:t>Segment</w:t>
            </w:r>
          </w:p>
        </w:tc>
        <w:tc>
          <w:tcPr>
            <w:tcW w:type="dxa" w:w="1134"/>
            <w:shd w:val="clear" w:fill="1C6E63"/>
          </w:tcPr>
          <w:p>
            <w:r>
              <w:rPr>
                <w:rFonts w:ascii="Arial" w:hAnsi="Arial"/>
                <w:b/>
                <w:color w:val="FFFFFF"/>
                <w:sz w:val="17"/>
              </w:rPr>
              <w:t>FY23 rev</w:t>
            </w:r>
          </w:p>
        </w:tc>
        <w:tc>
          <w:tcPr>
            <w:tcW w:type="dxa" w:w="1134"/>
            <w:shd w:val="clear" w:fill="1C6E63"/>
          </w:tcPr>
          <w:p>
            <w:r>
              <w:rPr>
                <w:rFonts w:ascii="Arial" w:hAnsi="Arial"/>
                <w:b/>
                <w:color w:val="FFFFFF"/>
                <w:sz w:val="17"/>
              </w:rPr>
              <w:t>FY24 rev</w:t>
            </w:r>
          </w:p>
        </w:tc>
        <w:tc>
          <w:tcPr>
            <w:tcW w:type="dxa" w:w="1134"/>
            <w:shd w:val="clear" w:fill="1C6E63"/>
          </w:tcPr>
          <w:p>
            <w:r>
              <w:rPr>
                <w:rFonts w:ascii="Arial" w:hAnsi="Arial"/>
                <w:b/>
                <w:color w:val="FFFFFF"/>
                <w:sz w:val="17"/>
              </w:rPr>
              <w:t>FY25 rev</w:t>
            </w:r>
          </w:p>
        </w:tc>
        <w:tc>
          <w:tcPr>
            <w:tcW w:type="dxa" w:w="1077"/>
            <w:shd w:val="clear" w:fill="1C6E63"/>
          </w:tcPr>
          <w:p>
            <w:r>
              <w:rPr>
                <w:rFonts w:ascii="Arial" w:hAnsi="Arial"/>
                <w:b/>
                <w:color w:val="FFFFFF"/>
                <w:sz w:val="17"/>
              </w:rPr>
              <w:t>FY25 GPM</w:t>
            </w:r>
          </w:p>
        </w:tc>
        <w:tc>
          <w:tcPr>
            <w:tcW w:type="dxa" w:w="1247"/>
            <w:shd w:val="clear" w:fill="1C6E63"/>
          </w:tcPr>
          <w:p>
            <w:r>
              <w:rPr>
                <w:rFonts w:ascii="Arial" w:hAnsi="Arial"/>
                <w:b/>
                <w:color w:val="FFFFFF"/>
                <w:sz w:val="17"/>
              </w:rPr>
              <w:t>FY26E growth</w:t>
            </w:r>
          </w:p>
        </w:tc>
        <w:tc>
          <w:tcPr>
            <w:tcW w:type="dxa" w:w="1191"/>
            <w:shd w:val="clear" w:fill="1C6E63"/>
          </w:tcPr>
          <w:p>
            <w:r>
              <w:rPr>
                <w:rFonts w:ascii="Arial" w:hAnsi="Arial"/>
                <w:b/>
                <w:color w:val="FFFFFF"/>
                <w:sz w:val="17"/>
              </w:rPr>
              <w:t>FY26E rev</w:t>
            </w:r>
          </w:p>
        </w:tc>
        <w:tc>
          <w:tcPr>
            <w:tcW w:type="dxa" w:w="1077"/>
            <w:shd w:val="clear" w:fill="1C6E63"/>
          </w:tcPr>
          <w:p>
            <w:r>
              <w:rPr>
                <w:rFonts w:ascii="Arial" w:hAnsi="Arial"/>
                <w:b/>
                <w:color w:val="FFFFFF"/>
                <w:sz w:val="17"/>
              </w:rPr>
              <w:t>FY26E GP</w:t>
            </w:r>
          </w:p>
        </w:tc>
      </w:tr>
      <w:tr>
        <w:tc>
          <w:tcPr>
            <w:tcW w:type="dxa" w:w="1928"/>
          </w:tcPr>
          <w:p>
            <w:r>
              <w:rPr>
                <w:rFonts w:ascii="Arial" w:hAnsi="Arial"/>
                <w:sz w:val="17"/>
              </w:rPr>
              <w:t>Cakes</w:t>
            </w:r>
          </w:p>
        </w:tc>
        <w:tc>
          <w:tcPr>
            <w:tcW w:type="dxa" w:w="1134"/>
          </w:tcPr>
          <w:p>
            <w:r>
              <w:rPr>
                <w:rFonts w:ascii="Arial" w:hAnsi="Arial"/>
                <w:sz w:val="17"/>
              </w:rPr>
              <w:t>6,033</w:t>
            </w:r>
          </w:p>
        </w:tc>
        <w:tc>
          <w:tcPr>
            <w:tcW w:type="dxa" w:w="1134"/>
          </w:tcPr>
          <w:p>
            <w:r>
              <w:rPr>
                <w:rFonts w:ascii="Arial" w:hAnsi="Arial"/>
                <w:sz w:val="17"/>
              </w:rPr>
              <w:t>8,272</w:t>
            </w:r>
          </w:p>
        </w:tc>
        <w:tc>
          <w:tcPr>
            <w:tcW w:type="dxa" w:w="1134"/>
          </w:tcPr>
          <w:p>
            <w:r>
              <w:rPr>
                <w:rFonts w:ascii="Arial" w:hAnsi="Arial"/>
                <w:sz w:val="17"/>
              </w:rPr>
              <w:t>10,856</w:t>
            </w:r>
          </w:p>
        </w:tc>
        <w:tc>
          <w:tcPr>
            <w:tcW w:type="dxa" w:w="1077"/>
          </w:tcPr>
          <w:p>
            <w:r>
              <w:rPr>
                <w:rFonts w:ascii="Arial" w:hAnsi="Arial"/>
                <w:sz w:val="17"/>
              </w:rPr>
              <w:t>36.6%</w:t>
            </w:r>
          </w:p>
        </w:tc>
        <w:tc>
          <w:tcPr>
            <w:tcW w:type="dxa" w:w="1247"/>
          </w:tcPr>
          <w:p>
            <w:r>
              <w:rPr>
                <w:rFonts w:ascii="Arial" w:hAnsi="Arial"/>
                <w:sz w:val="17"/>
              </w:rPr>
              <w:t>+27%</w:t>
            </w:r>
          </w:p>
        </w:tc>
        <w:tc>
          <w:tcPr>
            <w:tcW w:type="dxa" w:w="1191"/>
          </w:tcPr>
          <w:p>
            <w:r>
              <w:rPr>
                <w:rFonts w:ascii="Arial" w:hAnsi="Arial"/>
                <w:sz w:val="17"/>
              </w:rPr>
              <w:t>13,787</w:t>
            </w:r>
          </w:p>
        </w:tc>
        <w:tc>
          <w:tcPr>
            <w:tcW w:type="dxa" w:w="1077"/>
          </w:tcPr>
          <w:p>
            <w:r>
              <w:rPr>
                <w:rFonts w:ascii="Arial" w:hAnsi="Arial"/>
                <w:sz w:val="17"/>
              </w:rPr>
              <w:t>5,101</w:t>
            </w:r>
          </w:p>
        </w:tc>
      </w:tr>
      <w:tr>
        <w:tc>
          <w:tcPr>
            <w:tcW w:type="dxa" w:w="1928"/>
            <w:shd w:val="clear" w:fill="F4F8F7"/>
          </w:tcPr>
          <w:p>
            <w:r>
              <w:rPr>
                <w:rFonts w:ascii="Arial" w:hAnsi="Arial"/>
                <w:sz w:val="17"/>
              </w:rPr>
              <w:t>Bakery</w:t>
            </w:r>
          </w:p>
        </w:tc>
        <w:tc>
          <w:tcPr>
            <w:tcW w:type="dxa" w:w="1134"/>
            <w:shd w:val="clear" w:fill="F4F8F7"/>
          </w:tcPr>
          <w:p>
            <w:r>
              <w:rPr>
                <w:rFonts w:ascii="Arial" w:hAnsi="Arial"/>
                <w:sz w:val="17"/>
              </w:rPr>
              <w:t>4,067</w:t>
            </w:r>
          </w:p>
        </w:tc>
        <w:tc>
          <w:tcPr>
            <w:tcW w:type="dxa" w:w="1134"/>
            <w:shd w:val="clear" w:fill="F4F8F7"/>
          </w:tcPr>
          <w:p>
            <w:r>
              <w:rPr>
                <w:rFonts w:ascii="Arial" w:hAnsi="Arial"/>
                <w:sz w:val="17"/>
              </w:rPr>
              <w:t>4,657</w:t>
            </w:r>
          </w:p>
        </w:tc>
        <w:tc>
          <w:tcPr>
            <w:tcW w:type="dxa" w:w="1134"/>
            <w:shd w:val="clear" w:fill="F4F8F7"/>
          </w:tcPr>
          <w:p>
            <w:r>
              <w:rPr>
                <w:rFonts w:ascii="Arial" w:hAnsi="Arial"/>
                <w:sz w:val="17"/>
              </w:rPr>
              <w:t>5,885</w:t>
            </w:r>
          </w:p>
        </w:tc>
        <w:tc>
          <w:tcPr>
            <w:tcW w:type="dxa" w:w="1077"/>
            <w:shd w:val="clear" w:fill="F4F8F7"/>
          </w:tcPr>
          <w:p>
            <w:r>
              <w:rPr>
                <w:rFonts w:ascii="Arial" w:hAnsi="Arial"/>
                <w:sz w:val="17"/>
              </w:rPr>
              <w:t>33.4%</w:t>
            </w:r>
          </w:p>
        </w:tc>
        <w:tc>
          <w:tcPr>
            <w:tcW w:type="dxa" w:w="1247"/>
            <w:shd w:val="clear" w:fill="F4F8F7"/>
          </w:tcPr>
          <w:p>
            <w:r>
              <w:rPr>
                <w:rFonts w:ascii="Arial" w:hAnsi="Arial"/>
                <w:sz w:val="17"/>
              </w:rPr>
              <w:t>+38%</w:t>
            </w:r>
          </w:p>
        </w:tc>
        <w:tc>
          <w:tcPr>
            <w:tcW w:type="dxa" w:w="1191"/>
            <w:shd w:val="clear" w:fill="F4F8F7"/>
          </w:tcPr>
          <w:p>
            <w:r>
              <w:rPr>
                <w:rFonts w:ascii="Arial" w:hAnsi="Arial"/>
                <w:sz w:val="17"/>
              </w:rPr>
              <w:t>8,122</w:t>
            </w:r>
          </w:p>
        </w:tc>
        <w:tc>
          <w:tcPr>
            <w:tcW w:type="dxa" w:w="1077"/>
            <w:shd w:val="clear" w:fill="F4F8F7"/>
          </w:tcPr>
          <w:p>
            <w:r>
              <w:rPr>
                <w:rFonts w:ascii="Arial" w:hAnsi="Arial"/>
                <w:sz w:val="17"/>
              </w:rPr>
              <w:t>2,721</w:t>
            </w:r>
          </w:p>
        </w:tc>
      </w:tr>
      <w:tr>
        <w:tc>
          <w:tcPr>
            <w:tcW w:type="dxa" w:w="1928"/>
          </w:tcPr>
          <w:p>
            <w:r>
              <w:rPr>
                <w:rFonts w:ascii="Arial" w:hAnsi="Arial"/>
                <w:sz w:val="17"/>
              </w:rPr>
              <w:t>Wafers</w:t>
            </w:r>
          </w:p>
        </w:tc>
        <w:tc>
          <w:tcPr>
            <w:tcW w:type="dxa" w:w="1134"/>
          </w:tcPr>
          <w:p>
            <w:r>
              <w:rPr>
                <w:rFonts w:ascii="Arial" w:hAnsi="Arial"/>
                <w:sz w:val="17"/>
              </w:rPr>
              <w:t>1,079</w:t>
            </w:r>
          </w:p>
        </w:tc>
        <w:tc>
          <w:tcPr>
            <w:tcW w:type="dxa" w:w="1134"/>
          </w:tcPr>
          <w:p>
            <w:r>
              <w:rPr>
                <w:rFonts w:ascii="Arial" w:hAnsi="Arial"/>
                <w:sz w:val="17"/>
              </w:rPr>
              <w:t>1,735</w:t>
            </w:r>
          </w:p>
        </w:tc>
        <w:tc>
          <w:tcPr>
            <w:tcW w:type="dxa" w:w="1134"/>
          </w:tcPr>
          <w:p>
            <w:r>
              <w:rPr>
                <w:rFonts w:ascii="Arial" w:hAnsi="Arial"/>
                <w:sz w:val="17"/>
              </w:rPr>
              <w:t>2,019</w:t>
            </w:r>
          </w:p>
        </w:tc>
        <w:tc>
          <w:tcPr>
            <w:tcW w:type="dxa" w:w="1077"/>
          </w:tcPr>
          <w:p>
            <w:r>
              <w:rPr>
                <w:rFonts w:ascii="Arial" w:hAnsi="Arial"/>
                <w:sz w:val="17"/>
              </w:rPr>
              <w:t>31.0%</w:t>
            </w:r>
          </w:p>
        </w:tc>
        <w:tc>
          <w:tcPr>
            <w:tcW w:type="dxa" w:w="1247"/>
          </w:tcPr>
          <w:p>
            <w:r>
              <w:rPr>
                <w:rFonts w:ascii="Arial" w:hAnsi="Arial"/>
                <w:sz w:val="17"/>
              </w:rPr>
              <w:t>+22%</w:t>
            </w:r>
          </w:p>
        </w:tc>
        <w:tc>
          <w:tcPr>
            <w:tcW w:type="dxa" w:w="1191"/>
          </w:tcPr>
          <w:p>
            <w:r>
              <w:rPr>
                <w:rFonts w:ascii="Arial" w:hAnsi="Arial"/>
                <w:sz w:val="17"/>
              </w:rPr>
              <w:t>2,463</w:t>
            </w:r>
          </w:p>
        </w:tc>
        <w:tc>
          <w:tcPr>
            <w:tcW w:type="dxa" w:w="1077"/>
          </w:tcPr>
          <w:p>
            <w:r>
              <w:rPr>
                <w:rFonts w:ascii="Arial" w:hAnsi="Arial"/>
                <w:sz w:val="17"/>
              </w:rPr>
              <w:t>776</w:t>
            </w:r>
          </w:p>
        </w:tc>
      </w:tr>
      <w:tr>
        <w:tc>
          <w:tcPr>
            <w:tcW w:type="dxa" w:w="1928"/>
            <w:shd w:val="clear" w:fill="F4F8F7"/>
          </w:tcPr>
          <w:p>
            <w:r>
              <w:rPr>
                <w:rFonts w:ascii="Arial" w:hAnsi="Arial"/>
                <w:sz w:val="17"/>
              </w:rPr>
              <w:t>Rusks</w:t>
            </w:r>
          </w:p>
        </w:tc>
        <w:tc>
          <w:tcPr>
            <w:tcW w:type="dxa" w:w="1134"/>
            <w:shd w:val="clear" w:fill="F4F8F7"/>
          </w:tcPr>
          <w:p>
            <w:r>
              <w:rPr>
                <w:rFonts w:ascii="Arial" w:hAnsi="Arial"/>
                <w:sz w:val="17"/>
              </w:rPr>
              <w:t>545</w:t>
            </w:r>
          </w:p>
        </w:tc>
        <w:tc>
          <w:tcPr>
            <w:tcW w:type="dxa" w:w="1134"/>
            <w:shd w:val="clear" w:fill="F4F8F7"/>
          </w:tcPr>
          <w:p>
            <w:r>
              <w:rPr>
                <w:rFonts w:ascii="Arial" w:hAnsi="Arial"/>
                <w:sz w:val="17"/>
              </w:rPr>
              <w:t>727</w:t>
            </w:r>
          </w:p>
        </w:tc>
        <w:tc>
          <w:tcPr>
            <w:tcW w:type="dxa" w:w="1134"/>
            <w:shd w:val="clear" w:fill="F4F8F7"/>
          </w:tcPr>
          <w:p>
            <w:r>
              <w:rPr>
                <w:rFonts w:ascii="Arial" w:hAnsi="Arial"/>
                <w:sz w:val="17"/>
              </w:rPr>
              <w:t>1,085</w:t>
            </w:r>
          </w:p>
        </w:tc>
        <w:tc>
          <w:tcPr>
            <w:tcW w:type="dxa" w:w="1077"/>
            <w:shd w:val="clear" w:fill="F4F8F7"/>
          </w:tcPr>
          <w:p>
            <w:r>
              <w:rPr>
                <w:rFonts w:ascii="Arial" w:hAnsi="Arial"/>
                <w:sz w:val="17"/>
              </w:rPr>
              <w:t>29.9%</w:t>
            </w:r>
          </w:p>
        </w:tc>
        <w:tc>
          <w:tcPr>
            <w:tcW w:type="dxa" w:w="1247"/>
            <w:shd w:val="clear" w:fill="F4F8F7"/>
          </w:tcPr>
          <w:p>
            <w:r>
              <w:rPr>
                <w:rFonts w:ascii="Arial" w:hAnsi="Arial"/>
                <w:sz w:val="17"/>
              </w:rPr>
              <w:t>+40%</w:t>
            </w:r>
          </w:p>
        </w:tc>
        <w:tc>
          <w:tcPr>
            <w:tcW w:type="dxa" w:w="1191"/>
            <w:shd w:val="clear" w:fill="F4F8F7"/>
          </w:tcPr>
          <w:p>
            <w:r>
              <w:rPr>
                <w:rFonts w:ascii="Arial" w:hAnsi="Arial"/>
                <w:sz w:val="17"/>
              </w:rPr>
              <w:t>1,519</w:t>
            </w:r>
          </w:p>
        </w:tc>
        <w:tc>
          <w:tcPr>
            <w:tcW w:type="dxa" w:w="1077"/>
            <w:shd w:val="clear" w:fill="F4F8F7"/>
          </w:tcPr>
          <w:p>
            <w:r>
              <w:rPr>
                <w:rFonts w:ascii="Arial" w:hAnsi="Arial"/>
                <w:sz w:val="17"/>
              </w:rPr>
              <w:t>471</w:t>
            </w:r>
          </w:p>
        </w:tc>
      </w:tr>
      <w:tr>
        <w:tc>
          <w:tcPr>
            <w:tcW w:type="dxa" w:w="1928"/>
          </w:tcPr>
          <w:p>
            <w:r>
              <w:rPr>
                <w:rFonts w:ascii="Arial" w:hAnsi="Arial"/>
                <w:sz w:val="17"/>
              </w:rPr>
              <w:t>Candy</w:t>
            </w:r>
          </w:p>
        </w:tc>
        <w:tc>
          <w:tcPr>
            <w:tcW w:type="dxa" w:w="1134"/>
          </w:tcPr>
          <w:p>
            <w:r>
              <w:rPr>
                <w:rFonts w:ascii="Arial" w:hAnsi="Arial"/>
                <w:sz w:val="17"/>
              </w:rPr>
              <w:t>308</w:t>
            </w:r>
          </w:p>
        </w:tc>
        <w:tc>
          <w:tcPr>
            <w:tcW w:type="dxa" w:w="1134"/>
          </w:tcPr>
          <w:p>
            <w:r>
              <w:rPr>
                <w:rFonts w:ascii="Arial" w:hAnsi="Arial"/>
                <w:sz w:val="17"/>
              </w:rPr>
              <w:t>485</w:t>
            </w:r>
          </w:p>
        </w:tc>
        <w:tc>
          <w:tcPr>
            <w:tcW w:type="dxa" w:w="1134"/>
          </w:tcPr>
          <w:p>
            <w:r>
              <w:rPr>
                <w:rFonts w:ascii="Arial" w:hAnsi="Arial"/>
                <w:sz w:val="17"/>
              </w:rPr>
              <w:t>558</w:t>
            </w:r>
          </w:p>
        </w:tc>
        <w:tc>
          <w:tcPr>
            <w:tcW w:type="dxa" w:w="1077"/>
          </w:tcPr>
          <w:p>
            <w:r>
              <w:rPr>
                <w:rFonts w:ascii="Arial" w:hAnsi="Arial"/>
                <w:sz w:val="17"/>
              </w:rPr>
              <w:t>27.1%</w:t>
            </w:r>
          </w:p>
        </w:tc>
        <w:tc>
          <w:tcPr>
            <w:tcW w:type="dxa" w:w="1247"/>
          </w:tcPr>
          <w:p>
            <w:r>
              <w:rPr>
                <w:rFonts w:ascii="Arial" w:hAnsi="Arial"/>
                <w:sz w:val="17"/>
              </w:rPr>
              <w:t>+18%</w:t>
            </w:r>
          </w:p>
        </w:tc>
        <w:tc>
          <w:tcPr>
            <w:tcW w:type="dxa" w:w="1191"/>
          </w:tcPr>
          <w:p>
            <w:r>
              <w:rPr>
                <w:rFonts w:ascii="Arial" w:hAnsi="Arial"/>
                <w:sz w:val="17"/>
              </w:rPr>
              <w:t>658</w:t>
            </w:r>
          </w:p>
        </w:tc>
        <w:tc>
          <w:tcPr>
            <w:tcW w:type="dxa" w:w="1077"/>
          </w:tcPr>
          <w:p>
            <w:r>
              <w:rPr>
                <w:rFonts w:ascii="Arial" w:hAnsi="Arial"/>
                <w:sz w:val="17"/>
              </w:rPr>
              <w:t>188</w:t>
            </w:r>
          </w:p>
        </w:tc>
      </w:tr>
      <w:tr>
        <w:tc>
          <w:tcPr>
            <w:tcW w:type="dxa" w:w="1928"/>
            <w:shd w:val="clear" w:fill="F4F8F7"/>
          </w:tcPr>
          <w:p>
            <w:r>
              <w:rPr>
                <w:rFonts w:ascii="Arial" w:hAnsi="Arial"/>
                <w:sz w:val="17"/>
              </w:rPr>
              <w:t>Biscuits</w:t>
            </w:r>
          </w:p>
        </w:tc>
        <w:tc>
          <w:tcPr>
            <w:tcW w:type="dxa" w:w="1134"/>
            <w:shd w:val="clear" w:fill="F4F8F7"/>
          </w:tcPr>
          <w:p>
            <w:r>
              <w:rPr>
                <w:rFonts w:ascii="Arial" w:hAnsi="Arial"/>
                <w:sz w:val="17"/>
              </w:rPr>
              <w:t>80</w:t>
            </w:r>
          </w:p>
        </w:tc>
        <w:tc>
          <w:tcPr>
            <w:tcW w:type="dxa" w:w="1134"/>
            <w:shd w:val="clear" w:fill="F4F8F7"/>
          </w:tcPr>
          <w:p>
            <w:r>
              <w:rPr>
                <w:rFonts w:ascii="Arial" w:hAnsi="Arial"/>
                <w:sz w:val="17"/>
              </w:rPr>
              <w:t>196</w:t>
            </w:r>
          </w:p>
        </w:tc>
        <w:tc>
          <w:tcPr>
            <w:tcW w:type="dxa" w:w="1134"/>
            <w:shd w:val="clear" w:fill="F4F8F7"/>
          </w:tcPr>
          <w:p>
            <w:r>
              <w:rPr>
                <w:rFonts w:ascii="Arial" w:hAnsi="Arial"/>
                <w:sz w:val="17"/>
              </w:rPr>
              <w:t>344</w:t>
            </w:r>
          </w:p>
        </w:tc>
        <w:tc>
          <w:tcPr>
            <w:tcW w:type="dxa" w:w="1077"/>
            <w:shd w:val="clear" w:fill="F4F8F7"/>
          </w:tcPr>
          <w:p>
            <w:r>
              <w:rPr>
                <w:rFonts w:ascii="Arial" w:hAnsi="Arial"/>
                <w:sz w:val="17"/>
              </w:rPr>
              <w:t>21.8%</w:t>
            </w:r>
          </w:p>
        </w:tc>
        <w:tc>
          <w:tcPr>
            <w:tcW w:type="dxa" w:w="1247"/>
            <w:shd w:val="clear" w:fill="F4F8F7"/>
          </w:tcPr>
          <w:p>
            <w:r>
              <w:rPr>
                <w:rFonts w:ascii="Arial" w:hAnsi="Arial"/>
                <w:sz w:val="17"/>
              </w:rPr>
              <w:t>+45%</w:t>
            </w:r>
          </w:p>
        </w:tc>
        <w:tc>
          <w:tcPr>
            <w:tcW w:type="dxa" w:w="1191"/>
            <w:shd w:val="clear" w:fill="F4F8F7"/>
          </w:tcPr>
          <w:p>
            <w:r>
              <w:rPr>
                <w:rFonts w:ascii="Arial" w:hAnsi="Arial"/>
                <w:sz w:val="17"/>
              </w:rPr>
              <w:t>498</w:t>
            </w:r>
          </w:p>
        </w:tc>
        <w:tc>
          <w:tcPr>
            <w:tcW w:type="dxa" w:w="1077"/>
            <w:shd w:val="clear" w:fill="F4F8F7"/>
          </w:tcPr>
          <w:p>
            <w:r>
              <w:rPr>
                <w:rFonts w:ascii="Arial" w:hAnsi="Arial"/>
                <w:sz w:val="17"/>
              </w:rPr>
              <w:t>122</w:t>
            </w:r>
          </w:p>
        </w:tc>
      </w:tr>
      <w:tr>
        <w:tc>
          <w:tcPr>
            <w:tcW w:type="dxa" w:w="1928"/>
          </w:tcPr>
          <w:p>
            <w:r>
              <w:rPr>
                <w:rFonts w:ascii="Arial" w:hAnsi="Arial"/>
                <w:sz w:val="17"/>
              </w:rPr>
              <w:t>Frozen</w:t>
            </w:r>
          </w:p>
        </w:tc>
        <w:tc>
          <w:tcPr>
            <w:tcW w:type="dxa" w:w="1134"/>
          </w:tcPr>
          <w:p>
            <w:r>
              <w:rPr>
                <w:rFonts w:ascii="Arial" w:hAnsi="Arial"/>
                <w:sz w:val="17"/>
              </w:rPr>
              <w:t>15</w:t>
            </w:r>
          </w:p>
        </w:tc>
        <w:tc>
          <w:tcPr>
            <w:tcW w:type="dxa" w:w="1134"/>
          </w:tcPr>
          <w:p>
            <w:r>
              <w:rPr>
                <w:rFonts w:ascii="Arial" w:hAnsi="Arial"/>
                <w:sz w:val="17"/>
              </w:rPr>
              <w:t>72</w:t>
            </w:r>
          </w:p>
        </w:tc>
        <w:tc>
          <w:tcPr>
            <w:tcW w:type="dxa" w:w="1134"/>
          </w:tcPr>
          <w:p>
            <w:r>
              <w:rPr>
                <w:rFonts w:ascii="Arial" w:hAnsi="Arial"/>
                <w:sz w:val="17"/>
              </w:rPr>
              <w:t>62</w:t>
            </w:r>
          </w:p>
        </w:tc>
        <w:tc>
          <w:tcPr>
            <w:tcW w:type="dxa" w:w="1077"/>
          </w:tcPr>
          <w:p>
            <w:r>
              <w:rPr>
                <w:rFonts w:ascii="Arial" w:hAnsi="Arial"/>
                <w:sz w:val="17"/>
              </w:rPr>
              <w:t>neg.</w:t>
            </w:r>
          </w:p>
        </w:tc>
        <w:tc>
          <w:tcPr>
            <w:tcW w:type="dxa" w:w="1247"/>
          </w:tcPr>
          <w:p>
            <w:r>
              <w:rPr>
                <w:rFonts w:ascii="Arial" w:hAnsi="Arial"/>
                <w:sz w:val="17"/>
              </w:rPr>
              <w:t>+30%</w:t>
            </w:r>
          </w:p>
        </w:tc>
        <w:tc>
          <w:tcPr>
            <w:tcW w:type="dxa" w:w="1191"/>
          </w:tcPr>
          <w:p>
            <w:r>
              <w:rPr>
                <w:rFonts w:ascii="Arial" w:hAnsi="Arial"/>
                <w:sz w:val="17"/>
              </w:rPr>
              <w:t>81</w:t>
            </w:r>
          </w:p>
        </w:tc>
        <w:tc>
          <w:tcPr>
            <w:tcW w:type="dxa" w:w="1077"/>
          </w:tcPr>
          <w:p>
            <w:r>
              <w:rPr>
                <w:rFonts w:ascii="Arial" w:hAnsi="Arial"/>
                <w:sz w:val="17"/>
              </w:rPr>
              <w:t>(24)</w:t>
            </w:r>
          </w:p>
        </w:tc>
      </w:tr>
      <w:tr>
        <w:tc>
          <w:tcPr>
            <w:tcW w:type="dxa" w:w="1928"/>
            <w:shd w:val="clear" w:fill="F4F8F7"/>
          </w:tcPr>
          <w:p>
            <w:r>
              <w:rPr>
                <w:rFonts w:ascii="Arial" w:hAnsi="Arial"/>
                <w:sz w:val="17"/>
              </w:rPr>
              <w:t>Raw chips &amp; other</w:t>
            </w:r>
          </w:p>
        </w:tc>
        <w:tc>
          <w:tcPr>
            <w:tcW w:type="dxa" w:w="1134"/>
            <w:shd w:val="clear" w:fill="F4F8F7"/>
          </w:tcPr>
          <w:p>
            <w:r>
              <w:rPr>
                <w:rFonts w:ascii="Arial" w:hAnsi="Arial"/>
                <w:sz w:val="17"/>
              </w:rPr>
              <w:t>0</w:t>
            </w:r>
          </w:p>
        </w:tc>
        <w:tc>
          <w:tcPr>
            <w:tcW w:type="dxa" w:w="1134"/>
            <w:shd w:val="clear" w:fill="F4F8F7"/>
          </w:tcPr>
          <w:p>
            <w:r>
              <w:rPr>
                <w:rFonts w:ascii="Arial" w:hAnsi="Arial"/>
                <w:sz w:val="17"/>
              </w:rPr>
              <w:t>2</w:t>
            </w:r>
          </w:p>
        </w:tc>
        <w:tc>
          <w:tcPr>
            <w:tcW w:type="dxa" w:w="1134"/>
            <w:shd w:val="clear" w:fill="F4F8F7"/>
          </w:tcPr>
          <w:p>
            <w:r>
              <w:rPr>
                <w:rFonts w:ascii="Arial" w:hAnsi="Arial"/>
                <w:sz w:val="17"/>
              </w:rPr>
              <w:t>107</w:t>
            </w:r>
          </w:p>
        </w:tc>
        <w:tc>
          <w:tcPr>
            <w:tcW w:type="dxa" w:w="1077"/>
            <w:shd w:val="clear" w:fill="F4F8F7"/>
          </w:tcPr>
          <w:p>
            <w:r>
              <w:rPr>
                <w:rFonts w:ascii="Arial" w:hAnsi="Arial"/>
                <w:sz w:val="17"/>
              </w:rPr>
              <w:t>15.1%</w:t>
            </w:r>
          </w:p>
        </w:tc>
        <w:tc>
          <w:tcPr>
            <w:tcW w:type="dxa" w:w="1247"/>
            <w:shd w:val="clear" w:fill="F4F8F7"/>
          </w:tcPr>
          <w:p>
            <w:r>
              <w:rPr>
                <w:rFonts w:ascii="Arial" w:hAnsi="Arial"/>
                <w:sz w:val="17"/>
              </w:rPr>
              <w:t>+60%</w:t>
            </w:r>
          </w:p>
        </w:tc>
        <w:tc>
          <w:tcPr>
            <w:tcW w:type="dxa" w:w="1191"/>
            <w:shd w:val="clear" w:fill="F4F8F7"/>
          </w:tcPr>
          <w:p>
            <w:r>
              <w:rPr>
                <w:rFonts w:ascii="Arial" w:hAnsi="Arial"/>
                <w:sz w:val="17"/>
              </w:rPr>
              <w:t>172</w:t>
            </w:r>
          </w:p>
        </w:tc>
        <w:tc>
          <w:tcPr>
            <w:tcW w:type="dxa" w:w="1077"/>
            <w:shd w:val="clear" w:fill="F4F8F7"/>
          </w:tcPr>
          <w:p>
            <w:r>
              <w:rPr>
                <w:rFonts w:ascii="Arial" w:hAnsi="Arial"/>
                <w:sz w:val="17"/>
              </w:rPr>
              <w:t>26</w:t>
            </w:r>
          </w:p>
        </w:tc>
      </w:tr>
      <w:tr>
        <w:tc>
          <w:tcPr>
            <w:tcW w:type="dxa" w:w="1928"/>
          </w:tcPr>
          <w:p>
            <w:r>
              <w:rPr>
                <w:rFonts w:ascii="Arial" w:hAnsi="Arial"/>
                <w:sz w:val="17"/>
              </w:rPr>
              <w:t>Total</w:t>
            </w:r>
          </w:p>
        </w:tc>
        <w:tc>
          <w:tcPr>
            <w:tcW w:type="dxa" w:w="1134"/>
          </w:tcPr>
          <w:p>
            <w:r>
              <w:rPr>
                <w:rFonts w:ascii="Arial" w:hAnsi="Arial"/>
                <w:sz w:val="17"/>
              </w:rPr>
              <w:t>12,126</w:t>
            </w:r>
          </w:p>
        </w:tc>
        <w:tc>
          <w:tcPr>
            <w:tcW w:type="dxa" w:w="1134"/>
          </w:tcPr>
          <w:p>
            <w:r>
              <w:rPr>
                <w:rFonts w:ascii="Arial" w:hAnsi="Arial"/>
                <w:sz w:val="17"/>
              </w:rPr>
              <w:t>16,146</w:t>
            </w:r>
          </w:p>
        </w:tc>
        <w:tc>
          <w:tcPr>
            <w:tcW w:type="dxa" w:w="1134"/>
          </w:tcPr>
          <w:p>
            <w:r>
              <w:rPr>
                <w:rFonts w:ascii="Arial" w:hAnsi="Arial"/>
                <w:sz w:val="17"/>
              </w:rPr>
              <w:t>20,915</w:t>
            </w:r>
          </w:p>
        </w:tc>
        <w:tc>
          <w:tcPr>
            <w:tcW w:type="dxa" w:w="1077"/>
          </w:tcPr>
          <w:p>
            <w:r>
              <w:rPr>
                <w:rFonts w:ascii="Arial" w:hAnsi="Arial"/>
                <w:sz w:val="17"/>
              </w:rPr>
              <w:t>33.9%</w:t>
            </w:r>
          </w:p>
        </w:tc>
        <w:tc>
          <w:tcPr>
            <w:tcW w:type="dxa" w:w="1247"/>
          </w:tcPr>
          <w:p>
            <w:r>
              <w:rPr>
                <w:rFonts w:ascii="Arial" w:hAnsi="Arial"/>
                <w:sz w:val="17"/>
              </w:rPr>
              <w:t>+30.5%</w:t>
            </w:r>
          </w:p>
        </w:tc>
        <w:tc>
          <w:tcPr>
            <w:tcW w:type="dxa" w:w="1191"/>
          </w:tcPr>
          <w:p>
            <w:r>
              <w:rPr>
                <w:rFonts w:ascii="Arial" w:hAnsi="Arial"/>
                <w:sz w:val="17"/>
              </w:rPr>
              <w:t>27,299</w:t>
            </w:r>
          </w:p>
        </w:tc>
        <w:tc>
          <w:tcPr>
            <w:tcW w:type="dxa" w:w="1077"/>
          </w:tcPr>
          <w:p>
            <w:r>
              <w:rPr>
                <w:rFonts w:ascii="Arial" w:hAnsi="Arial"/>
                <w:sz w:val="17"/>
              </w:rPr>
              <w:t>9,381</w:t>
            </w:r>
          </w:p>
        </w:tc>
      </w:tr>
    </w:tbl>
    <w:p>
      <w:pPr>
        <w:spacing w:after="40"/>
      </w:pP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928"/>
            <w:shd w:val="clear" w:fill="1C6E63"/>
          </w:tcPr>
          <w:p>
            <w:r>
              <w:rPr>
                <w:rFonts w:ascii="Arial" w:hAnsi="Arial"/>
                <w:b/>
                <w:color w:val="FFFFFF"/>
                <w:sz w:val="17"/>
              </w:rPr>
              <w:t>Segment scorecard</w:t>
            </w:r>
          </w:p>
        </w:tc>
        <w:tc>
          <w:tcPr>
            <w:tcW w:type="dxa" w:w="1928"/>
            <w:shd w:val="clear" w:fill="1C6E63"/>
          </w:tcPr>
          <w:p>
            <w:r>
              <w:rPr>
                <w:rFonts w:ascii="Arial" w:hAnsi="Arial"/>
                <w:b/>
                <w:color w:val="FFFFFF"/>
                <w:sz w:val="17"/>
              </w:rPr>
              <w:t>Market position</w:t>
            </w:r>
          </w:p>
        </w:tc>
        <w:tc>
          <w:tcPr>
            <w:tcW w:type="dxa" w:w="1531"/>
            <w:shd w:val="clear" w:fill="1C6E63"/>
          </w:tcPr>
          <w:p>
            <w:r>
              <w:rPr>
                <w:rFonts w:ascii="Arial" w:hAnsi="Arial"/>
                <w:b/>
                <w:color w:val="FFFFFF"/>
                <w:sz w:val="17"/>
              </w:rPr>
              <w:t>Growth</w:t>
            </w:r>
          </w:p>
        </w:tc>
        <w:tc>
          <w:tcPr>
            <w:tcW w:type="dxa" w:w="1531"/>
            <w:shd w:val="clear" w:fill="1C6E63"/>
          </w:tcPr>
          <w:p>
            <w:r>
              <w:rPr>
                <w:rFonts w:ascii="Arial" w:hAnsi="Arial"/>
                <w:b/>
                <w:color w:val="FFFFFF"/>
                <w:sz w:val="17"/>
              </w:rPr>
              <w:t>Margin</w:t>
            </w:r>
          </w:p>
        </w:tc>
        <w:tc>
          <w:tcPr>
            <w:tcW w:type="dxa" w:w="1531"/>
            <w:shd w:val="clear" w:fill="1C6E63"/>
          </w:tcPr>
          <w:p>
            <w:r>
              <w:rPr>
                <w:rFonts w:ascii="Arial" w:hAnsi="Arial"/>
                <w:b/>
                <w:color w:val="FFFFFF"/>
                <w:sz w:val="17"/>
              </w:rPr>
              <w:t>Capital need</w:t>
            </w:r>
          </w:p>
        </w:tc>
        <w:tc>
          <w:tcPr>
            <w:tcW w:type="dxa" w:w="794"/>
            <w:shd w:val="clear" w:fill="1C6E63"/>
          </w:tcPr>
          <w:p>
            <w:r>
              <w:rPr>
                <w:rFonts w:ascii="Arial" w:hAnsi="Arial"/>
                <w:b/>
                <w:color w:val="FFFFFF"/>
                <w:sz w:val="17"/>
              </w:rPr>
              <w:t>Grade</w:t>
            </w:r>
          </w:p>
        </w:tc>
      </w:tr>
      <w:tr>
        <w:tc>
          <w:tcPr>
            <w:tcW w:type="dxa" w:w="1928"/>
          </w:tcPr>
          <w:p>
            <w:r>
              <w:rPr>
                <w:rFonts w:ascii="Arial" w:hAnsi="Arial"/>
                <w:sz w:val="17"/>
              </w:rPr>
              <w:t>Cakes</w:t>
            </w:r>
          </w:p>
        </w:tc>
        <w:tc>
          <w:tcPr>
            <w:tcW w:type="dxa" w:w="1928"/>
          </w:tcPr>
          <w:p>
            <w:r>
              <w:rPr>
                <w:rFonts w:ascii="Arial" w:hAnsi="Arial"/>
                <w:sz w:val="17"/>
              </w:rPr>
              <w:t>~half the market, HTT brands owned</w:t>
            </w:r>
          </w:p>
        </w:tc>
        <w:tc>
          <w:tcPr>
            <w:tcW w:type="dxa" w:w="1531"/>
          </w:tcPr>
          <w:p>
            <w:r>
              <w:rPr>
                <w:rFonts w:ascii="Arial" w:hAnsi="Arial"/>
                <w:sz w:val="17"/>
              </w:rPr>
              <w:t>volume-led, mature</w:t>
            </w:r>
          </w:p>
        </w:tc>
        <w:tc>
          <w:tcPr>
            <w:tcW w:type="dxa" w:w="1531"/>
          </w:tcPr>
          <w:p>
            <w:r>
              <w:rPr>
                <w:rFonts w:ascii="Arial" w:hAnsi="Arial"/>
                <w:sz w:val="17"/>
              </w:rPr>
              <w:t>best in house</w:t>
            </w:r>
          </w:p>
        </w:tc>
        <w:tc>
          <w:tcPr>
            <w:tcW w:type="dxa" w:w="1531"/>
          </w:tcPr>
          <w:p>
            <w:r>
              <w:rPr>
                <w:rFonts w:ascii="Arial" w:hAnsi="Arial"/>
                <w:sz w:val="17"/>
              </w:rPr>
              <w:t>moderate</w:t>
            </w:r>
          </w:p>
        </w:tc>
        <w:tc>
          <w:tcPr>
            <w:tcW w:type="dxa" w:w="794"/>
          </w:tcPr>
          <w:p>
            <w:r>
              <w:rPr>
                <w:rFonts w:ascii="Arial" w:hAnsi="Arial"/>
                <w:sz w:val="17"/>
              </w:rPr>
              <w:t>A</w:t>
            </w:r>
          </w:p>
        </w:tc>
      </w:tr>
      <w:tr>
        <w:tc>
          <w:tcPr>
            <w:tcW w:type="dxa" w:w="1928"/>
            <w:shd w:val="clear" w:fill="F4F8F7"/>
          </w:tcPr>
          <w:p>
            <w:r>
              <w:rPr>
                <w:rFonts w:ascii="Arial" w:hAnsi="Arial"/>
                <w:sz w:val="17"/>
              </w:rPr>
              <w:t>Bakery / croissants</w:t>
            </w:r>
          </w:p>
        </w:tc>
        <w:tc>
          <w:tcPr>
            <w:tcW w:type="dxa" w:w="1928"/>
            <w:shd w:val="clear" w:fill="F4F8F7"/>
          </w:tcPr>
          <w:p>
            <w:r>
              <w:rPr>
                <w:rFonts w:ascii="Arial" w:hAnsi="Arial"/>
                <w:sz w:val="17"/>
              </w:rPr>
              <w:t>dominant, new formats scaling</w:t>
            </w:r>
          </w:p>
        </w:tc>
        <w:tc>
          <w:tcPr>
            <w:tcW w:type="dxa" w:w="1531"/>
            <w:shd w:val="clear" w:fill="F4F8F7"/>
          </w:tcPr>
          <w:p>
            <w:r>
              <w:rPr>
                <w:rFonts w:ascii="Arial" w:hAnsi="Arial"/>
                <w:sz w:val="17"/>
              </w:rPr>
              <w:t>fastest large segment</w:t>
            </w:r>
          </w:p>
        </w:tc>
        <w:tc>
          <w:tcPr>
            <w:tcW w:type="dxa" w:w="1531"/>
            <w:shd w:val="clear" w:fill="F4F8F7"/>
          </w:tcPr>
          <w:p>
            <w:r>
              <w:rPr>
                <w:rFonts w:ascii="Arial" w:hAnsi="Arial"/>
                <w:sz w:val="17"/>
              </w:rPr>
              <w:t>rebuilt to 33%+</w:t>
            </w:r>
          </w:p>
        </w:tc>
        <w:tc>
          <w:tcPr>
            <w:tcW w:type="dxa" w:w="1531"/>
            <w:shd w:val="clear" w:fill="F4F8F7"/>
          </w:tcPr>
          <w:p>
            <w:r>
              <w:rPr>
                <w:rFonts w:ascii="Arial" w:hAnsi="Arial"/>
                <w:sz w:val="17"/>
              </w:rPr>
              <w:t>new lines added</w:t>
            </w:r>
          </w:p>
        </w:tc>
        <w:tc>
          <w:tcPr>
            <w:tcW w:type="dxa" w:w="794"/>
            <w:shd w:val="clear" w:fill="F4F8F7"/>
          </w:tcPr>
          <w:p>
            <w:r>
              <w:rPr>
                <w:rFonts w:ascii="Arial" w:hAnsi="Arial"/>
                <w:sz w:val="17"/>
              </w:rPr>
              <w:t>A−</w:t>
            </w:r>
          </w:p>
        </w:tc>
      </w:tr>
      <w:tr>
        <w:tc>
          <w:tcPr>
            <w:tcW w:type="dxa" w:w="1928"/>
          </w:tcPr>
          <w:p>
            <w:r>
              <w:rPr>
                <w:rFonts w:ascii="Arial" w:hAnsi="Arial"/>
                <w:sz w:val="17"/>
              </w:rPr>
              <w:t>Wafers</w:t>
            </w:r>
          </w:p>
        </w:tc>
        <w:tc>
          <w:tcPr>
            <w:tcW w:type="dxa" w:w="1928"/>
          </w:tcPr>
          <w:p>
            <w:r>
              <w:rPr>
                <w:rFonts w:ascii="Arial" w:hAnsi="Arial"/>
                <w:sz w:val="17"/>
              </w:rPr>
              <w:t>top-tier, tolling doubles capacity</w:t>
            </w:r>
          </w:p>
        </w:tc>
        <w:tc>
          <w:tcPr>
            <w:tcW w:type="dxa" w:w="1531"/>
          </w:tcPr>
          <w:p>
            <w:r>
              <w:rPr>
                <w:rFonts w:ascii="Arial" w:hAnsi="Arial"/>
                <w:sz w:val="17"/>
              </w:rPr>
              <w:t>steady</w:t>
            </w:r>
          </w:p>
        </w:tc>
        <w:tc>
          <w:tcPr>
            <w:tcW w:type="dxa" w:w="1531"/>
          </w:tcPr>
          <w:p>
            <w:r>
              <w:rPr>
                <w:rFonts w:ascii="Arial" w:hAnsi="Arial"/>
                <w:sz w:val="17"/>
              </w:rPr>
              <w:t>stable ~31%</w:t>
            </w:r>
          </w:p>
        </w:tc>
        <w:tc>
          <w:tcPr>
            <w:tcW w:type="dxa" w:w="1531"/>
          </w:tcPr>
          <w:p>
            <w:r>
              <w:rPr>
                <w:rFonts w:ascii="Arial" w:hAnsi="Arial"/>
                <w:sz w:val="17"/>
              </w:rPr>
              <w:t>asset-light via MIFAD</w:t>
            </w:r>
          </w:p>
        </w:tc>
        <w:tc>
          <w:tcPr>
            <w:tcW w:type="dxa" w:w="794"/>
          </w:tcPr>
          <w:p>
            <w:r>
              <w:rPr>
                <w:rFonts w:ascii="Arial" w:hAnsi="Arial"/>
                <w:sz w:val="17"/>
              </w:rPr>
              <w:t>B+</w:t>
            </w:r>
          </w:p>
        </w:tc>
      </w:tr>
      <w:tr>
        <w:tc>
          <w:tcPr>
            <w:tcW w:type="dxa" w:w="1928"/>
            <w:shd w:val="clear" w:fill="F4F8F7"/>
          </w:tcPr>
          <w:p>
            <w:r>
              <w:rPr>
                <w:rFonts w:ascii="Arial" w:hAnsi="Arial"/>
                <w:sz w:val="17"/>
              </w:rPr>
              <w:t>Rusks</w:t>
            </w:r>
          </w:p>
        </w:tc>
        <w:tc>
          <w:tcPr>
            <w:tcW w:type="dxa" w:w="1928"/>
            <w:shd w:val="clear" w:fill="F4F8F7"/>
          </w:tcPr>
          <w:p>
            <w:r>
              <w:rPr>
                <w:rFonts w:ascii="Arial" w:hAnsi="Arial"/>
                <w:sz w:val="17"/>
              </w:rPr>
              <w:t>leader (Bake Rolz/Stix)</w:t>
            </w:r>
          </w:p>
        </w:tc>
        <w:tc>
          <w:tcPr>
            <w:tcW w:type="dxa" w:w="1531"/>
            <w:shd w:val="clear" w:fill="F4F8F7"/>
          </w:tcPr>
          <w:p>
            <w:r>
              <w:rPr>
                <w:rFonts w:ascii="Arial" w:hAnsi="Arial"/>
                <w:sz w:val="17"/>
              </w:rPr>
              <w:t>strong</w:t>
            </w:r>
          </w:p>
        </w:tc>
        <w:tc>
          <w:tcPr>
            <w:tcW w:type="dxa" w:w="1531"/>
            <w:shd w:val="clear" w:fill="F4F8F7"/>
          </w:tcPr>
          <w:p>
            <w:r>
              <w:rPr>
                <w:rFonts w:ascii="Arial" w:hAnsi="Arial"/>
                <w:sz w:val="17"/>
              </w:rPr>
              <w:t>recovering</w:t>
            </w:r>
          </w:p>
        </w:tc>
        <w:tc>
          <w:tcPr>
            <w:tcW w:type="dxa" w:w="1531"/>
            <w:shd w:val="clear" w:fill="F4F8F7"/>
          </w:tcPr>
          <w:p>
            <w:r>
              <w:rPr>
                <w:rFonts w:ascii="Arial" w:hAnsi="Arial"/>
                <w:sz w:val="17"/>
              </w:rPr>
              <w:t>low</w:t>
            </w:r>
          </w:p>
        </w:tc>
        <w:tc>
          <w:tcPr>
            <w:tcW w:type="dxa" w:w="794"/>
            <w:shd w:val="clear" w:fill="F4F8F7"/>
          </w:tcPr>
          <w:p>
            <w:r>
              <w:rPr>
                <w:rFonts w:ascii="Arial" w:hAnsi="Arial"/>
                <w:sz w:val="17"/>
              </w:rPr>
              <w:t>B+</w:t>
            </w:r>
          </w:p>
        </w:tc>
      </w:tr>
      <w:tr>
        <w:tc>
          <w:tcPr>
            <w:tcW w:type="dxa" w:w="1928"/>
          </w:tcPr>
          <w:p>
            <w:r>
              <w:rPr>
                <w:rFonts w:ascii="Arial" w:hAnsi="Arial"/>
                <w:sz w:val="17"/>
              </w:rPr>
              <w:t>Candy &amp; biscuits</w:t>
            </w:r>
          </w:p>
        </w:tc>
        <w:tc>
          <w:tcPr>
            <w:tcW w:type="dxa" w:w="1928"/>
          </w:tcPr>
          <w:p>
            <w:r>
              <w:rPr>
                <w:rFonts w:ascii="Arial" w:hAnsi="Arial"/>
                <w:sz w:val="17"/>
              </w:rPr>
              <w:t>challenger under MiMix/Oniro</w:t>
            </w:r>
          </w:p>
        </w:tc>
        <w:tc>
          <w:tcPr>
            <w:tcW w:type="dxa" w:w="1531"/>
          </w:tcPr>
          <w:p>
            <w:r>
              <w:rPr>
                <w:rFonts w:ascii="Arial" w:hAnsi="Arial"/>
                <w:sz w:val="17"/>
              </w:rPr>
              <w:t>high % off small base</w:t>
            </w:r>
          </w:p>
        </w:tc>
        <w:tc>
          <w:tcPr>
            <w:tcW w:type="dxa" w:w="1531"/>
          </w:tcPr>
          <w:p>
            <w:r>
              <w:rPr>
                <w:rFonts w:ascii="Arial" w:hAnsi="Arial"/>
                <w:sz w:val="17"/>
              </w:rPr>
              <w:t>thin but improving</w:t>
            </w:r>
          </w:p>
        </w:tc>
        <w:tc>
          <w:tcPr>
            <w:tcW w:type="dxa" w:w="1531"/>
          </w:tcPr>
          <w:p>
            <w:r>
              <w:rPr>
                <w:rFonts w:ascii="Arial" w:hAnsi="Arial"/>
                <w:sz w:val="17"/>
              </w:rPr>
              <w:t>tolling + own lines</w:t>
            </w:r>
          </w:p>
        </w:tc>
        <w:tc>
          <w:tcPr>
            <w:tcW w:type="dxa" w:w="794"/>
          </w:tcPr>
          <w:p>
            <w:r>
              <w:rPr>
                <w:rFonts w:ascii="Arial" w:hAnsi="Arial"/>
                <w:sz w:val="17"/>
              </w:rPr>
              <w:t>B</w:t>
            </w:r>
          </w:p>
        </w:tc>
      </w:tr>
      <w:tr>
        <w:tc>
          <w:tcPr>
            <w:tcW w:type="dxa" w:w="1928"/>
            <w:shd w:val="clear" w:fill="F4F8F7"/>
          </w:tcPr>
          <w:p>
            <w:r>
              <w:rPr>
                <w:rFonts w:ascii="Arial" w:hAnsi="Arial"/>
                <w:sz w:val="17"/>
              </w:rPr>
              <w:t>Frozen</w:t>
            </w:r>
          </w:p>
        </w:tc>
        <w:tc>
          <w:tcPr>
            <w:tcW w:type="dxa" w:w="1928"/>
            <w:shd w:val="clear" w:fill="F4F8F7"/>
          </w:tcPr>
          <w:p>
            <w:r>
              <w:rPr>
                <w:rFonts w:ascii="Arial" w:hAnsi="Arial"/>
                <w:sz w:val="17"/>
              </w:rPr>
              <w:t>optionality</w:t>
            </w:r>
          </w:p>
        </w:tc>
        <w:tc>
          <w:tcPr>
            <w:tcW w:type="dxa" w:w="1531"/>
            <w:shd w:val="clear" w:fill="F4F8F7"/>
          </w:tcPr>
          <w:p>
            <w:r>
              <w:rPr>
                <w:rFonts w:ascii="Arial" w:hAnsi="Arial"/>
                <w:sz w:val="17"/>
              </w:rPr>
              <w:t>experimental</w:t>
            </w:r>
          </w:p>
        </w:tc>
        <w:tc>
          <w:tcPr>
            <w:tcW w:type="dxa" w:w="1531"/>
            <w:shd w:val="clear" w:fill="F4F8F7"/>
          </w:tcPr>
          <w:p>
            <w:r>
              <w:rPr>
                <w:rFonts w:ascii="Arial" w:hAnsi="Arial"/>
                <w:sz w:val="17"/>
              </w:rPr>
              <w:t>negative</w:t>
            </w:r>
          </w:p>
        </w:tc>
        <w:tc>
          <w:tcPr>
            <w:tcW w:type="dxa" w:w="1531"/>
            <w:shd w:val="clear" w:fill="F4F8F7"/>
          </w:tcPr>
          <w:p>
            <w:r>
              <w:rPr>
                <w:rFonts w:ascii="Arial" w:hAnsi="Arial"/>
                <w:sz w:val="17"/>
              </w:rPr>
              <w:t>contained</w:t>
            </w:r>
          </w:p>
        </w:tc>
        <w:tc>
          <w:tcPr>
            <w:tcW w:type="dxa" w:w="794"/>
            <w:shd w:val="clear" w:fill="F4F8F7"/>
          </w:tcPr>
          <w:p>
            <w:r>
              <w:rPr>
                <w:rFonts w:ascii="Arial" w:hAnsi="Arial"/>
                <w:sz w:val="17"/>
              </w:rPr>
              <w:t>C</w:t>
            </w:r>
          </w:p>
        </w:tc>
      </w:tr>
    </w:tbl>
    <w:p>
      <w:pPr>
        <w:spacing w:after="40"/>
      </w:pPr>
    </w:p>
    <w:p>
      <w:pPr>
        <w:jc w:val="center"/>
      </w:pPr>
      <w:r>
        <w:drawing>
          <wp:inline xmlns:a="http://schemas.openxmlformats.org/drawingml/2006/main" xmlns:pic="http://schemas.openxmlformats.org/drawingml/2006/picture">
            <wp:extent cx="4860000" cy="2557895"/>
            <wp:docPr id="2" name="Picture 2"/>
            <wp:cNvGraphicFramePr>
              <a:graphicFrameLocks noChangeAspect="1"/>
            </wp:cNvGraphicFramePr>
            <a:graphic>
              <a:graphicData uri="http://schemas.openxmlformats.org/drawingml/2006/picture">
                <pic:pic>
                  <pic:nvPicPr>
                    <pic:cNvPr id="0" name="seg_EFID_mix.png"/>
                    <pic:cNvPicPr/>
                  </pic:nvPicPr>
                  <pic:blipFill>
                    <a:blip r:embed="rId10"/>
                    <a:stretch>
                      <a:fillRect/>
                    </a:stretch>
                  </pic:blipFill>
                  <pic:spPr>
                    <a:xfrm>
                      <a:off x="0" y="0"/>
                      <a:ext cx="4860000" cy="2557895"/>
                    </a:xfrm>
                    <a:prstGeom prst="rect"/>
                  </pic:spPr>
                </pic:pic>
              </a:graphicData>
            </a:graphic>
          </wp:inline>
        </w:drawing>
      </w:r>
    </w:p>
    <w:p>
      <w:pPr>
        <w:spacing w:after="160"/>
        <w:jc w:val="center"/>
      </w:pPr>
      <w:r>
        <w:rPr>
          <w:rFonts w:ascii="Arial" w:hAnsi="Arial"/>
          <w:b w:val="0"/>
          <w:i/>
          <w:color w:val="555555"/>
          <w:sz w:val="16"/>
        </w:rPr>
        <w:t>Figure 2 — revenue by segment, FY2023–FY2025 (EGP m).</w:t>
      </w:r>
    </w:p>
    <w:p>
      <w:pPr>
        <w:pStyle w:val="Heading2"/>
      </w:pPr>
      <w:r>
        <w:t>1.7  Gross-margin durability — the crux</w:t>
      </w:r>
    </w:p>
    <w:p>
      <w:pPr>
        <w:spacing w:after="80"/>
      </w:pPr>
      <w:r>
        <w:rPr>
          <w:rFonts w:ascii="Arial" w:hAnsi="Arial"/>
          <w:b w:val="0"/>
          <w:i w:val="0"/>
          <w:sz w:val="19"/>
        </w:rPr>
        <w:t>Everything in this valuation swings on one line: can Edita hold a 34–35% gross margin through the next currency event? Roughly four-fifths of direct materials are imported or FX-linked — flour blends, sugar, cocoa, oils, packaging films — so a step-devaluation resets the cost base overnight while retail price points move in discrete jumps (EGP 5 → 10) that take quarters to execute without volume damage. The 2023–24 sequence showed both halves: gross margin fell from 32.4% to 30.4% as the pound broke, then rebuilt to 33.9% in FY2025 and 34.9% in 1Q2026 as price-point migration completed, volumes recovered (+19% tons FY2025, +37% 1Q2026) and soft-commodity costs eased. Each point of FY2026E gross margin is ~EGP 272m of gross profit; flowed through at the marginal tax rate it moves the DCF by roughly EGP 1.4/share and the earnings-power lens similarly — a two-point margin miss erases the entire headline upside, a two-point beat funds the bull case. That asymmetry, not the growth rate, is why the weighted value sits so close to spot.</w:t>
      </w:r>
    </w:p>
    <w:p>
      <w:pPr>
        <w:jc w:val="center"/>
      </w:pPr>
      <w:r>
        <w:drawing>
          <wp:inline xmlns:a="http://schemas.openxmlformats.org/drawingml/2006/main" xmlns:pic="http://schemas.openxmlformats.org/drawingml/2006/picture">
            <wp:extent cx="5580000" cy="2595349"/>
            <wp:docPr id="3" name="Picture 3"/>
            <wp:cNvGraphicFramePr>
              <a:graphicFrameLocks noChangeAspect="1"/>
            </wp:cNvGraphicFramePr>
            <a:graphic>
              <a:graphicData uri="http://schemas.openxmlformats.org/drawingml/2006/picture">
                <pic:pic>
                  <pic:nvPicPr>
                    <pic:cNvPr id="0" name="fin_EFID_revebitda.png"/>
                    <pic:cNvPicPr/>
                  </pic:nvPicPr>
                  <pic:blipFill>
                    <a:blip r:embed="rId11"/>
                    <a:stretch>
                      <a:fillRect/>
                    </a:stretch>
                  </pic:blipFill>
                  <pic:spPr>
                    <a:xfrm>
                      <a:off x="0" y="0"/>
                      <a:ext cx="5580000" cy="2595349"/>
                    </a:xfrm>
                    <a:prstGeom prst="rect"/>
                  </pic:spPr>
                </pic:pic>
              </a:graphicData>
            </a:graphic>
          </wp:inline>
        </w:drawing>
      </w:r>
    </w:p>
    <w:p>
      <w:pPr>
        <w:spacing w:after="160"/>
        <w:jc w:val="center"/>
      </w:pPr>
      <w:r>
        <w:rPr>
          <w:rFonts w:ascii="Arial" w:hAnsi="Arial"/>
          <w:b w:val="0"/>
          <w:i/>
          <w:color w:val="555555"/>
          <w:sz w:val="16"/>
        </w:rPr>
        <w:t>Figure 3 — revenue and EBITDA, three reported years and the five-year forecast (EGP m; forecast bars lighter).</w:t>
      </w:r>
    </w:p>
    <w:p>
      <w:pPr>
        <w:pStyle w:val="Heading2"/>
      </w:pPr>
      <w:r>
        <w:t>1.8  Macro and country — the pound, rates, and the consumer</w:t>
      </w:r>
    </w:p>
    <w:p>
      <w:pPr>
        <w:spacing w:after="80"/>
      </w:pPr>
      <w:r>
        <w:rPr>
          <w:rFonts w:ascii="Arial" w:hAnsi="Arial"/>
          <w:b w:val="0"/>
          <w:i w:val="0"/>
          <w:sz w:val="19"/>
        </w:rPr>
        <w:t>The study is priced in nominal EGP, so Egypt’s macro is inside every number. The disinflation path — CPI down from the 2023–24 peaks, the CBE easing through 2025–26, T-bond yields near 16–17% at mid-2026 — sets the 16.5% risk-free and the 13.5% terminal growth (roughly long-run inflation plus modest real growth). Household purchasing power is the demand-side risk: Edita’s answer is the price-point ladder, which converts inflation into pack-size and price-tier migration rather than outright volume loss, and the 1Q2026 print (+18% packs, +37% tons) says it is working. The balance sheet is a quiet macro asset — EGP 5.8bn of cash earning high nominal deposit rates against largely subsidized industrial borrowings produced EGP 189m of net finance income in 1Q2026 alone — and exports (9.5% of sales, +73% y-o-y in 1Q2026) plus Morocco and the Iraq associate give the first genuine hard-currency hedge in the P&amp;L. A fresh EGP step-change would compress margins for two to four quarters, lift the discount rate, and simultaneously raise the EGP value of the export line: net negative, survivable, and exactly the scenario Expert 3 prices in the appendix.</w:t>
      </w:r>
    </w:p>
    <w:p>
      <w:pPr>
        <w:pStyle w:val="Heading2"/>
      </w:pPr>
      <w:r>
        <w:t>1.9  DCF sensitivity — WACC × terminal growth</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474"/>
            <w:shd w:val="clear" w:fill="1C6E63"/>
          </w:tcPr>
          <w:p>
            <w:r>
              <w:rPr>
                <w:rFonts w:ascii="Arial" w:hAnsi="Arial"/>
                <w:b/>
                <w:color w:val="FFFFFF"/>
                <w:sz w:val="17"/>
              </w:rPr>
              <w:t>WACC \ g</w:t>
            </w:r>
          </w:p>
        </w:tc>
        <w:tc>
          <w:tcPr>
            <w:tcW w:type="dxa" w:w="1474"/>
            <w:shd w:val="clear" w:fill="1C6E63"/>
          </w:tcPr>
          <w:p>
            <w:r>
              <w:rPr>
                <w:rFonts w:ascii="Arial" w:hAnsi="Arial"/>
                <w:b/>
                <w:color w:val="FFFFFF"/>
                <w:sz w:val="17"/>
              </w:rPr>
              <w:t>11.5%</w:t>
            </w:r>
          </w:p>
        </w:tc>
        <w:tc>
          <w:tcPr>
            <w:tcW w:type="dxa" w:w="1474"/>
            <w:shd w:val="clear" w:fill="1C6E63"/>
          </w:tcPr>
          <w:p>
            <w:r>
              <w:rPr>
                <w:rFonts w:ascii="Arial" w:hAnsi="Arial"/>
                <w:b/>
                <w:color w:val="FFFFFF"/>
                <w:sz w:val="17"/>
              </w:rPr>
              <w:t>12.5%</w:t>
            </w:r>
          </w:p>
        </w:tc>
        <w:tc>
          <w:tcPr>
            <w:tcW w:type="dxa" w:w="1474"/>
            <w:shd w:val="clear" w:fill="1C6E63"/>
          </w:tcPr>
          <w:p>
            <w:r>
              <w:rPr>
                <w:rFonts w:ascii="Arial" w:hAnsi="Arial"/>
                <w:b/>
                <w:color w:val="FFFFFF"/>
                <w:sz w:val="17"/>
              </w:rPr>
              <w:t>13.5%</w:t>
            </w:r>
          </w:p>
        </w:tc>
        <w:tc>
          <w:tcPr>
            <w:tcW w:type="dxa" w:w="1474"/>
            <w:shd w:val="clear" w:fill="1C6E63"/>
          </w:tcPr>
          <w:p>
            <w:r>
              <w:rPr>
                <w:rFonts w:ascii="Arial" w:hAnsi="Arial"/>
                <w:b/>
                <w:color w:val="FFFFFF"/>
                <w:sz w:val="17"/>
              </w:rPr>
              <w:t>14.5%</w:t>
            </w:r>
          </w:p>
        </w:tc>
        <w:tc>
          <w:tcPr>
            <w:tcW w:type="dxa" w:w="1474"/>
            <w:shd w:val="clear" w:fill="1C6E63"/>
          </w:tcPr>
          <w:p>
            <w:r>
              <w:rPr>
                <w:rFonts w:ascii="Arial" w:hAnsi="Arial"/>
                <w:b/>
                <w:color w:val="FFFFFF"/>
                <w:sz w:val="17"/>
              </w:rPr>
              <w:t>15.5%</w:t>
            </w:r>
          </w:p>
        </w:tc>
      </w:tr>
      <w:tr>
        <w:tc>
          <w:tcPr>
            <w:tcW w:type="dxa" w:w="1474"/>
          </w:tcPr>
          <w:p>
            <w:r>
              <w:rPr>
                <w:rFonts w:ascii="Arial" w:hAnsi="Arial"/>
                <w:sz w:val="17"/>
              </w:rPr>
              <w:t>18.7%</w:t>
            </w:r>
          </w:p>
        </w:tc>
        <w:tc>
          <w:tcPr>
            <w:tcW w:type="dxa" w:w="1474"/>
          </w:tcPr>
          <w:p>
            <w:r>
              <w:rPr>
                <w:rFonts w:ascii="Arial" w:hAnsi="Arial"/>
                <w:sz w:val="17"/>
              </w:rPr>
              <w:t>31.4</w:t>
            </w:r>
          </w:p>
        </w:tc>
        <w:tc>
          <w:tcPr>
            <w:tcW w:type="dxa" w:w="1474"/>
          </w:tcPr>
          <w:p>
            <w:r>
              <w:rPr>
                <w:rFonts w:ascii="Arial" w:hAnsi="Arial"/>
                <w:sz w:val="17"/>
              </w:rPr>
              <w:t>34.6</w:t>
            </w:r>
          </w:p>
        </w:tc>
        <w:tc>
          <w:tcPr>
            <w:tcW w:type="dxa" w:w="1474"/>
          </w:tcPr>
          <w:p>
            <w:r>
              <w:rPr>
                <w:rFonts w:ascii="Arial" w:hAnsi="Arial"/>
                <w:sz w:val="17"/>
              </w:rPr>
              <w:t>39.0</w:t>
            </w:r>
          </w:p>
        </w:tc>
        <w:tc>
          <w:tcPr>
            <w:tcW w:type="dxa" w:w="1474"/>
          </w:tcPr>
          <w:p>
            <w:r>
              <w:rPr>
                <w:rFonts w:ascii="Arial" w:hAnsi="Arial"/>
                <w:sz w:val="17"/>
              </w:rPr>
              <w:t>45.3</w:t>
            </w:r>
          </w:p>
        </w:tc>
        <w:tc>
          <w:tcPr>
            <w:tcW w:type="dxa" w:w="1474"/>
          </w:tcPr>
          <w:p>
            <w:r>
              <w:rPr>
                <w:rFonts w:ascii="Arial" w:hAnsi="Arial"/>
                <w:sz w:val="17"/>
              </w:rPr>
              <w:t>55.2</w:t>
            </w:r>
          </w:p>
        </w:tc>
      </w:tr>
      <w:tr>
        <w:tc>
          <w:tcPr>
            <w:tcW w:type="dxa" w:w="1474"/>
            <w:shd w:val="clear" w:fill="F4F8F7"/>
          </w:tcPr>
          <w:p>
            <w:r>
              <w:rPr>
                <w:rFonts w:ascii="Arial" w:hAnsi="Arial"/>
                <w:sz w:val="17"/>
              </w:rPr>
              <w:t>19.7%</w:t>
            </w:r>
          </w:p>
        </w:tc>
        <w:tc>
          <w:tcPr>
            <w:tcW w:type="dxa" w:w="1474"/>
            <w:shd w:val="clear" w:fill="F4F8F7"/>
          </w:tcPr>
          <w:p>
            <w:r>
              <w:rPr>
                <w:rFonts w:ascii="Arial" w:hAnsi="Arial"/>
                <w:sz w:val="17"/>
              </w:rPr>
              <w:t>28.2</w:t>
            </w:r>
          </w:p>
        </w:tc>
        <w:tc>
          <w:tcPr>
            <w:tcW w:type="dxa" w:w="1474"/>
            <w:shd w:val="clear" w:fill="F4F8F7"/>
          </w:tcPr>
          <w:p>
            <w:r>
              <w:rPr>
                <w:rFonts w:ascii="Arial" w:hAnsi="Arial"/>
                <w:sz w:val="17"/>
              </w:rPr>
              <w:t>30.6</w:t>
            </w:r>
          </w:p>
        </w:tc>
        <w:tc>
          <w:tcPr>
            <w:tcW w:type="dxa" w:w="1474"/>
            <w:shd w:val="clear" w:fill="F4F8F7"/>
          </w:tcPr>
          <w:p>
            <w:r>
              <w:rPr>
                <w:rFonts w:ascii="Arial" w:hAnsi="Arial"/>
                <w:sz w:val="17"/>
              </w:rPr>
              <w:t>33.9</w:t>
            </w:r>
          </w:p>
        </w:tc>
        <w:tc>
          <w:tcPr>
            <w:tcW w:type="dxa" w:w="1474"/>
            <w:shd w:val="clear" w:fill="F4F8F7"/>
          </w:tcPr>
          <w:p>
            <w:r>
              <w:rPr>
                <w:rFonts w:ascii="Arial" w:hAnsi="Arial"/>
                <w:sz w:val="17"/>
              </w:rPr>
              <w:t>38.3</w:t>
            </w:r>
          </w:p>
        </w:tc>
        <w:tc>
          <w:tcPr>
            <w:tcW w:type="dxa" w:w="1474"/>
            <w:shd w:val="clear" w:fill="F4F8F7"/>
          </w:tcPr>
          <w:p>
            <w:r>
              <w:rPr>
                <w:rFonts w:ascii="Arial" w:hAnsi="Arial"/>
                <w:sz w:val="17"/>
              </w:rPr>
              <w:t>44.7</w:t>
            </w:r>
          </w:p>
        </w:tc>
      </w:tr>
      <w:tr>
        <w:tc>
          <w:tcPr>
            <w:tcW w:type="dxa" w:w="1474"/>
          </w:tcPr>
          <w:p>
            <w:r>
              <w:rPr>
                <w:rFonts w:ascii="Arial" w:hAnsi="Arial"/>
                <w:sz w:val="17"/>
              </w:rPr>
              <w:t>20.7%</w:t>
            </w:r>
          </w:p>
        </w:tc>
        <w:tc>
          <w:tcPr>
            <w:tcW w:type="dxa" w:w="1474"/>
          </w:tcPr>
          <w:p>
            <w:r>
              <w:rPr>
                <w:rFonts w:ascii="Arial" w:hAnsi="Arial"/>
                <w:sz w:val="17"/>
              </w:rPr>
              <w:t>25.7</w:t>
            </w:r>
          </w:p>
        </w:tc>
        <w:tc>
          <w:tcPr>
            <w:tcW w:type="dxa" w:w="1474"/>
          </w:tcPr>
          <w:p>
            <w:r>
              <w:rPr>
                <w:rFonts w:ascii="Arial" w:hAnsi="Arial"/>
                <w:sz w:val="17"/>
              </w:rPr>
              <w:t>27.6</w:t>
            </w:r>
          </w:p>
        </w:tc>
        <w:tc>
          <w:tcPr>
            <w:tcW w:type="dxa" w:w="1474"/>
          </w:tcPr>
          <w:p>
            <w:r>
              <w:rPr>
                <w:rFonts w:ascii="Arial" w:hAnsi="Arial"/>
                <w:sz w:val="17"/>
              </w:rPr>
              <w:t>29.7</w:t>
            </w:r>
          </w:p>
        </w:tc>
        <w:tc>
          <w:tcPr>
            <w:tcW w:type="dxa" w:w="1474"/>
          </w:tcPr>
          <w:p>
            <w:r>
              <w:rPr>
                <w:rFonts w:ascii="Arial" w:hAnsi="Arial"/>
                <w:sz w:val="17"/>
              </w:rPr>
              <w:t>33.0</w:t>
            </w:r>
          </w:p>
        </w:tc>
        <w:tc>
          <w:tcPr>
            <w:tcW w:type="dxa" w:w="1474"/>
          </w:tcPr>
          <w:p>
            <w:r>
              <w:rPr>
                <w:rFonts w:ascii="Arial" w:hAnsi="Arial"/>
                <w:sz w:val="17"/>
              </w:rPr>
              <w:t>37.6</w:t>
            </w:r>
          </w:p>
        </w:tc>
      </w:tr>
      <w:tr>
        <w:tc>
          <w:tcPr>
            <w:tcW w:type="dxa" w:w="1474"/>
            <w:shd w:val="clear" w:fill="F4F8F7"/>
          </w:tcPr>
          <w:p>
            <w:r>
              <w:rPr>
                <w:rFonts w:ascii="Arial" w:hAnsi="Arial"/>
                <w:sz w:val="17"/>
              </w:rPr>
              <w:t>21.7%</w:t>
            </w:r>
          </w:p>
        </w:tc>
        <w:tc>
          <w:tcPr>
            <w:tcW w:type="dxa" w:w="1474"/>
            <w:shd w:val="clear" w:fill="F4F8F7"/>
          </w:tcPr>
          <w:p>
            <w:r>
              <w:rPr>
                <w:rFonts w:ascii="Arial" w:hAnsi="Arial"/>
                <w:sz w:val="17"/>
              </w:rPr>
              <w:t>23.7</w:t>
            </w:r>
          </w:p>
        </w:tc>
        <w:tc>
          <w:tcPr>
            <w:tcW w:type="dxa" w:w="1474"/>
            <w:shd w:val="clear" w:fill="F4F8F7"/>
          </w:tcPr>
          <w:p>
            <w:r>
              <w:rPr>
                <w:rFonts w:ascii="Arial" w:hAnsi="Arial"/>
                <w:sz w:val="17"/>
              </w:rPr>
              <w:t>25.1</w:t>
            </w:r>
          </w:p>
        </w:tc>
        <w:tc>
          <w:tcPr>
            <w:tcW w:type="dxa" w:w="1474"/>
            <w:shd w:val="clear" w:fill="F4F8F7"/>
          </w:tcPr>
          <w:p>
            <w:r>
              <w:rPr>
                <w:rFonts w:ascii="Arial" w:hAnsi="Arial"/>
                <w:sz w:val="17"/>
              </w:rPr>
              <w:t>26.9</w:t>
            </w:r>
          </w:p>
        </w:tc>
        <w:tc>
          <w:tcPr>
            <w:tcW w:type="dxa" w:w="1474"/>
            <w:shd w:val="clear" w:fill="F4F8F7"/>
          </w:tcPr>
          <w:p>
            <w:r>
              <w:rPr>
                <w:rFonts w:ascii="Arial" w:hAnsi="Arial"/>
                <w:sz w:val="17"/>
              </w:rPr>
              <w:t>29.3</w:t>
            </w:r>
          </w:p>
        </w:tc>
        <w:tc>
          <w:tcPr>
            <w:tcW w:type="dxa" w:w="1474"/>
            <w:shd w:val="clear" w:fill="F4F8F7"/>
          </w:tcPr>
          <w:p>
            <w:r>
              <w:rPr>
                <w:rFonts w:ascii="Arial" w:hAnsi="Arial"/>
                <w:sz w:val="17"/>
              </w:rPr>
              <w:t>32.7</w:t>
            </w:r>
          </w:p>
        </w:tc>
      </w:tr>
      <w:tr>
        <w:tc>
          <w:tcPr>
            <w:tcW w:type="dxa" w:w="1474"/>
          </w:tcPr>
          <w:p>
            <w:r>
              <w:rPr>
                <w:rFonts w:ascii="Arial" w:hAnsi="Arial"/>
                <w:sz w:val="17"/>
              </w:rPr>
              <w:t>22.7%</w:t>
            </w:r>
          </w:p>
        </w:tc>
        <w:tc>
          <w:tcPr>
            <w:tcW w:type="dxa" w:w="1474"/>
          </w:tcPr>
          <w:p>
            <w:r>
              <w:rPr>
                <w:rFonts w:ascii="Arial" w:hAnsi="Arial"/>
                <w:sz w:val="17"/>
              </w:rPr>
              <w:t>22.0</w:t>
            </w:r>
          </w:p>
        </w:tc>
        <w:tc>
          <w:tcPr>
            <w:tcW w:type="dxa" w:w="1474"/>
          </w:tcPr>
          <w:p>
            <w:r>
              <w:rPr>
                <w:rFonts w:ascii="Arial" w:hAnsi="Arial"/>
                <w:sz w:val="17"/>
              </w:rPr>
              <w:t>23.2</w:t>
            </w:r>
          </w:p>
        </w:tc>
        <w:tc>
          <w:tcPr>
            <w:tcW w:type="dxa" w:w="1474"/>
          </w:tcPr>
          <w:p>
            <w:r>
              <w:rPr>
                <w:rFonts w:ascii="Arial" w:hAnsi="Arial"/>
                <w:sz w:val="17"/>
              </w:rPr>
              <w:t>24.6</w:t>
            </w:r>
          </w:p>
        </w:tc>
        <w:tc>
          <w:tcPr>
            <w:tcW w:type="dxa" w:w="1474"/>
          </w:tcPr>
          <w:p>
            <w:r>
              <w:rPr>
                <w:rFonts w:ascii="Arial" w:hAnsi="Arial"/>
                <w:sz w:val="17"/>
              </w:rPr>
              <w:t>26.4</w:t>
            </w:r>
          </w:p>
        </w:tc>
        <w:tc>
          <w:tcPr>
            <w:tcW w:type="dxa" w:w="1474"/>
          </w:tcPr>
          <w:p>
            <w:r>
              <w:rPr>
                <w:rFonts w:ascii="Arial" w:hAnsi="Arial"/>
                <w:sz w:val="17"/>
              </w:rPr>
              <w:t>28.9</w:t>
            </w:r>
          </w:p>
        </w:tc>
      </w:tr>
    </w:tbl>
    <w:p>
      <w:pPr>
        <w:spacing w:after="40"/>
      </w:pPr>
    </w:p>
    <w:p>
      <w:pPr>
        <w:spacing w:after="160"/>
      </w:pPr>
      <w:r>
        <w:rPr>
          <w:rFonts w:ascii="Arial" w:hAnsi="Arial"/>
          <w:b w:val="0"/>
          <w:i w:val="0"/>
          <w:sz w:val="19"/>
        </w:rPr>
        <w:t>Read the grid as Egypt in miniature: a two-point fall in the discount rate — the disinflation-completes world — is worth ~EGP 9 a share on its own, while even the harshest cell (22.7% WACC, 11.5% g) still prices the equity at EGP 22, because the cash generation is real. The base cell is bolded in the model: 20.7% × 13.5% → EGP 29.7.</w:t>
      </w:r>
    </w:p>
    <w:p>
      <w:pPr>
        <w:pStyle w:val="Heading1"/>
      </w:pPr>
      <w:r>
        <w:t>2  Technical and price structure</w:t>
      </w:r>
    </w:p>
    <w:p>
      <w:pPr>
        <w:spacing w:after="80"/>
      </w:pPr>
      <w:r>
        <w:rPr>
          <w:rFonts w:ascii="Arial" w:hAnsi="Arial"/>
          <w:b w:val="0"/>
          <w:i w:val="0"/>
          <w:sz w:val="19"/>
        </w:rPr>
        <w:t>The tape is a pause inside a completed re-rating. From the March-2022 low (split-adjusted EGP 3.28) the shares six-folded to an all-time high of EGP 32.50 on 9 February 2026, then spent five months consolidating; at EGP 27.34 the price is 16% off that high, essentially flat year-to-date (−1.6%), and still +106% over twelve months. Spot sits below the 50-day (28.55) and 100-day (28.31) averages but comfortably above a rising 200-day (25.86) — a short-term stall on a long-term uptrend. RSI-14 at 46 is neutral; MACD (-0.41) is below its signal (-0.31) with a small negative histogram (-0.10), i.e. mildly bearish momentum without acceleration. The June swing low at ~25.5–25.9 coincides with the 200-day — that is the level the structure defends; above, the February high at 32.50 is the obvious supply.</w:t>
      </w:r>
    </w:p>
    <w:tbl>
      <w:tblPr>
        <w:tblStyle w:val="TableGrid"/>
        <w:tblW w:type="auto" w:w="0"/>
        <w:jc w:val="center"/>
        <w:tblLook w:firstColumn="1" w:firstRow="1" w:lastColumn="0" w:lastRow="0" w:noHBand="0" w:noVBand="1" w:val="04A0"/>
      </w:tblPr>
      <w:tblGrid>
        <w:gridCol w:w="3324"/>
        <w:gridCol w:w="3324"/>
        <w:gridCol w:w="3324"/>
      </w:tblGrid>
      <w:tr>
        <w:tc>
          <w:tcPr>
            <w:tcW w:type="dxa" w:w="2948"/>
            <w:shd w:val="clear" w:fill="1C6E63"/>
          </w:tcPr>
          <w:p>
            <w:r>
              <w:rPr>
                <w:rFonts w:ascii="Arial" w:hAnsi="Arial"/>
                <w:b/>
                <w:color w:val="FFFFFF"/>
                <w:sz w:val="17"/>
              </w:rPr>
              <w:t>Indicator</w:t>
            </w:r>
          </w:p>
        </w:tc>
        <w:tc>
          <w:tcPr>
            <w:tcW w:type="dxa" w:w="2721"/>
            <w:shd w:val="clear" w:fill="1C6E63"/>
          </w:tcPr>
          <w:p>
            <w:r>
              <w:rPr>
                <w:rFonts w:ascii="Arial" w:hAnsi="Arial"/>
                <w:b/>
                <w:color w:val="FFFFFF"/>
                <w:sz w:val="17"/>
              </w:rPr>
              <w:t>Reading</w:t>
            </w:r>
          </w:p>
        </w:tc>
        <w:tc>
          <w:tcPr>
            <w:tcW w:type="dxa" w:w="3628"/>
            <w:shd w:val="clear" w:fill="1C6E63"/>
          </w:tcPr>
          <w:p>
            <w:r>
              <w:rPr>
                <w:rFonts w:ascii="Arial" w:hAnsi="Arial"/>
                <w:b/>
                <w:color w:val="FFFFFF"/>
                <w:sz w:val="17"/>
              </w:rPr>
              <w:t>Interpretation</w:t>
            </w:r>
          </w:p>
        </w:tc>
      </w:tr>
      <w:tr>
        <w:tc>
          <w:tcPr>
            <w:tcW w:type="dxa" w:w="2948"/>
          </w:tcPr>
          <w:p>
            <w:r>
              <w:rPr>
                <w:rFonts w:ascii="Arial" w:hAnsi="Arial"/>
                <w:sz w:val="17"/>
              </w:rPr>
              <w:t>Spot (01-Jul-2026)</w:t>
            </w:r>
          </w:p>
        </w:tc>
        <w:tc>
          <w:tcPr>
            <w:tcW w:type="dxa" w:w="2721"/>
          </w:tcPr>
          <w:p>
            <w:r>
              <w:rPr>
                <w:rFonts w:ascii="Arial" w:hAnsi="Arial"/>
                <w:sz w:val="17"/>
              </w:rPr>
              <w:t>27.34</w:t>
            </w:r>
          </w:p>
        </w:tc>
        <w:tc>
          <w:tcPr>
            <w:tcW w:type="dxa" w:w="3628"/>
          </w:tcPr>
          <w:p>
            <w:r>
              <w:rPr>
                <w:rFonts w:ascii="Arial" w:hAnsi="Arial"/>
                <w:sz w:val="17"/>
              </w:rPr>
              <w:t>—</w:t>
            </w:r>
          </w:p>
        </w:tc>
      </w:tr>
      <w:tr>
        <w:tc>
          <w:tcPr>
            <w:tcW w:type="dxa" w:w="2948"/>
            <w:shd w:val="clear" w:fill="F4F8F7"/>
          </w:tcPr>
          <w:p>
            <w:r>
              <w:rPr>
                <w:rFonts w:ascii="Arial" w:hAnsi="Arial"/>
                <w:sz w:val="17"/>
              </w:rPr>
              <w:t>SMA 50 / 100 / 200</w:t>
            </w:r>
          </w:p>
        </w:tc>
        <w:tc>
          <w:tcPr>
            <w:tcW w:type="dxa" w:w="2721"/>
            <w:shd w:val="clear" w:fill="F4F8F7"/>
          </w:tcPr>
          <w:p>
            <w:r>
              <w:rPr>
                <w:rFonts w:ascii="Arial" w:hAnsi="Arial"/>
                <w:sz w:val="17"/>
              </w:rPr>
              <w:t>28.55 / 28.31 / 25.86</w:t>
            </w:r>
          </w:p>
        </w:tc>
        <w:tc>
          <w:tcPr>
            <w:tcW w:type="dxa" w:w="3628"/>
            <w:shd w:val="clear" w:fill="F4F8F7"/>
          </w:tcPr>
          <w:p>
            <w:r>
              <w:rPr>
                <w:rFonts w:ascii="Arial" w:hAnsi="Arial"/>
                <w:sz w:val="17"/>
              </w:rPr>
              <w:t>below short MAs, above rising 200-day</w:t>
            </w:r>
          </w:p>
        </w:tc>
      </w:tr>
      <w:tr>
        <w:tc>
          <w:tcPr>
            <w:tcW w:type="dxa" w:w="2948"/>
          </w:tcPr>
          <w:p>
            <w:r>
              <w:rPr>
                <w:rFonts w:ascii="Arial" w:hAnsi="Arial"/>
                <w:sz w:val="17"/>
              </w:rPr>
              <w:t>RSI (14)</w:t>
            </w:r>
          </w:p>
        </w:tc>
        <w:tc>
          <w:tcPr>
            <w:tcW w:type="dxa" w:w="2721"/>
          </w:tcPr>
          <w:p>
            <w:r>
              <w:rPr>
                <w:rFonts w:ascii="Arial" w:hAnsi="Arial"/>
                <w:sz w:val="17"/>
              </w:rPr>
              <w:t>46.4</w:t>
            </w:r>
          </w:p>
        </w:tc>
        <w:tc>
          <w:tcPr>
            <w:tcW w:type="dxa" w:w="3628"/>
          </w:tcPr>
          <w:p>
            <w:r>
              <w:rPr>
                <w:rFonts w:ascii="Arial" w:hAnsi="Arial"/>
                <w:sz w:val="17"/>
              </w:rPr>
              <w:t>neutral</w:t>
            </w:r>
          </w:p>
        </w:tc>
      </w:tr>
      <w:tr>
        <w:tc>
          <w:tcPr>
            <w:tcW w:type="dxa" w:w="2948"/>
            <w:shd w:val="clear" w:fill="F4F8F7"/>
          </w:tcPr>
          <w:p>
            <w:r>
              <w:rPr>
                <w:rFonts w:ascii="Arial" w:hAnsi="Arial"/>
                <w:sz w:val="17"/>
              </w:rPr>
              <w:t>MACD / signal / histogram</w:t>
            </w:r>
          </w:p>
        </w:tc>
        <w:tc>
          <w:tcPr>
            <w:tcW w:type="dxa" w:w="2721"/>
            <w:shd w:val="clear" w:fill="F4F8F7"/>
          </w:tcPr>
          <w:p>
            <w:r>
              <w:rPr>
                <w:rFonts w:ascii="Arial" w:hAnsi="Arial"/>
                <w:sz w:val="17"/>
              </w:rPr>
              <w:t>−0.41 / −0.31 / −0.10</w:t>
            </w:r>
          </w:p>
        </w:tc>
        <w:tc>
          <w:tcPr>
            <w:tcW w:type="dxa" w:w="3628"/>
            <w:shd w:val="clear" w:fill="F4F8F7"/>
          </w:tcPr>
          <w:p>
            <w:r>
              <w:rPr>
                <w:rFonts w:ascii="Arial" w:hAnsi="Arial"/>
                <w:sz w:val="17"/>
              </w:rPr>
              <w:t>mildly bearish, decelerating</w:t>
            </w:r>
          </w:p>
        </w:tc>
      </w:tr>
      <w:tr>
        <w:tc>
          <w:tcPr>
            <w:tcW w:type="dxa" w:w="2948"/>
          </w:tcPr>
          <w:p>
            <w:r>
              <w:rPr>
                <w:rFonts w:ascii="Arial" w:hAnsi="Arial"/>
                <w:sz w:val="17"/>
              </w:rPr>
              <w:t>52-week range</w:t>
            </w:r>
          </w:p>
        </w:tc>
        <w:tc>
          <w:tcPr>
            <w:tcW w:type="dxa" w:w="2721"/>
          </w:tcPr>
          <w:p>
            <w:r>
              <w:rPr>
                <w:rFonts w:ascii="Arial" w:hAnsi="Arial"/>
                <w:sz w:val="17"/>
              </w:rPr>
              <w:t>12.80 – 32.50</w:t>
            </w:r>
          </w:p>
        </w:tc>
        <w:tc>
          <w:tcPr>
            <w:tcW w:type="dxa" w:w="3628"/>
          </w:tcPr>
          <w:p>
            <w:r>
              <w:rPr>
                <w:rFonts w:ascii="Arial" w:hAnsi="Arial"/>
                <w:sz w:val="17"/>
              </w:rPr>
              <w:t>upper third of the range</w:t>
            </w:r>
          </w:p>
        </w:tc>
      </w:tr>
      <w:tr>
        <w:tc>
          <w:tcPr>
            <w:tcW w:type="dxa" w:w="2948"/>
            <w:shd w:val="clear" w:fill="F4F8F7"/>
          </w:tcPr>
          <w:p>
            <w:r>
              <w:rPr>
                <w:rFonts w:ascii="Arial" w:hAnsi="Arial"/>
                <w:sz w:val="17"/>
              </w:rPr>
              <w:t>All-time high</w:t>
            </w:r>
          </w:p>
        </w:tc>
        <w:tc>
          <w:tcPr>
            <w:tcW w:type="dxa" w:w="2721"/>
            <w:shd w:val="clear" w:fill="F4F8F7"/>
          </w:tcPr>
          <w:p>
            <w:r>
              <w:rPr>
                <w:rFonts w:ascii="Arial" w:hAnsi="Arial"/>
                <w:sz w:val="17"/>
              </w:rPr>
              <w:t>32.50 (09-Feb-2026)</w:t>
            </w:r>
          </w:p>
        </w:tc>
        <w:tc>
          <w:tcPr>
            <w:tcW w:type="dxa" w:w="3628"/>
            <w:shd w:val="clear" w:fill="F4F8F7"/>
          </w:tcPr>
          <w:p>
            <w:r>
              <w:rPr>
                <w:rFonts w:ascii="Arial" w:hAnsi="Arial"/>
                <w:sz w:val="17"/>
              </w:rPr>
              <w:t>−15.9% from ATH</w:t>
            </w:r>
          </w:p>
        </w:tc>
      </w:tr>
      <w:tr>
        <w:tc>
          <w:tcPr>
            <w:tcW w:type="dxa" w:w="2948"/>
          </w:tcPr>
          <w:p>
            <w:r>
              <w:rPr>
                <w:rFonts w:ascii="Arial" w:hAnsi="Arial"/>
                <w:sz w:val="17"/>
              </w:rPr>
              <w:t>3-month / 1-year change</w:t>
            </w:r>
          </w:p>
        </w:tc>
        <w:tc>
          <w:tcPr>
            <w:tcW w:type="dxa" w:w="2721"/>
          </w:tcPr>
          <w:p>
            <w:r>
              <w:rPr>
                <w:rFonts w:ascii="Arial" w:hAnsi="Arial"/>
                <w:sz w:val="17"/>
              </w:rPr>
              <w:t>+8.3% / +106%</w:t>
            </w:r>
          </w:p>
        </w:tc>
        <w:tc>
          <w:tcPr>
            <w:tcW w:type="dxa" w:w="3628"/>
          </w:tcPr>
          <w:p>
            <w:r>
              <w:rPr>
                <w:rFonts w:ascii="Arial" w:hAnsi="Arial"/>
                <w:sz w:val="17"/>
              </w:rPr>
              <w:t>consolidation inside an uptrend</w:t>
            </w:r>
          </w:p>
        </w:tc>
      </w:tr>
      <w:tr>
        <w:tc>
          <w:tcPr>
            <w:tcW w:type="dxa" w:w="2948"/>
            <w:shd w:val="clear" w:fill="F4F8F7"/>
          </w:tcPr>
          <w:p>
            <w:r>
              <w:rPr>
                <w:rFonts w:ascii="Arial" w:hAnsi="Arial"/>
                <w:sz w:val="17"/>
              </w:rPr>
              <w:t>Structure</w:t>
            </w:r>
          </w:p>
        </w:tc>
        <w:tc>
          <w:tcPr>
            <w:tcW w:type="dxa" w:w="2721"/>
            <w:shd w:val="clear" w:fill="F4F8F7"/>
          </w:tcPr>
          <w:p>
            <w:r>
              <w:rPr>
                <w:rFonts w:ascii="Arial" w:hAnsi="Arial"/>
                <w:sz w:val="17"/>
              </w:rPr>
              <w:t>support ~25.5–25.9 (200-day + June low); supply 32.50</w:t>
            </w:r>
          </w:p>
        </w:tc>
        <w:tc>
          <w:tcPr>
            <w:tcW w:type="dxa" w:w="3628"/>
            <w:shd w:val="clear" w:fill="F4F8F7"/>
          </w:tcPr>
          <w:p>
            <w:r>
              <w:rPr>
                <w:rFonts w:ascii="Arial" w:hAnsi="Arial"/>
                <w:sz w:val="17"/>
              </w:rPr>
              <w:t>range 26–32 until broken</w:t>
            </w:r>
          </w:p>
        </w:tc>
      </w:tr>
    </w:tbl>
    <w:p>
      <w:pPr>
        <w:spacing w:after="40"/>
      </w:pPr>
    </w:p>
    <w:p>
      <w:pPr>
        <w:jc w:val="center"/>
      </w:pPr>
      <w:r>
        <w:drawing>
          <wp:inline xmlns:a="http://schemas.openxmlformats.org/drawingml/2006/main" xmlns:pic="http://schemas.openxmlformats.org/drawingml/2006/picture">
            <wp:extent cx="5580000" cy="2725116"/>
            <wp:docPr id="4" name="Picture 4"/>
            <wp:cNvGraphicFramePr>
              <a:graphicFrameLocks noChangeAspect="1"/>
            </wp:cNvGraphicFramePr>
            <a:graphic>
              <a:graphicData uri="http://schemas.openxmlformats.org/drawingml/2006/picture">
                <pic:pic>
                  <pic:nvPicPr>
                    <pic:cNvPr id="0" name="tech_EFID_ma.png"/>
                    <pic:cNvPicPr/>
                  </pic:nvPicPr>
                  <pic:blipFill>
                    <a:blip r:embed="rId12"/>
                    <a:stretch>
                      <a:fillRect/>
                    </a:stretch>
                  </pic:blipFill>
                  <pic:spPr>
                    <a:xfrm>
                      <a:off x="0" y="0"/>
                      <a:ext cx="5580000" cy="2725116"/>
                    </a:xfrm>
                    <a:prstGeom prst="rect"/>
                  </pic:spPr>
                </pic:pic>
              </a:graphicData>
            </a:graphic>
          </wp:inline>
        </w:drawing>
      </w:r>
    </w:p>
    <w:p>
      <w:pPr>
        <w:spacing w:after="160"/>
        <w:jc w:val="center"/>
      </w:pPr>
      <w:r>
        <w:rPr>
          <w:rFonts w:ascii="Arial" w:hAnsi="Arial"/>
          <w:b w:val="0"/>
          <w:i/>
          <w:color w:val="555555"/>
          <w:sz w:val="16"/>
        </w:rPr>
        <w:t>Figure 4 — price and the 50/100/200-day moving-average stack, two years.</w:t>
      </w:r>
    </w:p>
    <w:p>
      <w:pPr>
        <w:pStyle w:val="Heading1"/>
      </w:pPr>
      <w:r>
        <w:t>3  Monte Carlo — a probabilistic price map</w:t>
      </w:r>
    </w:p>
    <w:p>
      <w:pPr>
        <w:spacing w:after="80"/>
      </w:pPr>
      <w:r>
        <w:rPr>
          <w:rFonts w:ascii="Arial" w:hAnsi="Arial"/>
          <w:b w:val="0"/>
          <w:i w:val="0"/>
          <w:sz w:val="19"/>
        </w:rPr>
        <w:t xml:space="preserve">We simulate 50,000 three-month price paths (seed 42) from the 01-Jul-2026 close. Width is sized by the house YZ-HAR engine: a pooled log-HAR cascade (variance lags 1/5/22) on a gap-aware Yang-Zhang variance proxy projects the average daily variance over the next 60 sessions — regime-conditional by construction — giving a daily σ of 2.60% (41.3% annualized). Innovations are unit-variance Student-t(5), implemented as a per-path chi-square variance mixture so the 60-day aggregate is exactly t5: a tighter interquartile body with honest tails. Drift is asset-class-conditional and for an EGX consumer staple it is OFF — Step 0 (Appendix B) showed the secular-drift variant fails the CRPS gate here — with only the small net drift of the 16-factor overlay (7 continuous + 9 discrete events from the egx_staples factor set, flagged uncalibrated pending sign-off) layered on top. </w:t>
      </w:r>
      <w:r>
        <w:rPr>
          <w:rFonts w:ascii="Arial" w:hAnsi="Arial"/>
          <w:b/>
          <w:i w:val="0"/>
          <w:sz w:val="19"/>
        </w:rPr>
        <w:t>These paths diffuse from spot and deliberately do not embed the fundamental view — the value gap of Section 1 is kept out of the drift.</w:t>
      </w:r>
      <w:r>
        <w:rPr>
          <w:rFonts w:ascii="Arial" w:hAnsi="Arial"/>
          <w:b w:val="0"/>
          <w:i w:val="0"/>
          <w:sz w:val="19"/>
        </w:rPr>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041"/>
            <w:shd w:val="clear" w:fill="1C6E63"/>
          </w:tcPr>
          <w:p>
            <w:r>
              <w:rPr>
                <w:rFonts w:ascii="Arial" w:hAnsi="Arial"/>
                <w:b/>
                <w:color w:val="FFFFFF"/>
                <w:sz w:val="17"/>
              </w:rPr>
              <w:t>Horizon</w:t>
            </w:r>
          </w:p>
        </w:tc>
        <w:tc>
          <w:tcPr>
            <w:tcW w:type="dxa" w:w="1417"/>
            <w:shd w:val="clear" w:fill="1C6E63"/>
          </w:tcPr>
          <w:p>
            <w:r>
              <w:rPr>
                <w:rFonts w:ascii="Arial" w:hAnsi="Arial"/>
                <w:b/>
                <w:color w:val="FFFFFF"/>
                <w:sz w:val="17"/>
              </w:rPr>
              <w:t>P5</w:t>
            </w:r>
          </w:p>
        </w:tc>
        <w:tc>
          <w:tcPr>
            <w:tcW w:type="dxa" w:w="1417"/>
            <w:shd w:val="clear" w:fill="1C6E63"/>
          </w:tcPr>
          <w:p>
            <w:r>
              <w:rPr>
                <w:rFonts w:ascii="Arial" w:hAnsi="Arial"/>
                <w:b/>
                <w:color w:val="FFFFFF"/>
                <w:sz w:val="17"/>
              </w:rPr>
              <w:t>P25</w:t>
            </w:r>
          </w:p>
        </w:tc>
        <w:tc>
          <w:tcPr>
            <w:tcW w:type="dxa" w:w="1417"/>
            <w:shd w:val="clear" w:fill="1C6E63"/>
          </w:tcPr>
          <w:p>
            <w:r>
              <w:rPr>
                <w:rFonts w:ascii="Arial" w:hAnsi="Arial"/>
                <w:b/>
                <w:color w:val="FFFFFF"/>
                <w:sz w:val="17"/>
              </w:rPr>
              <w:t>Median</w:t>
            </w:r>
          </w:p>
        </w:tc>
        <w:tc>
          <w:tcPr>
            <w:tcW w:type="dxa" w:w="1417"/>
            <w:shd w:val="clear" w:fill="1C6E63"/>
          </w:tcPr>
          <w:p>
            <w:r>
              <w:rPr>
                <w:rFonts w:ascii="Arial" w:hAnsi="Arial"/>
                <w:b/>
                <w:color w:val="FFFFFF"/>
                <w:sz w:val="17"/>
              </w:rPr>
              <w:t>P75</w:t>
            </w:r>
          </w:p>
        </w:tc>
        <w:tc>
          <w:tcPr>
            <w:tcW w:type="dxa" w:w="1417"/>
            <w:shd w:val="clear" w:fill="1C6E63"/>
          </w:tcPr>
          <w:p>
            <w:r>
              <w:rPr>
                <w:rFonts w:ascii="Arial" w:hAnsi="Arial"/>
                <w:b/>
                <w:color w:val="FFFFFF"/>
                <w:sz w:val="17"/>
              </w:rPr>
              <w:t>P95</w:t>
            </w:r>
          </w:p>
        </w:tc>
      </w:tr>
      <w:tr>
        <w:tc>
          <w:tcPr>
            <w:tcW w:type="dxa" w:w="2041"/>
          </w:tcPr>
          <w:p>
            <w:r>
              <w:rPr>
                <w:rFonts w:ascii="Arial" w:hAnsi="Arial"/>
                <w:sz w:val="17"/>
              </w:rPr>
              <w:t>T+20 (~29 Jul)</w:t>
            </w:r>
          </w:p>
        </w:tc>
        <w:tc>
          <w:tcPr>
            <w:tcW w:type="dxa" w:w="1417"/>
          </w:tcPr>
          <w:p>
            <w:r>
              <w:rPr>
                <w:rFonts w:ascii="Arial" w:hAnsi="Arial"/>
                <w:sz w:val="17"/>
              </w:rPr>
              <w:t>22.35</w:t>
            </w:r>
          </w:p>
        </w:tc>
        <w:tc>
          <w:tcPr>
            <w:tcW w:type="dxa" w:w="1417"/>
          </w:tcPr>
          <w:p>
            <w:r>
              <w:rPr>
                <w:rFonts w:ascii="Arial" w:hAnsi="Arial"/>
                <w:sz w:val="17"/>
              </w:rPr>
              <w:t>25.48</w:t>
            </w:r>
          </w:p>
        </w:tc>
        <w:tc>
          <w:tcPr>
            <w:tcW w:type="dxa" w:w="1417"/>
          </w:tcPr>
          <w:p>
            <w:r>
              <w:rPr>
                <w:rFonts w:ascii="Arial" w:hAnsi="Arial"/>
                <w:sz w:val="17"/>
              </w:rPr>
              <w:t>27.48</w:t>
            </w:r>
          </w:p>
        </w:tc>
        <w:tc>
          <w:tcPr>
            <w:tcW w:type="dxa" w:w="1417"/>
          </w:tcPr>
          <w:p>
            <w:r>
              <w:rPr>
                <w:rFonts w:ascii="Arial" w:hAnsi="Arial"/>
                <w:sz w:val="17"/>
              </w:rPr>
              <w:t>29.62</w:t>
            </w:r>
          </w:p>
        </w:tc>
        <w:tc>
          <w:tcPr>
            <w:tcW w:type="dxa" w:w="1417"/>
          </w:tcPr>
          <w:p>
            <w:r>
              <w:rPr>
                <w:rFonts w:ascii="Arial" w:hAnsi="Arial"/>
                <w:sz w:val="17"/>
              </w:rPr>
              <w:t>33.56</w:t>
            </w:r>
          </w:p>
        </w:tc>
      </w:tr>
      <w:tr>
        <w:tc>
          <w:tcPr>
            <w:tcW w:type="dxa" w:w="2041"/>
            <w:shd w:val="clear" w:fill="F4F8F7"/>
          </w:tcPr>
          <w:p>
            <w:r>
              <w:rPr>
                <w:rFonts w:ascii="Arial" w:hAnsi="Arial"/>
                <w:sz w:val="17"/>
              </w:rPr>
              <w:t>T+60 (~24 Sep)</w:t>
            </w:r>
          </w:p>
        </w:tc>
        <w:tc>
          <w:tcPr>
            <w:tcW w:type="dxa" w:w="1417"/>
            <w:shd w:val="clear" w:fill="F4F8F7"/>
          </w:tcPr>
          <w:p>
            <w:r>
              <w:rPr>
                <w:rFonts w:ascii="Arial" w:hAnsi="Arial"/>
                <w:sz w:val="17"/>
              </w:rPr>
              <w:t>19.40</w:t>
            </w:r>
          </w:p>
        </w:tc>
        <w:tc>
          <w:tcPr>
            <w:tcW w:type="dxa" w:w="1417"/>
            <w:shd w:val="clear" w:fill="F4F8F7"/>
          </w:tcPr>
          <w:p>
            <w:r>
              <w:rPr>
                <w:rFonts w:ascii="Arial" w:hAnsi="Arial"/>
                <w:sz w:val="17"/>
              </w:rPr>
              <w:t>24.40</w:t>
            </w:r>
          </w:p>
        </w:tc>
        <w:tc>
          <w:tcPr>
            <w:tcW w:type="dxa" w:w="1417"/>
            <w:shd w:val="clear" w:fill="F4F8F7"/>
          </w:tcPr>
          <w:p>
            <w:r>
              <w:rPr>
                <w:rFonts w:ascii="Arial" w:hAnsi="Arial"/>
                <w:sz w:val="17"/>
              </w:rPr>
              <w:t>27.82</w:t>
            </w:r>
          </w:p>
        </w:tc>
        <w:tc>
          <w:tcPr>
            <w:tcW w:type="dxa" w:w="1417"/>
            <w:shd w:val="clear" w:fill="F4F8F7"/>
          </w:tcPr>
          <w:p>
            <w:r>
              <w:rPr>
                <w:rFonts w:ascii="Arial" w:hAnsi="Arial"/>
                <w:sz w:val="17"/>
              </w:rPr>
              <w:t>31.65</w:t>
            </w:r>
          </w:p>
        </w:tc>
        <w:tc>
          <w:tcPr>
            <w:tcW w:type="dxa" w:w="1417"/>
            <w:shd w:val="clear" w:fill="F4F8F7"/>
          </w:tcPr>
          <w:p>
            <w:r>
              <w:rPr>
                <w:rFonts w:ascii="Arial" w:hAnsi="Arial"/>
                <w:sz w:val="17"/>
              </w:rPr>
              <w:t>38.98</w:t>
            </w:r>
          </w:p>
        </w:tc>
      </w:tr>
    </w:tbl>
    <w:p>
      <w:pPr>
        <w:spacing w:after="40"/>
      </w:pPr>
    </w:p>
    <w:p>
      <w:pPr>
        <w:spacing w:after="80"/>
      </w:pPr>
      <w:r>
        <w:rPr>
          <w:rFonts w:ascii="Arial" w:hAnsi="Arial"/>
          <w:b w:val="0"/>
          <w:i w:val="0"/>
          <w:sz w:val="19"/>
        </w:rPr>
        <w:t>Lead with the 50% band, not the tails: one quarter out the middle half of outcomes spans EGP 24.40–31.65 — about 27% of spot, the irreducible quarter-ahead uncertainty of an EGX single name — and at one month it is EGP 25.48–29.62. The distribution closes above spot on 53.6% of paths; the mean (EGP 28.39) sits above the median, the signature of the t5 right tail plus the small positive factor drift.</w:t>
      </w:r>
    </w:p>
    <w:p>
      <w:pPr>
        <w:jc w:val="center"/>
      </w:pPr>
      <w:r>
        <w:drawing>
          <wp:inline xmlns:a="http://schemas.openxmlformats.org/drawingml/2006/main" xmlns:pic="http://schemas.openxmlformats.org/drawingml/2006/picture">
            <wp:extent cx="5688000" cy="2910140"/>
            <wp:docPr id="5" name="Picture 5"/>
            <wp:cNvGraphicFramePr>
              <a:graphicFrameLocks noChangeAspect="1"/>
            </wp:cNvGraphicFramePr>
            <a:graphic>
              <a:graphicData uri="http://schemas.openxmlformats.org/drawingml/2006/picture">
                <pic:pic>
                  <pic:nvPicPr>
                    <pic:cNvPr id="0" name="mc_EFID_fan.png"/>
                    <pic:cNvPicPr/>
                  </pic:nvPicPr>
                  <pic:blipFill>
                    <a:blip r:embed="rId13"/>
                    <a:stretch>
                      <a:fillRect/>
                    </a:stretch>
                  </pic:blipFill>
                  <pic:spPr>
                    <a:xfrm>
                      <a:off x="0" y="0"/>
                      <a:ext cx="5688000" cy="2910140"/>
                    </a:xfrm>
                    <a:prstGeom prst="rect"/>
                  </pic:spPr>
                </pic:pic>
              </a:graphicData>
            </a:graphic>
          </wp:inline>
        </w:drawing>
      </w:r>
    </w:p>
    <w:p>
      <w:pPr>
        <w:spacing w:after="160"/>
        <w:jc w:val="center"/>
      </w:pPr>
      <w:r>
        <w:rPr>
          <w:rFonts w:ascii="Arial" w:hAnsi="Arial"/>
          <w:b w:val="0"/>
          <w:i/>
          <w:color w:val="555555"/>
          <w:sz w:val="16"/>
        </w:rPr>
        <w:t>Figure 5 — the fan: 50,000 paths, 25–75% and 5–95% bands, median, spot reference.</w:t>
      </w:r>
    </w:p>
    <w:p>
      <w:pPr>
        <w:jc w:val="center"/>
      </w:pPr>
      <w:r>
        <w:drawing>
          <wp:inline xmlns:a="http://schemas.openxmlformats.org/drawingml/2006/main" xmlns:pic="http://schemas.openxmlformats.org/drawingml/2006/picture">
            <wp:extent cx="4968000" cy="2484000"/>
            <wp:docPr id="6" name="Picture 6"/>
            <wp:cNvGraphicFramePr>
              <a:graphicFrameLocks noChangeAspect="1"/>
            </wp:cNvGraphicFramePr>
            <a:graphic>
              <a:graphicData uri="http://schemas.openxmlformats.org/drawingml/2006/picture">
                <pic:pic>
                  <pic:nvPicPr>
                    <pic:cNvPr id="0" name="mc_EFID_T20.png"/>
                    <pic:cNvPicPr/>
                  </pic:nvPicPr>
                  <pic:blipFill>
                    <a:blip r:embed="rId14"/>
                    <a:stretch>
                      <a:fillRect/>
                    </a:stretch>
                  </pic:blipFill>
                  <pic:spPr>
                    <a:xfrm>
                      <a:off x="0" y="0"/>
                      <a:ext cx="4968000" cy="2484000"/>
                    </a:xfrm>
                    <a:prstGeom prst="rect"/>
                  </pic:spPr>
                </pic:pic>
              </a:graphicData>
            </a:graphic>
          </wp:inline>
        </w:drawing>
      </w:r>
    </w:p>
    <w:p>
      <w:pPr>
        <w:spacing w:after="160"/>
        <w:jc w:val="center"/>
      </w:pPr>
      <w:r>
        <w:rPr>
          <w:rFonts w:ascii="Arial" w:hAnsi="Arial"/>
          <w:b w:val="0"/>
          <w:i/>
          <w:color w:val="555555"/>
          <w:sz w:val="16"/>
        </w:rPr>
        <w:t>Figure 6 — terminal-price distribution at T+20.</w:t>
      </w:r>
    </w:p>
    <w:p>
      <w:pPr>
        <w:jc w:val="center"/>
      </w:pPr>
      <w:r>
        <w:drawing>
          <wp:inline xmlns:a="http://schemas.openxmlformats.org/drawingml/2006/main" xmlns:pic="http://schemas.openxmlformats.org/drawingml/2006/picture">
            <wp:extent cx="4968000" cy="2484000"/>
            <wp:docPr id="7" name="Picture 7"/>
            <wp:cNvGraphicFramePr>
              <a:graphicFrameLocks noChangeAspect="1"/>
            </wp:cNvGraphicFramePr>
            <a:graphic>
              <a:graphicData uri="http://schemas.openxmlformats.org/drawingml/2006/picture">
                <pic:pic>
                  <pic:nvPicPr>
                    <pic:cNvPr id="0" name="mc_EFID_T60.png"/>
                    <pic:cNvPicPr/>
                  </pic:nvPicPr>
                  <pic:blipFill>
                    <a:blip r:embed="rId15"/>
                    <a:stretch>
                      <a:fillRect/>
                    </a:stretch>
                  </pic:blipFill>
                  <pic:spPr>
                    <a:xfrm>
                      <a:off x="0" y="0"/>
                      <a:ext cx="4968000" cy="2484000"/>
                    </a:xfrm>
                    <a:prstGeom prst="rect"/>
                  </pic:spPr>
                </pic:pic>
              </a:graphicData>
            </a:graphic>
          </wp:inline>
        </w:drawing>
      </w:r>
    </w:p>
    <w:p>
      <w:pPr>
        <w:spacing w:after="160"/>
        <w:jc w:val="center"/>
      </w:pPr>
      <w:r>
        <w:rPr>
          <w:rFonts w:ascii="Arial" w:hAnsi="Arial"/>
          <w:b w:val="0"/>
          <w:i/>
          <w:color w:val="555555"/>
          <w:sz w:val="16"/>
        </w:rPr>
        <w:t>Figure 7 — terminal-price distribution at T+60.</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381"/>
            <w:shd w:val="clear" w:fill="1C6E63"/>
          </w:tcPr>
          <w:p>
            <w:r>
              <w:rPr>
                <w:rFonts w:ascii="Arial" w:hAnsi="Arial"/>
                <w:b/>
                <w:color w:val="FFFFFF"/>
                <w:sz w:val="17"/>
              </w:rPr>
              <w:t>Touch by T+60 — upside</w:t>
            </w:r>
          </w:p>
        </w:tc>
        <w:tc>
          <w:tcPr>
            <w:tcW w:type="dxa" w:w="1304"/>
            <w:shd w:val="clear" w:fill="1C6E63"/>
          </w:tcPr>
          <w:p>
            <w:r>
              <w:rPr>
                <w:rFonts w:ascii="Arial" w:hAnsi="Arial"/>
                <w:b/>
                <w:color w:val="FFFFFF"/>
                <w:sz w:val="17"/>
              </w:rPr>
              <w:t>P(touch)</w:t>
            </w:r>
          </w:p>
        </w:tc>
        <w:tc>
          <w:tcPr>
            <w:tcW w:type="dxa" w:w="340"/>
            <w:shd w:val="clear" w:fill="1C6E63"/>
          </w:tcPr>
          <w:p>
            <w:r>
              <w:rPr>
                <w:rFonts w:ascii="Arial" w:hAnsi="Arial"/>
                <w:b/>
                <w:color w:val="FFFFFF"/>
                <w:sz w:val="17"/>
              </w:rPr>
            </w:r>
          </w:p>
        </w:tc>
        <w:tc>
          <w:tcPr>
            <w:tcW w:type="dxa" w:w="2381"/>
            <w:shd w:val="clear" w:fill="1C6E63"/>
          </w:tcPr>
          <w:p>
            <w:r>
              <w:rPr>
                <w:rFonts w:ascii="Arial" w:hAnsi="Arial"/>
                <w:b/>
                <w:color w:val="FFFFFF"/>
                <w:sz w:val="17"/>
              </w:rPr>
              <w:t>Touch by T+60 — downside</w:t>
            </w:r>
          </w:p>
        </w:tc>
        <w:tc>
          <w:tcPr>
            <w:tcW w:type="dxa" w:w="1304"/>
            <w:shd w:val="clear" w:fill="1C6E63"/>
          </w:tcPr>
          <w:p>
            <w:r>
              <w:rPr>
                <w:rFonts w:ascii="Arial" w:hAnsi="Arial"/>
                <w:b/>
                <w:color w:val="FFFFFF"/>
                <w:sz w:val="17"/>
              </w:rPr>
              <w:t>P(touch)</w:t>
            </w:r>
          </w:p>
        </w:tc>
      </w:tr>
      <w:tr>
        <w:tc>
          <w:tcPr>
            <w:tcW w:type="dxa" w:w="2381"/>
          </w:tcPr>
          <w:p>
            <w:r>
              <w:rPr>
                <w:rFonts w:ascii="Arial" w:hAnsi="Arial"/>
                <w:sz w:val="17"/>
              </w:rPr>
              <w:t>28.00</w:t>
            </w:r>
          </w:p>
        </w:tc>
        <w:tc>
          <w:tcPr>
            <w:tcW w:type="dxa" w:w="1304"/>
          </w:tcPr>
          <w:p>
            <w:r>
              <w:rPr>
                <w:rFonts w:ascii="Arial" w:hAnsi="Arial"/>
                <w:sz w:val="17"/>
              </w:rPr>
              <w:t>85.3%</w:t>
            </w:r>
          </w:p>
        </w:tc>
        <w:tc>
          <w:tcPr>
            <w:tcW w:type="dxa" w:w="340"/>
          </w:tcPr>
          <w:p>
            <w:r>
              <w:rPr>
                <w:rFonts w:ascii="Arial" w:hAnsi="Arial"/>
                <w:sz w:val="17"/>
              </w:rPr>
            </w:r>
          </w:p>
        </w:tc>
        <w:tc>
          <w:tcPr>
            <w:tcW w:type="dxa" w:w="2381"/>
          </w:tcPr>
          <w:p>
            <w:r>
              <w:rPr>
                <w:rFonts w:ascii="Arial" w:hAnsi="Arial"/>
                <w:sz w:val="17"/>
              </w:rPr>
              <w:t>27.00</w:t>
            </w:r>
          </w:p>
        </w:tc>
        <w:tc>
          <w:tcPr>
            <w:tcW w:type="dxa" w:w="1304"/>
          </w:tcPr>
          <w:p>
            <w:r>
              <w:rPr>
                <w:rFonts w:ascii="Arial" w:hAnsi="Arial"/>
                <w:sz w:val="17"/>
              </w:rPr>
              <w:t>87.1%</w:t>
            </w:r>
          </w:p>
        </w:tc>
      </w:tr>
      <w:tr>
        <w:tc>
          <w:tcPr>
            <w:tcW w:type="dxa" w:w="2381"/>
            <w:shd w:val="clear" w:fill="F4F8F7"/>
          </w:tcPr>
          <w:p>
            <w:r>
              <w:rPr>
                <w:rFonts w:ascii="Arial" w:hAnsi="Arial"/>
                <w:sz w:val="17"/>
              </w:rPr>
              <w:t>29.00</w:t>
            </w:r>
          </w:p>
        </w:tc>
        <w:tc>
          <w:tcPr>
            <w:tcW w:type="dxa" w:w="1304"/>
            <w:shd w:val="clear" w:fill="F4F8F7"/>
          </w:tcPr>
          <w:p>
            <w:r>
              <w:rPr>
                <w:rFonts w:ascii="Arial" w:hAnsi="Arial"/>
                <w:sz w:val="17"/>
              </w:rPr>
              <w:t>72.4%</w:t>
            </w:r>
          </w:p>
        </w:tc>
        <w:tc>
          <w:tcPr>
            <w:tcW w:type="dxa" w:w="340"/>
            <w:shd w:val="clear" w:fill="F4F8F7"/>
          </w:tcPr>
          <w:p>
            <w:r>
              <w:rPr>
                <w:rFonts w:ascii="Arial" w:hAnsi="Arial"/>
                <w:sz w:val="17"/>
              </w:rPr>
            </w:r>
          </w:p>
        </w:tc>
        <w:tc>
          <w:tcPr>
            <w:tcW w:type="dxa" w:w="2381"/>
            <w:shd w:val="clear" w:fill="F4F8F7"/>
          </w:tcPr>
          <w:p>
            <w:r>
              <w:rPr>
                <w:rFonts w:ascii="Arial" w:hAnsi="Arial"/>
                <w:sz w:val="17"/>
              </w:rPr>
              <w:t>26.00</w:t>
            </w:r>
          </w:p>
        </w:tc>
        <w:tc>
          <w:tcPr>
            <w:tcW w:type="dxa" w:w="1304"/>
            <w:shd w:val="clear" w:fill="F4F8F7"/>
          </w:tcPr>
          <w:p>
            <w:r>
              <w:rPr>
                <w:rFonts w:ascii="Arial" w:hAnsi="Arial"/>
                <w:sz w:val="17"/>
              </w:rPr>
              <w:t>70.9%</w:t>
            </w:r>
          </w:p>
        </w:tc>
      </w:tr>
      <w:tr>
        <w:tc>
          <w:tcPr>
            <w:tcW w:type="dxa" w:w="2381"/>
          </w:tcPr>
          <w:p>
            <w:r>
              <w:rPr>
                <w:rFonts w:ascii="Arial" w:hAnsi="Arial"/>
                <w:sz w:val="17"/>
              </w:rPr>
              <w:t>30.00</w:t>
            </w:r>
          </w:p>
        </w:tc>
        <w:tc>
          <w:tcPr>
            <w:tcW w:type="dxa" w:w="1304"/>
          </w:tcPr>
          <w:p>
            <w:r>
              <w:rPr>
                <w:rFonts w:ascii="Arial" w:hAnsi="Arial"/>
                <w:sz w:val="17"/>
              </w:rPr>
              <w:t>60.6%</w:t>
            </w:r>
          </w:p>
        </w:tc>
        <w:tc>
          <w:tcPr>
            <w:tcW w:type="dxa" w:w="340"/>
          </w:tcPr>
          <w:p>
            <w:r>
              <w:rPr>
                <w:rFonts w:ascii="Arial" w:hAnsi="Arial"/>
                <w:sz w:val="17"/>
              </w:rPr>
            </w:r>
          </w:p>
        </w:tc>
        <w:tc>
          <w:tcPr>
            <w:tcW w:type="dxa" w:w="2381"/>
          </w:tcPr>
          <w:p>
            <w:r>
              <w:rPr>
                <w:rFonts w:ascii="Arial" w:hAnsi="Arial"/>
                <w:sz w:val="17"/>
              </w:rPr>
              <w:t>25.00</w:t>
            </w:r>
          </w:p>
        </w:tc>
        <w:tc>
          <w:tcPr>
            <w:tcW w:type="dxa" w:w="1304"/>
          </w:tcPr>
          <w:p>
            <w:r>
              <w:rPr>
                <w:rFonts w:ascii="Arial" w:hAnsi="Arial"/>
                <w:sz w:val="17"/>
              </w:rPr>
              <w:t>55.9%</w:t>
            </w:r>
          </w:p>
        </w:tc>
      </w:tr>
      <w:tr>
        <w:tc>
          <w:tcPr>
            <w:tcW w:type="dxa" w:w="2381"/>
            <w:shd w:val="clear" w:fill="F4F8F7"/>
          </w:tcPr>
          <w:p>
            <w:r>
              <w:rPr>
                <w:rFonts w:ascii="Arial" w:hAnsi="Arial"/>
                <w:sz w:val="17"/>
              </w:rPr>
              <w:t>31.00</w:t>
            </w:r>
          </w:p>
        </w:tc>
        <w:tc>
          <w:tcPr>
            <w:tcW w:type="dxa" w:w="1304"/>
            <w:shd w:val="clear" w:fill="F4F8F7"/>
          </w:tcPr>
          <w:p>
            <w:r>
              <w:rPr>
                <w:rFonts w:ascii="Arial" w:hAnsi="Arial"/>
                <w:sz w:val="17"/>
              </w:rPr>
              <w:t>49.9%</w:t>
            </w:r>
          </w:p>
        </w:tc>
        <w:tc>
          <w:tcPr>
            <w:tcW w:type="dxa" w:w="340"/>
            <w:shd w:val="clear" w:fill="F4F8F7"/>
          </w:tcPr>
          <w:p>
            <w:r>
              <w:rPr>
                <w:rFonts w:ascii="Arial" w:hAnsi="Arial"/>
                <w:sz w:val="17"/>
              </w:rPr>
            </w:r>
          </w:p>
        </w:tc>
        <w:tc>
          <w:tcPr>
            <w:tcW w:type="dxa" w:w="2381"/>
            <w:shd w:val="clear" w:fill="F4F8F7"/>
          </w:tcPr>
          <w:p>
            <w:r>
              <w:rPr>
                <w:rFonts w:ascii="Arial" w:hAnsi="Arial"/>
                <w:sz w:val="17"/>
              </w:rPr>
              <w:t>24.00</w:t>
            </w:r>
          </w:p>
        </w:tc>
        <w:tc>
          <w:tcPr>
            <w:tcW w:type="dxa" w:w="1304"/>
            <w:shd w:val="clear" w:fill="F4F8F7"/>
          </w:tcPr>
          <w:p>
            <w:r>
              <w:rPr>
                <w:rFonts w:ascii="Arial" w:hAnsi="Arial"/>
                <w:sz w:val="17"/>
              </w:rPr>
              <w:t>42.7%</w:t>
            </w:r>
          </w:p>
        </w:tc>
      </w:tr>
      <w:tr>
        <w:tc>
          <w:tcPr>
            <w:tcW w:type="dxa" w:w="2381"/>
          </w:tcPr>
          <w:p>
            <w:r>
              <w:rPr>
                <w:rFonts w:ascii="Arial" w:hAnsi="Arial"/>
                <w:sz w:val="17"/>
              </w:rPr>
              <w:t>32.00</w:t>
            </w:r>
          </w:p>
        </w:tc>
        <w:tc>
          <w:tcPr>
            <w:tcW w:type="dxa" w:w="1304"/>
          </w:tcPr>
          <w:p>
            <w:r>
              <w:rPr>
                <w:rFonts w:ascii="Arial" w:hAnsi="Arial"/>
                <w:sz w:val="17"/>
              </w:rPr>
              <w:t>40.7%</w:t>
            </w:r>
          </w:p>
        </w:tc>
        <w:tc>
          <w:tcPr>
            <w:tcW w:type="dxa" w:w="340"/>
          </w:tcPr>
          <w:p>
            <w:r>
              <w:rPr>
                <w:rFonts w:ascii="Arial" w:hAnsi="Arial"/>
                <w:sz w:val="17"/>
              </w:rPr>
            </w:r>
          </w:p>
        </w:tc>
        <w:tc>
          <w:tcPr>
            <w:tcW w:type="dxa" w:w="2381"/>
          </w:tcPr>
          <w:p>
            <w:r>
              <w:rPr>
                <w:rFonts w:ascii="Arial" w:hAnsi="Arial"/>
                <w:sz w:val="17"/>
              </w:rPr>
              <w:t>23.00</w:t>
            </w:r>
          </w:p>
        </w:tc>
        <w:tc>
          <w:tcPr>
            <w:tcW w:type="dxa" w:w="1304"/>
          </w:tcPr>
          <w:p>
            <w:r>
              <w:rPr>
                <w:rFonts w:ascii="Arial" w:hAnsi="Arial"/>
                <w:sz w:val="17"/>
              </w:rPr>
              <w:t>31.6%</w:t>
            </w:r>
          </w:p>
        </w:tc>
      </w:tr>
      <w:tr>
        <w:tc>
          <w:tcPr>
            <w:tcW w:type="dxa" w:w="2381"/>
            <w:shd w:val="clear" w:fill="F4F8F7"/>
          </w:tcPr>
          <w:p>
            <w:r>
              <w:rPr>
                <w:rFonts w:ascii="Arial" w:hAnsi="Arial"/>
                <w:sz w:val="17"/>
              </w:rPr>
              <w:t>33.00</w:t>
            </w:r>
          </w:p>
        </w:tc>
        <w:tc>
          <w:tcPr>
            <w:tcW w:type="dxa" w:w="1304"/>
            <w:shd w:val="clear" w:fill="F4F8F7"/>
          </w:tcPr>
          <w:p>
            <w:r>
              <w:rPr>
                <w:rFonts w:ascii="Arial" w:hAnsi="Arial"/>
                <w:sz w:val="17"/>
              </w:rPr>
              <w:t>32.9%</w:t>
            </w:r>
          </w:p>
        </w:tc>
        <w:tc>
          <w:tcPr>
            <w:tcW w:type="dxa" w:w="340"/>
            <w:shd w:val="clear" w:fill="F4F8F7"/>
          </w:tcPr>
          <w:p>
            <w:r>
              <w:rPr>
                <w:rFonts w:ascii="Arial" w:hAnsi="Arial"/>
                <w:sz w:val="17"/>
              </w:rPr>
            </w:r>
          </w:p>
        </w:tc>
        <w:tc>
          <w:tcPr>
            <w:tcW w:type="dxa" w:w="2381"/>
            <w:shd w:val="clear" w:fill="F4F8F7"/>
          </w:tcPr>
          <w:p>
            <w:r>
              <w:rPr>
                <w:rFonts w:ascii="Arial" w:hAnsi="Arial"/>
                <w:sz w:val="17"/>
              </w:rPr>
              <w:t>22.00</w:t>
            </w:r>
          </w:p>
        </w:tc>
        <w:tc>
          <w:tcPr>
            <w:tcW w:type="dxa" w:w="1304"/>
            <w:shd w:val="clear" w:fill="F4F8F7"/>
          </w:tcPr>
          <w:p>
            <w:r>
              <w:rPr>
                <w:rFonts w:ascii="Arial" w:hAnsi="Arial"/>
                <w:sz w:val="17"/>
              </w:rPr>
              <w:t>22.8%</w:t>
            </w:r>
          </w:p>
        </w:tc>
      </w:tr>
      <w:tr>
        <w:tc>
          <w:tcPr>
            <w:tcW w:type="dxa" w:w="2381"/>
          </w:tcPr>
          <w:p>
            <w:r>
              <w:rPr>
                <w:rFonts w:ascii="Arial" w:hAnsi="Arial"/>
                <w:sz w:val="17"/>
              </w:rPr>
              <w:t>35.00</w:t>
            </w:r>
          </w:p>
        </w:tc>
        <w:tc>
          <w:tcPr>
            <w:tcW w:type="dxa" w:w="1304"/>
          </w:tcPr>
          <w:p>
            <w:r>
              <w:rPr>
                <w:rFonts w:ascii="Arial" w:hAnsi="Arial"/>
                <w:sz w:val="17"/>
              </w:rPr>
              <w:t>21.3%</w:t>
            </w:r>
          </w:p>
        </w:tc>
        <w:tc>
          <w:tcPr>
            <w:tcW w:type="dxa" w:w="340"/>
          </w:tcPr>
          <w:p>
            <w:r>
              <w:rPr>
                <w:rFonts w:ascii="Arial" w:hAnsi="Arial"/>
                <w:sz w:val="17"/>
              </w:rPr>
            </w:r>
          </w:p>
        </w:tc>
        <w:tc>
          <w:tcPr>
            <w:tcW w:type="dxa" w:w="2381"/>
          </w:tcPr>
          <w:p>
            <w:r>
              <w:rPr>
                <w:rFonts w:ascii="Arial" w:hAnsi="Arial"/>
                <w:sz w:val="17"/>
              </w:rPr>
              <w:t>20.00</w:t>
            </w:r>
          </w:p>
        </w:tc>
        <w:tc>
          <w:tcPr>
            <w:tcW w:type="dxa" w:w="1304"/>
          </w:tcPr>
          <w:p>
            <w:r>
              <w:rPr>
                <w:rFonts w:ascii="Arial" w:hAnsi="Arial"/>
                <w:sz w:val="17"/>
              </w:rPr>
              <w:t>10.9%</w:t>
            </w:r>
          </w:p>
        </w:tc>
      </w:tr>
    </w:tbl>
    <w:p>
      <w:pPr>
        <w:spacing w:after="40"/>
      </w:pPr>
    </w:p>
    <w:p>
      <w:pPr>
        <w:spacing w:after="160"/>
      </w:pPr>
      <w:r>
        <w:rPr>
          <w:rFonts w:ascii="Arial" w:hAnsi="Arial"/>
          <w:b w:val="0"/>
          <w:i w:val="0"/>
          <w:sz w:val="19"/>
        </w:rPr>
        <w:t>The ladders read like the tape: both 28 and 27 are touched on ~85% of paths (the range is alive on both sides), the February high at 32–33 is reached on a third to two-fifths of paths, and the 200-day zone at ~25 is visited on more than half. A close below 22 — the level that would break the 2024 base structure — occurs on fewer than a quarter of paths.</w:t>
      </w:r>
    </w:p>
    <w:p>
      <w:pPr>
        <w:pStyle w:val="Heading1"/>
      </w:pPr>
      <w:r>
        <w:t>4  Comparison of the lenses, and a verdict</w:t>
      </w:r>
    </w:p>
    <w:tbl>
      <w:tblPr>
        <w:tblStyle w:val="TableGrid"/>
        <w:tblW w:type="auto" w:w="0"/>
        <w:jc w:val="center"/>
        <w:tblLook w:firstColumn="1" w:firstRow="1" w:lastColumn="0" w:lastRow="0" w:noHBand="0" w:noVBand="1" w:val="04A0"/>
      </w:tblPr>
      <w:tblGrid>
        <w:gridCol w:w="3324"/>
        <w:gridCol w:w="3324"/>
        <w:gridCol w:w="3324"/>
      </w:tblGrid>
      <w:tr>
        <w:tc>
          <w:tcPr>
            <w:tcW w:type="dxa" w:w="2154"/>
            <w:shd w:val="clear" w:fill="1C6E63"/>
          </w:tcPr>
          <w:p>
            <w:r>
              <w:rPr>
                <w:rFonts w:ascii="Arial" w:hAnsi="Arial"/>
                <w:b/>
                <w:color w:val="FFFFFF"/>
                <w:sz w:val="17"/>
              </w:rPr>
              <w:t>Read</w:t>
            </w:r>
          </w:p>
        </w:tc>
        <w:tc>
          <w:tcPr>
            <w:tcW w:type="dxa" w:w="5329"/>
            <w:shd w:val="clear" w:fill="1C6E63"/>
          </w:tcPr>
          <w:p>
            <w:r>
              <w:rPr>
                <w:rFonts w:ascii="Arial" w:hAnsi="Arial"/>
                <w:b/>
                <w:color w:val="FFFFFF"/>
                <w:sz w:val="17"/>
              </w:rPr>
              <w:t>Says</w:t>
            </w:r>
          </w:p>
        </w:tc>
        <w:tc>
          <w:tcPr>
            <w:tcW w:type="dxa" w:w="1814"/>
            <w:shd w:val="clear" w:fill="1C6E63"/>
          </w:tcPr>
          <w:p>
            <w:r>
              <w:rPr>
                <w:rFonts w:ascii="Arial" w:hAnsi="Arial"/>
                <w:b/>
                <w:color w:val="FFFFFF"/>
                <w:sz w:val="17"/>
              </w:rPr>
              <w:t>Weight in the verdict</w:t>
            </w:r>
          </w:p>
        </w:tc>
      </w:tr>
      <w:tr>
        <w:tc>
          <w:tcPr>
            <w:tcW w:type="dxa" w:w="2154"/>
          </w:tcPr>
          <w:p>
            <w:r>
              <w:rPr>
                <w:rFonts w:ascii="Arial" w:hAnsi="Arial"/>
                <w:sz w:val="17"/>
              </w:rPr>
              <w:t>Fundamental (weighted)</w:t>
            </w:r>
          </w:p>
        </w:tc>
        <w:tc>
          <w:tcPr>
            <w:tcW w:type="dxa" w:w="5329"/>
          </w:tcPr>
          <w:p>
            <w:r>
              <w:rPr>
                <w:rFonts w:ascii="Arial" w:hAnsi="Arial"/>
                <w:sz w:val="17"/>
              </w:rPr>
              <w:t>EGP 27.68 — fair value on top of spot; business quality high, currency cost of capital high</w:t>
            </w:r>
          </w:p>
        </w:tc>
        <w:tc>
          <w:tcPr>
            <w:tcW w:type="dxa" w:w="1814"/>
          </w:tcPr>
          <w:p>
            <w:r>
              <w:rPr>
                <w:rFonts w:ascii="Arial" w:hAnsi="Arial"/>
                <w:sz w:val="17"/>
              </w:rPr>
              <w:t>anchor</w:t>
            </w:r>
          </w:p>
        </w:tc>
      </w:tr>
      <w:tr>
        <w:tc>
          <w:tcPr>
            <w:tcW w:type="dxa" w:w="2154"/>
            <w:shd w:val="clear" w:fill="F4F8F7"/>
          </w:tcPr>
          <w:p>
            <w:r>
              <w:rPr>
                <w:rFonts w:ascii="Arial" w:hAnsi="Arial"/>
                <w:sz w:val="17"/>
              </w:rPr>
              <w:t>FCFF DCF / segment build</w:t>
            </w:r>
          </w:p>
        </w:tc>
        <w:tc>
          <w:tcPr>
            <w:tcW w:type="dxa" w:w="5329"/>
            <w:shd w:val="clear" w:fill="F4F8F7"/>
          </w:tcPr>
          <w:p>
            <w:r>
              <w:rPr>
                <w:rFonts w:ascii="Arial" w:hAnsi="Arial"/>
                <w:sz w:val="17"/>
              </w:rPr>
              <w:t>EGP 29.7–30.1 — modest upside if margins and growth hold</w:t>
            </w:r>
          </w:p>
        </w:tc>
        <w:tc>
          <w:tcPr>
            <w:tcW w:type="dxa" w:w="1814"/>
            <w:shd w:val="clear" w:fill="F4F8F7"/>
          </w:tcPr>
          <w:p>
            <w:r>
              <w:rPr>
                <w:rFonts w:ascii="Arial" w:hAnsi="Arial"/>
                <w:sz w:val="17"/>
              </w:rPr>
              <w:t>tilt up</w:t>
            </w:r>
          </w:p>
        </w:tc>
      </w:tr>
      <w:tr>
        <w:tc>
          <w:tcPr>
            <w:tcW w:type="dxa" w:w="2154"/>
          </w:tcPr>
          <w:p>
            <w:r>
              <w:rPr>
                <w:rFonts w:ascii="Arial" w:hAnsi="Arial"/>
                <w:sz w:val="17"/>
              </w:rPr>
              <w:t>Normalized / DDM</w:t>
            </w:r>
          </w:p>
        </w:tc>
        <w:tc>
          <w:tcPr>
            <w:tcW w:type="dxa" w:w="5329"/>
          </w:tcPr>
          <w:p>
            <w:r>
              <w:rPr>
                <w:rFonts w:ascii="Arial" w:hAnsi="Arial"/>
                <w:sz w:val="17"/>
              </w:rPr>
              <w:t>EGP 26.7 / 16.5 — the price of capitalizing a windfall, and of EGP duration</w:t>
            </w:r>
          </w:p>
        </w:tc>
        <w:tc>
          <w:tcPr>
            <w:tcW w:type="dxa" w:w="1814"/>
          </w:tcPr>
          <w:p>
            <w:r>
              <w:rPr>
                <w:rFonts w:ascii="Arial" w:hAnsi="Arial"/>
                <w:sz w:val="17"/>
              </w:rPr>
              <w:t>tilt down</w:t>
            </w:r>
          </w:p>
        </w:tc>
      </w:tr>
      <w:tr>
        <w:tc>
          <w:tcPr>
            <w:tcW w:type="dxa" w:w="2154"/>
            <w:shd w:val="clear" w:fill="F4F8F7"/>
          </w:tcPr>
          <w:p>
            <w:r>
              <w:rPr>
                <w:rFonts w:ascii="Arial" w:hAnsi="Arial"/>
                <w:sz w:val="17"/>
              </w:rPr>
              <w:t>Technical</w:t>
            </w:r>
          </w:p>
        </w:tc>
        <w:tc>
          <w:tcPr>
            <w:tcW w:type="dxa" w:w="5329"/>
            <w:shd w:val="clear" w:fill="F4F8F7"/>
          </w:tcPr>
          <w:p>
            <w:r>
              <w:rPr>
                <w:rFonts w:ascii="Arial" w:hAnsi="Arial"/>
                <w:sz w:val="17"/>
              </w:rPr>
              <w:t>uptrend intact above a rising 200-day; short-term momentum soft; 26–32 range</w:t>
            </w:r>
          </w:p>
        </w:tc>
        <w:tc>
          <w:tcPr>
            <w:tcW w:type="dxa" w:w="1814"/>
            <w:shd w:val="clear" w:fill="F4F8F7"/>
          </w:tcPr>
          <w:p>
            <w:r>
              <w:rPr>
                <w:rFonts w:ascii="Arial" w:hAnsi="Arial"/>
                <w:sz w:val="17"/>
              </w:rPr>
              <w:t>neutral-to-constructive</w:t>
            </w:r>
          </w:p>
        </w:tc>
      </w:tr>
      <w:tr>
        <w:tc>
          <w:tcPr>
            <w:tcW w:type="dxa" w:w="2154"/>
          </w:tcPr>
          <w:p>
            <w:r>
              <w:rPr>
                <w:rFonts w:ascii="Arial" w:hAnsi="Arial"/>
                <w:sz w:val="17"/>
              </w:rPr>
              <w:t>Monte Carlo (T+60)</w:t>
            </w:r>
          </w:p>
        </w:tc>
        <w:tc>
          <w:tcPr>
            <w:tcW w:type="dxa" w:w="5329"/>
          </w:tcPr>
          <w:p>
            <w:r>
              <w:rPr>
                <w:rFonts w:ascii="Arial" w:hAnsi="Arial"/>
                <w:sz w:val="17"/>
              </w:rPr>
              <w:t>median 27.82; 50% band 24.40–31.65; P(above spot) 53.6%</w:t>
            </w:r>
          </w:p>
        </w:tc>
        <w:tc>
          <w:tcPr>
            <w:tcW w:type="dxa" w:w="1814"/>
          </w:tcPr>
          <w:p>
            <w:r>
              <w:rPr>
                <w:rFonts w:ascii="Arial" w:hAnsi="Arial"/>
                <w:sz w:val="17"/>
              </w:rPr>
              <w:t>the distribution</w:t>
            </w:r>
          </w:p>
        </w:tc>
      </w:tr>
    </w:tbl>
    <w:p>
      <w:pPr>
        <w:spacing w:after="40"/>
      </w:pPr>
    </w:p>
    <w:p>
      <w:pPr>
        <w:spacing w:after="80"/>
      </w:pPr>
      <w:r>
        <w:rPr>
          <w:rFonts w:ascii="Arial" w:hAnsi="Arial"/>
          <w:b w:val="0"/>
          <w:i w:val="0"/>
          <w:sz w:val="19"/>
        </w:rPr>
      </w:r>
      <w:r>
        <w:rPr>
          <w:rFonts w:ascii="Arial" w:hAnsi="Arial"/>
          <w:b/>
          <w:i w:val="0"/>
          <w:sz w:val="19"/>
        </w:rPr>
        <w:t>Verdict: a quality compounder at a full-ish price — the re-rating is done, the compounding is not.</w:t>
      </w:r>
      <w:r>
        <w:rPr>
          <w:rFonts w:ascii="Arial" w:hAnsi="Arial"/>
          <w:b w:val="0"/>
          <w:i w:val="0"/>
          <w:sz w:val="19"/>
        </w:rPr>
        <w:t xml:space="preserve"> The market has already paid for the devaluation-recovery story it once refused to price; at ~10x forward earnings with a net-cash balance sheet, a ~50% ROIC and a working price-point machine, the shares are neither cheap enough to pound the table nor expensive enough to fade. The fundamental case from here is earned quarter by quarter — volume growth, margin retention, export scaling — and the distribution says exactly that: a coin-flip-plus (53.6%) of finishing the quarter higher, a middle half of outcomes spanning −11% to +16%, and tails owned by the pound in one direction and by operating leverage in the other. In house language: hold the distribution in your head, not a target.</w:t>
      </w:r>
    </w:p>
    <w:p>
      <w:pPr>
        <w:pStyle w:val="Heading1"/>
      </w:pPr>
      <w:r>
        <w:t>5  Catalysts to watch</w:t>
      </w:r>
    </w:p>
    <w:tbl>
      <w:tblPr>
        <w:tblStyle w:val="TableGrid"/>
        <w:tblW w:type="auto" w:w="0"/>
        <w:jc w:val="center"/>
        <w:tblLook w:firstColumn="1" w:firstRow="1" w:lastColumn="0" w:lastRow="0" w:noHBand="0" w:noVBand="1" w:val="04A0"/>
      </w:tblPr>
      <w:tblGrid>
        <w:gridCol w:w="3324"/>
        <w:gridCol w:w="3324"/>
        <w:gridCol w:w="3324"/>
      </w:tblGrid>
      <w:tr>
        <w:tc>
          <w:tcPr>
            <w:tcW w:type="dxa" w:w="1587"/>
            <w:shd w:val="clear" w:fill="1C6E63"/>
          </w:tcPr>
          <w:p>
            <w:r>
              <w:rPr>
                <w:rFonts w:ascii="Arial" w:hAnsi="Arial"/>
                <w:b/>
                <w:color w:val="FFFFFF"/>
                <w:sz w:val="17"/>
              </w:rPr>
              <w:t>When</w:t>
            </w:r>
          </w:p>
        </w:tc>
        <w:tc>
          <w:tcPr>
            <w:tcW w:type="dxa" w:w="3175"/>
            <w:shd w:val="clear" w:fill="1C6E63"/>
          </w:tcPr>
          <w:p>
            <w:r>
              <w:rPr>
                <w:rFonts w:ascii="Arial" w:hAnsi="Arial"/>
                <w:b/>
                <w:color w:val="FFFFFF"/>
                <w:sz w:val="17"/>
              </w:rPr>
              <w:t>What</w:t>
            </w:r>
          </w:p>
        </w:tc>
        <w:tc>
          <w:tcPr>
            <w:tcW w:type="dxa" w:w="4535"/>
            <w:shd w:val="clear" w:fill="1C6E63"/>
          </w:tcPr>
          <w:p>
            <w:r>
              <w:rPr>
                <w:rFonts w:ascii="Arial" w:hAnsi="Arial"/>
                <w:b/>
                <w:color w:val="FFFFFF"/>
                <w:sz w:val="17"/>
              </w:rPr>
              <w:t>Why it moves the value</w:t>
            </w:r>
          </w:p>
        </w:tc>
      </w:tr>
      <w:tr>
        <w:tc>
          <w:tcPr>
            <w:tcW w:type="dxa" w:w="1587"/>
          </w:tcPr>
          <w:p>
            <w:r>
              <w:rPr>
                <w:rFonts w:ascii="Arial" w:hAnsi="Arial"/>
                <w:sz w:val="17"/>
              </w:rPr>
              <w:t>Aug 2026</w:t>
            </w:r>
          </w:p>
        </w:tc>
        <w:tc>
          <w:tcPr>
            <w:tcW w:type="dxa" w:w="3175"/>
          </w:tcPr>
          <w:p>
            <w:r>
              <w:rPr>
                <w:rFonts w:ascii="Arial" w:hAnsi="Arial"/>
                <w:sz w:val="17"/>
              </w:rPr>
              <w:t>2Q2026 results</w:t>
            </w:r>
          </w:p>
        </w:tc>
        <w:tc>
          <w:tcPr>
            <w:tcW w:type="dxa" w:w="4535"/>
          </w:tcPr>
          <w:p>
            <w:r>
              <w:rPr>
                <w:rFonts w:ascii="Arial" w:hAnsi="Arial"/>
                <w:sz w:val="17"/>
              </w:rPr>
              <w:t>first full quarter of the new cake line at full utilization; watch gross margin vs 34.9%</w:t>
            </w:r>
          </w:p>
        </w:tc>
      </w:tr>
      <w:tr>
        <w:tc>
          <w:tcPr>
            <w:tcW w:type="dxa" w:w="1587"/>
            <w:shd w:val="clear" w:fill="F4F8F7"/>
          </w:tcPr>
          <w:p>
            <w:r>
              <w:rPr>
                <w:rFonts w:ascii="Arial" w:hAnsi="Arial"/>
                <w:sz w:val="17"/>
              </w:rPr>
              <w:t>2H 2026</w:t>
            </w:r>
          </w:p>
        </w:tc>
        <w:tc>
          <w:tcPr>
            <w:tcW w:type="dxa" w:w="3175"/>
            <w:shd w:val="clear" w:fill="F4F8F7"/>
          </w:tcPr>
          <w:p>
            <w:r>
              <w:rPr>
                <w:rFonts w:ascii="Arial" w:hAnsi="Arial"/>
                <w:sz w:val="17"/>
              </w:rPr>
              <w:t>MIFAD wafer tolling ramp (Freska Square)</w:t>
            </w:r>
          </w:p>
        </w:tc>
        <w:tc>
          <w:tcPr>
            <w:tcW w:type="dxa" w:w="4535"/>
            <w:shd w:val="clear" w:fill="F4F8F7"/>
          </w:tcPr>
          <w:p>
            <w:r>
              <w:rPr>
                <w:rFonts w:ascii="Arial" w:hAnsi="Arial"/>
                <w:sz w:val="17"/>
              </w:rPr>
              <w:t>asset-light capacity doubling in wafers; mix and GPM read-through</w:t>
            </w:r>
          </w:p>
        </w:tc>
      </w:tr>
      <w:tr>
        <w:tc>
          <w:tcPr>
            <w:tcW w:type="dxa" w:w="1587"/>
          </w:tcPr>
          <w:p>
            <w:r>
              <w:rPr>
                <w:rFonts w:ascii="Arial" w:hAnsi="Arial"/>
                <w:sz w:val="17"/>
              </w:rPr>
              <w:t>2H 2026</w:t>
            </w:r>
          </w:p>
        </w:tc>
        <w:tc>
          <w:tcPr>
            <w:tcW w:type="dxa" w:w="3175"/>
          </w:tcPr>
          <w:p>
            <w:r>
              <w:rPr>
                <w:rFonts w:ascii="Arial" w:hAnsi="Arial"/>
                <w:sz w:val="17"/>
              </w:rPr>
              <w:t>HTT-Africa rollout economics</w:t>
            </w:r>
          </w:p>
        </w:tc>
        <w:tc>
          <w:tcPr>
            <w:tcW w:type="dxa" w:w="4535"/>
          </w:tcPr>
          <w:p>
            <w:r>
              <w:rPr>
                <w:rFonts w:ascii="Arial" w:hAnsi="Arial"/>
                <w:sz w:val="17"/>
              </w:rPr>
              <w:t>license-free HoHos/Twinkies/Tiger Tail across 45+ markets; export margin uplift</w:t>
            </w:r>
          </w:p>
        </w:tc>
      </w:tr>
      <w:tr>
        <w:tc>
          <w:tcPr>
            <w:tcW w:type="dxa" w:w="1587"/>
            <w:shd w:val="clear" w:fill="F4F8F7"/>
          </w:tcPr>
          <w:p>
            <w:r>
              <w:rPr>
                <w:rFonts w:ascii="Arial" w:hAnsi="Arial"/>
                <w:sz w:val="17"/>
              </w:rPr>
              <w:t>Ongoing</w:t>
            </w:r>
          </w:p>
        </w:tc>
        <w:tc>
          <w:tcPr>
            <w:tcW w:type="dxa" w:w="3175"/>
            <w:shd w:val="clear" w:fill="F4F8F7"/>
          </w:tcPr>
          <w:p>
            <w:r>
              <w:rPr>
                <w:rFonts w:ascii="Arial" w:hAnsi="Arial"/>
                <w:sz w:val="17"/>
              </w:rPr>
              <w:t>CBE rate path &amp; EGP regime</w:t>
            </w:r>
          </w:p>
        </w:tc>
        <w:tc>
          <w:tcPr>
            <w:tcW w:type="dxa" w:w="4535"/>
            <w:shd w:val="clear" w:fill="F4F8F7"/>
          </w:tcPr>
          <w:p>
            <w:r>
              <w:rPr>
                <w:rFonts w:ascii="Arial" w:hAnsi="Arial"/>
                <w:sz w:val="17"/>
              </w:rPr>
              <w:t>every 100bp off the discount rate is worth roughly EGP 1.5–2/share in the DCF</w:t>
            </w:r>
          </w:p>
        </w:tc>
      </w:tr>
      <w:tr>
        <w:tc>
          <w:tcPr>
            <w:tcW w:type="dxa" w:w="1587"/>
          </w:tcPr>
          <w:p>
            <w:r>
              <w:rPr>
                <w:rFonts w:ascii="Arial" w:hAnsi="Arial"/>
                <w:sz w:val="17"/>
              </w:rPr>
              <w:t>Q4 2026 – 2027</w:t>
            </w:r>
          </w:p>
        </w:tc>
        <w:tc>
          <w:tcPr>
            <w:tcW w:type="dxa" w:w="3175"/>
          </w:tcPr>
          <w:p>
            <w:r>
              <w:rPr>
                <w:rFonts w:ascii="Arial" w:hAnsi="Arial"/>
                <w:sz w:val="17"/>
              </w:rPr>
              <w:t>Edita Iraq (TJA) consolidation &amp; Morocco scaling</w:t>
            </w:r>
          </w:p>
        </w:tc>
        <w:tc>
          <w:tcPr>
            <w:tcW w:type="dxa" w:w="4535"/>
          </w:tcPr>
          <w:p>
            <w:r>
              <w:rPr>
                <w:rFonts w:ascii="Arial" w:hAnsi="Arial"/>
                <w:sz w:val="17"/>
              </w:rPr>
              <w:t>second and third P&amp;L legs outside the pound</w:t>
            </w:r>
          </w:p>
        </w:tc>
      </w:tr>
      <w:tr>
        <w:tc>
          <w:tcPr>
            <w:tcW w:type="dxa" w:w="1587"/>
            <w:shd w:val="clear" w:fill="F4F8F7"/>
          </w:tcPr>
          <w:p>
            <w:r>
              <w:rPr>
                <w:rFonts w:ascii="Arial" w:hAnsi="Arial"/>
                <w:sz w:val="17"/>
              </w:rPr>
              <w:t>Mar–Apr 2027</w:t>
            </w:r>
          </w:p>
        </w:tc>
        <w:tc>
          <w:tcPr>
            <w:tcW w:type="dxa" w:w="3175"/>
            <w:shd w:val="clear" w:fill="F4F8F7"/>
          </w:tcPr>
          <w:p>
            <w:r>
              <w:rPr>
                <w:rFonts w:ascii="Arial" w:hAnsi="Arial"/>
                <w:sz w:val="17"/>
              </w:rPr>
              <w:t>FY2026 dividend proposal</w:t>
            </w:r>
          </w:p>
        </w:tc>
        <w:tc>
          <w:tcPr>
            <w:tcW w:type="dxa" w:w="4535"/>
            <w:shd w:val="clear" w:fill="F4F8F7"/>
          </w:tcPr>
          <w:p>
            <w:r>
              <w:rPr>
                <w:rFonts w:ascii="Arial" w:hAnsi="Arial"/>
                <w:sz w:val="17"/>
              </w:rPr>
              <w:t>payout policy on a net-cash balance sheet; the DDM lens re-rates on payout</w:t>
            </w:r>
          </w:p>
        </w:tc>
      </w:tr>
      <w:tr>
        <w:tc>
          <w:tcPr>
            <w:tcW w:type="dxa" w:w="1587"/>
          </w:tcPr>
          <w:p>
            <w:r>
              <w:rPr>
                <w:rFonts w:ascii="Arial" w:hAnsi="Arial"/>
                <w:sz w:val="17"/>
              </w:rPr>
              <w:t>Anytime</w:t>
            </w:r>
          </w:p>
        </w:tc>
        <w:tc>
          <w:tcPr>
            <w:tcW w:type="dxa" w:w="3175"/>
          </w:tcPr>
          <w:p>
            <w:r>
              <w:rPr>
                <w:rFonts w:ascii="Arial" w:hAnsi="Arial"/>
                <w:sz w:val="17"/>
              </w:rPr>
              <w:t>Soft-commodity cycle (sugar, cocoa, wheat, packaging)</w:t>
            </w:r>
          </w:p>
        </w:tc>
        <w:tc>
          <w:tcPr>
            <w:tcW w:type="dxa" w:w="4535"/>
          </w:tcPr>
          <w:p>
            <w:r>
              <w:rPr>
                <w:rFonts w:ascii="Arial" w:hAnsi="Arial"/>
                <w:sz w:val="17"/>
              </w:rPr>
              <w:t>four-fifths of direct materials are FX-linked; the crux of §1.7</w:t>
            </w:r>
          </w:p>
        </w:tc>
      </w:tr>
      <w:tr>
        <w:tc>
          <w:tcPr>
            <w:tcW w:type="dxa" w:w="1587"/>
            <w:shd w:val="clear" w:fill="F4F8F7"/>
          </w:tcPr>
          <w:p>
            <w:r>
              <w:rPr>
                <w:rFonts w:ascii="Arial" w:hAnsi="Arial"/>
                <w:sz w:val="17"/>
              </w:rPr>
              <w:t>Anytime</w:t>
            </w:r>
          </w:p>
        </w:tc>
        <w:tc>
          <w:tcPr>
            <w:tcW w:type="dxa" w:w="3175"/>
            <w:shd w:val="clear" w:fill="F4F8F7"/>
          </w:tcPr>
          <w:p>
            <w:r>
              <w:rPr>
                <w:rFonts w:ascii="Arial" w:hAnsi="Arial"/>
                <w:sz w:val="17"/>
              </w:rPr>
              <w:t>A new EGP step-devaluation</w:t>
            </w:r>
          </w:p>
        </w:tc>
        <w:tc>
          <w:tcPr>
            <w:tcW w:type="dxa" w:w="4535"/>
            <w:shd w:val="clear" w:fill="F4F8F7"/>
          </w:tcPr>
          <w:p>
            <w:r>
              <w:rPr>
                <w:rFonts w:ascii="Arial" w:hAnsi="Arial"/>
                <w:sz w:val="17"/>
              </w:rPr>
              <w:t>the named bear scenario: margin squeeze + higher WACC, partly offset by exports</w:t>
            </w:r>
          </w:p>
        </w:tc>
      </w:tr>
    </w:tbl>
    <w:p>
      <w:pPr>
        <w:spacing w:after="40"/>
      </w:pPr>
    </w:p>
    <w:p>
      <w:pPr>
        <w:pStyle w:val="Heading1"/>
      </w:pPr>
      <w:r>
        <w:t>6  Reading the probability zones</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fill="1C6E63"/>
          </w:tcPr>
          <w:p>
            <w:r>
              <w:rPr>
                <w:rFonts w:ascii="Arial" w:hAnsi="Arial"/>
                <w:b/>
                <w:color w:val="FFFFFF"/>
                <w:sz w:val="17"/>
              </w:rPr>
              <w:t>Zone at T+60 (EGP)</w:t>
            </w:r>
          </w:p>
        </w:tc>
        <w:tc>
          <w:tcPr>
            <w:tcW w:type="dxa" w:w="1474"/>
            <w:shd w:val="clear" w:fill="1C6E63"/>
          </w:tcPr>
          <w:p>
            <w:r>
              <w:rPr>
                <w:rFonts w:ascii="Arial" w:hAnsi="Arial"/>
                <w:b/>
                <w:color w:val="FFFFFF"/>
                <w:sz w:val="17"/>
              </w:rPr>
              <w:t>Probability</w:t>
            </w:r>
          </w:p>
        </w:tc>
        <w:tc>
          <w:tcPr>
            <w:tcW w:type="dxa" w:w="5556"/>
            <w:shd w:val="clear" w:fill="1C6E63"/>
          </w:tcPr>
          <w:p>
            <w:r>
              <w:rPr>
                <w:rFonts w:ascii="Arial" w:hAnsi="Arial"/>
                <w:b/>
                <w:color w:val="FFFFFF"/>
                <w:sz w:val="17"/>
              </w:rPr>
              <w:t>Reading</w:t>
            </w:r>
          </w:p>
        </w:tc>
      </w:tr>
      <w:tr>
        <w:tc>
          <w:tcPr>
            <w:tcW w:type="dxa" w:w="2268"/>
          </w:tcPr>
          <w:p>
            <w:r>
              <w:rPr>
                <w:rFonts w:ascii="Arial" w:hAnsi="Arial"/>
                <w:sz w:val="17"/>
              </w:rPr>
              <w:t>Below 20</w:t>
            </w:r>
          </w:p>
        </w:tc>
        <w:tc>
          <w:tcPr>
            <w:tcW w:type="dxa" w:w="1474"/>
          </w:tcPr>
          <w:p>
            <w:r>
              <w:rPr>
                <w:rFonts w:ascii="Arial" w:hAnsi="Arial"/>
                <w:sz w:val="17"/>
              </w:rPr>
              <w:t>6.2%</w:t>
            </w:r>
          </w:p>
        </w:tc>
        <w:tc>
          <w:tcPr>
            <w:tcW w:type="dxa" w:w="5556"/>
          </w:tcPr>
          <w:p>
            <w:r>
              <w:rPr>
                <w:rFonts w:ascii="Arial" w:hAnsi="Arial"/>
                <w:sz w:val="17"/>
              </w:rPr>
              <w:t>tail: devaluation shock or a market-wide EGX break</w:t>
            </w:r>
          </w:p>
        </w:tc>
      </w:tr>
      <w:tr>
        <w:tc>
          <w:tcPr>
            <w:tcW w:type="dxa" w:w="2268"/>
            <w:shd w:val="clear" w:fill="F4F8F7"/>
          </w:tcPr>
          <w:p>
            <w:r>
              <w:rPr>
                <w:rFonts w:ascii="Arial" w:hAnsi="Arial"/>
                <w:sz w:val="17"/>
              </w:rPr>
              <w:t>20 – 22</w:t>
            </w:r>
          </w:p>
        </w:tc>
        <w:tc>
          <w:tcPr>
            <w:tcW w:type="dxa" w:w="1474"/>
            <w:shd w:val="clear" w:fill="F4F8F7"/>
          </w:tcPr>
          <w:p>
            <w:r>
              <w:rPr>
                <w:rFonts w:ascii="Arial" w:hAnsi="Arial"/>
                <w:sz w:val="17"/>
              </w:rPr>
              <w:t>6.2%</w:t>
            </w:r>
          </w:p>
        </w:tc>
        <w:tc>
          <w:tcPr>
            <w:tcW w:type="dxa" w:w="5556"/>
            <w:shd w:val="clear" w:fill="F4F8F7"/>
          </w:tcPr>
          <w:p>
            <w:r>
              <w:rPr>
                <w:rFonts w:ascii="Arial" w:hAnsi="Arial"/>
                <w:sz w:val="17"/>
              </w:rPr>
              <w:t>base-structure test; 2024 acceptance area</w:t>
            </w:r>
          </w:p>
        </w:tc>
      </w:tr>
      <w:tr>
        <w:tc>
          <w:tcPr>
            <w:tcW w:type="dxa" w:w="2268"/>
          </w:tcPr>
          <w:p>
            <w:r>
              <w:rPr>
                <w:rFonts w:ascii="Arial" w:hAnsi="Arial"/>
                <w:sz w:val="17"/>
              </w:rPr>
              <w:t>22 – 24</w:t>
            </w:r>
          </w:p>
        </w:tc>
        <w:tc>
          <w:tcPr>
            <w:tcW w:type="dxa" w:w="1474"/>
          </w:tcPr>
          <w:p>
            <w:r>
              <w:rPr>
                <w:rFonts w:ascii="Arial" w:hAnsi="Arial"/>
                <w:sz w:val="17"/>
              </w:rPr>
              <w:t>10.2%</w:t>
            </w:r>
          </w:p>
        </w:tc>
        <w:tc>
          <w:tcPr>
            <w:tcW w:type="dxa" w:w="5556"/>
          </w:tcPr>
          <w:p>
            <w:r>
              <w:rPr>
                <w:rFonts w:ascii="Arial" w:hAnsi="Arial"/>
                <w:sz w:val="17"/>
              </w:rPr>
              <w:t>below the 200-day; margin-miss pricing</w:t>
            </w:r>
          </w:p>
        </w:tc>
      </w:tr>
      <w:tr>
        <w:tc>
          <w:tcPr>
            <w:tcW w:type="dxa" w:w="2268"/>
            <w:shd w:val="clear" w:fill="F4F8F7"/>
          </w:tcPr>
          <w:p>
            <w:r>
              <w:rPr>
                <w:rFonts w:ascii="Arial" w:hAnsi="Arial"/>
                <w:sz w:val="17"/>
              </w:rPr>
              <w:t>24 – 26</w:t>
            </w:r>
          </w:p>
        </w:tc>
        <w:tc>
          <w:tcPr>
            <w:tcW w:type="dxa" w:w="1474"/>
            <w:shd w:val="clear" w:fill="F4F8F7"/>
          </w:tcPr>
          <w:p>
            <w:r>
              <w:rPr>
                <w:rFonts w:ascii="Arial" w:hAnsi="Arial"/>
                <w:sz w:val="17"/>
              </w:rPr>
              <w:t>13.3%</w:t>
            </w:r>
          </w:p>
        </w:tc>
        <w:tc>
          <w:tcPr>
            <w:tcW w:type="dxa" w:w="5556"/>
            <w:shd w:val="clear" w:fill="F4F8F7"/>
          </w:tcPr>
          <w:p>
            <w:r>
              <w:rPr>
                <w:rFonts w:ascii="Arial" w:hAnsi="Arial"/>
                <w:sz w:val="17"/>
              </w:rPr>
              <w:t>the 200-day / June-low battleground</w:t>
            </w:r>
          </w:p>
        </w:tc>
      </w:tr>
      <w:tr>
        <w:tc>
          <w:tcPr>
            <w:tcW w:type="dxa" w:w="2268"/>
          </w:tcPr>
          <w:p>
            <w:r>
              <w:rPr>
                <w:rFonts w:ascii="Arial" w:hAnsi="Arial"/>
                <w:sz w:val="17"/>
              </w:rPr>
              <w:t>26 – 28</w:t>
            </w:r>
          </w:p>
        </w:tc>
        <w:tc>
          <w:tcPr>
            <w:tcW w:type="dxa" w:w="1474"/>
          </w:tcPr>
          <w:p>
            <w:r>
              <w:rPr>
                <w:rFonts w:ascii="Arial" w:hAnsi="Arial"/>
                <w:sz w:val="17"/>
              </w:rPr>
              <w:t>15.4%</w:t>
            </w:r>
          </w:p>
        </w:tc>
        <w:tc>
          <w:tcPr>
            <w:tcW w:type="dxa" w:w="5556"/>
          </w:tcPr>
          <w:p>
            <w:r>
              <w:rPr>
                <w:rFonts w:ascii="Arial" w:hAnsi="Arial"/>
                <w:sz w:val="17"/>
              </w:rPr>
              <w:t>the modal zone — spot and the weighted fair value both live here</w:t>
            </w:r>
          </w:p>
        </w:tc>
      </w:tr>
      <w:tr>
        <w:tc>
          <w:tcPr>
            <w:tcW w:type="dxa" w:w="2268"/>
            <w:shd w:val="clear" w:fill="F4F8F7"/>
          </w:tcPr>
          <w:p>
            <w:r>
              <w:rPr>
                <w:rFonts w:ascii="Arial" w:hAnsi="Arial"/>
                <w:sz w:val="17"/>
              </w:rPr>
              <w:t>28 – 30</w:t>
            </w:r>
          </w:p>
        </w:tc>
        <w:tc>
          <w:tcPr>
            <w:tcW w:type="dxa" w:w="1474"/>
            <w:shd w:val="clear" w:fill="F4F8F7"/>
          </w:tcPr>
          <w:p>
            <w:r>
              <w:rPr>
                <w:rFonts w:ascii="Arial" w:hAnsi="Arial"/>
                <w:sz w:val="17"/>
              </w:rPr>
              <w:t>14.1%</w:t>
            </w:r>
          </w:p>
        </w:tc>
        <w:tc>
          <w:tcPr>
            <w:tcW w:type="dxa" w:w="5556"/>
            <w:shd w:val="clear" w:fill="F4F8F7"/>
          </w:tcPr>
          <w:p>
            <w:r>
              <w:rPr>
                <w:rFonts w:ascii="Arial" w:hAnsi="Arial"/>
                <w:sz w:val="17"/>
              </w:rPr>
              <w:t>reclaiming the 50/100-day stack</w:t>
            </w:r>
          </w:p>
        </w:tc>
      </w:tr>
      <w:tr>
        <w:tc>
          <w:tcPr>
            <w:tcW w:type="dxa" w:w="2268"/>
          </w:tcPr>
          <w:p>
            <w:r>
              <w:rPr>
                <w:rFonts w:ascii="Arial" w:hAnsi="Arial"/>
                <w:sz w:val="17"/>
              </w:rPr>
              <w:t>30 – 32</w:t>
            </w:r>
          </w:p>
        </w:tc>
        <w:tc>
          <w:tcPr>
            <w:tcW w:type="dxa" w:w="1474"/>
          </w:tcPr>
          <w:p>
            <w:r>
              <w:rPr>
                <w:rFonts w:ascii="Arial" w:hAnsi="Arial"/>
                <w:sz w:val="17"/>
              </w:rPr>
              <w:t>11.2%</w:t>
            </w:r>
          </w:p>
        </w:tc>
        <w:tc>
          <w:tcPr>
            <w:tcW w:type="dxa" w:w="5556"/>
          </w:tcPr>
          <w:p>
            <w:r>
              <w:rPr>
                <w:rFonts w:ascii="Arial" w:hAnsi="Arial"/>
                <w:sz w:val="17"/>
              </w:rPr>
              <w:t>approach to the February supply shelf</w:t>
            </w:r>
          </w:p>
        </w:tc>
      </w:tr>
      <w:tr>
        <w:tc>
          <w:tcPr>
            <w:tcW w:type="dxa" w:w="2268"/>
            <w:shd w:val="clear" w:fill="F4F8F7"/>
          </w:tcPr>
          <w:p>
            <w:r>
              <w:rPr>
                <w:rFonts w:ascii="Arial" w:hAnsi="Arial"/>
                <w:sz w:val="17"/>
              </w:rPr>
              <w:t>32 – 34</w:t>
            </w:r>
          </w:p>
        </w:tc>
        <w:tc>
          <w:tcPr>
            <w:tcW w:type="dxa" w:w="1474"/>
            <w:shd w:val="clear" w:fill="F4F8F7"/>
          </w:tcPr>
          <w:p>
            <w:r>
              <w:rPr>
                <w:rFonts w:ascii="Arial" w:hAnsi="Arial"/>
                <w:sz w:val="17"/>
              </w:rPr>
              <w:t>7.8%</w:t>
            </w:r>
          </w:p>
        </w:tc>
        <w:tc>
          <w:tcPr>
            <w:tcW w:type="dxa" w:w="5556"/>
            <w:shd w:val="clear" w:fill="F4F8F7"/>
          </w:tcPr>
          <w:p>
            <w:r>
              <w:rPr>
                <w:rFonts w:ascii="Arial" w:hAnsi="Arial"/>
                <w:sz w:val="17"/>
              </w:rPr>
              <w:t>ATH breakout territory</w:t>
            </w:r>
          </w:p>
        </w:tc>
      </w:tr>
      <w:tr>
        <w:tc>
          <w:tcPr>
            <w:tcW w:type="dxa" w:w="2268"/>
          </w:tcPr>
          <w:p>
            <w:r>
              <w:rPr>
                <w:rFonts w:ascii="Arial" w:hAnsi="Arial"/>
                <w:sz w:val="17"/>
              </w:rPr>
              <w:t>Above 34</w:t>
            </w:r>
          </w:p>
        </w:tc>
        <w:tc>
          <w:tcPr>
            <w:tcW w:type="dxa" w:w="1474"/>
          </w:tcPr>
          <w:p>
            <w:r>
              <w:rPr>
                <w:rFonts w:ascii="Arial" w:hAnsi="Arial"/>
                <w:sz w:val="17"/>
              </w:rPr>
              <w:t>15.4%</w:t>
            </w:r>
          </w:p>
        </w:tc>
        <w:tc>
          <w:tcPr>
            <w:tcW w:type="dxa" w:w="5556"/>
          </w:tcPr>
          <w:p>
            <w:r>
              <w:rPr>
                <w:rFonts w:ascii="Arial" w:hAnsi="Arial"/>
                <w:sz w:val="17"/>
              </w:rPr>
              <w:t>t5 right tail: margin beat + rate-cut acceleration + flows</w:t>
            </w:r>
          </w:p>
        </w:tc>
      </w:tr>
    </w:tbl>
    <w:p>
      <w:pPr>
        <w:spacing w:after="40"/>
      </w:pPr>
    </w:p>
    <w:p>
      <w:pPr>
        <w:spacing w:after="160"/>
      </w:pPr>
      <w:r>
        <w:rPr>
          <w:rFonts w:ascii="Arial" w:hAnsi="Arial"/>
          <w:b w:val="0"/>
          <w:i w:val="0"/>
          <w:sz w:val="19"/>
        </w:rPr>
        <w:t>Two-thirds of the probability mass sits between EGP 22 and EGP 32 — the consolidation writ forward. The fat 15.4% above EGP 34 is not a forecast of a breakout; it is what honest t5 tails look like on a 41%-vol instrument, and it is symmetric in spirit with the 12.4% below EGP 22.</w:t>
      </w:r>
    </w:p>
    <w:p>
      <w:pPr>
        <w:pStyle w:val="Heading1"/>
      </w:pPr>
      <w:r>
        <w:t>7  Caveats and what would change our mind</w:t>
      </w:r>
    </w:p>
    <w:p>
      <w:pPr>
        <w:spacing w:after="80"/>
      </w:pPr>
      <w:r>
        <w:rPr>
          <w:rFonts w:ascii="Arial" w:hAnsi="Arial"/>
          <w:b w:val="0"/>
          <w:i w:val="0"/>
          <w:sz w:val="19"/>
        </w:rPr>
      </w:r>
      <w:r>
        <w:rPr>
          <w:rFonts w:ascii="Arial" w:hAnsi="Arial"/>
          <w:b/>
          <w:i w:val="0"/>
          <w:sz w:val="19"/>
        </w:rPr>
        <w:t>What would move the fair value up:</w:t>
      </w:r>
      <w:r>
        <w:rPr>
          <w:rFonts w:ascii="Arial" w:hAnsi="Arial"/>
          <w:b w:val="0"/>
          <w:i w:val="0"/>
          <w:sz w:val="19"/>
        </w:rPr>
        <w:t xml:space="preserve"> two consecutive quarters of gross margin at or above 35% (we would lift the mid-cycle margin and the multiple); a CBE easing cycle that takes the 10-year below 15% (each WACC point is ~EGP 1.5–2); exports sustaining &gt;12% of sales with Morocco profitable (a genuine FX hedge deserves a lower risk premium); a formal payout policy above 55% (the DDM lens closes toward the others).</w:t>
      </w:r>
    </w:p>
    <w:p>
      <w:pPr>
        <w:spacing w:after="80"/>
      </w:pPr>
      <w:r>
        <w:rPr>
          <w:rFonts w:ascii="Arial" w:hAnsi="Arial"/>
          <w:b w:val="0"/>
          <w:i w:val="0"/>
          <w:sz w:val="19"/>
        </w:rPr>
      </w:r>
      <w:r>
        <w:rPr>
          <w:rFonts w:ascii="Arial" w:hAnsi="Arial"/>
          <w:b/>
          <w:i w:val="0"/>
          <w:sz w:val="19"/>
        </w:rPr>
        <w:t>What would move it down:</w:t>
      </w:r>
      <w:r>
        <w:rPr>
          <w:rFonts w:ascii="Arial" w:hAnsi="Arial"/>
          <w:b w:val="0"/>
          <w:i w:val="0"/>
          <w:sz w:val="19"/>
        </w:rPr>
        <w:t xml:space="preserve"> a step-devaluation of the pound (the modeled bear: 18% EBITDA margin and a 22.5% WACC → EGP 16.4); volume declining while price/mix carries growth (the 2024 pattern returning); cocoa/sugar spikes unhedged; capex overshooting 7% of sales without matching volume; governance surprises around the 49% controlling holder or related-party brand transactions.</w:t>
      </w:r>
    </w:p>
    <w:p>
      <w:pPr>
        <w:spacing w:after="160"/>
      </w:pPr>
      <w:r>
        <w:rPr>
          <w:rFonts w:ascii="Arial" w:hAnsi="Arial"/>
          <w:b w:val="0"/>
          <w:i w:val="0"/>
          <w:sz w:val="19"/>
        </w:rPr>
      </w:r>
      <w:r>
        <w:rPr>
          <w:rFonts w:ascii="Arial" w:hAnsi="Arial"/>
          <w:b/>
          <w:i w:val="0"/>
          <w:sz w:val="19"/>
        </w:rPr>
        <w:t>Known model weaknesses, stated plainly:</w:t>
      </w:r>
      <w:r>
        <w:rPr>
          <w:rFonts w:ascii="Arial" w:hAnsi="Arial"/>
          <w:b w:val="0"/>
          <w:i w:val="0"/>
          <w:sz w:val="19"/>
        </w:rPr>
        <w:t xml:space="preserve"> the historical balance sheet is reconstructed around disclosed items (equity and PP&amp;E are flagged Testahil estimates — the earnings releases do not publish full statements); FY2023 D&amp;A and finance lines are estimated; the segment EV/GP multiple is a derived, not observed, market quantity; the 16-factor overlay for egx_staples carries Appendix-A default probabilities, flagged uncalibrated pending sign-off; and every EGP figure embeds an inflation forecast that will be wrong in one direction or the other. The Monte Carlo models price, not value.</w:t>
      </w:r>
    </w:p>
    <w:p>
      <w:pPr>
        <w:pStyle w:val="Heading1"/>
      </w:pPr>
      <w:r>
        <w:t>Appendix A  Financial statements</w:t>
      </w:r>
    </w:p>
    <w:p>
      <w:pPr>
        <w:spacing w:after="80"/>
      </w:pPr>
      <w:r>
        <w:rPr>
          <w:rFonts w:ascii="Arial" w:hAnsi="Arial"/>
          <w:b w:val="0"/>
          <w:i/>
          <w:sz w:val="17"/>
        </w:rPr>
        <w:t>Three reported years (IFRS management accounts from the company’s earnings releases) and the five-year model forecast. Yellow-flag convention from the companion Excel: FY2023 D&amp;A/finance lines and all historical equity/PP&amp;E figures are Testahil estimates where the releases do not publish the line; each carries its method in a cell comment in the model.</w:t>
      </w:r>
    </w:p>
    <w:p>
      <w:pPr>
        <w:pStyle w:val="Heading2"/>
      </w:pPr>
      <w:r>
        <w:t>A.1  Income statement (EGP m)</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2154"/>
            <w:shd w:val="clear" w:fill="1C6E63"/>
          </w:tcPr>
          <w:p>
            <w:r>
              <w:rPr>
                <w:rFonts w:ascii="Arial" w:hAnsi="Arial"/>
                <w:b/>
                <w:color w:val="FFFFFF"/>
                <w:sz w:val="17"/>
              </w:rPr>
            </w:r>
          </w:p>
        </w:tc>
        <w:tc>
          <w:tcPr>
            <w:tcW w:type="dxa" w:w="964"/>
            <w:shd w:val="clear" w:fill="1C6E63"/>
          </w:tcPr>
          <w:p>
            <w:r>
              <w:rPr>
                <w:rFonts w:ascii="Arial" w:hAnsi="Arial"/>
                <w:b/>
                <w:color w:val="FFFFFF"/>
                <w:sz w:val="17"/>
              </w:rPr>
              <w:t>FY23A</w:t>
            </w:r>
          </w:p>
        </w:tc>
        <w:tc>
          <w:tcPr>
            <w:tcW w:type="dxa" w:w="964"/>
            <w:shd w:val="clear" w:fill="1C6E63"/>
          </w:tcPr>
          <w:p>
            <w:r>
              <w:rPr>
                <w:rFonts w:ascii="Arial" w:hAnsi="Arial"/>
                <w:b/>
                <w:color w:val="FFFFFF"/>
                <w:sz w:val="17"/>
              </w:rPr>
              <w:t>FY24A</w:t>
            </w:r>
          </w:p>
        </w:tc>
        <w:tc>
          <w:tcPr>
            <w:tcW w:type="dxa" w:w="964"/>
            <w:shd w:val="clear" w:fill="1C6E63"/>
          </w:tcPr>
          <w:p>
            <w:r>
              <w:rPr>
                <w:rFonts w:ascii="Arial" w:hAnsi="Arial"/>
                <w:b/>
                <w:color w:val="FFFFFF"/>
                <w:sz w:val="17"/>
              </w:rPr>
              <w:t>FY25A</w:t>
            </w:r>
          </w:p>
        </w:tc>
        <w:tc>
          <w:tcPr>
            <w:tcW w:type="dxa" w:w="964"/>
            <w:shd w:val="clear" w:fill="1C6E63"/>
          </w:tcPr>
          <w:p>
            <w:r>
              <w:rPr>
                <w:rFonts w:ascii="Arial" w:hAnsi="Arial"/>
                <w:b/>
                <w:color w:val="FFFFFF"/>
                <w:sz w:val="17"/>
              </w:rPr>
              <w:t>FY26E</w:t>
            </w:r>
          </w:p>
        </w:tc>
        <w:tc>
          <w:tcPr>
            <w:tcW w:type="dxa" w:w="964"/>
            <w:shd w:val="clear" w:fill="1C6E63"/>
          </w:tcPr>
          <w:p>
            <w:r>
              <w:rPr>
                <w:rFonts w:ascii="Arial" w:hAnsi="Arial"/>
                <w:b/>
                <w:color w:val="FFFFFF"/>
                <w:sz w:val="17"/>
              </w:rPr>
              <w:t>FY27E</w:t>
            </w:r>
          </w:p>
        </w:tc>
        <w:tc>
          <w:tcPr>
            <w:tcW w:type="dxa" w:w="964"/>
            <w:shd w:val="clear" w:fill="1C6E63"/>
          </w:tcPr>
          <w:p>
            <w:r>
              <w:rPr>
                <w:rFonts w:ascii="Arial" w:hAnsi="Arial"/>
                <w:b/>
                <w:color w:val="FFFFFF"/>
                <w:sz w:val="17"/>
              </w:rPr>
              <w:t>FY28E</w:t>
            </w:r>
          </w:p>
        </w:tc>
        <w:tc>
          <w:tcPr>
            <w:tcW w:type="dxa" w:w="964"/>
            <w:shd w:val="clear" w:fill="1C6E63"/>
          </w:tcPr>
          <w:p>
            <w:r>
              <w:rPr>
                <w:rFonts w:ascii="Arial" w:hAnsi="Arial"/>
                <w:b/>
                <w:color w:val="FFFFFF"/>
                <w:sz w:val="17"/>
              </w:rPr>
              <w:t>FY29E</w:t>
            </w:r>
          </w:p>
        </w:tc>
        <w:tc>
          <w:tcPr>
            <w:tcW w:type="dxa" w:w="964"/>
            <w:shd w:val="clear" w:fill="1C6E63"/>
          </w:tcPr>
          <w:p>
            <w:r>
              <w:rPr>
                <w:rFonts w:ascii="Arial" w:hAnsi="Arial"/>
                <w:b/>
                <w:color w:val="FFFFFF"/>
                <w:sz w:val="17"/>
              </w:rPr>
              <w:t>FY30E</w:t>
            </w:r>
          </w:p>
        </w:tc>
      </w:tr>
      <w:tr>
        <w:tc>
          <w:tcPr>
            <w:tcW w:type="dxa" w:w="2154"/>
          </w:tcPr>
          <w:p>
            <w:r>
              <w:rPr>
                <w:rFonts w:ascii="Arial" w:hAnsi="Arial"/>
                <w:sz w:val="17"/>
              </w:rPr>
              <w:t>Revenue</w:t>
            </w:r>
          </w:p>
        </w:tc>
        <w:tc>
          <w:tcPr>
            <w:tcW w:type="dxa" w:w="964"/>
          </w:tcPr>
          <w:p>
            <w:r>
              <w:rPr>
                <w:rFonts w:ascii="Arial" w:hAnsi="Arial"/>
                <w:sz w:val="17"/>
              </w:rPr>
              <w:t>12,126</w:t>
            </w:r>
          </w:p>
        </w:tc>
        <w:tc>
          <w:tcPr>
            <w:tcW w:type="dxa" w:w="964"/>
          </w:tcPr>
          <w:p>
            <w:r>
              <w:rPr>
                <w:rFonts w:ascii="Arial" w:hAnsi="Arial"/>
                <w:sz w:val="17"/>
              </w:rPr>
              <w:t>16,146</w:t>
            </w:r>
          </w:p>
        </w:tc>
        <w:tc>
          <w:tcPr>
            <w:tcW w:type="dxa" w:w="964"/>
          </w:tcPr>
          <w:p>
            <w:r>
              <w:rPr>
                <w:rFonts w:ascii="Arial" w:hAnsi="Arial"/>
                <w:sz w:val="17"/>
              </w:rPr>
              <w:t>20,915</w:t>
            </w:r>
          </w:p>
        </w:tc>
        <w:tc>
          <w:tcPr>
            <w:tcW w:type="dxa" w:w="964"/>
          </w:tcPr>
          <w:p>
            <w:r>
              <w:rPr>
                <w:rFonts w:ascii="Arial" w:hAnsi="Arial"/>
                <w:sz w:val="17"/>
              </w:rPr>
              <w:t>27,190</w:t>
            </w:r>
          </w:p>
        </w:tc>
        <w:tc>
          <w:tcPr>
            <w:tcW w:type="dxa" w:w="964"/>
          </w:tcPr>
          <w:p>
            <w:r>
              <w:rPr>
                <w:rFonts w:ascii="Arial" w:hAnsi="Arial"/>
                <w:sz w:val="17"/>
              </w:rPr>
              <w:t>33,171</w:t>
            </w:r>
          </w:p>
        </w:tc>
        <w:tc>
          <w:tcPr>
            <w:tcW w:type="dxa" w:w="964"/>
          </w:tcPr>
          <w:p>
            <w:r>
              <w:rPr>
                <w:rFonts w:ascii="Arial" w:hAnsi="Arial"/>
                <w:sz w:val="17"/>
              </w:rPr>
              <w:t>39,142</w:t>
            </w:r>
          </w:p>
        </w:tc>
        <w:tc>
          <w:tcPr>
            <w:tcW w:type="dxa" w:w="964"/>
          </w:tcPr>
          <w:p>
            <w:r>
              <w:rPr>
                <w:rFonts w:ascii="Arial" w:hAnsi="Arial"/>
                <w:sz w:val="17"/>
              </w:rPr>
              <w:t>45,014</w:t>
            </w:r>
          </w:p>
        </w:tc>
        <w:tc>
          <w:tcPr>
            <w:tcW w:type="dxa" w:w="964"/>
          </w:tcPr>
          <w:p>
            <w:r>
              <w:rPr>
                <w:rFonts w:ascii="Arial" w:hAnsi="Arial"/>
                <w:sz w:val="17"/>
              </w:rPr>
              <w:t>50,865</w:t>
            </w:r>
          </w:p>
        </w:tc>
      </w:tr>
      <w:tr>
        <w:tc>
          <w:tcPr>
            <w:tcW w:type="dxa" w:w="2154"/>
            <w:shd w:val="clear" w:fill="F4F8F7"/>
          </w:tcPr>
          <w:p>
            <w:r>
              <w:rPr>
                <w:rFonts w:ascii="Arial" w:hAnsi="Arial"/>
                <w:sz w:val="17"/>
              </w:rPr>
              <w:t>Growth</w:t>
            </w:r>
          </w:p>
        </w:tc>
        <w:tc>
          <w:tcPr>
            <w:tcW w:type="dxa" w:w="964"/>
            <w:shd w:val="clear" w:fill="F4F8F7"/>
          </w:tcPr>
          <w:p>
            <w:r>
              <w:rPr>
                <w:rFonts w:ascii="Arial" w:hAnsi="Arial"/>
                <w:sz w:val="17"/>
              </w:rPr>
              <w:t>+58%</w:t>
            </w:r>
          </w:p>
        </w:tc>
        <w:tc>
          <w:tcPr>
            <w:tcW w:type="dxa" w:w="964"/>
            <w:shd w:val="clear" w:fill="F4F8F7"/>
          </w:tcPr>
          <w:p>
            <w:r>
              <w:rPr>
                <w:rFonts w:ascii="Arial" w:hAnsi="Arial"/>
                <w:sz w:val="17"/>
              </w:rPr>
              <w:t>+33.2%</w:t>
            </w:r>
          </w:p>
        </w:tc>
        <w:tc>
          <w:tcPr>
            <w:tcW w:type="dxa" w:w="964"/>
            <w:shd w:val="clear" w:fill="F4F8F7"/>
          </w:tcPr>
          <w:p>
            <w:r>
              <w:rPr>
                <w:rFonts w:ascii="Arial" w:hAnsi="Arial"/>
                <w:sz w:val="17"/>
              </w:rPr>
              <w:t>+29.5%</w:t>
            </w:r>
          </w:p>
        </w:tc>
        <w:tc>
          <w:tcPr>
            <w:tcW w:type="dxa" w:w="964"/>
            <w:shd w:val="clear" w:fill="F4F8F7"/>
          </w:tcPr>
          <w:p>
            <w:r>
              <w:rPr>
                <w:rFonts w:ascii="Arial" w:hAnsi="Arial"/>
                <w:sz w:val="17"/>
              </w:rPr>
              <w:t>+30.0%</w:t>
            </w:r>
          </w:p>
        </w:tc>
        <w:tc>
          <w:tcPr>
            <w:tcW w:type="dxa" w:w="964"/>
            <w:shd w:val="clear" w:fill="F4F8F7"/>
          </w:tcPr>
          <w:p>
            <w:r>
              <w:rPr>
                <w:rFonts w:ascii="Arial" w:hAnsi="Arial"/>
                <w:sz w:val="17"/>
              </w:rPr>
              <w:t>+22.0%</w:t>
            </w:r>
          </w:p>
        </w:tc>
        <w:tc>
          <w:tcPr>
            <w:tcW w:type="dxa" w:w="964"/>
            <w:shd w:val="clear" w:fill="F4F8F7"/>
          </w:tcPr>
          <w:p>
            <w:r>
              <w:rPr>
                <w:rFonts w:ascii="Arial" w:hAnsi="Arial"/>
                <w:sz w:val="17"/>
              </w:rPr>
              <w:t>+18.0%</w:t>
            </w:r>
          </w:p>
        </w:tc>
        <w:tc>
          <w:tcPr>
            <w:tcW w:type="dxa" w:w="964"/>
            <w:shd w:val="clear" w:fill="F4F8F7"/>
          </w:tcPr>
          <w:p>
            <w:r>
              <w:rPr>
                <w:rFonts w:ascii="Arial" w:hAnsi="Arial"/>
                <w:sz w:val="17"/>
              </w:rPr>
              <w:t>+15.0%</w:t>
            </w:r>
          </w:p>
        </w:tc>
        <w:tc>
          <w:tcPr>
            <w:tcW w:type="dxa" w:w="964"/>
            <w:shd w:val="clear" w:fill="F4F8F7"/>
          </w:tcPr>
          <w:p>
            <w:r>
              <w:rPr>
                <w:rFonts w:ascii="Arial" w:hAnsi="Arial"/>
                <w:sz w:val="17"/>
              </w:rPr>
              <w:t>+13.0%</w:t>
            </w:r>
          </w:p>
        </w:tc>
      </w:tr>
      <w:tr>
        <w:tc>
          <w:tcPr>
            <w:tcW w:type="dxa" w:w="2154"/>
          </w:tcPr>
          <w:p>
            <w:r>
              <w:rPr>
                <w:rFonts w:ascii="Arial" w:hAnsi="Arial"/>
                <w:sz w:val="17"/>
              </w:rPr>
              <w:t>Gross profit</w:t>
            </w:r>
          </w:p>
        </w:tc>
        <w:tc>
          <w:tcPr>
            <w:tcW w:type="dxa" w:w="964"/>
          </w:tcPr>
          <w:p>
            <w:r>
              <w:rPr>
                <w:rFonts w:ascii="Arial" w:hAnsi="Arial"/>
                <w:sz w:val="17"/>
              </w:rPr>
              <w:t>3,925</w:t>
            </w:r>
          </w:p>
        </w:tc>
        <w:tc>
          <w:tcPr>
            <w:tcW w:type="dxa" w:w="964"/>
          </w:tcPr>
          <w:p>
            <w:r>
              <w:rPr>
                <w:rFonts w:ascii="Arial" w:hAnsi="Arial"/>
                <w:sz w:val="17"/>
              </w:rPr>
              <w:t>4,906</w:t>
            </w:r>
          </w:p>
        </w:tc>
        <w:tc>
          <w:tcPr>
            <w:tcW w:type="dxa" w:w="964"/>
          </w:tcPr>
          <w:p>
            <w:r>
              <w:rPr>
                <w:rFonts w:ascii="Arial" w:hAnsi="Arial"/>
                <w:sz w:val="17"/>
              </w:rPr>
              <w:t>7,086</w:t>
            </w:r>
          </w:p>
        </w:tc>
        <w:tc>
          <w:tcPr>
            <w:tcW w:type="dxa" w:w="964"/>
          </w:tcPr>
          <w:p>
            <w:r>
              <w:rPr>
                <w:rFonts w:ascii="Arial" w:hAnsi="Arial"/>
                <w:sz w:val="17"/>
              </w:rPr>
              <w:t>9,244</w:t>
            </w:r>
          </w:p>
        </w:tc>
        <w:tc>
          <w:tcPr>
            <w:tcW w:type="dxa" w:w="964"/>
          </w:tcPr>
          <w:p>
            <w:r>
              <w:rPr>
                <w:rFonts w:ascii="Arial" w:hAnsi="Arial"/>
                <w:sz w:val="17"/>
              </w:rPr>
              <w:t>11,345</w:t>
            </w:r>
          </w:p>
        </w:tc>
        <w:tc>
          <w:tcPr>
            <w:tcW w:type="dxa" w:w="964"/>
          </w:tcPr>
          <w:p>
            <w:r>
              <w:rPr>
                <w:rFonts w:ascii="Arial" w:hAnsi="Arial"/>
                <w:sz w:val="17"/>
              </w:rPr>
              <w:t>13,426</w:t>
            </w:r>
          </w:p>
        </w:tc>
        <w:tc>
          <w:tcPr>
            <w:tcW w:type="dxa" w:w="964"/>
          </w:tcPr>
          <w:p>
            <w:r>
              <w:rPr>
                <w:rFonts w:ascii="Arial" w:hAnsi="Arial"/>
                <w:sz w:val="17"/>
              </w:rPr>
              <w:t>15,440</w:t>
            </w:r>
          </w:p>
        </w:tc>
        <w:tc>
          <w:tcPr>
            <w:tcW w:type="dxa" w:w="964"/>
          </w:tcPr>
          <w:p>
            <w:r>
              <w:rPr>
                <w:rFonts w:ascii="Arial" w:hAnsi="Arial"/>
                <w:sz w:val="17"/>
              </w:rPr>
              <w:t>17,447</w:t>
            </w:r>
          </w:p>
        </w:tc>
      </w:tr>
      <w:tr>
        <w:tc>
          <w:tcPr>
            <w:tcW w:type="dxa" w:w="2154"/>
            <w:shd w:val="clear" w:fill="F4F8F7"/>
          </w:tcPr>
          <w:p>
            <w:r>
              <w:rPr>
                <w:rFonts w:ascii="Arial" w:hAnsi="Arial"/>
                <w:sz w:val="17"/>
              </w:rPr>
              <w:t>Gross margin</w:t>
            </w:r>
          </w:p>
        </w:tc>
        <w:tc>
          <w:tcPr>
            <w:tcW w:type="dxa" w:w="964"/>
            <w:shd w:val="clear" w:fill="F4F8F7"/>
          </w:tcPr>
          <w:p>
            <w:r>
              <w:rPr>
                <w:rFonts w:ascii="Arial" w:hAnsi="Arial"/>
                <w:sz w:val="17"/>
              </w:rPr>
              <w:t>32.4%</w:t>
            </w:r>
          </w:p>
        </w:tc>
        <w:tc>
          <w:tcPr>
            <w:tcW w:type="dxa" w:w="964"/>
            <w:shd w:val="clear" w:fill="F4F8F7"/>
          </w:tcPr>
          <w:p>
            <w:r>
              <w:rPr>
                <w:rFonts w:ascii="Arial" w:hAnsi="Arial"/>
                <w:sz w:val="17"/>
              </w:rPr>
              <w:t>30.4%</w:t>
            </w:r>
          </w:p>
        </w:tc>
        <w:tc>
          <w:tcPr>
            <w:tcW w:type="dxa" w:w="964"/>
            <w:shd w:val="clear" w:fill="F4F8F7"/>
          </w:tcPr>
          <w:p>
            <w:r>
              <w:rPr>
                <w:rFonts w:ascii="Arial" w:hAnsi="Arial"/>
                <w:sz w:val="17"/>
              </w:rPr>
              <w:t>33.9%</w:t>
            </w:r>
          </w:p>
        </w:tc>
        <w:tc>
          <w:tcPr>
            <w:tcW w:type="dxa" w:w="964"/>
            <w:shd w:val="clear" w:fill="F4F8F7"/>
          </w:tcPr>
          <w:p>
            <w:r>
              <w:rPr>
                <w:rFonts w:ascii="Arial" w:hAnsi="Arial"/>
                <w:sz w:val="17"/>
              </w:rPr>
              <w:t>34.0%</w:t>
            </w:r>
          </w:p>
        </w:tc>
        <w:tc>
          <w:tcPr>
            <w:tcW w:type="dxa" w:w="964"/>
            <w:shd w:val="clear" w:fill="F4F8F7"/>
          </w:tcPr>
          <w:p>
            <w:r>
              <w:rPr>
                <w:rFonts w:ascii="Arial" w:hAnsi="Arial"/>
                <w:sz w:val="17"/>
              </w:rPr>
              <w:t>34.2%</w:t>
            </w:r>
          </w:p>
        </w:tc>
        <w:tc>
          <w:tcPr>
            <w:tcW w:type="dxa" w:w="964"/>
            <w:shd w:val="clear" w:fill="F4F8F7"/>
          </w:tcPr>
          <w:p>
            <w:r>
              <w:rPr>
                <w:rFonts w:ascii="Arial" w:hAnsi="Arial"/>
                <w:sz w:val="17"/>
              </w:rPr>
              <w:t>34.3%</w:t>
            </w:r>
          </w:p>
        </w:tc>
        <w:tc>
          <w:tcPr>
            <w:tcW w:type="dxa" w:w="964"/>
            <w:shd w:val="clear" w:fill="F4F8F7"/>
          </w:tcPr>
          <w:p>
            <w:r>
              <w:rPr>
                <w:rFonts w:ascii="Arial" w:hAnsi="Arial"/>
                <w:sz w:val="17"/>
              </w:rPr>
              <w:t>34.3%</w:t>
            </w:r>
          </w:p>
        </w:tc>
        <w:tc>
          <w:tcPr>
            <w:tcW w:type="dxa" w:w="964"/>
            <w:shd w:val="clear" w:fill="F4F8F7"/>
          </w:tcPr>
          <w:p>
            <w:r>
              <w:rPr>
                <w:rFonts w:ascii="Arial" w:hAnsi="Arial"/>
                <w:sz w:val="17"/>
              </w:rPr>
              <w:t>34.3%</w:t>
            </w:r>
          </w:p>
        </w:tc>
      </w:tr>
      <w:tr>
        <w:tc>
          <w:tcPr>
            <w:tcW w:type="dxa" w:w="2154"/>
          </w:tcPr>
          <w:p>
            <w:r>
              <w:rPr>
                <w:rFonts w:ascii="Arial" w:hAnsi="Arial"/>
                <w:sz w:val="17"/>
              </w:rPr>
              <w:t>EBITDA</w:t>
            </w:r>
          </w:p>
        </w:tc>
        <w:tc>
          <w:tcPr>
            <w:tcW w:type="dxa" w:w="964"/>
          </w:tcPr>
          <w:p>
            <w:r>
              <w:rPr>
                <w:rFonts w:ascii="Arial" w:hAnsi="Arial"/>
                <w:sz w:val="17"/>
              </w:rPr>
              <w:t>2,366</w:t>
            </w:r>
          </w:p>
        </w:tc>
        <w:tc>
          <w:tcPr>
            <w:tcW w:type="dxa" w:w="964"/>
          </w:tcPr>
          <w:p>
            <w:r>
              <w:rPr>
                <w:rFonts w:ascii="Arial" w:hAnsi="Arial"/>
                <w:sz w:val="17"/>
              </w:rPr>
              <w:t>2,538</w:t>
            </w:r>
          </w:p>
        </w:tc>
        <w:tc>
          <w:tcPr>
            <w:tcW w:type="dxa" w:w="964"/>
          </w:tcPr>
          <w:p>
            <w:r>
              <w:rPr>
                <w:rFonts w:ascii="Arial" w:hAnsi="Arial"/>
                <w:sz w:val="17"/>
              </w:rPr>
              <w:t>4,011</w:t>
            </w:r>
          </w:p>
        </w:tc>
        <w:tc>
          <w:tcPr>
            <w:tcW w:type="dxa" w:w="964"/>
          </w:tcPr>
          <w:p>
            <w:r>
              <w:rPr>
                <w:rFonts w:ascii="Arial" w:hAnsi="Arial"/>
                <w:sz w:val="17"/>
              </w:rPr>
              <w:t>5,220</w:t>
            </w:r>
          </w:p>
        </w:tc>
        <w:tc>
          <w:tcPr>
            <w:tcW w:type="dxa" w:w="964"/>
          </w:tcPr>
          <w:p>
            <w:r>
              <w:rPr>
                <w:rFonts w:ascii="Arial" w:hAnsi="Arial"/>
                <w:sz w:val="17"/>
              </w:rPr>
              <w:t>6,435</w:t>
            </w:r>
          </w:p>
        </w:tc>
        <w:tc>
          <w:tcPr>
            <w:tcW w:type="dxa" w:w="964"/>
          </w:tcPr>
          <w:p>
            <w:r>
              <w:rPr>
                <w:rFonts w:ascii="Arial" w:hAnsi="Arial"/>
                <w:sz w:val="17"/>
              </w:rPr>
              <w:t>7,633</w:t>
            </w:r>
          </w:p>
        </w:tc>
        <w:tc>
          <w:tcPr>
            <w:tcW w:type="dxa" w:w="964"/>
          </w:tcPr>
          <w:p>
            <w:r>
              <w:rPr>
                <w:rFonts w:ascii="Arial" w:hAnsi="Arial"/>
                <w:sz w:val="17"/>
              </w:rPr>
              <w:t>8,778</w:t>
            </w:r>
          </w:p>
        </w:tc>
        <w:tc>
          <w:tcPr>
            <w:tcW w:type="dxa" w:w="964"/>
          </w:tcPr>
          <w:p>
            <w:r>
              <w:rPr>
                <w:rFonts w:ascii="Arial" w:hAnsi="Arial"/>
                <w:sz w:val="17"/>
              </w:rPr>
              <w:t>9,919</w:t>
            </w:r>
          </w:p>
        </w:tc>
      </w:tr>
      <w:tr>
        <w:tc>
          <w:tcPr>
            <w:tcW w:type="dxa" w:w="2154"/>
            <w:shd w:val="clear" w:fill="F4F8F7"/>
          </w:tcPr>
          <w:p>
            <w:r>
              <w:rPr>
                <w:rFonts w:ascii="Arial" w:hAnsi="Arial"/>
                <w:sz w:val="17"/>
              </w:rPr>
              <w:t>EBITDA margin</w:t>
            </w:r>
          </w:p>
        </w:tc>
        <w:tc>
          <w:tcPr>
            <w:tcW w:type="dxa" w:w="964"/>
            <w:shd w:val="clear" w:fill="F4F8F7"/>
          </w:tcPr>
          <w:p>
            <w:r>
              <w:rPr>
                <w:rFonts w:ascii="Arial" w:hAnsi="Arial"/>
                <w:sz w:val="17"/>
              </w:rPr>
              <w:t>19.5%</w:t>
            </w:r>
          </w:p>
        </w:tc>
        <w:tc>
          <w:tcPr>
            <w:tcW w:type="dxa" w:w="964"/>
            <w:shd w:val="clear" w:fill="F4F8F7"/>
          </w:tcPr>
          <w:p>
            <w:r>
              <w:rPr>
                <w:rFonts w:ascii="Arial" w:hAnsi="Arial"/>
                <w:sz w:val="17"/>
              </w:rPr>
              <w:t>15.7%</w:t>
            </w:r>
          </w:p>
        </w:tc>
        <w:tc>
          <w:tcPr>
            <w:tcW w:type="dxa" w:w="964"/>
            <w:shd w:val="clear" w:fill="F4F8F7"/>
          </w:tcPr>
          <w:p>
            <w:r>
              <w:rPr>
                <w:rFonts w:ascii="Arial" w:hAnsi="Arial"/>
                <w:sz w:val="17"/>
              </w:rPr>
              <w:t>19.2%</w:t>
            </w:r>
          </w:p>
        </w:tc>
        <w:tc>
          <w:tcPr>
            <w:tcW w:type="dxa" w:w="964"/>
            <w:shd w:val="clear" w:fill="F4F8F7"/>
          </w:tcPr>
          <w:p>
            <w:r>
              <w:rPr>
                <w:rFonts w:ascii="Arial" w:hAnsi="Arial"/>
                <w:sz w:val="17"/>
              </w:rPr>
              <w:t>19.2%</w:t>
            </w:r>
          </w:p>
        </w:tc>
        <w:tc>
          <w:tcPr>
            <w:tcW w:type="dxa" w:w="964"/>
            <w:shd w:val="clear" w:fill="F4F8F7"/>
          </w:tcPr>
          <w:p>
            <w:r>
              <w:rPr>
                <w:rFonts w:ascii="Arial" w:hAnsi="Arial"/>
                <w:sz w:val="17"/>
              </w:rPr>
              <w:t>19.4%</w:t>
            </w:r>
          </w:p>
        </w:tc>
        <w:tc>
          <w:tcPr>
            <w:tcW w:type="dxa" w:w="964"/>
            <w:shd w:val="clear" w:fill="F4F8F7"/>
          </w:tcPr>
          <w:p>
            <w:r>
              <w:rPr>
                <w:rFonts w:ascii="Arial" w:hAnsi="Arial"/>
                <w:sz w:val="17"/>
              </w:rPr>
              <w:t>19.5%</w:t>
            </w:r>
          </w:p>
        </w:tc>
        <w:tc>
          <w:tcPr>
            <w:tcW w:type="dxa" w:w="964"/>
            <w:shd w:val="clear" w:fill="F4F8F7"/>
          </w:tcPr>
          <w:p>
            <w:r>
              <w:rPr>
                <w:rFonts w:ascii="Arial" w:hAnsi="Arial"/>
                <w:sz w:val="17"/>
              </w:rPr>
              <w:t>19.5%</w:t>
            </w:r>
          </w:p>
        </w:tc>
        <w:tc>
          <w:tcPr>
            <w:tcW w:type="dxa" w:w="964"/>
            <w:shd w:val="clear" w:fill="F4F8F7"/>
          </w:tcPr>
          <w:p>
            <w:r>
              <w:rPr>
                <w:rFonts w:ascii="Arial" w:hAnsi="Arial"/>
                <w:sz w:val="17"/>
              </w:rPr>
              <w:t>19.5%</w:t>
            </w:r>
          </w:p>
        </w:tc>
      </w:tr>
      <w:tr>
        <w:tc>
          <w:tcPr>
            <w:tcW w:type="dxa" w:w="2154"/>
          </w:tcPr>
          <w:p>
            <w:r>
              <w:rPr>
                <w:rFonts w:ascii="Arial" w:hAnsi="Arial"/>
                <w:sz w:val="17"/>
              </w:rPr>
              <w:t>D&amp;A</w:t>
            </w:r>
          </w:p>
        </w:tc>
        <w:tc>
          <w:tcPr>
            <w:tcW w:type="dxa" w:w="964"/>
          </w:tcPr>
          <w:p>
            <w:r>
              <w:rPr>
                <w:rFonts w:ascii="Arial" w:hAnsi="Arial"/>
                <w:sz w:val="17"/>
              </w:rPr>
              <w:t>330e</w:t>
            </w:r>
          </w:p>
        </w:tc>
        <w:tc>
          <w:tcPr>
            <w:tcW w:type="dxa" w:w="964"/>
          </w:tcPr>
          <w:p>
            <w:r>
              <w:rPr>
                <w:rFonts w:ascii="Arial" w:hAnsi="Arial"/>
                <w:sz w:val="17"/>
              </w:rPr>
              <w:t>380</w:t>
            </w:r>
          </w:p>
        </w:tc>
        <w:tc>
          <w:tcPr>
            <w:tcW w:type="dxa" w:w="964"/>
          </w:tcPr>
          <w:p>
            <w:r>
              <w:rPr>
                <w:rFonts w:ascii="Arial" w:hAnsi="Arial"/>
                <w:sz w:val="17"/>
              </w:rPr>
              <w:t>469</w:t>
            </w:r>
          </w:p>
        </w:tc>
        <w:tc>
          <w:tcPr>
            <w:tcW w:type="dxa" w:w="964"/>
          </w:tcPr>
          <w:p>
            <w:r>
              <w:rPr>
                <w:rFonts w:ascii="Arial" w:hAnsi="Arial"/>
                <w:sz w:val="17"/>
              </w:rPr>
              <w:t>707</w:t>
            </w:r>
          </w:p>
        </w:tc>
        <w:tc>
          <w:tcPr>
            <w:tcW w:type="dxa" w:w="964"/>
          </w:tcPr>
          <w:p>
            <w:r>
              <w:rPr>
                <w:rFonts w:ascii="Arial" w:hAnsi="Arial"/>
                <w:sz w:val="17"/>
              </w:rPr>
              <w:t>862</w:t>
            </w:r>
          </w:p>
        </w:tc>
        <w:tc>
          <w:tcPr>
            <w:tcW w:type="dxa" w:w="964"/>
          </w:tcPr>
          <w:p>
            <w:r>
              <w:rPr>
                <w:rFonts w:ascii="Arial" w:hAnsi="Arial"/>
                <w:sz w:val="17"/>
              </w:rPr>
              <w:t>1,018</w:t>
            </w:r>
          </w:p>
        </w:tc>
        <w:tc>
          <w:tcPr>
            <w:tcW w:type="dxa" w:w="964"/>
          </w:tcPr>
          <w:p>
            <w:r>
              <w:rPr>
                <w:rFonts w:ascii="Arial" w:hAnsi="Arial"/>
                <w:sz w:val="17"/>
              </w:rPr>
              <w:t>1,215</w:t>
            </w:r>
          </w:p>
        </w:tc>
        <w:tc>
          <w:tcPr>
            <w:tcW w:type="dxa" w:w="964"/>
          </w:tcPr>
          <w:p>
            <w:r>
              <w:rPr>
                <w:rFonts w:ascii="Arial" w:hAnsi="Arial"/>
                <w:sz w:val="17"/>
              </w:rPr>
              <w:t>1,373</w:t>
            </w:r>
          </w:p>
        </w:tc>
      </w:tr>
      <w:tr>
        <w:tc>
          <w:tcPr>
            <w:tcW w:type="dxa" w:w="2154"/>
            <w:shd w:val="clear" w:fill="F4F8F7"/>
          </w:tcPr>
          <w:p>
            <w:r>
              <w:rPr>
                <w:rFonts w:ascii="Arial" w:hAnsi="Arial"/>
                <w:sz w:val="17"/>
              </w:rPr>
              <w:t>EBIT</w:t>
            </w:r>
          </w:p>
        </w:tc>
        <w:tc>
          <w:tcPr>
            <w:tcW w:type="dxa" w:w="964"/>
            <w:shd w:val="clear" w:fill="F4F8F7"/>
          </w:tcPr>
          <w:p>
            <w:r>
              <w:rPr>
                <w:rFonts w:ascii="Arial" w:hAnsi="Arial"/>
                <w:sz w:val="17"/>
              </w:rPr>
              <w:t>2,036</w:t>
            </w:r>
          </w:p>
        </w:tc>
        <w:tc>
          <w:tcPr>
            <w:tcW w:type="dxa" w:w="964"/>
            <w:shd w:val="clear" w:fill="F4F8F7"/>
          </w:tcPr>
          <w:p>
            <w:r>
              <w:rPr>
                <w:rFonts w:ascii="Arial" w:hAnsi="Arial"/>
                <w:sz w:val="17"/>
              </w:rPr>
              <w:t>2,157</w:t>
            </w:r>
          </w:p>
        </w:tc>
        <w:tc>
          <w:tcPr>
            <w:tcW w:type="dxa" w:w="964"/>
            <w:shd w:val="clear" w:fill="F4F8F7"/>
          </w:tcPr>
          <w:p>
            <w:r>
              <w:rPr>
                <w:rFonts w:ascii="Arial" w:hAnsi="Arial"/>
                <w:sz w:val="17"/>
              </w:rPr>
              <w:t>3,542</w:t>
            </w:r>
          </w:p>
        </w:tc>
        <w:tc>
          <w:tcPr>
            <w:tcW w:type="dxa" w:w="964"/>
            <w:shd w:val="clear" w:fill="F4F8F7"/>
          </w:tcPr>
          <w:p>
            <w:r>
              <w:rPr>
                <w:rFonts w:ascii="Arial" w:hAnsi="Arial"/>
                <w:sz w:val="17"/>
              </w:rPr>
              <w:t>4,514</w:t>
            </w:r>
          </w:p>
        </w:tc>
        <w:tc>
          <w:tcPr>
            <w:tcW w:type="dxa" w:w="964"/>
            <w:shd w:val="clear" w:fill="F4F8F7"/>
          </w:tcPr>
          <w:p>
            <w:r>
              <w:rPr>
                <w:rFonts w:ascii="Arial" w:hAnsi="Arial"/>
                <w:sz w:val="17"/>
              </w:rPr>
              <w:t>5,573</w:t>
            </w:r>
          </w:p>
        </w:tc>
        <w:tc>
          <w:tcPr>
            <w:tcW w:type="dxa" w:w="964"/>
            <w:shd w:val="clear" w:fill="F4F8F7"/>
          </w:tcPr>
          <w:p>
            <w:r>
              <w:rPr>
                <w:rFonts w:ascii="Arial" w:hAnsi="Arial"/>
                <w:sz w:val="17"/>
              </w:rPr>
              <w:t>6,615</w:t>
            </w:r>
          </w:p>
        </w:tc>
        <w:tc>
          <w:tcPr>
            <w:tcW w:type="dxa" w:w="964"/>
            <w:shd w:val="clear" w:fill="F4F8F7"/>
          </w:tcPr>
          <w:p>
            <w:r>
              <w:rPr>
                <w:rFonts w:ascii="Arial" w:hAnsi="Arial"/>
                <w:sz w:val="17"/>
              </w:rPr>
              <w:t>7,562</w:t>
            </w:r>
          </w:p>
        </w:tc>
        <w:tc>
          <w:tcPr>
            <w:tcW w:type="dxa" w:w="964"/>
            <w:shd w:val="clear" w:fill="F4F8F7"/>
          </w:tcPr>
          <w:p>
            <w:r>
              <w:rPr>
                <w:rFonts w:ascii="Arial" w:hAnsi="Arial"/>
                <w:sz w:val="17"/>
              </w:rPr>
              <w:t>8,545</w:t>
            </w:r>
          </w:p>
        </w:tc>
      </w:tr>
      <w:tr>
        <w:tc>
          <w:tcPr>
            <w:tcW w:type="dxa" w:w="2154"/>
          </w:tcPr>
          <w:p>
            <w:r>
              <w:rPr>
                <w:rFonts w:ascii="Arial" w:hAnsi="Arial"/>
                <w:sz w:val="17"/>
              </w:rPr>
              <w:t>Net finance</w:t>
            </w:r>
          </w:p>
        </w:tc>
        <w:tc>
          <w:tcPr>
            <w:tcW w:type="dxa" w:w="964"/>
          </w:tcPr>
          <w:p>
            <w:r>
              <w:rPr>
                <w:rFonts w:ascii="Arial" w:hAnsi="Arial"/>
                <w:sz w:val="17"/>
              </w:rPr>
              <w:t>(80)e</w:t>
            </w:r>
          </w:p>
        </w:tc>
        <w:tc>
          <w:tcPr>
            <w:tcW w:type="dxa" w:w="964"/>
          </w:tcPr>
          <w:p>
            <w:r>
              <w:rPr>
                <w:rFonts w:ascii="Arial" w:hAnsi="Arial"/>
                <w:sz w:val="17"/>
              </w:rPr>
              <w:t>(186)</w:t>
            </w:r>
          </w:p>
        </w:tc>
        <w:tc>
          <w:tcPr>
            <w:tcW w:type="dxa" w:w="964"/>
          </w:tcPr>
          <w:p>
            <w:r>
              <w:rPr>
                <w:rFonts w:ascii="Arial" w:hAnsi="Arial"/>
                <w:sz w:val="17"/>
              </w:rPr>
              <w:t>(91)</w:t>
            </w:r>
          </w:p>
        </w:tc>
        <w:tc>
          <w:tcPr>
            <w:tcW w:type="dxa" w:w="964"/>
          </w:tcPr>
          <w:p>
            <w:r>
              <w:rPr>
                <w:rFonts w:ascii="Arial" w:hAnsi="Arial"/>
                <w:sz w:val="17"/>
              </w:rPr>
              <w:t>700</w:t>
            </w:r>
          </w:p>
        </w:tc>
        <w:tc>
          <w:tcPr>
            <w:tcW w:type="dxa" w:w="964"/>
          </w:tcPr>
          <w:p>
            <w:r>
              <w:rPr>
                <w:rFonts w:ascii="Arial" w:hAnsi="Arial"/>
                <w:sz w:val="17"/>
              </w:rPr>
              <w:t>650</w:t>
            </w:r>
          </w:p>
        </w:tc>
        <w:tc>
          <w:tcPr>
            <w:tcW w:type="dxa" w:w="964"/>
          </w:tcPr>
          <w:p>
            <w:r>
              <w:rPr>
                <w:rFonts w:ascii="Arial" w:hAnsi="Arial"/>
                <w:sz w:val="17"/>
              </w:rPr>
              <w:t>600</w:t>
            </w:r>
          </w:p>
        </w:tc>
        <w:tc>
          <w:tcPr>
            <w:tcW w:type="dxa" w:w="964"/>
          </w:tcPr>
          <w:p>
            <w:r>
              <w:rPr>
                <w:rFonts w:ascii="Arial" w:hAnsi="Arial"/>
                <w:sz w:val="17"/>
              </w:rPr>
              <w:t>600</w:t>
            </w:r>
          </w:p>
        </w:tc>
        <w:tc>
          <w:tcPr>
            <w:tcW w:type="dxa" w:w="964"/>
          </w:tcPr>
          <w:p>
            <w:r>
              <w:rPr>
                <w:rFonts w:ascii="Arial" w:hAnsi="Arial"/>
                <w:sz w:val="17"/>
              </w:rPr>
              <w:t>650</w:t>
            </w:r>
          </w:p>
        </w:tc>
      </w:tr>
      <w:tr>
        <w:tc>
          <w:tcPr>
            <w:tcW w:type="dxa" w:w="2154"/>
            <w:shd w:val="clear" w:fill="F4F8F7"/>
          </w:tcPr>
          <w:p>
            <w:r>
              <w:rPr>
                <w:rFonts w:ascii="Arial" w:hAnsi="Arial"/>
                <w:sz w:val="17"/>
              </w:rPr>
              <w:t>Profit before tax</w:t>
            </w:r>
          </w:p>
        </w:tc>
        <w:tc>
          <w:tcPr>
            <w:tcW w:type="dxa" w:w="964"/>
            <w:shd w:val="clear" w:fill="F4F8F7"/>
          </w:tcPr>
          <w:p>
            <w:r>
              <w:rPr>
                <w:rFonts w:ascii="Arial" w:hAnsi="Arial"/>
                <w:sz w:val="17"/>
              </w:rPr>
              <w:t>1,956</w:t>
            </w:r>
          </w:p>
        </w:tc>
        <w:tc>
          <w:tcPr>
            <w:tcW w:type="dxa" w:w="964"/>
            <w:shd w:val="clear" w:fill="F4F8F7"/>
          </w:tcPr>
          <w:p>
            <w:r>
              <w:rPr>
                <w:rFonts w:ascii="Arial" w:hAnsi="Arial"/>
                <w:sz w:val="17"/>
              </w:rPr>
              <w:t>1,972</w:t>
            </w:r>
          </w:p>
        </w:tc>
        <w:tc>
          <w:tcPr>
            <w:tcW w:type="dxa" w:w="964"/>
            <w:shd w:val="clear" w:fill="F4F8F7"/>
          </w:tcPr>
          <w:p>
            <w:r>
              <w:rPr>
                <w:rFonts w:ascii="Arial" w:hAnsi="Arial"/>
                <w:sz w:val="17"/>
              </w:rPr>
              <w:t>3,451</w:t>
            </w:r>
          </w:p>
        </w:tc>
        <w:tc>
          <w:tcPr>
            <w:tcW w:type="dxa" w:w="964"/>
            <w:shd w:val="clear" w:fill="F4F8F7"/>
          </w:tcPr>
          <w:p>
            <w:r>
              <w:rPr>
                <w:rFonts w:ascii="Arial" w:hAnsi="Arial"/>
                <w:sz w:val="17"/>
              </w:rPr>
              <w:t>5,214</w:t>
            </w:r>
          </w:p>
        </w:tc>
        <w:tc>
          <w:tcPr>
            <w:tcW w:type="dxa" w:w="964"/>
            <w:shd w:val="clear" w:fill="F4F8F7"/>
          </w:tcPr>
          <w:p>
            <w:r>
              <w:rPr>
                <w:rFonts w:ascii="Arial" w:hAnsi="Arial"/>
                <w:sz w:val="17"/>
              </w:rPr>
              <w:t>6,223</w:t>
            </w:r>
          </w:p>
        </w:tc>
        <w:tc>
          <w:tcPr>
            <w:tcW w:type="dxa" w:w="964"/>
            <w:shd w:val="clear" w:fill="F4F8F7"/>
          </w:tcPr>
          <w:p>
            <w:r>
              <w:rPr>
                <w:rFonts w:ascii="Arial" w:hAnsi="Arial"/>
                <w:sz w:val="17"/>
              </w:rPr>
              <w:t>7,215</w:t>
            </w:r>
          </w:p>
        </w:tc>
        <w:tc>
          <w:tcPr>
            <w:tcW w:type="dxa" w:w="964"/>
            <w:shd w:val="clear" w:fill="F4F8F7"/>
          </w:tcPr>
          <w:p>
            <w:r>
              <w:rPr>
                <w:rFonts w:ascii="Arial" w:hAnsi="Arial"/>
                <w:sz w:val="17"/>
              </w:rPr>
              <w:t>8,162</w:t>
            </w:r>
          </w:p>
        </w:tc>
        <w:tc>
          <w:tcPr>
            <w:tcW w:type="dxa" w:w="964"/>
            <w:shd w:val="clear" w:fill="F4F8F7"/>
          </w:tcPr>
          <w:p>
            <w:r>
              <w:rPr>
                <w:rFonts w:ascii="Arial" w:hAnsi="Arial"/>
                <w:sz w:val="17"/>
              </w:rPr>
              <w:t>9,195</w:t>
            </w:r>
          </w:p>
        </w:tc>
      </w:tr>
      <w:tr>
        <w:tc>
          <w:tcPr>
            <w:tcW w:type="dxa" w:w="2154"/>
          </w:tcPr>
          <w:p>
            <w:r>
              <w:rPr>
                <w:rFonts w:ascii="Arial" w:hAnsi="Arial"/>
                <w:sz w:val="17"/>
              </w:rPr>
              <w:t>Income tax</w:t>
            </w:r>
          </w:p>
        </w:tc>
        <w:tc>
          <w:tcPr>
            <w:tcW w:type="dxa" w:w="964"/>
          </w:tcPr>
          <w:p>
            <w:r>
              <w:rPr>
                <w:rFonts w:ascii="Arial" w:hAnsi="Arial"/>
                <w:sz w:val="17"/>
              </w:rPr>
              <w:t>(449)</w:t>
            </w:r>
          </w:p>
        </w:tc>
        <w:tc>
          <w:tcPr>
            <w:tcW w:type="dxa" w:w="964"/>
          </w:tcPr>
          <w:p>
            <w:r>
              <w:rPr>
                <w:rFonts w:ascii="Arial" w:hAnsi="Arial"/>
                <w:sz w:val="17"/>
              </w:rPr>
              <w:t>(556)</w:t>
            </w:r>
          </w:p>
        </w:tc>
        <w:tc>
          <w:tcPr>
            <w:tcW w:type="dxa" w:w="964"/>
          </w:tcPr>
          <w:p>
            <w:r>
              <w:rPr>
                <w:rFonts w:ascii="Arial" w:hAnsi="Arial"/>
                <w:sz w:val="17"/>
              </w:rPr>
              <w:t>(1,009)</w:t>
            </w:r>
          </w:p>
        </w:tc>
        <w:tc>
          <w:tcPr>
            <w:tcW w:type="dxa" w:w="964"/>
          </w:tcPr>
          <w:p>
            <w:r>
              <w:rPr>
                <w:rFonts w:ascii="Arial" w:hAnsi="Arial"/>
                <w:sz w:val="17"/>
              </w:rPr>
              <w:t>(1,382)</w:t>
            </w:r>
          </w:p>
        </w:tc>
        <w:tc>
          <w:tcPr>
            <w:tcW w:type="dxa" w:w="964"/>
          </w:tcPr>
          <w:p>
            <w:r>
              <w:rPr>
                <w:rFonts w:ascii="Arial" w:hAnsi="Arial"/>
                <w:sz w:val="17"/>
              </w:rPr>
              <w:t>(1,649)</w:t>
            </w:r>
          </w:p>
        </w:tc>
        <w:tc>
          <w:tcPr>
            <w:tcW w:type="dxa" w:w="964"/>
          </w:tcPr>
          <w:p>
            <w:r>
              <w:rPr>
                <w:rFonts w:ascii="Arial" w:hAnsi="Arial"/>
                <w:sz w:val="17"/>
              </w:rPr>
              <w:t>(1,912)</w:t>
            </w:r>
          </w:p>
        </w:tc>
        <w:tc>
          <w:tcPr>
            <w:tcW w:type="dxa" w:w="964"/>
          </w:tcPr>
          <w:p>
            <w:r>
              <w:rPr>
                <w:rFonts w:ascii="Arial" w:hAnsi="Arial"/>
                <w:sz w:val="17"/>
              </w:rPr>
              <w:t>(2,163)</w:t>
            </w:r>
          </w:p>
        </w:tc>
        <w:tc>
          <w:tcPr>
            <w:tcW w:type="dxa" w:w="964"/>
          </w:tcPr>
          <w:p>
            <w:r>
              <w:rPr>
                <w:rFonts w:ascii="Arial" w:hAnsi="Arial"/>
                <w:sz w:val="17"/>
              </w:rPr>
              <w:t>(2,437)</w:t>
            </w:r>
          </w:p>
        </w:tc>
      </w:tr>
      <w:tr>
        <w:tc>
          <w:tcPr>
            <w:tcW w:type="dxa" w:w="2154"/>
            <w:shd w:val="clear" w:fill="F4F8F7"/>
          </w:tcPr>
          <w:p>
            <w:r>
              <w:rPr>
                <w:rFonts w:ascii="Arial" w:hAnsi="Arial"/>
                <w:sz w:val="17"/>
              </w:rPr>
              <w:t>Net profit (IFRS)</w:t>
            </w:r>
          </w:p>
        </w:tc>
        <w:tc>
          <w:tcPr>
            <w:tcW w:type="dxa" w:w="964"/>
            <w:shd w:val="clear" w:fill="F4F8F7"/>
          </w:tcPr>
          <w:p>
            <w:r>
              <w:rPr>
                <w:rFonts w:ascii="Arial" w:hAnsi="Arial"/>
                <w:sz w:val="17"/>
              </w:rPr>
              <w:t>1,507</w:t>
            </w:r>
          </w:p>
        </w:tc>
        <w:tc>
          <w:tcPr>
            <w:tcW w:type="dxa" w:w="964"/>
            <w:shd w:val="clear" w:fill="F4F8F7"/>
          </w:tcPr>
          <w:p>
            <w:r>
              <w:rPr>
                <w:rFonts w:ascii="Arial" w:hAnsi="Arial"/>
                <w:sz w:val="17"/>
              </w:rPr>
              <w:t>1,415</w:t>
            </w:r>
          </w:p>
        </w:tc>
        <w:tc>
          <w:tcPr>
            <w:tcW w:type="dxa" w:w="964"/>
            <w:shd w:val="clear" w:fill="F4F8F7"/>
          </w:tcPr>
          <w:p>
            <w:r>
              <w:rPr>
                <w:rFonts w:ascii="Arial" w:hAnsi="Arial"/>
                <w:sz w:val="17"/>
              </w:rPr>
              <w:t>2,442</w:t>
            </w:r>
          </w:p>
        </w:tc>
        <w:tc>
          <w:tcPr>
            <w:tcW w:type="dxa" w:w="964"/>
            <w:shd w:val="clear" w:fill="F4F8F7"/>
          </w:tcPr>
          <w:p>
            <w:r>
              <w:rPr>
                <w:rFonts w:ascii="Arial" w:hAnsi="Arial"/>
                <w:sz w:val="17"/>
              </w:rPr>
              <w:t>3,832</w:t>
            </w:r>
          </w:p>
        </w:tc>
        <w:tc>
          <w:tcPr>
            <w:tcW w:type="dxa" w:w="964"/>
            <w:shd w:val="clear" w:fill="F4F8F7"/>
          </w:tcPr>
          <w:p>
            <w:r>
              <w:rPr>
                <w:rFonts w:ascii="Arial" w:hAnsi="Arial"/>
                <w:sz w:val="17"/>
              </w:rPr>
              <w:t>4,574</w:t>
            </w:r>
          </w:p>
        </w:tc>
        <w:tc>
          <w:tcPr>
            <w:tcW w:type="dxa" w:w="964"/>
            <w:shd w:val="clear" w:fill="F4F8F7"/>
          </w:tcPr>
          <w:p>
            <w:r>
              <w:rPr>
                <w:rFonts w:ascii="Arial" w:hAnsi="Arial"/>
                <w:sz w:val="17"/>
              </w:rPr>
              <w:t>5,303</w:t>
            </w:r>
          </w:p>
        </w:tc>
        <w:tc>
          <w:tcPr>
            <w:tcW w:type="dxa" w:w="964"/>
            <w:shd w:val="clear" w:fill="F4F8F7"/>
          </w:tcPr>
          <w:p>
            <w:r>
              <w:rPr>
                <w:rFonts w:ascii="Arial" w:hAnsi="Arial"/>
                <w:sz w:val="17"/>
              </w:rPr>
              <w:t>5,999</w:t>
            </w:r>
          </w:p>
        </w:tc>
        <w:tc>
          <w:tcPr>
            <w:tcW w:type="dxa" w:w="964"/>
            <w:shd w:val="clear" w:fill="F4F8F7"/>
          </w:tcPr>
          <w:p>
            <w:r>
              <w:rPr>
                <w:rFonts w:ascii="Arial" w:hAnsi="Arial"/>
                <w:sz w:val="17"/>
              </w:rPr>
              <w:t>6,759</w:t>
            </w:r>
          </w:p>
        </w:tc>
      </w:tr>
      <w:tr>
        <w:tc>
          <w:tcPr>
            <w:tcW w:type="dxa" w:w="2154"/>
          </w:tcPr>
          <w:p>
            <w:r>
              <w:rPr>
                <w:rFonts w:ascii="Arial" w:hAnsi="Arial"/>
                <w:sz w:val="17"/>
              </w:rPr>
              <w:t>Net margin</w:t>
            </w:r>
          </w:p>
        </w:tc>
        <w:tc>
          <w:tcPr>
            <w:tcW w:type="dxa" w:w="964"/>
          </w:tcPr>
          <w:p>
            <w:r>
              <w:rPr>
                <w:rFonts w:ascii="Arial" w:hAnsi="Arial"/>
                <w:sz w:val="17"/>
              </w:rPr>
              <w:t>12.4%</w:t>
            </w:r>
          </w:p>
        </w:tc>
        <w:tc>
          <w:tcPr>
            <w:tcW w:type="dxa" w:w="964"/>
          </w:tcPr>
          <w:p>
            <w:r>
              <w:rPr>
                <w:rFonts w:ascii="Arial" w:hAnsi="Arial"/>
                <w:sz w:val="17"/>
              </w:rPr>
              <w:t>8.8%</w:t>
            </w:r>
          </w:p>
        </w:tc>
        <w:tc>
          <w:tcPr>
            <w:tcW w:type="dxa" w:w="964"/>
          </w:tcPr>
          <w:p>
            <w:r>
              <w:rPr>
                <w:rFonts w:ascii="Arial" w:hAnsi="Arial"/>
                <w:sz w:val="17"/>
              </w:rPr>
              <w:t>11.7%</w:t>
            </w:r>
          </w:p>
        </w:tc>
        <w:tc>
          <w:tcPr>
            <w:tcW w:type="dxa" w:w="964"/>
          </w:tcPr>
          <w:p>
            <w:r>
              <w:rPr>
                <w:rFonts w:ascii="Arial" w:hAnsi="Arial"/>
                <w:sz w:val="17"/>
              </w:rPr>
              <w:t>14.1%</w:t>
            </w:r>
          </w:p>
        </w:tc>
        <w:tc>
          <w:tcPr>
            <w:tcW w:type="dxa" w:w="964"/>
          </w:tcPr>
          <w:p>
            <w:r>
              <w:rPr>
                <w:rFonts w:ascii="Arial" w:hAnsi="Arial"/>
                <w:sz w:val="17"/>
              </w:rPr>
              <w:t>13.8%</w:t>
            </w:r>
          </w:p>
        </w:tc>
        <w:tc>
          <w:tcPr>
            <w:tcW w:type="dxa" w:w="964"/>
          </w:tcPr>
          <w:p>
            <w:r>
              <w:rPr>
                <w:rFonts w:ascii="Arial" w:hAnsi="Arial"/>
                <w:sz w:val="17"/>
              </w:rPr>
              <w:t>13.5%</w:t>
            </w:r>
          </w:p>
        </w:tc>
        <w:tc>
          <w:tcPr>
            <w:tcW w:type="dxa" w:w="964"/>
          </w:tcPr>
          <w:p>
            <w:r>
              <w:rPr>
                <w:rFonts w:ascii="Arial" w:hAnsi="Arial"/>
                <w:sz w:val="17"/>
              </w:rPr>
              <w:t>13.3%</w:t>
            </w:r>
          </w:p>
        </w:tc>
        <w:tc>
          <w:tcPr>
            <w:tcW w:type="dxa" w:w="964"/>
          </w:tcPr>
          <w:p>
            <w:r>
              <w:rPr>
                <w:rFonts w:ascii="Arial" w:hAnsi="Arial"/>
                <w:sz w:val="17"/>
              </w:rPr>
              <w:t>13.3%</w:t>
            </w:r>
          </w:p>
        </w:tc>
      </w:tr>
      <w:tr>
        <w:tc>
          <w:tcPr>
            <w:tcW w:type="dxa" w:w="2154"/>
            <w:shd w:val="clear" w:fill="F4F8F7"/>
          </w:tcPr>
          <w:p>
            <w:r>
              <w:rPr>
                <w:rFonts w:ascii="Arial" w:hAnsi="Arial"/>
                <w:sz w:val="17"/>
              </w:rPr>
              <w:t>EPS (EGP, current shares)</w:t>
            </w:r>
          </w:p>
        </w:tc>
        <w:tc>
          <w:tcPr>
            <w:tcW w:type="dxa" w:w="964"/>
            <w:shd w:val="clear" w:fill="F4F8F7"/>
          </w:tcPr>
          <w:p>
            <w:r>
              <w:rPr>
                <w:rFonts w:ascii="Arial" w:hAnsi="Arial"/>
                <w:sz w:val="17"/>
              </w:rPr>
              <w:t>1.08</w:t>
            </w:r>
          </w:p>
        </w:tc>
        <w:tc>
          <w:tcPr>
            <w:tcW w:type="dxa" w:w="964"/>
            <w:shd w:val="clear" w:fill="F4F8F7"/>
          </w:tcPr>
          <w:p>
            <w:r>
              <w:rPr>
                <w:rFonts w:ascii="Arial" w:hAnsi="Arial"/>
                <w:sz w:val="17"/>
              </w:rPr>
              <w:t>1.01</w:t>
            </w:r>
          </w:p>
        </w:tc>
        <w:tc>
          <w:tcPr>
            <w:tcW w:type="dxa" w:w="964"/>
            <w:shd w:val="clear" w:fill="F4F8F7"/>
          </w:tcPr>
          <w:p>
            <w:r>
              <w:rPr>
                <w:rFonts w:ascii="Arial" w:hAnsi="Arial"/>
                <w:sz w:val="17"/>
              </w:rPr>
              <w:t>1.74</w:t>
            </w:r>
          </w:p>
        </w:tc>
        <w:tc>
          <w:tcPr>
            <w:tcW w:type="dxa" w:w="964"/>
            <w:shd w:val="clear" w:fill="F4F8F7"/>
          </w:tcPr>
          <w:p>
            <w:r>
              <w:rPr>
                <w:rFonts w:ascii="Arial" w:hAnsi="Arial"/>
                <w:sz w:val="17"/>
              </w:rPr>
              <w:t>2.74</w:t>
            </w:r>
          </w:p>
        </w:tc>
        <w:tc>
          <w:tcPr>
            <w:tcW w:type="dxa" w:w="964"/>
            <w:shd w:val="clear" w:fill="F4F8F7"/>
          </w:tcPr>
          <w:p>
            <w:r>
              <w:rPr>
                <w:rFonts w:ascii="Arial" w:hAnsi="Arial"/>
                <w:sz w:val="17"/>
              </w:rPr>
              <w:t>3.27</w:t>
            </w:r>
          </w:p>
        </w:tc>
        <w:tc>
          <w:tcPr>
            <w:tcW w:type="dxa" w:w="964"/>
            <w:shd w:val="clear" w:fill="F4F8F7"/>
          </w:tcPr>
          <w:p>
            <w:r>
              <w:rPr>
                <w:rFonts w:ascii="Arial" w:hAnsi="Arial"/>
                <w:sz w:val="17"/>
              </w:rPr>
              <w:t>3.79</w:t>
            </w:r>
          </w:p>
        </w:tc>
        <w:tc>
          <w:tcPr>
            <w:tcW w:type="dxa" w:w="964"/>
            <w:shd w:val="clear" w:fill="F4F8F7"/>
          </w:tcPr>
          <w:p>
            <w:r>
              <w:rPr>
                <w:rFonts w:ascii="Arial" w:hAnsi="Arial"/>
                <w:sz w:val="17"/>
              </w:rPr>
              <w:t>4.28</w:t>
            </w:r>
          </w:p>
        </w:tc>
        <w:tc>
          <w:tcPr>
            <w:tcW w:type="dxa" w:w="964"/>
            <w:shd w:val="clear" w:fill="F4F8F7"/>
          </w:tcPr>
          <w:p>
            <w:r>
              <w:rPr>
                <w:rFonts w:ascii="Arial" w:hAnsi="Arial"/>
                <w:sz w:val="17"/>
              </w:rPr>
              <w:t>4.83</w:t>
            </w:r>
          </w:p>
        </w:tc>
      </w:tr>
    </w:tbl>
    <w:p>
      <w:pPr>
        <w:spacing w:after="40"/>
      </w:pPr>
    </w:p>
    <w:p>
      <w:pPr>
        <w:pStyle w:val="Heading2"/>
      </w:pPr>
      <w:r>
        <w:t>A.2  Balance sheet (EGP m)</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2381"/>
            <w:shd w:val="clear" w:fill="1C6E63"/>
          </w:tcPr>
          <w:p>
            <w:r>
              <w:rPr>
                <w:rFonts w:ascii="Arial" w:hAnsi="Arial"/>
                <w:b/>
                <w:color w:val="FFFFFF"/>
                <w:sz w:val="17"/>
              </w:rPr>
            </w:r>
          </w:p>
        </w:tc>
        <w:tc>
          <w:tcPr>
            <w:tcW w:type="dxa" w:w="964"/>
            <w:shd w:val="clear" w:fill="1C6E63"/>
          </w:tcPr>
          <w:p>
            <w:r>
              <w:rPr>
                <w:rFonts w:ascii="Arial" w:hAnsi="Arial"/>
                <w:b/>
                <w:color w:val="FFFFFF"/>
                <w:sz w:val="17"/>
              </w:rPr>
              <w:t>FY23A</w:t>
            </w:r>
          </w:p>
        </w:tc>
        <w:tc>
          <w:tcPr>
            <w:tcW w:type="dxa" w:w="964"/>
            <w:shd w:val="clear" w:fill="1C6E63"/>
          </w:tcPr>
          <w:p>
            <w:r>
              <w:rPr>
                <w:rFonts w:ascii="Arial" w:hAnsi="Arial"/>
                <w:b/>
                <w:color w:val="FFFFFF"/>
                <w:sz w:val="17"/>
              </w:rPr>
              <w:t>FY24A</w:t>
            </w:r>
          </w:p>
        </w:tc>
        <w:tc>
          <w:tcPr>
            <w:tcW w:type="dxa" w:w="964"/>
            <w:shd w:val="clear" w:fill="1C6E63"/>
          </w:tcPr>
          <w:p>
            <w:r>
              <w:rPr>
                <w:rFonts w:ascii="Arial" w:hAnsi="Arial"/>
                <w:b/>
                <w:color w:val="FFFFFF"/>
                <w:sz w:val="17"/>
              </w:rPr>
              <w:t>FY25A</w:t>
            </w:r>
          </w:p>
        </w:tc>
        <w:tc>
          <w:tcPr>
            <w:tcW w:type="dxa" w:w="964"/>
            <w:shd w:val="clear" w:fill="1C6E63"/>
          </w:tcPr>
          <w:p>
            <w:r>
              <w:rPr>
                <w:rFonts w:ascii="Arial" w:hAnsi="Arial"/>
                <w:b/>
                <w:color w:val="FFFFFF"/>
                <w:sz w:val="17"/>
              </w:rPr>
              <w:t>FY26E</w:t>
            </w:r>
          </w:p>
        </w:tc>
        <w:tc>
          <w:tcPr>
            <w:tcW w:type="dxa" w:w="964"/>
            <w:shd w:val="clear" w:fill="1C6E63"/>
          </w:tcPr>
          <w:p>
            <w:r>
              <w:rPr>
                <w:rFonts w:ascii="Arial" w:hAnsi="Arial"/>
                <w:b/>
                <w:color w:val="FFFFFF"/>
                <w:sz w:val="17"/>
              </w:rPr>
              <w:t>FY27E</w:t>
            </w:r>
          </w:p>
        </w:tc>
        <w:tc>
          <w:tcPr>
            <w:tcW w:type="dxa" w:w="964"/>
            <w:shd w:val="clear" w:fill="1C6E63"/>
          </w:tcPr>
          <w:p>
            <w:r>
              <w:rPr>
                <w:rFonts w:ascii="Arial" w:hAnsi="Arial"/>
                <w:b/>
                <w:color w:val="FFFFFF"/>
                <w:sz w:val="17"/>
              </w:rPr>
              <w:t>FY28E</w:t>
            </w:r>
          </w:p>
        </w:tc>
        <w:tc>
          <w:tcPr>
            <w:tcW w:type="dxa" w:w="964"/>
            <w:shd w:val="clear" w:fill="1C6E63"/>
          </w:tcPr>
          <w:p>
            <w:r>
              <w:rPr>
                <w:rFonts w:ascii="Arial" w:hAnsi="Arial"/>
                <w:b/>
                <w:color w:val="FFFFFF"/>
                <w:sz w:val="17"/>
              </w:rPr>
              <w:t>FY29E</w:t>
            </w:r>
          </w:p>
        </w:tc>
        <w:tc>
          <w:tcPr>
            <w:tcW w:type="dxa" w:w="964"/>
            <w:shd w:val="clear" w:fill="1C6E63"/>
          </w:tcPr>
          <w:p>
            <w:r>
              <w:rPr>
                <w:rFonts w:ascii="Arial" w:hAnsi="Arial"/>
                <w:b/>
                <w:color w:val="FFFFFF"/>
                <w:sz w:val="17"/>
              </w:rPr>
              <w:t>FY30E</w:t>
            </w:r>
          </w:p>
        </w:tc>
      </w:tr>
      <w:tr>
        <w:tc>
          <w:tcPr>
            <w:tcW w:type="dxa" w:w="2381"/>
          </w:tcPr>
          <w:p>
            <w:r>
              <w:rPr>
                <w:rFonts w:ascii="Arial" w:hAnsi="Arial"/>
                <w:sz w:val="17"/>
              </w:rPr>
              <w:t>Net PP&amp;E &amp; intangibles</w:t>
            </w:r>
          </w:p>
        </w:tc>
        <w:tc>
          <w:tcPr>
            <w:tcW w:type="dxa" w:w="964"/>
          </w:tcPr>
          <w:p>
            <w:r>
              <w:rPr>
                <w:rFonts w:ascii="Arial" w:hAnsi="Arial"/>
                <w:sz w:val="17"/>
              </w:rPr>
              <w:t>4,540e</w:t>
            </w:r>
          </w:p>
        </w:tc>
        <w:tc>
          <w:tcPr>
            <w:tcW w:type="dxa" w:w="964"/>
          </w:tcPr>
          <w:p>
            <w:r>
              <w:rPr>
                <w:rFonts w:ascii="Arial" w:hAnsi="Arial"/>
                <w:sz w:val="17"/>
              </w:rPr>
              <w:t>5,400e</w:t>
            </w:r>
          </w:p>
        </w:tc>
        <w:tc>
          <w:tcPr>
            <w:tcW w:type="dxa" w:w="964"/>
          </w:tcPr>
          <w:p>
            <w:r>
              <w:rPr>
                <w:rFonts w:ascii="Arial" w:hAnsi="Arial"/>
                <w:sz w:val="17"/>
              </w:rPr>
              <w:t>6,324e</w:t>
            </w:r>
          </w:p>
        </w:tc>
        <w:tc>
          <w:tcPr>
            <w:tcW w:type="dxa" w:w="964"/>
          </w:tcPr>
          <w:p>
            <w:r>
              <w:rPr>
                <w:rFonts w:ascii="Arial" w:hAnsi="Arial"/>
                <w:sz w:val="17"/>
              </w:rPr>
              <w:t>7,384</w:t>
            </w:r>
          </w:p>
        </w:tc>
        <w:tc>
          <w:tcPr>
            <w:tcW w:type="dxa" w:w="964"/>
          </w:tcPr>
          <w:p>
            <w:r>
              <w:rPr>
                <w:rFonts w:ascii="Arial" w:hAnsi="Arial"/>
                <w:sz w:val="17"/>
              </w:rPr>
              <w:t>8,512</w:t>
            </w:r>
          </w:p>
        </w:tc>
        <w:tc>
          <w:tcPr>
            <w:tcW w:type="dxa" w:w="964"/>
          </w:tcPr>
          <w:p>
            <w:r>
              <w:rPr>
                <w:rFonts w:ascii="Arial" w:hAnsi="Arial"/>
                <w:sz w:val="17"/>
              </w:rPr>
              <w:t>9,647</w:t>
            </w:r>
          </w:p>
        </w:tc>
        <w:tc>
          <w:tcPr>
            <w:tcW w:type="dxa" w:w="964"/>
          </w:tcPr>
          <w:p>
            <w:r>
              <w:rPr>
                <w:rFonts w:ascii="Arial" w:hAnsi="Arial"/>
                <w:sz w:val="17"/>
              </w:rPr>
              <w:t>10,683</w:t>
            </w:r>
          </w:p>
        </w:tc>
        <w:tc>
          <w:tcPr>
            <w:tcW w:type="dxa" w:w="964"/>
          </w:tcPr>
          <w:p>
            <w:r>
              <w:rPr>
                <w:rFonts w:ascii="Arial" w:hAnsi="Arial"/>
                <w:sz w:val="17"/>
              </w:rPr>
              <w:t>11,853</w:t>
            </w:r>
          </w:p>
        </w:tc>
      </w:tr>
      <w:tr>
        <w:tc>
          <w:tcPr>
            <w:tcW w:type="dxa" w:w="2381"/>
            <w:shd w:val="clear" w:fill="F4F8F7"/>
          </w:tcPr>
          <w:p>
            <w:r>
              <w:rPr>
                <w:rFonts w:ascii="Arial" w:hAnsi="Arial"/>
                <w:sz w:val="17"/>
              </w:rPr>
              <w:t>Inventories</w:t>
            </w:r>
          </w:p>
        </w:tc>
        <w:tc>
          <w:tcPr>
            <w:tcW w:type="dxa" w:w="964"/>
            <w:shd w:val="clear" w:fill="F4F8F7"/>
          </w:tcPr>
          <w:p>
            <w:r>
              <w:rPr>
                <w:rFonts w:ascii="Arial" w:hAnsi="Arial"/>
                <w:sz w:val="17"/>
              </w:rPr>
              <w:t>1,867</w:t>
            </w:r>
          </w:p>
        </w:tc>
        <w:tc>
          <w:tcPr>
            <w:tcW w:type="dxa" w:w="964"/>
            <w:shd w:val="clear" w:fill="F4F8F7"/>
          </w:tcPr>
          <w:p>
            <w:r>
              <w:rPr>
                <w:rFonts w:ascii="Arial" w:hAnsi="Arial"/>
                <w:sz w:val="17"/>
              </w:rPr>
              <w:t>3,034</w:t>
            </w:r>
          </w:p>
        </w:tc>
        <w:tc>
          <w:tcPr>
            <w:tcW w:type="dxa" w:w="964"/>
            <w:shd w:val="clear" w:fill="F4F8F7"/>
          </w:tcPr>
          <w:p>
            <w:r>
              <w:rPr>
                <w:rFonts w:ascii="Arial" w:hAnsi="Arial"/>
                <w:sz w:val="17"/>
              </w:rPr>
              <w:t>2,315</w:t>
            </w:r>
          </w:p>
        </w:tc>
        <w:tc>
          <w:tcPr>
            <w:tcW w:type="dxa" w:w="964"/>
            <w:shd w:val="clear" w:fill="F4F8F7"/>
          </w:tcPr>
          <w:p>
            <w:r>
              <w:rPr>
                <w:rFonts w:ascii="Arial" w:hAnsi="Arial"/>
                <w:sz w:val="17"/>
              </w:rPr>
              <w:t>3,018</w:t>
            </w:r>
          </w:p>
        </w:tc>
        <w:tc>
          <w:tcPr>
            <w:tcW w:type="dxa" w:w="964"/>
            <w:shd w:val="clear" w:fill="F4F8F7"/>
          </w:tcPr>
          <w:p>
            <w:r>
              <w:rPr>
                <w:rFonts w:ascii="Arial" w:hAnsi="Arial"/>
                <w:sz w:val="17"/>
              </w:rPr>
              <w:t>3,682</w:t>
            </w:r>
          </w:p>
        </w:tc>
        <w:tc>
          <w:tcPr>
            <w:tcW w:type="dxa" w:w="964"/>
            <w:shd w:val="clear" w:fill="F4F8F7"/>
          </w:tcPr>
          <w:p>
            <w:r>
              <w:rPr>
                <w:rFonts w:ascii="Arial" w:hAnsi="Arial"/>
                <w:sz w:val="17"/>
              </w:rPr>
              <w:t>4,345</w:t>
            </w:r>
          </w:p>
        </w:tc>
        <w:tc>
          <w:tcPr>
            <w:tcW w:type="dxa" w:w="964"/>
            <w:shd w:val="clear" w:fill="F4F8F7"/>
          </w:tcPr>
          <w:p>
            <w:r>
              <w:rPr>
                <w:rFonts w:ascii="Arial" w:hAnsi="Arial"/>
                <w:sz w:val="17"/>
              </w:rPr>
              <w:t>4,997</w:t>
            </w:r>
          </w:p>
        </w:tc>
        <w:tc>
          <w:tcPr>
            <w:tcW w:type="dxa" w:w="964"/>
            <w:shd w:val="clear" w:fill="F4F8F7"/>
          </w:tcPr>
          <w:p>
            <w:r>
              <w:rPr>
                <w:rFonts w:ascii="Arial" w:hAnsi="Arial"/>
                <w:sz w:val="17"/>
              </w:rPr>
              <w:t>5,646</w:t>
            </w:r>
          </w:p>
        </w:tc>
      </w:tr>
      <w:tr>
        <w:tc>
          <w:tcPr>
            <w:tcW w:type="dxa" w:w="2381"/>
          </w:tcPr>
          <w:p>
            <w:r>
              <w:rPr>
                <w:rFonts w:ascii="Arial" w:hAnsi="Arial"/>
                <w:sz w:val="17"/>
              </w:rPr>
              <w:t>Trade &amp; notes receivable</w:t>
            </w:r>
          </w:p>
        </w:tc>
        <w:tc>
          <w:tcPr>
            <w:tcW w:type="dxa" w:w="964"/>
          </w:tcPr>
          <w:p>
            <w:r>
              <w:rPr>
                <w:rFonts w:ascii="Arial" w:hAnsi="Arial"/>
                <w:sz w:val="17"/>
              </w:rPr>
              <w:t>160</w:t>
            </w:r>
          </w:p>
        </w:tc>
        <w:tc>
          <w:tcPr>
            <w:tcW w:type="dxa" w:w="964"/>
          </w:tcPr>
          <w:p>
            <w:r>
              <w:rPr>
                <w:rFonts w:ascii="Arial" w:hAnsi="Arial"/>
                <w:sz w:val="17"/>
              </w:rPr>
              <w:t>175</w:t>
            </w:r>
          </w:p>
        </w:tc>
        <w:tc>
          <w:tcPr>
            <w:tcW w:type="dxa" w:w="964"/>
          </w:tcPr>
          <w:p>
            <w:r>
              <w:rPr>
                <w:rFonts w:ascii="Arial" w:hAnsi="Arial"/>
                <w:sz w:val="17"/>
              </w:rPr>
              <w:t>244</w:t>
            </w:r>
          </w:p>
        </w:tc>
        <w:tc>
          <w:tcPr>
            <w:tcW w:type="dxa" w:w="964"/>
          </w:tcPr>
          <w:p>
            <w:r>
              <w:rPr>
                <w:rFonts w:ascii="Arial" w:hAnsi="Arial"/>
                <w:sz w:val="17"/>
              </w:rPr>
              <w:t>326</w:t>
            </w:r>
          </w:p>
        </w:tc>
        <w:tc>
          <w:tcPr>
            <w:tcW w:type="dxa" w:w="964"/>
          </w:tcPr>
          <w:p>
            <w:r>
              <w:rPr>
                <w:rFonts w:ascii="Arial" w:hAnsi="Arial"/>
                <w:sz w:val="17"/>
              </w:rPr>
              <w:t>398</w:t>
            </w:r>
          </w:p>
        </w:tc>
        <w:tc>
          <w:tcPr>
            <w:tcW w:type="dxa" w:w="964"/>
          </w:tcPr>
          <w:p>
            <w:r>
              <w:rPr>
                <w:rFonts w:ascii="Arial" w:hAnsi="Arial"/>
                <w:sz w:val="17"/>
              </w:rPr>
              <w:t>470</w:t>
            </w:r>
          </w:p>
        </w:tc>
        <w:tc>
          <w:tcPr>
            <w:tcW w:type="dxa" w:w="964"/>
          </w:tcPr>
          <w:p>
            <w:r>
              <w:rPr>
                <w:rFonts w:ascii="Arial" w:hAnsi="Arial"/>
                <w:sz w:val="17"/>
              </w:rPr>
              <w:t>540</w:t>
            </w:r>
          </w:p>
        </w:tc>
        <w:tc>
          <w:tcPr>
            <w:tcW w:type="dxa" w:w="964"/>
          </w:tcPr>
          <w:p>
            <w:r>
              <w:rPr>
                <w:rFonts w:ascii="Arial" w:hAnsi="Arial"/>
                <w:sz w:val="17"/>
              </w:rPr>
              <w:t>610</w:t>
            </w:r>
          </w:p>
        </w:tc>
      </w:tr>
      <w:tr>
        <w:tc>
          <w:tcPr>
            <w:tcW w:type="dxa" w:w="2381"/>
            <w:shd w:val="clear" w:fill="F4F8F7"/>
          </w:tcPr>
          <w:p>
            <w:r>
              <w:rPr>
                <w:rFonts w:ascii="Arial" w:hAnsi="Arial"/>
                <w:sz w:val="17"/>
              </w:rPr>
              <w:t>Other assets (est.)</w:t>
            </w:r>
          </w:p>
        </w:tc>
        <w:tc>
          <w:tcPr>
            <w:tcW w:type="dxa" w:w="964"/>
            <w:shd w:val="clear" w:fill="F4F8F7"/>
          </w:tcPr>
          <w:p>
            <w:r>
              <w:rPr>
                <w:rFonts w:ascii="Arial" w:hAnsi="Arial"/>
                <w:sz w:val="17"/>
              </w:rPr>
              <w:t>1,000e</w:t>
            </w:r>
          </w:p>
        </w:tc>
        <w:tc>
          <w:tcPr>
            <w:tcW w:type="dxa" w:w="964"/>
            <w:shd w:val="clear" w:fill="F4F8F7"/>
          </w:tcPr>
          <w:p>
            <w:r>
              <w:rPr>
                <w:rFonts w:ascii="Arial" w:hAnsi="Arial"/>
                <w:sz w:val="17"/>
              </w:rPr>
              <w:t>1,300e</w:t>
            </w:r>
          </w:p>
        </w:tc>
        <w:tc>
          <w:tcPr>
            <w:tcW w:type="dxa" w:w="964"/>
            <w:shd w:val="clear" w:fill="F4F8F7"/>
          </w:tcPr>
          <w:p>
            <w:r>
              <w:rPr>
                <w:rFonts w:ascii="Arial" w:hAnsi="Arial"/>
                <w:sz w:val="17"/>
              </w:rPr>
              <w:t>1,600e</w:t>
            </w:r>
          </w:p>
        </w:tc>
        <w:tc>
          <w:tcPr>
            <w:tcW w:type="dxa" w:w="964"/>
            <w:shd w:val="clear" w:fill="F4F8F7"/>
          </w:tcPr>
          <w:p>
            <w:r>
              <w:rPr>
                <w:rFonts w:ascii="Arial" w:hAnsi="Arial"/>
                <w:sz w:val="17"/>
              </w:rPr>
              <w:t>1,760</w:t>
            </w:r>
          </w:p>
        </w:tc>
        <w:tc>
          <w:tcPr>
            <w:tcW w:type="dxa" w:w="964"/>
            <w:shd w:val="clear" w:fill="F4F8F7"/>
          </w:tcPr>
          <w:p>
            <w:r>
              <w:rPr>
                <w:rFonts w:ascii="Arial" w:hAnsi="Arial"/>
                <w:sz w:val="17"/>
              </w:rPr>
              <w:t>1,936</w:t>
            </w:r>
          </w:p>
        </w:tc>
        <w:tc>
          <w:tcPr>
            <w:tcW w:type="dxa" w:w="964"/>
            <w:shd w:val="clear" w:fill="F4F8F7"/>
          </w:tcPr>
          <w:p>
            <w:r>
              <w:rPr>
                <w:rFonts w:ascii="Arial" w:hAnsi="Arial"/>
                <w:sz w:val="17"/>
              </w:rPr>
              <w:t>2,130</w:t>
            </w:r>
          </w:p>
        </w:tc>
        <w:tc>
          <w:tcPr>
            <w:tcW w:type="dxa" w:w="964"/>
            <w:shd w:val="clear" w:fill="F4F8F7"/>
          </w:tcPr>
          <w:p>
            <w:r>
              <w:rPr>
                <w:rFonts w:ascii="Arial" w:hAnsi="Arial"/>
                <w:sz w:val="17"/>
              </w:rPr>
              <w:t>2,343</w:t>
            </w:r>
          </w:p>
        </w:tc>
        <w:tc>
          <w:tcPr>
            <w:tcW w:type="dxa" w:w="964"/>
            <w:shd w:val="clear" w:fill="F4F8F7"/>
          </w:tcPr>
          <w:p>
            <w:r>
              <w:rPr>
                <w:rFonts w:ascii="Arial" w:hAnsi="Arial"/>
                <w:sz w:val="17"/>
              </w:rPr>
              <w:t>2,577</w:t>
            </w:r>
          </w:p>
        </w:tc>
      </w:tr>
      <w:tr>
        <w:tc>
          <w:tcPr>
            <w:tcW w:type="dxa" w:w="2381"/>
          </w:tcPr>
          <w:p>
            <w:r>
              <w:rPr>
                <w:rFonts w:ascii="Arial" w:hAnsi="Arial"/>
                <w:sz w:val="17"/>
              </w:rPr>
              <w:t>Cash &amp; equivalents</w:t>
            </w:r>
          </w:p>
        </w:tc>
        <w:tc>
          <w:tcPr>
            <w:tcW w:type="dxa" w:w="964"/>
          </w:tcPr>
          <w:p>
            <w:r>
              <w:rPr>
                <w:rFonts w:ascii="Arial" w:hAnsi="Arial"/>
                <w:sz w:val="17"/>
              </w:rPr>
              <w:t>1,356</w:t>
            </w:r>
          </w:p>
        </w:tc>
        <w:tc>
          <w:tcPr>
            <w:tcW w:type="dxa" w:w="964"/>
          </w:tcPr>
          <w:p>
            <w:r>
              <w:rPr>
                <w:rFonts w:ascii="Arial" w:hAnsi="Arial"/>
                <w:sz w:val="17"/>
              </w:rPr>
              <w:t>1,324</w:t>
            </w:r>
          </w:p>
        </w:tc>
        <w:tc>
          <w:tcPr>
            <w:tcW w:type="dxa" w:w="964"/>
          </w:tcPr>
          <w:p>
            <w:r>
              <w:rPr>
                <w:rFonts w:ascii="Arial" w:hAnsi="Arial"/>
                <w:sz w:val="17"/>
              </w:rPr>
              <w:t>4,741</w:t>
            </w:r>
          </w:p>
        </w:tc>
        <w:tc>
          <w:tcPr>
            <w:tcW w:type="dxa" w:w="964"/>
          </w:tcPr>
          <w:p>
            <w:r>
              <w:rPr>
                <w:rFonts w:ascii="Arial" w:hAnsi="Arial"/>
                <w:sz w:val="17"/>
              </w:rPr>
              <w:t>5,762</w:t>
            </w:r>
          </w:p>
        </w:tc>
        <w:tc>
          <w:tcPr>
            <w:tcW w:type="dxa" w:w="964"/>
          </w:tcPr>
          <w:p>
            <w:r>
              <w:rPr>
                <w:rFonts w:ascii="Arial" w:hAnsi="Arial"/>
                <w:sz w:val="17"/>
              </w:rPr>
              <w:t>7,117</w:t>
            </w:r>
          </w:p>
        </w:tc>
        <w:tc>
          <w:tcPr>
            <w:tcW w:type="dxa" w:w="964"/>
          </w:tcPr>
          <w:p>
            <w:r>
              <w:rPr>
                <w:rFonts w:ascii="Arial" w:hAnsi="Arial"/>
                <w:sz w:val="17"/>
              </w:rPr>
              <w:t>8,848</w:t>
            </w:r>
          </w:p>
        </w:tc>
        <w:tc>
          <w:tcPr>
            <w:tcW w:type="dxa" w:w="964"/>
          </w:tcPr>
          <w:p>
            <w:r>
              <w:rPr>
                <w:rFonts w:ascii="Arial" w:hAnsi="Arial"/>
                <w:sz w:val="17"/>
              </w:rPr>
              <w:t>11,041</w:t>
            </w:r>
          </w:p>
        </w:tc>
        <w:tc>
          <w:tcPr>
            <w:tcW w:type="dxa" w:w="964"/>
          </w:tcPr>
          <w:p>
            <w:r>
              <w:rPr>
                <w:rFonts w:ascii="Arial" w:hAnsi="Arial"/>
                <w:sz w:val="17"/>
              </w:rPr>
              <w:t>13,494</w:t>
            </w:r>
          </w:p>
        </w:tc>
      </w:tr>
      <w:tr>
        <w:tc>
          <w:tcPr>
            <w:tcW w:type="dxa" w:w="2381"/>
            <w:shd w:val="clear" w:fill="F4F8F7"/>
          </w:tcPr>
          <w:p>
            <w:r>
              <w:rPr>
                <w:rFonts w:ascii="Arial" w:hAnsi="Arial"/>
                <w:sz w:val="17"/>
              </w:rPr>
              <w:t>Total assets</w:t>
            </w:r>
          </w:p>
        </w:tc>
        <w:tc>
          <w:tcPr>
            <w:tcW w:type="dxa" w:w="964"/>
            <w:shd w:val="clear" w:fill="F4F8F7"/>
          </w:tcPr>
          <w:p>
            <w:r>
              <w:rPr>
                <w:rFonts w:ascii="Arial" w:hAnsi="Arial"/>
                <w:sz w:val="17"/>
              </w:rPr>
              <w:t>8,923</w:t>
            </w:r>
          </w:p>
        </w:tc>
        <w:tc>
          <w:tcPr>
            <w:tcW w:type="dxa" w:w="964"/>
            <w:shd w:val="clear" w:fill="F4F8F7"/>
          </w:tcPr>
          <w:p>
            <w:r>
              <w:rPr>
                <w:rFonts w:ascii="Arial" w:hAnsi="Arial"/>
                <w:sz w:val="17"/>
              </w:rPr>
              <w:t>11,233</w:t>
            </w:r>
          </w:p>
        </w:tc>
        <w:tc>
          <w:tcPr>
            <w:tcW w:type="dxa" w:w="964"/>
            <w:shd w:val="clear" w:fill="F4F8F7"/>
          </w:tcPr>
          <w:p>
            <w:r>
              <w:rPr>
                <w:rFonts w:ascii="Arial" w:hAnsi="Arial"/>
                <w:sz w:val="17"/>
              </w:rPr>
              <w:t>15,224</w:t>
            </w:r>
          </w:p>
        </w:tc>
        <w:tc>
          <w:tcPr>
            <w:tcW w:type="dxa" w:w="964"/>
            <w:shd w:val="clear" w:fill="F4F8F7"/>
          </w:tcPr>
          <w:p>
            <w:r>
              <w:rPr>
                <w:rFonts w:ascii="Arial" w:hAnsi="Arial"/>
                <w:sz w:val="17"/>
              </w:rPr>
              <w:t>18,250</w:t>
            </w:r>
          </w:p>
        </w:tc>
        <w:tc>
          <w:tcPr>
            <w:tcW w:type="dxa" w:w="964"/>
            <w:shd w:val="clear" w:fill="F4F8F7"/>
          </w:tcPr>
          <w:p>
            <w:r>
              <w:rPr>
                <w:rFonts w:ascii="Arial" w:hAnsi="Arial"/>
                <w:sz w:val="17"/>
              </w:rPr>
              <w:t>21,645</w:t>
            </w:r>
          </w:p>
        </w:tc>
        <w:tc>
          <w:tcPr>
            <w:tcW w:type="dxa" w:w="964"/>
            <w:shd w:val="clear" w:fill="F4F8F7"/>
          </w:tcPr>
          <w:p>
            <w:r>
              <w:rPr>
                <w:rFonts w:ascii="Arial" w:hAnsi="Arial"/>
                <w:sz w:val="17"/>
              </w:rPr>
              <w:t>25,439</w:t>
            </w:r>
          </w:p>
        </w:tc>
        <w:tc>
          <w:tcPr>
            <w:tcW w:type="dxa" w:w="964"/>
            <w:shd w:val="clear" w:fill="F4F8F7"/>
          </w:tcPr>
          <w:p>
            <w:r>
              <w:rPr>
                <w:rFonts w:ascii="Arial" w:hAnsi="Arial"/>
                <w:sz w:val="17"/>
              </w:rPr>
              <w:t>29,603</w:t>
            </w:r>
          </w:p>
        </w:tc>
        <w:tc>
          <w:tcPr>
            <w:tcW w:type="dxa" w:w="964"/>
            <w:shd w:val="clear" w:fill="F4F8F7"/>
          </w:tcPr>
          <w:p>
            <w:r>
              <w:rPr>
                <w:rFonts w:ascii="Arial" w:hAnsi="Arial"/>
                <w:sz w:val="17"/>
              </w:rPr>
              <w:t>34,180</w:t>
            </w:r>
          </w:p>
        </w:tc>
      </w:tr>
      <w:tr>
        <w:tc>
          <w:tcPr>
            <w:tcW w:type="dxa" w:w="2381"/>
          </w:tcPr>
          <w:p>
            <w:r>
              <w:rPr>
                <w:rFonts w:ascii="Arial" w:hAnsi="Arial"/>
                <w:sz w:val="17"/>
              </w:rPr>
              <w:t>Loans &amp; borrowings</w:t>
            </w:r>
          </w:p>
        </w:tc>
        <w:tc>
          <w:tcPr>
            <w:tcW w:type="dxa" w:w="964"/>
          </w:tcPr>
          <w:p>
            <w:r>
              <w:rPr>
                <w:rFonts w:ascii="Arial" w:hAnsi="Arial"/>
                <w:sz w:val="17"/>
              </w:rPr>
              <w:t>2,031</w:t>
            </w:r>
          </w:p>
        </w:tc>
        <w:tc>
          <w:tcPr>
            <w:tcW w:type="dxa" w:w="964"/>
          </w:tcPr>
          <w:p>
            <w:r>
              <w:rPr>
                <w:rFonts w:ascii="Arial" w:hAnsi="Arial"/>
                <w:sz w:val="17"/>
              </w:rPr>
              <w:t>3,468</w:t>
            </w:r>
          </w:p>
        </w:tc>
        <w:tc>
          <w:tcPr>
            <w:tcW w:type="dxa" w:w="964"/>
          </w:tcPr>
          <w:p>
            <w:r>
              <w:rPr>
                <w:rFonts w:ascii="Arial" w:hAnsi="Arial"/>
                <w:sz w:val="17"/>
              </w:rPr>
              <w:t>4,475</w:t>
            </w:r>
          </w:p>
        </w:tc>
        <w:tc>
          <w:tcPr>
            <w:tcW w:type="dxa" w:w="964"/>
          </w:tcPr>
          <w:p>
            <w:r>
              <w:rPr>
                <w:rFonts w:ascii="Arial" w:hAnsi="Arial"/>
                <w:sz w:val="17"/>
              </w:rPr>
              <w:t>4,475</w:t>
            </w:r>
          </w:p>
        </w:tc>
        <w:tc>
          <w:tcPr>
            <w:tcW w:type="dxa" w:w="964"/>
          </w:tcPr>
          <w:p>
            <w:r>
              <w:rPr>
                <w:rFonts w:ascii="Arial" w:hAnsi="Arial"/>
                <w:sz w:val="17"/>
              </w:rPr>
              <w:t>4,475</w:t>
            </w:r>
          </w:p>
        </w:tc>
        <w:tc>
          <w:tcPr>
            <w:tcW w:type="dxa" w:w="964"/>
          </w:tcPr>
          <w:p>
            <w:r>
              <w:rPr>
                <w:rFonts w:ascii="Arial" w:hAnsi="Arial"/>
                <w:sz w:val="17"/>
              </w:rPr>
              <w:t>4,475</w:t>
            </w:r>
          </w:p>
        </w:tc>
        <w:tc>
          <w:tcPr>
            <w:tcW w:type="dxa" w:w="964"/>
          </w:tcPr>
          <w:p>
            <w:r>
              <w:rPr>
                <w:rFonts w:ascii="Arial" w:hAnsi="Arial"/>
                <w:sz w:val="17"/>
              </w:rPr>
              <w:t>4,475</w:t>
            </w:r>
          </w:p>
        </w:tc>
        <w:tc>
          <w:tcPr>
            <w:tcW w:type="dxa" w:w="964"/>
          </w:tcPr>
          <w:p>
            <w:r>
              <w:rPr>
                <w:rFonts w:ascii="Arial" w:hAnsi="Arial"/>
                <w:sz w:val="17"/>
              </w:rPr>
              <w:t>4,475</w:t>
            </w:r>
          </w:p>
        </w:tc>
      </w:tr>
      <w:tr>
        <w:tc>
          <w:tcPr>
            <w:tcW w:type="dxa" w:w="2381"/>
            <w:shd w:val="clear" w:fill="F4F8F7"/>
          </w:tcPr>
          <w:p>
            <w:r>
              <w:rPr>
                <w:rFonts w:ascii="Arial" w:hAnsi="Arial"/>
                <w:sz w:val="17"/>
              </w:rPr>
              <w:t>Bank overdrafts</w:t>
            </w:r>
          </w:p>
        </w:tc>
        <w:tc>
          <w:tcPr>
            <w:tcW w:type="dxa" w:w="964"/>
            <w:shd w:val="clear" w:fill="F4F8F7"/>
          </w:tcPr>
          <w:p>
            <w:r>
              <w:rPr>
                <w:rFonts w:ascii="Arial" w:hAnsi="Arial"/>
                <w:sz w:val="17"/>
              </w:rPr>
              <w:t>597</w:t>
            </w:r>
          </w:p>
        </w:tc>
        <w:tc>
          <w:tcPr>
            <w:tcW w:type="dxa" w:w="964"/>
            <w:shd w:val="clear" w:fill="F4F8F7"/>
          </w:tcPr>
          <w:p>
            <w:r>
              <w:rPr>
                <w:rFonts w:ascii="Arial" w:hAnsi="Arial"/>
                <w:sz w:val="17"/>
              </w:rPr>
              <w:t>808</w:t>
            </w:r>
          </w:p>
        </w:tc>
        <w:tc>
          <w:tcPr>
            <w:tcW w:type="dxa" w:w="964"/>
            <w:shd w:val="clear" w:fill="F4F8F7"/>
          </w:tcPr>
          <w:p>
            <w:r>
              <w:rPr>
                <w:rFonts w:ascii="Arial" w:hAnsi="Arial"/>
                <w:sz w:val="17"/>
              </w:rPr>
              <w:t>771</w:t>
            </w:r>
          </w:p>
        </w:tc>
        <w:tc>
          <w:tcPr>
            <w:tcW w:type="dxa" w:w="964"/>
            <w:shd w:val="clear" w:fill="F4F8F7"/>
          </w:tcPr>
          <w:p>
            <w:r>
              <w:rPr>
                <w:rFonts w:ascii="Arial" w:hAnsi="Arial"/>
                <w:sz w:val="17"/>
              </w:rPr>
              <w:t>771</w:t>
            </w:r>
          </w:p>
        </w:tc>
        <w:tc>
          <w:tcPr>
            <w:tcW w:type="dxa" w:w="964"/>
            <w:shd w:val="clear" w:fill="F4F8F7"/>
          </w:tcPr>
          <w:p>
            <w:r>
              <w:rPr>
                <w:rFonts w:ascii="Arial" w:hAnsi="Arial"/>
                <w:sz w:val="17"/>
              </w:rPr>
              <w:t>771</w:t>
            </w:r>
          </w:p>
        </w:tc>
        <w:tc>
          <w:tcPr>
            <w:tcW w:type="dxa" w:w="964"/>
            <w:shd w:val="clear" w:fill="F4F8F7"/>
          </w:tcPr>
          <w:p>
            <w:r>
              <w:rPr>
                <w:rFonts w:ascii="Arial" w:hAnsi="Arial"/>
                <w:sz w:val="17"/>
              </w:rPr>
              <w:t>771</w:t>
            </w:r>
          </w:p>
        </w:tc>
        <w:tc>
          <w:tcPr>
            <w:tcW w:type="dxa" w:w="964"/>
            <w:shd w:val="clear" w:fill="F4F8F7"/>
          </w:tcPr>
          <w:p>
            <w:r>
              <w:rPr>
                <w:rFonts w:ascii="Arial" w:hAnsi="Arial"/>
                <w:sz w:val="17"/>
              </w:rPr>
              <w:t>771</w:t>
            </w:r>
          </w:p>
        </w:tc>
        <w:tc>
          <w:tcPr>
            <w:tcW w:type="dxa" w:w="964"/>
            <w:shd w:val="clear" w:fill="F4F8F7"/>
          </w:tcPr>
          <w:p>
            <w:r>
              <w:rPr>
                <w:rFonts w:ascii="Arial" w:hAnsi="Arial"/>
                <w:sz w:val="17"/>
              </w:rPr>
              <w:t>771</w:t>
            </w:r>
          </w:p>
        </w:tc>
      </w:tr>
      <w:tr>
        <w:tc>
          <w:tcPr>
            <w:tcW w:type="dxa" w:w="2381"/>
          </w:tcPr>
          <w:p>
            <w:r>
              <w:rPr>
                <w:rFonts w:ascii="Arial" w:hAnsi="Arial"/>
                <w:sz w:val="17"/>
              </w:rPr>
              <w:t>Payables &amp; other liabilities</w:t>
            </w:r>
          </w:p>
        </w:tc>
        <w:tc>
          <w:tcPr>
            <w:tcW w:type="dxa" w:w="964"/>
          </w:tcPr>
          <w:p>
            <w:r>
              <w:rPr>
                <w:rFonts w:ascii="Arial" w:hAnsi="Arial"/>
                <w:sz w:val="17"/>
              </w:rPr>
              <w:t>2,496</w:t>
            </w:r>
          </w:p>
        </w:tc>
        <w:tc>
          <w:tcPr>
            <w:tcW w:type="dxa" w:w="964"/>
          </w:tcPr>
          <w:p>
            <w:r>
              <w:rPr>
                <w:rFonts w:ascii="Arial" w:hAnsi="Arial"/>
                <w:sz w:val="17"/>
              </w:rPr>
              <w:t>1,956</w:t>
            </w:r>
          </w:p>
        </w:tc>
        <w:tc>
          <w:tcPr>
            <w:tcW w:type="dxa" w:w="964"/>
          </w:tcPr>
          <w:p>
            <w:r>
              <w:rPr>
                <w:rFonts w:ascii="Arial" w:hAnsi="Arial"/>
                <w:sz w:val="17"/>
              </w:rPr>
              <w:t>3,078</w:t>
            </w:r>
          </w:p>
        </w:tc>
        <w:tc>
          <w:tcPr>
            <w:tcW w:type="dxa" w:w="964"/>
          </w:tcPr>
          <w:p>
            <w:r>
              <w:rPr>
                <w:rFonts w:ascii="Arial" w:hAnsi="Arial"/>
                <w:sz w:val="17"/>
              </w:rPr>
              <w:t>3,997</w:t>
            </w:r>
          </w:p>
        </w:tc>
        <w:tc>
          <w:tcPr>
            <w:tcW w:type="dxa" w:w="964"/>
          </w:tcPr>
          <w:p>
            <w:r>
              <w:rPr>
                <w:rFonts w:ascii="Arial" w:hAnsi="Arial"/>
                <w:sz w:val="17"/>
              </w:rPr>
              <w:t>4,876</w:t>
            </w:r>
          </w:p>
        </w:tc>
        <w:tc>
          <w:tcPr>
            <w:tcW w:type="dxa" w:w="964"/>
          </w:tcPr>
          <w:p>
            <w:r>
              <w:rPr>
                <w:rFonts w:ascii="Arial" w:hAnsi="Arial"/>
                <w:sz w:val="17"/>
              </w:rPr>
              <w:t>5,754</w:t>
            </w:r>
          </w:p>
        </w:tc>
        <w:tc>
          <w:tcPr>
            <w:tcW w:type="dxa" w:w="964"/>
          </w:tcPr>
          <w:p>
            <w:r>
              <w:rPr>
                <w:rFonts w:ascii="Arial" w:hAnsi="Arial"/>
                <w:sz w:val="17"/>
              </w:rPr>
              <w:t>6,617</w:t>
            </w:r>
          </w:p>
        </w:tc>
        <w:tc>
          <w:tcPr>
            <w:tcW w:type="dxa" w:w="964"/>
          </w:tcPr>
          <w:p>
            <w:r>
              <w:rPr>
                <w:rFonts w:ascii="Arial" w:hAnsi="Arial"/>
                <w:sz w:val="17"/>
              </w:rPr>
              <w:t>7,477</w:t>
            </w:r>
          </w:p>
        </w:tc>
      </w:tr>
      <w:tr>
        <w:tc>
          <w:tcPr>
            <w:tcW w:type="dxa" w:w="2381"/>
            <w:shd w:val="clear" w:fill="F4F8F7"/>
          </w:tcPr>
          <w:p>
            <w:r>
              <w:rPr>
                <w:rFonts w:ascii="Arial" w:hAnsi="Arial"/>
                <w:sz w:val="17"/>
              </w:rPr>
              <w:t>Total liabilities</w:t>
            </w:r>
          </w:p>
        </w:tc>
        <w:tc>
          <w:tcPr>
            <w:tcW w:type="dxa" w:w="964"/>
            <w:shd w:val="clear" w:fill="F4F8F7"/>
          </w:tcPr>
          <w:p>
            <w:r>
              <w:rPr>
                <w:rFonts w:ascii="Arial" w:hAnsi="Arial"/>
                <w:sz w:val="17"/>
              </w:rPr>
              <w:t>5,123</w:t>
            </w:r>
          </w:p>
        </w:tc>
        <w:tc>
          <w:tcPr>
            <w:tcW w:type="dxa" w:w="964"/>
            <w:shd w:val="clear" w:fill="F4F8F7"/>
          </w:tcPr>
          <w:p>
            <w:r>
              <w:rPr>
                <w:rFonts w:ascii="Arial" w:hAnsi="Arial"/>
                <w:sz w:val="17"/>
              </w:rPr>
              <w:t>6,233</w:t>
            </w:r>
          </w:p>
        </w:tc>
        <w:tc>
          <w:tcPr>
            <w:tcW w:type="dxa" w:w="964"/>
            <w:shd w:val="clear" w:fill="F4F8F7"/>
          </w:tcPr>
          <w:p>
            <w:r>
              <w:rPr>
                <w:rFonts w:ascii="Arial" w:hAnsi="Arial"/>
                <w:sz w:val="17"/>
              </w:rPr>
              <w:t>8,324</w:t>
            </w:r>
          </w:p>
        </w:tc>
        <w:tc>
          <w:tcPr>
            <w:tcW w:type="dxa" w:w="964"/>
            <w:shd w:val="clear" w:fill="F4F8F7"/>
          </w:tcPr>
          <w:p>
            <w:r>
              <w:rPr>
                <w:rFonts w:ascii="Arial" w:hAnsi="Arial"/>
                <w:sz w:val="17"/>
              </w:rPr>
              <w:t>9,243</w:t>
            </w:r>
          </w:p>
        </w:tc>
        <w:tc>
          <w:tcPr>
            <w:tcW w:type="dxa" w:w="964"/>
            <w:shd w:val="clear" w:fill="F4F8F7"/>
          </w:tcPr>
          <w:p>
            <w:r>
              <w:rPr>
                <w:rFonts w:ascii="Arial" w:hAnsi="Arial"/>
                <w:sz w:val="17"/>
              </w:rPr>
              <w:t>10,122</w:t>
            </w:r>
          </w:p>
        </w:tc>
        <w:tc>
          <w:tcPr>
            <w:tcW w:type="dxa" w:w="964"/>
            <w:shd w:val="clear" w:fill="F4F8F7"/>
          </w:tcPr>
          <w:p>
            <w:r>
              <w:rPr>
                <w:rFonts w:ascii="Arial" w:hAnsi="Arial"/>
                <w:sz w:val="17"/>
              </w:rPr>
              <w:t>11,000</w:t>
            </w:r>
          </w:p>
        </w:tc>
        <w:tc>
          <w:tcPr>
            <w:tcW w:type="dxa" w:w="964"/>
            <w:shd w:val="clear" w:fill="F4F8F7"/>
          </w:tcPr>
          <w:p>
            <w:r>
              <w:rPr>
                <w:rFonts w:ascii="Arial" w:hAnsi="Arial"/>
                <w:sz w:val="17"/>
              </w:rPr>
              <w:t>11,863</w:t>
            </w:r>
          </w:p>
        </w:tc>
        <w:tc>
          <w:tcPr>
            <w:tcW w:type="dxa" w:w="964"/>
            <w:shd w:val="clear" w:fill="F4F8F7"/>
          </w:tcPr>
          <w:p>
            <w:r>
              <w:rPr>
                <w:rFonts w:ascii="Arial" w:hAnsi="Arial"/>
                <w:sz w:val="17"/>
              </w:rPr>
              <w:t>12,723</w:t>
            </w:r>
          </w:p>
        </w:tc>
      </w:tr>
      <w:tr>
        <w:tc>
          <w:tcPr>
            <w:tcW w:type="dxa" w:w="2381"/>
          </w:tcPr>
          <w:p>
            <w:r>
              <w:rPr>
                <w:rFonts w:ascii="Arial" w:hAnsi="Arial"/>
                <w:sz w:val="17"/>
              </w:rPr>
              <w:t>Shareholders’ equity</w:t>
            </w:r>
          </w:p>
        </w:tc>
        <w:tc>
          <w:tcPr>
            <w:tcW w:type="dxa" w:w="964"/>
          </w:tcPr>
          <w:p>
            <w:r>
              <w:rPr>
                <w:rFonts w:ascii="Arial" w:hAnsi="Arial"/>
                <w:sz w:val="17"/>
              </w:rPr>
              <w:t>3,800e</w:t>
            </w:r>
          </w:p>
        </w:tc>
        <w:tc>
          <w:tcPr>
            <w:tcW w:type="dxa" w:w="964"/>
          </w:tcPr>
          <w:p>
            <w:r>
              <w:rPr>
                <w:rFonts w:ascii="Arial" w:hAnsi="Arial"/>
                <w:sz w:val="17"/>
              </w:rPr>
              <w:t>5,000e</w:t>
            </w:r>
          </w:p>
        </w:tc>
        <w:tc>
          <w:tcPr>
            <w:tcW w:type="dxa" w:w="964"/>
          </w:tcPr>
          <w:p>
            <w:r>
              <w:rPr>
                <w:rFonts w:ascii="Arial" w:hAnsi="Arial"/>
                <w:sz w:val="17"/>
              </w:rPr>
              <w:t>6,900e</w:t>
            </w:r>
          </w:p>
        </w:tc>
        <w:tc>
          <w:tcPr>
            <w:tcW w:type="dxa" w:w="964"/>
          </w:tcPr>
          <w:p>
            <w:r>
              <w:rPr>
                <w:rFonts w:ascii="Arial" w:hAnsi="Arial"/>
                <w:sz w:val="17"/>
              </w:rPr>
              <w:t>9,008</w:t>
            </w:r>
          </w:p>
        </w:tc>
        <w:tc>
          <w:tcPr>
            <w:tcW w:type="dxa" w:w="964"/>
          </w:tcPr>
          <w:p>
            <w:r>
              <w:rPr>
                <w:rFonts w:ascii="Arial" w:hAnsi="Arial"/>
                <w:sz w:val="17"/>
              </w:rPr>
              <w:t>11,523</w:t>
            </w:r>
          </w:p>
        </w:tc>
        <w:tc>
          <w:tcPr>
            <w:tcW w:type="dxa" w:w="964"/>
          </w:tcPr>
          <w:p>
            <w:r>
              <w:rPr>
                <w:rFonts w:ascii="Arial" w:hAnsi="Arial"/>
                <w:sz w:val="17"/>
              </w:rPr>
              <w:t>14,439</w:t>
            </w:r>
          </w:p>
        </w:tc>
        <w:tc>
          <w:tcPr>
            <w:tcW w:type="dxa" w:w="964"/>
          </w:tcPr>
          <w:p>
            <w:r>
              <w:rPr>
                <w:rFonts w:ascii="Arial" w:hAnsi="Arial"/>
                <w:sz w:val="17"/>
              </w:rPr>
              <w:t>17,739</w:t>
            </w:r>
          </w:p>
        </w:tc>
        <w:tc>
          <w:tcPr>
            <w:tcW w:type="dxa" w:w="964"/>
          </w:tcPr>
          <w:p>
            <w:r>
              <w:rPr>
                <w:rFonts w:ascii="Arial" w:hAnsi="Arial"/>
                <w:sz w:val="17"/>
              </w:rPr>
              <w:t>21,457</w:t>
            </w:r>
          </w:p>
        </w:tc>
      </w:tr>
      <w:tr>
        <w:tc>
          <w:tcPr>
            <w:tcW w:type="dxa" w:w="2381"/>
            <w:shd w:val="clear" w:fill="F4F8F7"/>
          </w:tcPr>
          <w:p>
            <w:r>
              <w:rPr>
                <w:rFonts w:ascii="Arial" w:hAnsi="Arial"/>
                <w:sz w:val="17"/>
              </w:rPr>
              <w:t>Balance check</w:t>
            </w:r>
          </w:p>
        </w:tc>
        <w:tc>
          <w:tcPr>
            <w:tcW w:type="dxa" w:w="964"/>
            <w:shd w:val="clear" w:fill="F4F8F7"/>
          </w:tcPr>
          <w:p>
            <w:r>
              <w:rPr>
                <w:rFonts w:ascii="Arial" w:hAnsi="Arial"/>
                <w:sz w:val="17"/>
              </w:rPr>
              <w:t>0</w:t>
            </w:r>
          </w:p>
        </w:tc>
        <w:tc>
          <w:tcPr>
            <w:tcW w:type="dxa" w:w="964"/>
            <w:shd w:val="clear" w:fill="F4F8F7"/>
          </w:tcPr>
          <w:p>
            <w:r>
              <w:rPr>
                <w:rFonts w:ascii="Arial" w:hAnsi="Arial"/>
                <w:sz w:val="17"/>
              </w:rPr>
              <w:t>0</w:t>
            </w:r>
          </w:p>
        </w:tc>
        <w:tc>
          <w:tcPr>
            <w:tcW w:type="dxa" w:w="964"/>
            <w:shd w:val="clear" w:fill="F4F8F7"/>
          </w:tcPr>
          <w:p>
            <w:r>
              <w:rPr>
                <w:rFonts w:ascii="Arial" w:hAnsi="Arial"/>
                <w:sz w:val="17"/>
              </w:rPr>
              <w:t>0</w:t>
            </w:r>
          </w:p>
        </w:tc>
        <w:tc>
          <w:tcPr>
            <w:tcW w:type="dxa" w:w="964"/>
            <w:shd w:val="clear" w:fill="F4F8F7"/>
          </w:tcPr>
          <w:p>
            <w:r>
              <w:rPr>
                <w:rFonts w:ascii="Arial" w:hAnsi="Arial"/>
                <w:sz w:val="17"/>
              </w:rPr>
              <w:t>0</w:t>
            </w:r>
          </w:p>
        </w:tc>
        <w:tc>
          <w:tcPr>
            <w:tcW w:type="dxa" w:w="964"/>
            <w:shd w:val="clear" w:fill="F4F8F7"/>
          </w:tcPr>
          <w:p>
            <w:r>
              <w:rPr>
                <w:rFonts w:ascii="Arial" w:hAnsi="Arial"/>
                <w:sz w:val="17"/>
              </w:rPr>
              <w:t>0</w:t>
            </w:r>
          </w:p>
        </w:tc>
        <w:tc>
          <w:tcPr>
            <w:tcW w:type="dxa" w:w="964"/>
            <w:shd w:val="clear" w:fill="F4F8F7"/>
          </w:tcPr>
          <w:p>
            <w:r>
              <w:rPr>
                <w:rFonts w:ascii="Arial" w:hAnsi="Arial"/>
                <w:sz w:val="17"/>
              </w:rPr>
              <w:t>0</w:t>
            </w:r>
          </w:p>
        </w:tc>
        <w:tc>
          <w:tcPr>
            <w:tcW w:type="dxa" w:w="964"/>
            <w:shd w:val="clear" w:fill="F4F8F7"/>
          </w:tcPr>
          <w:p>
            <w:r>
              <w:rPr>
                <w:rFonts w:ascii="Arial" w:hAnsi="Arial"/>
                <w:sz w:val="17"/>
              </w:rPr>
              <w:t>0</w:t>
            </w:r>
          </w:p>
        </w:tc>
        <w:tc>
          <w:tcPr>
            <w:tcW w:type="dxa" w:w="964"/>
            <w:shd w:val="clear" w:fill="F4F8F7"/>
          </w:tcPr>
          <w:p>
            <w:r>
              <w:rPr>
                <w:rFonts w:ascii="Arial" w:hAnsi="Arial"/>
                <w:sz w:val="17"/>
              </w:rPr>
              <w:t>0</w:t>
            </w:r>
          </w:p>
        </w:tc>
      </w:tr>
      <w:tr>
        <w:tc>
          <w:tcPr>
            <w:tcW w:type="dxa" w:w="2381"/>
          </w:tcPr>
          <w:p>
            <w:r>
              <w:rPr>
                <w:rFonts w:ascii="Arial" w:hAnsi="Arial"/>
                <w:sz w:val="17"/>
              </w:rPr>
              <w:t>Net debt / (net cash)</w:t>
            </w:r>
          </w:p>
        </w:tc>
        <w:tc>
          <w:tcPr>
            <w:tcW w:type="dxa" w:w="964"/>
          </w:tcPr>
          <w:p>
            <w:r>
              <w:rPr>
                <w:rFonts w:ascii="Arial" w:hAnsi="Arial"/>
                <w:sz w:val="17"/>
              </w:rPr>
              <w:t>1,271</w:t>
            </w:r>
          </w:p>
        </w:tc>
        <w:tc>
          <w:tcPr>
            <w:tcW w:type="dxa" w:w="964"/>
          </w:tcPr>
          <w:p>
            <w:r>
              <w:rPr>
                <w:rFonts w:ascii="Arial" w:hAnsi="Arial"/>
                <w:sz w:val="17"/>
              </w:rPr>
              <w:t>2,952</w:t>
            </w:r>
          </w:p>
        </w:tc>
        <w:tc>
          <w:tcPr>
            <w:tcW w:type="dxa" w:w="964"/>
          </w:tcPr>
          <w:p>
            <w:r>
              <w:rPr>
                <w:rFonts w:ascii="Arial" w:hAnsi="Arial"/>
                <w:sz w:val="17"/>
              </w:rPr>
              <w:t>504</w:t>
            </w:r>
          </w:p>
        </w:tc>
        <w:tc>
          <w:tcPr>
            <w:tcW w:type="dxa" w:w="964"/>
          </w:tcPr>
          <w:p>
            <w:r>
              <w:rPr>
                <w:rFonts w:ascii="Arial" w:hAnsi="Arial"/>
                <w:sz w:val="17"/>
              </w:rPr>
              <w:t>(517)</w:t>
            </w:r>
          </w:p>
        </w:tc>
        <w:tc>
          <w:tcPr>
            <w:tcW w:type="dxa" w:w="964"/>
          </w:tcPr>
          <w:p>
            <w:r>
              <w:rPr>
                <w:rFonts w:ascii="Arial" w:hAnsi="Arial"/>
                <w:sz w:val="17"/>
              </w:rPr>
              <w:t>(1,872)</w:t>
            </w:r>
          </w:p>
        </w:tc>
        <w:tc>
          <w:tcPr>
            <w:tcW w:type="dxa" w:w="964"/>
          </w:tcPr>
          <w:p>
            <w:r>
              <w:rPr>
                <w:rFonts w:ascii="Arial" w:hAnsi="Arial"/>
                <w:sz w:val="17"/>
              </w:rPr>
              <w:t>(3,603)</w:t>
            </w:r>
          </w:p>
        </w:tc>
        <w:tc>
          <w:tcPr>
            <w:tcW w:type="dxa" w:w="964"/>
          </w:tcPr>
          <w:p>
            <w:r>
              <w:rPr>
                <w:rFonts w:ascii="Arial" w:hAnsi="Arial"/>
                <w:sz w:val="17"/>
              </w:rPr>
              <w:t>(5,795)</w:t>
            </w:r>
          </w:p>
        </w:tc>
        <w:tc>
          <w:tcPr>
            <w:tcW w:type="dxa" w:w="964"/>
          </w:tcPr>
          <w:p>
            <w:r>
              <w:rPr>
                <w:rFonts w:ascii="Arial" w:hAnsi="Arial"/>
                <w:sz w:val="17"/>
              </w:rPr>
              <w:t>(8,249)</w:t>
            </w:r>
          </w:p>
        </w:tc>
      </w:tr>
      <w:tr>
        <w:tc>
          <w:tcPr>
            <w:tcW w:type="dxa" w:w="2381"/>
            <w:shd w:val="clear" w:fill="F4F8F7"/>
          </w:tcPr>
          <w:p>
            <w:r>
              <w:rPr>
                <w:rFonts w:ascii="Arial" w:hAnsi="Arial"/>
                <w:sz w:val="17"/>
              </w:rPr>
              <w:t xml:space="preserve">  memo: co-disclosed net debt</w:t>
            </w:r>
          </w:p>
        </w:tc>
        <w:tc>
          <w:tcPr>
            <w:tcW w:type="dxa" w:w="964"/>
            <w:shd w:val="clear" w:fill="F4F8F7"/>
          </w:tcPr>
          <w:p>
            <w:r>
              <w:rPr>
                <w:rFonts w:ascii="Arial" w:hAnsi="Arial"/>
                <w:sz w:val="17"/>
              </w:rPr>
              <w:t>674</w:t>
            </w:r>
          </w:p>
        </w:tc>
        <w:tc>
          <w:tcPr>
            <w:tcW w:type="dxa" w:w="964"/>
            <w:shd w:val="clear" w:fill="F4F8F7"/>
          </w:tcPr>
          <w:p>
            <w:r>
              <w:rPr>
                <w:rFonts w:ascii="Arial" w:hAnsi="Arial"/>
                <w:sz w:val="17"/>
              </w:rPr>
              <w:t>2,144</w:t>
            </w:r>
          </w:p>
        </w:tc>
        <w:tc>
          <w:tcPr>
            <w:tcW w:type="dxa" w:w="964"/>
            <w:shd w:val="clear" w:fill="F4F8F7"/>
          </w:tcPr>
          <w:p>
            <w:r>
              <w:rPr>
                <w:rFonts w:ascii="Arial" w:hAnsi="Arial"/>
                <w:sz w:val="17"/>
              </w:rPr>
              <w:t>(267)</w:t>
            </w:r>
          </w:p>
        </w:tc>
        <w:tc>
          <w:tcPr>
            <w:tcW w:type="dxa" w:w="964"/>
            <w:shd w:val="clear" w:fill="F4F8F7"/>
          </w:tcPr>
          <w:p>
            <w:r>
              <w:rPr>
                <w:rFonts w:ascii="Arial" w:hAnsi="Arial"/>
                <w:sz w:val="17"/>
              </w:rPr>
              <w:t>—</w:t>
            </w:r>
          </w:p>
        </w:tc>
        <w:tc>
          <w:tcPr>
            <w:tcW w:type="dxa" w:w="964"/>
            <w:shd w:val="clear" w:fill="F4F8F7"/>
          </w:tcPr>
          <w:p>
            <w:r>
              <w:rPr>
                <w:rFonts w:ascii="Arial" w:hAnsi="Arial"/>
                <w:sz w:val="17"/>
              </w:rPr>
              <w:t>—</w:t>
            </w:r>
          </w:p>
        </w:tc>
        <w:tc>
          <w:tcPr>
            <w:tcW w:type="dxa" w:w="964"/>
            <w:shd w:val="clear" w:fill="F4F8F7"/>
          </w:tcPr>
          <w:p>
            <w:r>
              <w:rPr>
                <w:rFonts w:ascii="Arial" w:hAnsi="Arial"/>
                <w:sz w:val="17"/>
              </w:rPr>
              <w:t>—</w:t>
            </w:r>
          </w:p>
        </w:tc>
        <w:tc>
          <w:tcPr>
            <w:tcW w:type="dxa" w:w="964"/>
            <w:shd w:val="clear" w:fill="F4F8F7"/>
          </w:tcPr>
          <w:p>
            <w:r>
              <w:rPr>
                <w:rFonts w:ascii="Arial" w:hAnsi="Arial"/>
                <w:sz w:val="17"/>
              </w:rPr>
              <w:t>—</w:t>
            </w:r>
          </w:p>
        </w:tc>
        <w:tc>
          <w:tcPr>
            <w:tcW w:type="dxa" w:w="964"/>
            <w:shd w:val="clear" w:fill="F4F8F7"/>
          </w:tcPr>
          <w:p>
            <w:r>
              <w:rPr>
                <w:rFonts w:ascii="Arial" w:hAnsi="Arial"/>
                <w:sz w:val="17"/>
              </w:rPr>
              <w:t>—</w:t>
            </w:r>
          </w:p>
        </w:tc>
      </w:tr>
    </w:tbl>
    <w:p>
      <w:pPr>
        <w:spacing w:after="40"/>
      </w:pPr>
    </w:p>
    <w:p>
      <w:pPr>
        <w:spacing w:after="80"/>
      </w:pPr>
      <w:r>
        <w:rPr>
          <w:rFonts w:ascii="Arial" w:hAnsi="Arial"/>
          <w:b w:val="0"/>
          <w:i/>
          <w:sz w:val="17"/>
        </w:rPr>
        <w:t>The memo line shows the company’s own net-debt disclosure, which nets certain deposits/notes differently from our simple loans-plus-overdrafts-minus-cash definition; the trajectory — leveraged into the 2024 squeeze, net cash by end-2025 — is identical.</w:t>
      </w:r>
    </w:p>
    <w:p>
      <w:pPr>
        <w:pStyle w:val="Heading2"/>
      </w:pPr>
      <w:r>
        <w:t>A.3  Cash flow (EGP m)</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2608"/>
            <w:shd w:val="clear" w:fill="1C6E63"/>
          </w:tcPr>
          <w:p>
            <w:r>
              <w:rPr>
                <w:rFonts w:ascii="Arial" w:hAnsi="Arial"/>
                <w:b/>
                <w:color w:val="FFFFFF"/>
                <w:sz w:val="17"/>
              </w:rPr>
            </w:r>
          </w:p>
        </w:tc>
        <w:tc>
          <w:tcPr>
            <w:tcW w:type="dxa" w:w="1247"/>
            <w:shd w:val="clear" w:fill="1C6E63"/>
          </w:tcPr>
          <w:p>
            <w:r>
              <w:rPr>
                <w:rFonts w:ascii="Arial" w:hAnsi="Arial"/>
                <w:b/>
                <w:color w:val="FFFFFF"/>
                <w:sz w:val="17"/>
              </w:rPr>
              <w:t>FY25A*</w:t>
            </w:r>
          </w:p>
        </w:tc>
        <w:tc>
          <w:tcPr>
            <w:tcW w:type="dxa" w:w="1247"/>
            <w:shd w:val="clear" w:fill="1C6E63"/>
          </w:tcPr>
          <w:p>
            <w:r>
              <w:rPr>
                <w:rFonts w:ascii="Arial" w:hAnsi="Arial"/>
                <w:b/>
                <w:color w:val="FFFFFF"/>
                <w:sz w:val="17"/>
              </w:rPr>
              <w:t>FY26E</w:t>
            </w:r>
          </w:p>
        </w:tc>
        <w:tc>
          <w:tcPr>
            <w:tcW w:type="dxa" w:w="1247"/>
            <w:shd w:val="clear" w:fill="1C6E63"/>
          </w:tcPr>
          <w:p>
            <w:r>
              <w:rPr>
                <w:rFonts w:ascii="Arial" w:hAnsi="Arial"/>
                <w:b/>
                <w:color w:val="FFFFFF"/>
                <w:sz w:val="17"/>
              </w:rPr>
              <w:t>FY27E</w:t>
            </w:r>
          </w:p>
        </w:tc>
        <w:tc>
          <w:tcPr>
            <w:tcW w:type="dxa" w:w="1247"/>
            <w:shd w:val="clear" w:fill="1C6E63"/>
          </w:tcPr>
          <w:p>
            <w:r>
              <w:rPr>
                <w:rFonts w:ascii="Arial" w:hAnsi="Arial"/>
                <w:b/>
                <w:color w:val="FFFFFF"/>
                <w:sz w:val="17"/>
              </w:rPr>
              <w:t>FY28E</w:t>
            </w:r>
          </w:p>
        </w:tc>
        <w:tc>
          <w:tcPr>
            <w:tcW w:type="dxa" w:w="1247"/>
            <w:shd w:val="clear" w:fill="1C6E63"/>
          </w:tcPr>
          <w:p>
            <w:r>
              <w:rPr>
                <w:rFonts w:ascii="Arial" w:hAnsi="Arial"/>
                <w:b/>
                <w:color w:val="FFFFFF"/>
                <w:sz w:val="17"/>
              </w:rPr>
              <w:t>FY29E</w:t>
            </w:r>
          </w:p>
        </w:tc>
        <w:tc>
          <w:tcPr>
            <w:tcW w:type="dxa" w:w="1247"/>
            <w:shd w:val="clear" w:fill="1C6E63"/>
          </w:tcPr>
          <w:p>
            <w:r>
              <w:rPr>
                <w:rFonts w:ascii="Arial" w:hAnsi="Arial"/>
                <w:b/>
                <w:color w:val="FFFFFF"/>
                <w:sz w:val="17"/>
              </w:rPr>
              <w:t>FY30E</w:t>
            </w:r>
          </w:p>
        </w:tc>
      </w:tr>
      <w:tr>
        <w:tc>
          <w:tcPr>
            <w:tcW w:type="dxa" w:w="2608"/>
          </w:tcPr>
          <w:p>
            <w:r>
              <w:rPr>
                <w:rFonts w:ascii="Arial" w:hAnsi="Arial"/>
                <w:sz w:val="17"/>
              </w:rPr>
              <w:t>Net profit</w:t>
            </w:r>
          </w:p>
        </w:tc>
        <w:tc>
          <w:tcPr>
            <w:tcW w:type="dxa" w:w="1247"/>
          </w:tcPr>
          <w:p>
            <w:r>
              <w:rPr>
                <w:rFonts w:ascii="Arial" w:hAnsi="Arial"/>
                <w:sz w:val="17"/>
              </w:rPr>
              <w:t>2,442</w:t>
            </w:r>
          </w:p>
        </w:tc>
        <w:tc>
          <w:tcPr>
            <w:tcW w:type="dxa" w:w="1247"/>
          </w:tcPr>
          <w:p>
            <w:r>
              <w:rPr>
                <w:rFonts w:ascii="Arial" w:hAnsi="Arial"/>
                <w:sz w:val="17"/>
              </w:rPr>
              <w:t>3,832</w:t>
            </w:r>
          </w:p>
        </w:tc>
        <w:tc>
          <w:tcPr>
            <w:tcW w:type="dxa" w:w="1247"/>
          </w:tcPr>
          <w:p>
            <w:r>
              <w:rPr>
                <w:rFonts w:ascii="Arial" w:hAnsi="Arial"/>
                <w:sz w:val="17"/>
              </w:rPr>
              <w:t>4,574</w:t>
            </w:r>
          </w:p>
        </w:tc>
        <w:tc>
          <w:tcPr>
            <w:tcW w:type="dxa" w:w="1247"/>
          </w:tcPr>
          <w:p>
            <w:r>
              <w:rPr>
                <w:rFonts w:ascii="Arial" w:hAnsi="Arial"/>
                <w:sz w:val="17"/>
              </w:rPr>
              <w:t>5,303</w:t>
            </w:r>
          </w:p>
        </w:tc>
        <w:tc>
          <w:tcPr>
            <w:tcW w:type="dxa" w:w="1247"/>
          </w:tcPr>
          <w:p>
            <w:r>
              <w:rPr>
                <w:rFonts w:ascii="Arial" w:hAnsi="Arial"/>
                <w:sz w:val="17"/>
              </w:rPr>
              <w:t>5,999</w:t>
            </w:r>
          </w:p>
        </w:tc>
        <w:tc>
          <w:tcPr>
            <w:tcW w:type="dxa" w:w="1247"/>
          </w:tcPr>
          <w:p>
            <w:r>
              <w:rPr>
                <w:rFonts w:ascii="Arial" w:hAnsi="Arial"/>
                <w:sz w:val="17"/>
              </w:rPr>
              <w:t>6,759</w:t>
            </w:r>
          </w:p>
        </w:tc>
      </w:tr>
      <w:tr>
        <w:tc>
          <w:tcPr>
            <w:tcW w:type="dxa" w:w="2608"/>
            <w:shd w:val="clear" w:fill="F4F8F7"/>
          </w:tcPr>
          <w:p>
            <w:r>
              <w:rPr>
                <w:rFonts w:ascii="Arial" w:hAnsi="Arial"/>
                <w:sz w:val="17"/>
              </w:rPr>
              <w:t>+ D&amp;A</w:t>
            </w:r>
          </w:p>
        </w:tc>
        <w:tc>
          <w:tcPr>
            <w:tcW w:type="dxa" w:w="1247"/>
            <w:shd w:val="clear" w:fill="F4F8F7"/>
          </w:tcPr>
          <w:p>
            <w:r>
              <w:rPr>
                <w:rFonts w:ascii="Arial" w:hAnsi="Arial"/>
                <w:sz w:val="17"/>
              </w:rPr>
              <w:t>469</w:t>
            </w:r>
          </w:p>
        </w:tc>
        <w:tc>
          <w:tcPr>
            <w:tcW w:type="dxa" w:w="1247"/>
            <w:shd w:val="clear" w:fill="F4F8F7"/>
          </w:tcPr>
          <w:p>
            <w:r>
              <w:rPr>
                <w:rFonts w:ascii="Arial" w:hAnsi="Arial"/>
                <w:sz w:val="17"/>
              </w:rPr>
              <w:t>707</w:t>
            </w:r>
          </w:p>
        </w:tc>
        <w:tc>
          <w:tcPr>
            <w:tcW w:type="dxa" w:w="1247"/>
            <w:shd w:val="clear" w:fill="F4F8F7"/>
          </w:tcPr>
          <w:p>
            <w:r>
              <w:rPr>
                <w:rFonts w:ascii="Arial" w:hAnsi="Arial"/>
                <w:sz w:val="17"/>
              </w:rPr>
              <w:t>862</w:t>
            </w:r>
          </w:p>
        </w:tc>
        <w:tc>
          <w:tcPr>
            <w:tcW w:type="dxa" w:w="1247"/>
            <w:shd w:val="clear" w:fill="F4F8F7"/>
          </w:tcPr>
          <w:p>
            <w:r>
              <w:rPr>
                <w:rFonts w:ascii="Arial" w:hAnsi="Arial"/>
                <w:sz w:val="17"/>
              </w:rPr>
              <w:t>1,018</w:t>
            </w:r>
          </w:p>
        </w:tc>
        <w:tc>
          <w:tcPr>
            <w:tcW w:type="dxa" w:w="1247"/>
            <w:shd w:val="clear" w:fill="F4F8F7"/>
          </w:tcPr>
          <w:p>
            <w:r>
              <w:rPr>
                <w:rFonts w:ascii="Arial" w:hAnsi="Arial"/>
                <w:sz w:val="17"/>
              </w:rPr>
              <w:t>1,215</w:t>
            </w:r>
          </w:p>
        </w:tc>
        <w:tc>
          <w:tcPr>
            <w:tcW w:type="dxa" w:w="1247"/>
            <w:shd w:val="clear" w:fill="F4F8F7"/>
          </w:tcPr>
          <w:p>
            <w:r>
              <w:rPr>
                <w:rFonts w:ascii="Arial" w:hAnsi="Arial"/>
                <w:sz w:val="17"/>
              </w:rPr>
              <w:t>1,373</w:t>
            </w:r>
          </w:p>
        </w:tc>
      </w:tr>
      <w:tr>
        <w:tc>
          <w:tcPr>
            <w:tcW w:type="dxa" w:w="2608"/>
          </w:tcPr>
          <w:p>
            <w:r>
              <w:rPr>
                <w:rFonts w:ascii="Arial" w:hAnsi="Arial"/>
                <w:sz w:val="17"/>
              </w:rPr>
              <w:t>Δ Working capital &amp; other</w:t>
            </w:r>
          </w:p>
        </w:tc>
        <w:tc>
          <w:tcPr>
            <w:tcW w:type="dxa" w:w="1247"/>
          </w:tcPr>
          <w:p>
            <w:r>
              <w:rPr>
                <w:rFonts w:ascii="Arial" w:hAnsi="Arial"/>
                <w:sz w:val="17"/>
              </w:rPr>
              <w:t>1,729</w:t>
            </w:r>
          </w:p>
        </w:tc>
        <w:tc>
          <w:tcPr>
            <w:tcW w:type="dxa" w:w="1247"/>
          </w:tcPr>
          <w:p>
            <w:r>
              <w:rPr>
                <w:rFonts w:ascii="Arial" w:hAnsi="Arial"/>
                <w:sz w:val="17"/>
              </w:rPr>
              <w:t>(151)</w:t>
            </w:r>
          </w:p>
        </w:tc>
        <w:tc>
          <w:tcPr>
            <w:tcW w:type="dxa" w:w="1247"/>
          </w:tcPr>
          <w:p>
            <w:r>
              <w:rPr>
                <w:rFonts w:ascii="Arial" w:hAnsi="Arial"/>
                <w:sz w:val="17"/>
              </w:rPr>
              <w:t>(43)</w:t>
            </w:r>
          </w:p>
        </w:tc>
        <w:tc>
          <w:tcPr>
            <w:tcW w:type="dxa" w:w="1247"/>
          </w:tcPr>
          <w:p>
            <w:r>
              <w:rPr>
                <w:rFonts w:ascii="Arial" w:hAnsi="Arial"/>
                <w:sz w:val="17"/>
              </w:rPr>
              <w:t>(59)</w:t>
            </w:r>
          </w:p>
        </w:tc>
        <w:tc>
          <w:tcPr>
            <w:tcW w:type="dxa" w:w="1247"/>
          </w:tcPr>
          <w:p>
            <w:r>
              <w:rPr>
                <w:rFonts w:ascii="Arial" w:hAnsi="Arial"/>
                <w:sz w:val="17"/>
              </w:rPr>
              <w:t>(76)</w:t>
            </w:r>
          </w:p>
        </w:tc>
        <w:tc>
          <w:tcPr>
            <w:tcW w:type="dxa" w:w="1247"/>
          </w:tcPr>
          <w:p>
            <w:r>
              <w:rPr>
                <w:rFonts w:ascii="Arial" w:hAnsi="Arial"/>
                <w:sz w:val="17"/>
              </w:rPr>
              <w:t>(94)</w:t>
            </w:r>
          </w:p>
        </w:tc>
      </w:tr>
      <w:tr>
        <w:tc>
          <w:tcPr>
            <w:tcW w:type="dxa" w:w="2608"/>
            <w:shd w:val="clear" w:fill="F4F8F7"/>
          </w:tcPr>
          <w:p>
            <w:r>
              <w:rPr>
                <w:rFonts w:ascii="Arial" w:hAnsi="Arial"/>
                <w:sz w:val="17"/>
              </w:rPr>
              <w:t>Cash from operations</w:t>
            </w:r>
          </w:p>
        </w:tc>
        <w:tc>
          <w:tcPr>
            <w:tcW w:type="dxa" w:w="1247"/>
            <w:shd w:val="clear" w:fill="F4F8F7"/>
          </w:tcPr>
          <w:p>
            <w:r>
              <w:rPr>
                <w:rFonts w:ascii="Arial" w:hAnsi="Arial"/>
                <w:sz w:val="17"/>
              </w:rPr>
              <w:t>4,640</w:t>
            </w:r>
          </w:p>
        </w:tc>
        <w:tc>
          <w:tcPr>
            <w:tcW w:type="dxa" w:w="1247"/>
            <w:shd w:val="clear" w:fill="F4F8F7"/>
          </w:tcPr>
          <w:p>
            <w:r>
              <w:rPr>
                <w:rFonts w:ascii="Arial" w:hAnsi="Arial"/>
                <w:sz w:val="17"/>
              </w:rPr>
              <w:t>4,690</w:t>
            </w:r>
          </w:p>
        </w:tc>
        <w:tc>
          <w:tcPr>
            <w:tcW w:type="dxa" w:w="1247"/>
            <w:shd w:val="clear" w:fill="F4F8F7"/>
          </w:tcPr>
          <w:p>
            <w:r>
              <w:rPr>
                <w:rFonts w:ascii="Arial" w:hAnsi="Arial"/>
                <w:sz w:val="17"/>
              </w:rPr>
              <w:t>5,509</w:t>
            </w:r>
          </w:p>
        </w:tc>
        <w:tc>
          <w:tcPr>
            <w:tcW w:type="dxa" w:w="1247"/>
            <w:shd w:val="clear" w:fill="F4F8F7"/>
          </w:tcPr>
          <w:p>
            <w:r>
              <w:rPr>
                <w:rFonts w:ascii="Arial" w:hAnsi="Arial"/>
                <w:sz w:val="17"/>
              </w:rPr>
              <w:t>6,461</w:t>
            </w:r>
          </w:p>
        </w:tc>
        <w:tc>
          <w:tcPr>
            <w:tcW w:type="dxa" w:w="1247"/>
            <w:shd w:val="clear" w:fill="F4F8F7"/>
          </w:tcPr>
          <w:p>
            <w:r>
              <w:rPr>
                <w:rFonts w:ascii="Arial" w:hAnsi="Arial"/>
                <w:sz w:val="17"/>
              </w:rPr>
              <w:t>7,332</w:t>
            </w:r>
          </w:p>
        </w:tc>
        <w:tc>
          <w:tcPr>
            <w:tcW w:type="dxa" w:w="1247"/>
            <w:shd w:val="clear" w:fill="F4F8F7"/>
          </w:tcPr>
          <w:p>
            <w:r>
              <w:rPr>
                <w:rFonts w:ascii="Arial" w:hAnsi="Arial"/>
                <w:sz w:val="17"/>
              </w:rPr>
              <w:t>8,251</w:t>
            </w:r>
          </w:p>
        </w:tc>
      </w:tr>
      <w:tr>
        <w:tc>
          <w:tcPr>
            <w:tcW w:type="dxa" w:w="2608"/>
          </w:tcPr>
          <w:p>
            <w:r>
              <w:rPr>
                <w:rFonts w:ascii="Arial" w:hAnsi="Arial"/>
                <w:sz w:val="17"/>
              </w:rPr>
              <w:t>Capex</w:t>
            </w:r>
          </w:p>
        </w:tc>
        <w:tc>
          <w:tcPr>
            <w:tcW w:type="dxa" w:w="1247"/>
          </w:tcPr>
          <w:p>
            <w:r>
              <w:rPr>
                <w:rFonts w:ascii="Arial" w:hAnsi="Arial"/>
                <w:sz w:val="17"/>
              </w:rPr>
              <w:t>(1,393)</w:t>
            </w:r>
          </w:p>
        </w:tc>
        <w:tc>
          <w:tcPr>
            <w:tcW w:type="dxa" w:w="1247"/>
          </w:tcPr>
          <w:p>
            <w:r>
              <w:rPr>
                <w:rFonts w:ascii="Arial" w:hAnsi="Arial"/>
                <w:sz w:val="17"/>
              </w:rPr>
              <w:t>(1,767)</w:t>
            </w:r>
          </w:p>
        </w:tc>
        <w:tc>
          <w:tcPr>
            <w:tcW w:type="dxa" w:w="1247"/>
          </w:tcPr>
          <w:p>
            <w:r>
              <w:rPr>
                <w:rFonts w:ascii="Arial" w:hAnsi="Arial"/>
                <w:sz w:val="17"/>
              </w:rPr>
              <w:t>(1,990)</w:t>
            </w:r>
          </w:p>
        </w:tc>
        <w:tc>
          <w:tcPr>
            <w:tcW w:type="dxa" w:w="1247"/>
          </w:tcPr>
          <w:p>
            <w:r>
              <w:rPr>
                <w:rFonts w:ascii="Arial" w:hAnsi="Arial"/>
                <w:sz w:val="17"/>
              </w:rPr>
              <w:t>(2,153)</w:t>
            </w:r>
          </w:p>
        </w:tc>
        <w:tc>
          <w:tcPr>
            <w:tcW w:type="dxa" w:w="1247"/>
          </w:tcPr>
          <w:p>
            <w:r>
              <w:rPr>
                <w:rFonts w:ascii="Arial" w:hAnsi="Arial"/>
                <w:sz w:val="17"/>
              </w:rPr>
              <w:t>(2,251)</w:t>
            </w:r>
          </w:p>
        </w:tc>
        <w:tc>
          <w:tcPr>
            <w:tcW w:type="dxa" w:w="1247"/>
          </w:tcPr>
          <w:p>
            <w:r>
              <w:rPr>
                <w:rFonts w:ascii="Arial" w:hAnsi="Arial"/>
                <w:sz w:val="17"/>
              </w:rPr>
              <w:t>(2,543)</w:t>
            </w:r>
          </w:p>
        </w:tc>
      </w:tr>
      <w:tr>
        <w:tc>
          <w:tcPr>
            <w:tcW w:type="dxa" w:w="2608"/>
            <w:shd w:val="clear" w:fill="F4F8F7"/>
          </w:tcPr>
          <w:p>
            <w:r>
              <w:rPr>
                <w:rFonts w:ascii="Arial" w:hAnsi="Arial"/>
                <w:sz w:val="17"/>
              </w:rPr>
              <w:t>Free cash flow</w:t>
            </w:r>
          </w:p>
        </w:tc>
        <w:tc>
          <w:tcPr>
            <w:tcW w:type="dxa" w:w="1247"/>
            <w:shd w:val="clear" w:fill="F4F8F7"/>
          </w:tcPr>
          <w:p>
            <w:r>
              <w:rPr>
                <w:rFonts w:ascii="Arial" w:hAnsi="Arial"/>
                <w:sz w:val="17"/>
              </w:rPr>
              <w:t>3,248</w:t>
            </w:r>
          </w:p>
        </w:tc>
        <w:tc>
          <w:tcPr>
            <w:tcW w:type="dxa" w:w="1247"/>
            <w:shd w:val="clear" w:fill="F4F8F7"/>
          </w:tcPr>
          <w:p>
            <w:r>
              <w:rPr>
                <w:rFonts w:ascii="Arial" w:hAnsi="Arial"/>
                <w:sz w:val="17"/>
              </w:rPr>
              <w:t>2,923</w:t>
            </w:r>
          </w:p>
        </w:tc>
        <w:tc>
          <w:tcPr>
            <w:tcW w:type="dxa" w:w="1247"/>
            <w:shd w:val="clear" w:fill="F4F8F7"/>
          </w:tcPr>
          <w:p>
            <w:r>
              <w:rPr>
                <w:rFonts w:ascii="Arial" w:hAnsi="Arial"/>
                <w:sz w:val="17"/>
              </w:rPr>
              <w:t>3,519</w:t>
            </w:r>
          </w:p>
        </w:tc>
        <w:tc>
          <w:tcPr>
            <w:tcW w:type="dxa" w:w="1247"/>
            <w:shd w:val="clear" w:fill="F4F8F7"/>
          </w:tcPr>
          <w:p>
            <w:r>
              <w:rPr>
                <w:rFonts w:ascii="Arial" w:hAnsi="Arial"/>
                <w:sz w:val="17"/>
              </w:rPr>
              <w:t>4,308</w:t>
            </w:r>
          </w:p>
        </w:tc>
        <w:tc>
          <w:tcPr>
            <w:tcW w:type="dxa" w:w="1247"/>
            <w:shd w:val="clear" w:fill="F4F8F7"/>
          </w:tcPr>
          <w:p>
            <w:r>
              <w:rPr>
                <w:rFonts w:ascii="Arial" w:hAnsi="Arial"/>
                <w:sz w:val="17"/>
              </w:rPr>
              <w:t>5,081</w:t>
            </w:r>
          </w:p>
        </w:tc>
        <w:tc>
          <w:tcPr>
            <w:tcW w:type="dxa" w:w="1247"/>
            <w:shd w:val="clear" w:fill="F4F8F7"/>
          </w:tcPr>
          <w:p>
            <w:r>
              <w:rPr>
                <w:rFonts w:ascii="Arial" w:hAnsi="Arial"/>
                <w:sz w:val="17"/>
              </w:rPr>
              <w:t>5,708</w:t>
            </w:r>
          </w:p>
        </w:tc>
      </w:tr>
      <w:tr>
        <w:tc>
          <w:tcPr>
            <w:tcW w:type="dxa" w:w="2608"/>
          </w:tcPr>
          <w:p>
            <w:r>
              <w:rPr>
                <w:rFonts w:ascii="Arial" w:hAnsi="Arial"/>
                <w:sz w:val="17"/>
              </w:rPr>
              <w:t>Dividends paid</w:t>
            </w:r>
          </w:p>
        </w:tc>
        <w:tc>
          <w:tcPr>
            <w:tcW w:type="dxa" w:w="1247"/>
          </w:tcPr>
          <w:p>
            <w:r>
              <w:rPr>
                <w:rFonts w:ascii="Arial" w:hAnsi="Arial"/>
                <w:sz w:val="17"/>
              </w:rPr>
              <w:t>(800)</w:t>
            </w:r>
          </w:p>
        </w:tc>
        <w:tc>
          <w:tcPr>
            <w:tcW w:type="dxa" w:w="1247"/>
          </w:tcPr>
          <w:p>
            <w:r>
              <w:rPr>
                <w:rFonts w:ascii="Arial" w:hAnsi="Arial"/>
                <w:sz w:val="17"/>
              </w:rPr>
              <w:t>(1,724)</w:t>
            </w:r>
          </w:p>
        </w:tc>
        <w:tc>
          <w:tcPr>
            <w:tcW w:type="dxa" w:w="1247"/>
          </w:tcPr>
          <w:p>
            <w:r>
              <w:rPr>
                <w:rFonts w:ascii="Arial" w:hAnsi="Arial"/>
                <w:sz w:val="17"/>
              </w:rPr>
              <w:t>(2,058)</w:t>
            </w:r>
          </w:p>
        </w:tc>
        <w:tc>
          <w:tcPr>
            <w:tcW w:type="dxa" w:w="1247"/>
          </w:tcPr>
          <w:p>
            <w:r>
              <w:rPr>
                <w:rFonts w:ascii="Arial" w:hAnsi="Arial"/>
                <w:sz w:val="17"/>
              </w:rPr>
              <w:t>(2,386)</w:t>
            </w:r>
          </w:p>
        </w:tc>
        <w:tc>
          <w:tcPr>
            <w:tcW w:type="dxa" w:w="1247"/>
          </w:tcPr>
          <w:p>
            <w:r>
              <w:rPr>
                <w:rFonts w:ascii="Arial" w:hAnsi="Arial"/>
                <w:sz w:val="17"/>
              </w:rPr>
              <w:t>(2,700)</w:t>
            </w:r>
          </w:p>
        </w:tc>
        <w:tc>
          <w:tcPr>
            <w:tcW w:type="dxa" w:w="1247"/>
          </w:tcPr>
          <w:p>
            <w:r>
              <w:rPr>
                <w:rFonts w:ascii="Arial" w:hAnsi="Arial"/>
                <w:sz w:val="17"/>
              </w:rPr>
              <w:t>(3,042)</w:t>
            </w:r>
          </w:p>
        </w:tc>
      </w:tr>
      <w:tr>
        <w:tc>
          <w:tcPr>
            <w:tcW w:type="dxa" w:w="2608"/>
            <w:shd w:val="clear" w:fill="F4F8F7"/>
          </w:tcPr>
          <w:p>
            <w:r>
              <w:rPr>
                <w:rFonts w:ascii="Arial" w:hAnsi="Arial"/>
                <w:sz w:val="17"/>
              </w:rPr>
              <w:t>Δ Debt &amp; overdrafts</w:t>
            </w:r>
          </w:p>
        </w:tc>
        <w:tc>
          <w:tcPr>
            <w:tcW w:type="dxa" w:w="1247"/>
            <w:shd w:val="clear" w:fill="F4F8F7"/>
          </w:tcPr>
          <w:p>
            <w:r>
              <w:rPr>
                <w:rFonts w:ascii="Arial" w:hAnsi="Arial"/>
                <w:sz w:val="17"/>
              </w:rPr>
              <w:t>969</w:t>
            </w:r>
          </w:p>
        </w:tc>
        <w:tc>
          <w:tcPr>
            <w:tcW w:type="dxa" w:w="1247"/>
            <w:shd w:val="clear" w:fill="F4F8F7"/>
          </w:tcPr>
          <w:p>
            <w:r>
              <w:rPr>
                <w:rFonts w:ascii="Arial" w:hAnsi="Arial"/>
                <w:sz w:val="17"/>
              </w:rPr>
              <w:t>0</w:t>
            </w:r>
          </w:p>
        </w:tc>
        <w:tc>
          <w:tcPr>
            <w:tcW w:type="dxa" w:w="1247"/>
            <w:shd w:val="clear" w:fill="F4F8F7"/>
          </w:tcPr>
          <w:p>
            <w:r>
              <w:rPr>
                <w:rFonts w:ascii="Arial" w:hAnsi="Arial"/>
                <w:sz w:val="17"/>
              </w:rPr>
              <w:t>0</w:t>
            </w:r>
          </w:p>
        </w:tc>
        <w:tc>
          <w:tcPr>
            <w:tcW w:type="dxa" w:w="1247"/>
            <w:shd w:val="clear" w:fill="F4F8F7"/>
          </w:tcPr>
          <w:p>
            <w:r>
              <w:rPr>
                <w:rFonts w:ascii="Arial" w:hAnsi="Arial"/>
                <w:sz w:val="17"/>
              </w:rPr>
              <w:t>0</w:t>
            </w:r>
          </w:p>
        </w:tc>
        <w:tc>
          <w:tcPr>
            <w:tcW w:type="dxa" w:w="1247"/>
            <w:shd w:val="clear" w:fill="F4F8F7"/>
          </w:tcPr>
          <w:p>
            <w:r>
              <w:rPr>
                <w:rFonts w:ascii="Arial" w:hAnsi="Arial"/>
                <w:sz w:val="17"/>
              </w:rPr>
              <w:t>0</w:t>
            </w:r>
          </w:p>
        </w:tc>
        <w:tc>
          <w:tcPr>
            <w:tcW w:type="dxa" w:w="1247"/>
            <w:shd w:val="clear" w:fill="F4F8F7"/>
          </w:tcPr>
          <w:p>
            <w:r>
              <w:rPr>
                <w:rFonts w:ascii="Arial" w:hAnsi="Arial"/>
                <w:sz w:val="17"/>
              </w:rPr>
              <w:t>0</w:t>
            </w:r>
          </w:p>
        </w:tc>
      </w:tr>
      <w:tr>
        <w:tc>
          <w:tcPr>
            <w:tcW w:type="dxa" w:w="2608"/>
          </w:tcPr>
          <w:p>
            <w:r>
              <w:rPr>
                <w:rFonts w:ascii="Arial" w:hAnsi="Arial"/>
                <w:sz w:val="17"/>
              </w:rPr>
              <w:t>Net change in cash</w:t>
            </w:r>
          </w:p>
        </w:tc>
        <w:tc>
          <w:tcPr>
            <w:tcW w:type="dxa" w:w="1247"/>
          </w:tcPr>
          <w:p>
            <w:r>
              <w:rPr>
                <w:rFonts w:ascii="Arial" w:hAnsi="Arial"/>
                <w:sz w:val="17"/>
              </w:rPr>
              <w:t>3,417</w:t>
            </w:r>
          </w:p>
        </w:tc>
        <w:tc>
          <w:tcPr>
            <w:tcW w:type="dxa" w:w="1247"/>
          </w:tcPr>
          <w:p>
            <w:r>
              <w:rPr>
                <w:rFonts w:ascii="Arial" w:hAnsi="Arial"/>
                <w:sz w:val="17"/>
              </w:rPr>
              <w:t>1,021</w:t>
            </w:r>
          </w:p>
        </w:tc>
        <w:tc>
          <w:tcPr>
            <w:tcW w:type="dxa" w:w="1247"/>
          </w:tcPr>
          <w:p>
            <w:r>
              <w:rPr>
                <w:rFonts w:ascii="Arial" w:hAnsi="Arial"/>
                <w:sz w:val="17"/>
              </w:rPr>
              <w:t>1,354</w:t>
            </w:r>
          </w:p>
        </w:tc>
        <w:tc>
          <w:tcPr>
            <w:tcW w:type="dxa" w:w="1247"/>
          </w:tcPr>
          <w:p>
            <w:r>
              <w:rPr>
                <w:rFonts w:ascii="Arial" w:hAnsi="Arial"/>
                <w:sz w:val="17"/>
              </w:rPr>
              <w:t>1,731</w:t>
            </w:r>
          </w:p>
        </w:tc>
        <w:tc>
          <w:tcPr>
            <w:tcW w:type="dxa" w:w="1247"/>
          </w:tcPr>
          <w:p>
            <w:r>
              <w:rPr>
                <w:rFonts w:ascii="Arial" w:hAnsi="Arial"/>
                <w:sz w:val="17"/>
              </w:rPr>
              <w:t>2,193</w:t>
            </w:r>
          </w:p>
        </w:tc>
        <w:tc>
          <w:tcPr>
            <w:tcW w:type="dxa" w:w="1247"/>
          </w:tcPr>
          <w:p>
            <w:r>
              <w:rPr>
                <w:rFonts w:ascii="Arial" w:hAnsi="Arial"/>
                <w:sz w:val="17"/>
              </w:rPr>
              <w:t>2,453</w:t>
            </w:r>
          </w:p>
        </w:tc>
      </w:tr>
      <w:tr>
        <w:tc>
          <w:tcPr>
            <w:tcW w:type="dxa" w:w="2608"/>
            <w:shd w:val="clear" w:fill="F4F8F7"/>
          </w:tcPr>
          <w:p>
            <w:r>
              <w:rPr>
                <w:rFonts w:ascii="Arial" w:hAnsi="Arial"/>
                <w:sz w:val="17"/>
              </w:rPr>
              <w:t>Closing cash</w:t>
            </w:r>
          </w:p>
        </w:tc>
        <w:tc>
          <w:tcPr>
            <w:tcW w:type="dxa" w:w="1247"/>
            <w:shd w:val="clear" w:fill="F4F8F7"/>
          </w:tcPr>
          <w:p>
            <w:r>
              <w:rPr>
                <w:rFonts w:ascii="Arial" w:hAnsi="Arial"/>
                <w:sz w:val="17"/>
              </w:rPr>
              <w:t>4,741</w:t>
            </w:r>
          </w:p>
        </w:tc>
        <w:tc>
          <w:tcPr>
            <w:tcW w:type="dxa" w:w="1247"/>
            <w:shd w:val="clear" w:fill="F4F8F7"/>
          </w:tcPr>
          <w:p>
            <w:r>
              <w:rPr>
                <w:rFonts w:ascii="Arial" w:hAnsi="Arial"/>
                <w:sz w:val="17"/>
              </w:rPr>
              <w:t>5,762</w:t>
            </w:r>
          </w:p>
        </w:tc>
        <w:tc>
          <w:tcPr>
            <w:tcW w:type="dxa" w:w="1247"/>
            <w:shd w:val="clear" w:fill="F4F8F7"/>
          </w:tcPr>
          <w:p>
            <w:r>
              <w:rPr>
                <w:rFonts w:ascii="Arial" w:hAnsi="Arial"/>
                <w:sz w:val="17"/>
              </w:rPr>
              <w:t>7,117</w:t>
            </w:r>
          </w:p>
        </w:tc>
        <w:tc>
          <w:tcPr>
            <w:tcW w:type="dxa" w:w="1247"/>
            <w:shd w:val="clear" w:fill="F4F8F7"/>
          </w:tcPr>
          <w:p>
            <w:r>
              <w:rPr>
                <w:rFonts w:ascii="Arial" w:hAnsi="Arial"/>
                <w:sz w:val="17"/>
              </w:rPr>
              <w:t>8,848</w:t>
            </w:r>
          </w:p>
        </w:tc>
        <w:tc>
          <w:tcPr>
            <w:tcW w:type="dxa" w:w="1247"/>
            <w:shd w:val="clear" w:fill="F4F8F7"/>
          </w:tcPr>
          <w:p>
            <w:r>
              <w:rPr>
                <w:rFonts w:ascii="Arial" w:hAnsi="Arial"/>
                <w:sz w:val="17"/>
              </w:rPr>
              <w:t>11,041</w:t>
            </w:r>
          </w:p>
        </w:tc>
        <w:tc>
          <w:tcPr>
            <w:tcW w:type="dxa" w:w="1247"/>
            <w:shd w:val="clear" w:fill="F4F8F7"/>
          </w:tcPr>
          <w:p>
            <w:r>
              <w:rPr>
                <w:rFonts w:ascii="Arial" w:hAnsi="Arial"/>
                <w:sz w:val="17"/>
              </w:rPr>
              <w:t>13,494</w:t>
            </w:r>
          </w:p>
        </w:tc>
      </w:tr>
    </w:tbl>
    <w:p>
      <w:pPr>
        <w:spacing w:after="40"/>
      </w:pPr>
    </w:p>
    <w:p>
      <w:pPr>
        <w:spacing w:after="80"/>
      </w:pPr>
      <w:r>
        <w:rPr>
          <w:rFonts w:ascii="Arial" w:hAnsi="Arial"/>
          <w:b w:val="0"/>
          <w:i/>
          <w:sz w:val="16"/>
        </w:rPr>
        <w:t>*FY2025A is a Testahil derivation from disclosed period-end balances (the net-debt walk); the company’s releases do not restate a full historical cash-flow statement.</w:t>
      </w:r>
    </w:p>
    <w:p>
      <w:pPr>
        <w:pStyle w:val="Heading1"/>
      </w:pPr>
      <w:r>
        <w:t>Appendix B  Step 0 — calibration backtest</w:t>
      </w:r>
    </w:p>
    <w:p>
      <w:pPr>
        <w:spacing w:after="80"/>
      </w:pPr>
      <w:r>
        <w:rPr>
          <w:rFonts w:ascii="Arial" w:hAnsi="Arial"/>
          <w:b w:val="0"/>
          <w:i w:val="0"/>
          <w:sz w:val="19"/>
        </w:rPr>
        <w:t>Before any valuation was written, the Monte-Carlo engine was made to earn its keep on this ticker: a five-year rolling backtest, horizon 60 trading days, 20 non-overlapping origins across the full 2021–2026 history, each forecast built only from data available at its origin. The grade is skill versus a naïve zero-drift random-walk lognormal cone sized by trailing realized volatility — measured by CRPS skill (must exceed zero) and the Winkler interval score. Coverage and PIT are diagnostics only, because band-containment rewards width.</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3402"/>
            <w:shd w:val="clear" w:fill="1C6E63"/>
          </w:tcPr>
          <w:p>
            <w:r>
              <w:rPr>
                <w:rFonts w:ascii="Arial" w:hAnsi="Arial"/>
                <w:b/>
                <w:color w:val="FFFFFF"/>
                <w:sz w:val="17"/>
              </w:rPr>
              <w:t>Configuration</w:t>
            </w:r>
          </w:p>
        </w:tc>
        <w:tc>
          <w:tcPr>
            <w:tcW w:type="dxa" w:w="1361"/>
            <w:shd w:val="clear" w:fill="1C6E63"/>
          </w:tcPr>
          <w:p>
            <w:r>
              <w:rPr>
                <w:rFonts w:ascii="Arial" w:hAnsi="Arial"/>
                <w:b/>
                <w:color w:val="FFFFFF"/>
                <w:sz w:val="17"/>
              </w:rPr>
              <w:t>CRPS skill</w:t>
            </w:r>
          </w:p>
        </w:tc>
        <w:tc>
          <w:tcPr>
            <w:tcW w:type="dxa" w:w="1474"/>
            <w:shd w:val="clear" w:fill="1C6E63"/>
          </w:tcPr>
          <w:p>
            <w:r>
              <w:rPr>
                <w:rFonts w:ascii="Arial" w:hAnsi="Arial"/>
                <w:b/>
                <w:color w:val="FFFFFF"/>
                <w:sz w:val="17"/>
              </w:rPr>
              <w:t>Winkler-90 skill</w:t>
            </w:r>
          </w:p>
        </w:tc>
        <w:tc>
          <w:tcPr>
            <w:tcW w:type="dxa" w:w="1587"/>
            <w:shd w:val="clear" w:fill="1C6E63"/>
          </w:tcPr>
          <w:p>
            <w:r>
              <w:rPr>
                <w:rFonts w:ascii="Arial" w:hAnsi="Arial"/>
                <w:b/>
                <w:color w:val="FFFFFF"/>
                <w:sz w:val="17"/>
              </w:rPr>
              <w:t>Cov 50/80/90</w:t>
            </w:r>
          </w:p>
        </w:tc>
        <w:tc>
          <w:tcPr>
            <w:tcW w:type="dxa" w:w="1020"/>
            <w:shd w:val="clear" w:fill="1C6E63"/>
          </w:tcPr>
          <w:p>
            <w:r>
              <w:rPr>
                <w:rFonts w:ascii="Arial" w:hAnsi="Arial"/>
                <w:b/>
                <w:color w:val="FFFFFF"/>
                <w:sz w:val="17"/>
              </w:rPr>
              <w:t>PIT mean</w:t>
            </w:r>
          </w:p>
        </w:tc>
        <w:tc>
          <w:tcPr>
            <w:tcW w:type="dxa" w:w="1134"/>
            <w:shd w:val="clear" w:fill="1C6E63"/>
          </w:tcPr>
          <w:p>
            <w:r>
              <w:rPr>
                <w:rFonts w:ascii="Arial" w:hAnsi="Arial"/>
                <w:b/>
                <w:color w:val="FFFFFF"/>
                <w:sz w:val="17"/>
              </w:rPr>
              <w:t>Gate</w:t>
            </w:r>
          </w:p>
        </w:tc>
      </w:tr>
      <w:tr>
        <w:tc>
          <w:tcPr>
            <w:tcW w:type="dxa" w:w="3402"/>
          </w:tcPr>
          <w:p>
            <w:r>
              <w:rPr>
                <w:rFonts w:ascii="Arial" w:hAnsi="Arial"/>
                <w:sz w:val="17"/>
              </w:rPr>
              <w:t>YZ-HAR, t5, drift OFF</w:t>
            </w:r>
          </w:p>
        </w:tc>
        <w:tc>
          <w:tcPr>
            <w:tcW w:type="dxa" w:w="1361"/>
          </w:tcPr>
          <w:p>
            <w:r>
              <w:rPr>
                <w:rFonts w:ascii="Arial" w:hAnsi="Arial"/>
                <w:sz w:val="17"/>
              </w:rPr>
              <w:t>+1.6%</w:t>
            </w:r>
          </w:p>
        </w:tc>
        <w:tc>
          <w:tcPr>
            <w:tcW w:type="dxa" w:w="1474"/>
          </w:tcPr>
          <w:p>
            <w:r>
              <w:rPr>
                <w:rFonts w:ascii="Arial" w:hAnsi="Arial"/>
                <w:sz w:val="17"/>
              </w:rPr>
              <w:t>+10.1%</w:t>
            </w:r>
          </w:p>
        </w:tc>
        <w:tc>
          <w:tcPr>
            <w:tcW w:type="dxa" w:w="1587"/>
          </w:tcPr>
          <w:p>
            <w:r>
              <w:rPr>
                <w:rFonts w:ascii="Arial" w:hAnsi="Arial"/>
                <w:sz w:val="17"/>
              </w:rPr>
              <w:t>65% / 85% / 90%</w:t>
            </w:r>
          </w:p>
        </w:tc>
        <w:tc>
          <w:tcPr>
            <w:tcW w:type="dxa" w:w="1020"/>
          </w:tcPr>
          <w:p>
            <w:r>
              <w:rPr>
                <w:rFonts w:ascii="Arial" w:hAnsi="Arial"/>
                <w:sz w:val="17"/>
              </w:rPr>
              <w:t>0.61</w:t>
            </w:r>
          </w:p>
        </w:tc>
        <w:tc>
          <w:tcPr>
            <w:tcW w:type="dxa" w:w="1134"/>
          </w:tcPr>
          <w:p>
            <w:r>
              <w:rPr>
                <w:rFonts w:ascii="Arial" w:hAnsi="Arial"/>
                <w:sz w:val="17"/>
              </w:rPr>
              <w:t>PASS</w:t>
            </w:r>
          </w:p>
        </w:tc>
      </w:tr>
      <w:tr>
        <w:tc>
          <w:tcPr>
            <w:tcW w:type="dxa" w:w="3402"/>
            <w:shd w:val="clear" w:fill="F4F8F7"/>
          </w:tcPr>
          <w:p>
            <w:r>
              <w:rPr>
                <w:rFonts w:ascii="Arial" w:hAnsi="Arial"/>
                <w:sz w:val="17"/>
              </w:rPr>
              <w:t>YZ-HAR, t5, drift ON (expanding secular)</w:t>
            </w:r>
          </w:p>
        </w:tc>
        <w:tc>
          <w:tcPr>
            <w:tcW w:type="dxa" w:w="1361"/>
            <w:shd w:val="clear" w:fill="F4F8F7"/>
          </w:tcPr>
          <w:p>
            <w:r>
              <w:rPr>
                <w:rFonts w:ascii="Arial" w:hAnsi="Arial"/>
                <w:sz w:val="17"/>
              </w:rPr>
              <w:t>−0.9%</w:t>
            </w:r>
          </w:p>
        </w:tc>
        <w:tc>
          <w:tcPr>
            <w:tcW w:type="dxa" w:w="1474"/>
            <w:shd w:val="clear" w:fill="F4F8F7"/>
          </w:tcPr>
          <w:p>
            <w:r>
              <w:rPr>
                <w:rFonts w:ascii="Arial" w:hAnsi="Arial"/>
                <w:sz w:val="17"/>
              </w:rPr>
              <w:t>+18.8%</w:t>
            </w:r>
          </w:p>
        </w:tc>
        <w:tc>
          <w:tcPr>
            <w:tcW w:type="dxa" w:w="1587"/>
            <w:shd w:val="clear" w:fill="F4F8F7"/>
          </w:tcPr>
          <w:p>
            <w:r>
              <w:rPr>
                <w:rFonts w:ascii="Arial" w:hAnsi="Arial"/>
                <w:sz w:val="17"/>
              </w:rPr>
              <w:t>60% / 80% / 90%</w:t>
            </w:r>
          </w:p>
        </w:tc>
        <w:tc>
          <w:tcPr>
            <w:tcW w:type="dxa" w:w="1020"/>
            <w:shd w:val="clear" w:fill="F4F8F7"/>
          </w:tcPr>
          <w:p>
            <w:r>
              <w:rPr>
                <w:rFonts w:ascii="Arial" w:hAnsi="Arial"/>
                <w:sz w:val="17"/>
              </w:rPr>
              <w:t>0.55</w:t>
            </w:r>
          </w:p>
        </w:tc>
        <w:tc>
          <w:tcPr>
            <w:tcW w:type="dxa" w:w="1134"/>
            <w:shd w:val="clear" w:fill="F4F8F7"/>
          </w:tcPr>
          <w:p>
            <w:r>
              <w:rPr>
                <w:rFonts w:ascii="Arial" w:hAnsi="Arial"/>
                <w:sz w:val="17"/>
              </w:rPr>
              <w:t>FAIL (CRPS ≤ 0)</w:t>
            </w:r>
          </w:p>
        </w:tc>
      </w:tr>
    </w:tbl>
    <w:p>
      <w:pPr>
        <w:spacing w:after="40"/>
      </w:pPr>
    </w:p>
    <w:p>
      <w:pPr>
        <w:spacing w:after="80"/>
      </w:pPr>
      <w:r>
        <w:rPr>
          <w:rFonts w:ascii="Arial" w:hAnsi="Arial"/>
          <w:b w:val="0"/>
          <w:i w:val="0"/>
          <w:sz w:val="19"/>
        </w:rPr>
        <w:t xml:space="preserve">The drift finding matters beyond this study: Edita’s own history contains a genuine six-fold uptrend, yet feeding that trend into the drift </w:t>
      </w:r>
      <w:r>
        <w:rPr>
          <w:rFonts w:ascii="Arial" w:hAnsi="Arial"/>
          <w:b/>
          <w:i w:val="0"/>
          <w:sz w:val="19"/>
        </w:rPr>
        <w:t>destroys</w:t>
      </w:r>
      <w:r>
        <w:rPr>
          <w:rFonts w:ascii="Arial" w:hAnsi="Arial"/>
          <w:b w:val="0"/>
          <w:i w:val="0"/>
          <w:sz w:val="19"/>
        </w:rPr>
        <w:t xml:space="preserve"> CRPS skill — the expanding-window mean overshoots exactly at regime turns (the 2023 squeeze, the 2025 consolidation), the same failure that killed trend drift for Samsung and Tata. EGX consumer staples therefore join international names, metals and EGX holdcos in the drift-OFF class; only EGX developers retain the secular drift. The passing configuration beats the benchmark on both the CRPS and the interval score, with 50% coverage a touch generous (13 of 20 cohorts inside) and a PIT mean of 0.61 — right-shifted but within sampling noise at n = 20 (1.75 standard errors), the visible footprint of a secular re-rating the zero-drift cone deliberately refuses to predict.</w:t>
      </w:r>
    </w:p>
    <w:p>
      <w:pPr>
        <w:jc w:val="center"/>
      </w:pPr>
      <w:r>
        <w:drawing>
          <wp:inline xmlns:a="http://schemas.openxmlformats.org/drawingml/2006/main" xmlns:pic="http://schemas.openxmlformats.org/drawingml/2006/picture">
            <wp:extent cx="5580000" cy="2008800"/>
            <wp:docPr id="8" name="Picture 8"/>
            <wp:cNvGraphicFramePr>
              <a:graphicFrameLocks noChangeAspect="1"/>
            </wp:cNvGraphicFramePr>
            <a:graphic>
              <a:graphicData uri="http://schemas.openxmlformats.org/drawingml/2006/picture">
                <pic:pic>
                  <pic:nvPicPr>
                    <pic:cNvPr id="0" name="step0_EFID_pit_coverage.png"/>
                    <pic:cNvPicPr/>
                  </pic:nvPicPr>
                  <pic:blipFill>
                    <a:blip r:embed="rId16"/>
                    <a:stretch>
                      <a:fillRect/>
                    </a:stretch>
                  </pic:blipFill>
                  <pic:spPr>
                    <a:xfrm>
                      <a:off x="0" y="0"/>
                      <a:ext cx="5580000" cy="2008800"/>
                    </a:xfrm>
                    <a:prstGeom prst="rect"/>
                  </pic:spPr>
                </pic:pic>
              </a:graphicData>
            </a:graphic>
          </wp:inline>
        </w:drawing>
      </w:r>
    </w:p>
    <w:p>
      <w:pPr>
        <w:spacing w:after="160"/>
        <w:jc w:val="center"/>
      </w:pPr>
      <w:r>
        <w:rPr>
          <w:rFonts w:ascii="Arial" w:hAnsi="Arial"/>
          <w:b w:val="0"/>
          <w:i/>
          <w:color w:val="555555"/>
          <w:sz w:val="16"/>
        </w:rPr>
        <w:t>Figure 8 — Step 0 diagnostics: PIT histogram (left) and 50/80/90% interval coverage vs nominal (right), drift-OFF configuration, 20 non-overlapping cohorts.</w:t>
      </w:r>
    </w:p>
    <w:p>
      <w:pPr>
        <w:spacing w:after="80"/>
      </w:pPr>
      <w:r>
        <w:rPr>
          <w:rFonts w:ascii="Arial" w:hAnsi="Arial"/>
          <w:b w:val="0"/>
          <w:i w:val="0"/>
          <w:sz w:val="19"/>
        </w:rPr>
        <w:t>Artifacts (per-cohort CRPS/Winkler/PIT tables for both configurations, coverage table, skill table) ship in the study’s files/ directory, not the project library. Forward cohorts for this study — T+20 and T+60 from 01-Jul-2026, with anchor_vol 41.3% and horizon_days logged — will be scored by ledger_scorer v2 against the same benchmark when they mature.</w:t>
      </w:r>
    </w:p>
    <w:p>
      <w:pPr>
        <w:pStyle w:val="Heading1"/>
      </w:pPr>
      <w:r>
        <w:t>Appendix C  Peer set, sector structure, and risks</w:t>
      </w:r>
    </w:p>
    <w:p>
      <w:pPr>
        <w:spacing w:after="80"/>
      </w:pPr>
      <w:r>
        <w:rPr>
          <w:rFonts w:ascii="Arial" w:hAnsi="Arial"/>
          <w:b w:val="0"/>
          <w:i w:val="0"/>
          <w:sz w:val="19"/>
        </w:rPr>
      </w:r>
      <w:r>
        <w:rPr>
          <w:rFonts w:ascii="Arial" w:hAnsi="Arial"/>
          <w:b/>
          <w:i w:val="0"/>
          <w:sz w:val="19"/>
        </w:rPr>
        <w:t>Peer set.</w:t>
      </w:r>
      <w:r>
        <w:rPr>
          <w:rFonts w:ascii="Arial" w:hAnsi="Arial"/>
          <w:b w:val="0"/>
          <w:i w:val="0"/>
          <w:sz w:val="19"/>
        </w:rPr>
        <w:t xml:space="preserve"> The listed EGX consumer universe is thin and imperfect: Juhayna (dairy and juice — the closest branded-FMCG analogue), Obour Land and Domty (white cheese, with Domty a direct bakery entrant), and Eastern Company (tobacco — no product overlap, but the exchange’s reference consumer cash machine). Almarai on Tadawul anchors what regional quality costs in a hard-ish currency. Edita’s ~10x forward P/E premium to the ~7.8x EGX median has persisted for a decade and is earned: leadership across five snack categories, the exchange’s deepest route-to-market in traditional trade, and now outright HTT brand ownership across Africa.</w:t>
      </w:r>
    </w:p>
    <w:p>
      <w:pPr>
        <w:spacing w:after="80"/>
      </w:pPr>
      <w:r>
        <w:rPr>
          <w:rFonts w:ascii="Arial" w:hAnsi="Arial"/>
          <w:b w:val="0"/>
          <w:i w:val="0"/>
          <w:sz w:val="19"/>
        </w:rPr>
      </w:r>
      <w:r>
        <w:rPr>
          <w:rFonts w:ascii="Arial" w:hAnsi="Arial"/>
          <w:b/>
          <w:i w:val="0"/>
          <w:sz w:val="19"/>
        </w:rPr>
        <w:t>Sector structure.</w:t>
      </w:r>
      <w:r>
        <w:rPr>
          <w:rFonts w:ascii="Arial" w:hAnsi="Arial"/>
          <w:b w:val="0"/>
          <w:i w:val="0"/>
          <w:sz w:val="19"/>
        </w:rPr>
        <w:t xml:space="preserve"> Egyptian packaged snacks is a price-point business: the consumer buys a ladder of EGP 5/10/15 packs, not grammage, so inflation is passed through by migrating the ladder and re-engineering pack economics — which favors the scale player with the brand permission to move first. Barriers are distribution density (hundreds of thousands of traditional-trade outlets), brand memory, and increasingly capital: a modern cake or croissant line is an FX-denominated purchase that sub-scale competitors defer. Competition is Mondelez and regional importers at the premium end, Corona/Bisco Misr in biscuits, and the informal bakery sector at the bottom — the true volume competitor when purchasing power breaks.</w:t>
      </w:r>
    </w:p>
    <w:tbl>
      <w:tblPr>
        <w:tblStyle w:val="TableGrid"/>
        <w:tblW w:type="auto" w:w="0"/>
        <w:jc w:val="center"/>
        <w:tblLook w:firstColumn="1" w:firstRow="1" w:lastColumn="0" w:lastRow="0" w:noHBand="0" w:noVBand="1" w:val="04A0"/>
      </w:tblPr>
      <w:tblGrid>
        <w:gridCol w:w="3324"/>
        <w:gridCol w:w="3324"/>
        <w:gridCol w:w="3324"/>
      </w:tblGrid>
      <w:tr>
        <w:tc>
          <w:tcPr>
            <w:tcW w:type="dxa" w:w="2041"/>
            <w:shd w:val="clear" w:fill="1C6E63"/>
          </w:tcPr>
          <w:p>
            <w:r>
              <w:rPr>
                <w:rFonts w:ascii="Arial" w:hAnsi="Arial"/>
                <w:b/>
                <w:color w:val="FFFFFF"/>
                <w:sz w:val="17"/>
              </w:rPr>
              <w:t>Risk</w:t>
            </w:r>
          </w:p>
        </w:tc>
        <w:tc>
          <w:tcPr>
            <w:tcW w:type="dxa" w:w="3628"/>
            <w:shd w:val="clear" w:fill="1C6E63"/>
          </w:tcPr>
          <w:p>
            <w:r>
              <w:rPr>
                <w:rFonts w:ascii="Arial" w:hAnsi="Arial"/>
                <w:b/>
                <w:color w:val="FFFFFF"/>
                <w:sz w:val="17"/>
              </w:rPr>
              <w:t>Mechanism</w:t>
            </w:r>
          </w:p>
        </w:tc>
        <w:tc>
          <w:tcPr>
            <w:tcW w:type="dxa" w:w="3628"/>
            <w:shd w:val="clear" w:fill="1C6E63"/>
          </w:tcPr>
          <w:p>
            <w:r>
              <w:rPr>
                <w:rFonts w:ascii="Arial" w:hAnsi="Arial"/>
                <w:b/>
                <w:color w:val="FFFFFF"/>
                <w:sz w:val="17"/>
              </w:rPr>
              <w:t>Mitigant / monitor</w:t>
            </w:r>
          </w:p>
        </w:tc>
      </w:tr>
      <w:tr>
        <w:tc>
          <w:tcPr>
            <w:tcW w:type="dxa" w:w="2041"/>
          </w:tcPr>
          <w:p>
            <w:r>
              <w:rPr>
                <w:rFonts w:ascii="Arial" w:hAnsi="Arial"/>
                <w:sz w:val="17"/>
              </w:rPr>
              <w:t>EGP step-devaluation</w:t>
            </w:r>
          </w:p>
        </w:tc>
        <w:tc>
          <w:tcPr>
            <w:tcW w:type="dxa" w:w="3628"/>
          </w:tcPr>
          <w:p>
            <w:r>
              <w:rPr>
                <w:rFonts w:ascii="Arial" w:hAnsi="Arial"/>
                <w:sz w:val="17"/>
              </w:rPr>
              <w:t>~80% of direct materials imported or FX-linked; instant COGS reset</w:t>
            </w:r>
          </w:p>
        </w:tc>
        <w:tc>
          <w:tcPr>
            <w:tcW w:type="dxa" w:w="3628"/>
          </w:tcPr>
          <w:p>
            <w:r>
              <w:rPr>
                <w:rFonts w:ascii="Arial" w:hAnsi="Arial"/>
                <w:sz w:val="17"/>
              </w:rPr>
              <w:t>price-point ladder; exports 9.5% of sales and rising; watch GPM quarterly</w:t>
            </w:r>
          </w:p>
        </w:tc>
      </w:tr>
      <w:tr>
        <w:tc>
          <w:tcPr>
            <w:tcW w:type="dxa" w:w="2041"/>
            <w:shd w:val="clear" w:fill="F4F8F7"/>
          </w:tcPr>
          <w:p>
            <w:r>
              <w:rPr>
                <w:rFonts w:ascii="Arial" w:hAnsi="Arial"/>
                <w:sz w:val="17"/>
              </w:rPr>
              <w:t>Purchasing-power shock</w:t>
            </w:r>
          </w:p>
        </w:tc>
        <w:tc>
          <w:tcPr>
            <w:tcW w:type="dxa" w:w="3628"/>
            <w:shd w:val="clear" w:fill="F4F8F7"/>
          </w:tcPr>
          <w:p>
            <w:r>
              <w:rPr>
                <w:rFonts w:ascii="Arial" w:hAnsi="Arial"/>
                <w:sz w:val="17"/>
              </w:rPr>
              <w:t>volume down-trading to informal substitutes</w:t>
            </w:r>
          </w:p>
        </w:tc>
        <w:tc>
          <w:tcPr>
            <w:tcW w:type="dxa" w:w="3628"/>
            <w:shd w:val="clear" w:fill="F4F8F7"/>
          </w:tcPr>
          <w:p>
            <w:r>
              <w:rPr>
                <w:rFonts w:ascii="Arial" w:hAnsi="Arial"/>
                <w:sz w:val="17"/>
              </w:rPr>
              <w:t>1Q26 packs +18%, tons +37% — monitor pack growth turning negative</w:t>
            </w:r>
          </w:p>
        </w:tc>
      </w:tr>
      <w:tr>
        <w:tc>
          <w:tcPr>
            <w:tcW w:type="dxa" w:w="2041"/>
          </w:tcPr>
          <w:p>
            <w:r>
              <w:rPr>
                <w:rFonts w:ascii="Arial" w:hAnsi="Arial"/>
                <w:sz w:val="17"/>
              </w:rPr>
              <w:t>Soft commodities</w:t>
            </w:r>
          </w:p>
        </w:tc>
        <w:tc>
          <w:tcPr>
            <w:tcW w:type="dxa" w:w="3628"/>
          </w:tcPr>
          <w:p>
            <w:r>
              <w:rPr>
                <w:rFonts w:ascii="Arial" w:hAnsi="Arial"/>
                <w:sz w:val="17"/>
              </w:rPr>
              <w:t>sugar, cocoa, wheat, oils, films cycles</w:t>
            </w:r>
          </w:p>
        </w:tc>
        <w:tc>
          <w:tcPr>
            <w:tcW w:type="dxa" w:w="3628"/>
          </w:tcPr>
          <w:p>
            <w:r>
              <w:rPr>
                <w:rFonts w:ascii="Arial" w:hAnsi="Arial"/>
                <w:sz w:val="17"/>
              </w:rPr>
              <w:t>partial hedging/inventory cover (FY24 inventory build was deliberate)</w:t>
            </w:r>
          </w:p>
        </w:tc>
      </w:tr>
      <w:tr>
        <w:tc>
          <w:tcPr>
            <w:tcW w:type="dxa" w:w="2041"/>
            <w:shd w:val="clear" w:fill="F4F8F7"/>
          </w:tcPr>
          <w:p>
            <w:r>
              <w:rPr>
                <w:rFonts w:ascii="Arial" w:hAnsi="Arial"/>
                <w:sz w:val="17"/>
              </w:rPr>
              <w:t>Concentration of control</w:t>
            </w:r>
          </w:p>
        </w:tc>
        <w:tc>
          <w:tcPr>
            <w:tcW w:type="dxa" w:w="3628"/>
            <w:shd w:val="clear" w:fill="F4F8F7"/>
          </w:tcPr>
          <w:p>
            <w:r>
              <w:rPr>
                <w:rFonts w:ascii="Arial" w:hAnsi="Arial"/>
                <w:sz w:val="17"/>
              </w:rPr>
              <w:t>Quantum 49% + related-party brand history (HTT bought from an affiliate)</w:t>
            </w:r>
          </w:p>
        </w:tc>
        <w:tc>
          <w:tcPr>
            <w:tcW w:type="dxa" w:w="3628"/>
            <w:shd w:val="clear" w:fill="F4F8F7"/>
          </w:tcPr>
          <w:p>
            <w:r>
              <w:rPr>
                <w:rFonts w:ascii="Arial" w:hAnsi="Arial"/>
                <w:sz w:val="17"/>
              </w:rPr>
              <w:t>disclosed transactions; board process; minority-alignment record is long</w:t>
            </w:r>
          </w:p>
        </w:tc>
      </w:tr>
      <w:tr>
        <w:tc>
          <w:tcPr>
            <w:tcW w:type="dxa" w:w="2041"/>
          </w:tcPr>
          <w:p>
            <w:r>
              <w:rPr>
                <w:rFonts w:ascii="Arial" w:hAnsi="Arial"/>
                <w:sz w:val="17"/>
              </w:rPr>
              <w:t>Execution on new capacity</w:t>
            </w:r>
          </w:p>
        </w:tc>
        <w:tc>
          <w:tcPr>
            <w:tcW w:type="dxa" w:w="3628"/>
          </w:tcPr>
          <w:p>
            <w:r>
              <w:rPr>
                <w:rFonts w:ascii="Arial" w:hAnsi="Arial"/>
                <w:sz w:val="17"/>
              </w:rPr>
              <w:t>FY25–26 lines must fill to hold margin</w:t>
            </w:r>
          </w:p>
        </w:tc>
        <w:tc>
          <w:tcPr>
            <w:tcW w:type="dxa" w:w="3628"/>
          </w:tcPr>
          <w:p>
            <w:r>
              <w:rPr>
                <w:rFonts w:ascii="Arial" w:hAnsi="Arial"/>
                <w:sz w:val="17"/>
              </w:rPr>
              <w:t>utilization disclosures; first new cake line full by end-1Q26</w:t>
            </w:r>
          </w:p>
        </w:tc>
      </w:tr>
      <w:tr>
        <w:tc>
          <w:tcPr>
            <w:tcW w:type="dxa" w:w="2041"/>
            <w:shd w:val="clear" w:fill="F4F8F7"/>
          </w:tcPr>
          <w:p>
            <w:r>
              <w:rPr>
                <w:rFonts w:ascii="Arial" w:hAnsi="Arial"/>
                <w:sz w:val="17"/>
              </w:rPr>
              <w:t>Regional expansion losses</w:t>
            </w:r>
          </w:p>
        </w:tc>
        <w:tc>
          <w:tcPr>
            <w:tcW w:type="dxa" w:w="3628"/>
            <w:shd w:val="clear" w:fill="F4F8F7"/>
          </w:tcPr>
          <w:p>
            <w:r>
              <w:rPr>
                <w:rFonts w:ascii="Arial" w:hAnsi="Arial"/>
                <w:sz w:val="17"/>
              </w:rPr>
              <w:t>Morocco/Iraq scale-up costs</w:t>
            </w:r>
          </w:p>
        </w:tc>
        <w:tc>
          <w:tcPr>
            <w:tcW w:type="dxa" w:w="3628"/>
            <w:shd w:val="clear" w:fill="F4F8F7"/>
          </w:tcPr>
          <w:p>
            <w:r>
              <w:rPr>
                <w:rFonts w:ascii="Arial" w:hAnsi="Arial"/>
                <w:sz w:val="17"/>
              </w:rPr>
              <w:t>Morocco revenue +21% 1Q26; segment losses contained (frozen −EGP 50m)</w:t>
            </w:r>
          </w:p>
        </w:tc>
      </w:tr>
      <w:tr>
        <w:tc>
          <w:tcPr>
            <w:tcW w:type="dxa" w:w="2041"/>
          </w:tcPr>
          <w:p>
            <w:r>
              <w:rPr>
                <w:rFonts w:ascii="Arial" w:hAnsi="Arial"/>
                <w:sz w:val="17"/>
              </w:rPr>
              <w:t>Rate normalization cuts interest income</w:t>
            </w:r>
          </w:p>
        </w:tc>
        <w:tc>
          <w:tcPr>
            <w:tcW w:type="dxa" w:w="3628"/>
          </w:tcPr>
          <w:p>
            <w:r>
              <w:rPr>
                <w:rFonts w:ascii="Arial" w:hAnsi="Arial"/>
                <w:sz w:val="17"/>
              </w:rPr>
              <w:t>1Q26 net finance +EGP 189m flatters PBT</w:t>
            </w:r>
          </w:p>
        </w:tc>
        <w:tc>
          <w:tcPr>
            <w:tcW w:type="dxa" w:w="3628"/>
          </w:tcPr>
          <w:p>
            <w:r>
              <w:rPr>
                <w:rFonts w:ascii="Arial" w:hAnsi="Arial"/>
                <w:sz w:val="17"/>
              </w:rPr>
              <w:t>normalized-earnings lens already excludes it</w:t>
            </w:r>
          </w:p>
        </w:tc>
      </w:tr>
      <w:tr>
        <w:tc>
          <w:tcPr>
            <w:tcW w:type="dxa" w:w="2041"/>
            <w:shd w:val="clear" w:fill="F4F8F7"/>
          </w:tcPr>
          <w:p>
            <w:r>
              <w:rPr>
                <w:rFonts w:ascii="Arial" w:hAnsi="Arial"/>
                <w:sz w:val="17"/>
              </w:rPr>
              <w:t>EGX liquidity &amp; flows</w:t>
            </w:r>
          </w:p>
        </w:tc>
        <w:tc>
          <w:tcPr>
            <w:tcW w:type="dxa" w:w="3628"/>
            <w:shd w:val="clear" w:fill="F4F8F7"/>
          </w:tcPr>
          <w:p>
            <w:r>
              <w:rPr>
                <w:rFonts w:ascii="Arial" w:hAnsi="Arial"/>
                <w:sz w:val="17"/>
              </w:rPr>
              <w:t>single-market listing; EM flow beta</w:t>
            </w:r>
          </w:p>
        </w:tc>
        <w:tc>
          <w:tcPr>
            <w:tcW w:type="dxa" w:w="3628"/>
            <w:shd w:val="clear" w:fill="F4F8F7"/>
          </w:tcPr>
          <w:p>
            <w:r>
              <w:rPr>
                <w:rFonts w:ascii="Arial" w:hAnsi="Arial"/>
                <w:sz w:val="17"/>
              </w:rPr>
              <w:t>ADV healthy post-split; GDR line dormant</w:t>
            </w:r>
          </w:p>
        </w:tc>
      </w:tr>
    </w:tbl>
    <w:p>
      <w:pPr>
        <w:spacing w:after="40"/>
      </w:pPr>
    </w:p>
    <w:p>
      <w:pPr>
        <w:pStyle w:val="Heading1"/>
      </w:pPr>
      <w:r>
        <w:t>Appendix D  The expert valuation panel</w:t>
      </w:r>
    </w:p>
    <w:p>
      <w:pPr>
        <w:spacing w:after="80"/>
      </w:pPr>
      <w:r>
        <w:rPr>
          <w:rFonts w:ascii="Arial" w:hAnsi="Arial"/>
          <w:b w:val="0"/>
          <w:i w:val="0"/>
          <w:sz w:val="19"/>
        </w:rPr>
        <w:t>Three experts from the house persona library, cast for an industrial/consumer going concern: an earnings-power capitalizer, a quality-of-earnings accountant, and a macro-policy scenario builder. Each runs a genuinely different method on the same disclosed numbers; each states what would falsify them. Per house rule they are labelled Expert 1/2/3. Point values are logged (03-Jul-2026, spot 27.34) in the per-expert calibration layer, separate from the core ledger.</w:t>
      </w:r>
    </w:p>
    <w:p>
      <w:pPr>
        <w:spacing w:after="80"/>
      </w:pPr>
      <w:r>
        <w:rPr>
          <w:rFonts w:ascii="Arial" w:hAnsi="Arial"/>
          <w:b w:val="0"/>
          <w:i w:val="0"/>
          <w:sz w:val="19"/>
        </w:rPr>
      </w:r>
      <w:r>
        <w:rPr>
          <w:rFonts w:ascii="Arial" w:hAnsi="Arial"/>
          <w:b/>
          <w:i w:val="0"/>
          <w:sz w:val="19"/>
        </w:rPr>
        <w:t>Method discipline, stated up front.</w:t>
      </w:r>
      <w:r>
        <w:rPr>
          <w:rFonts w:ascii="Arial" w:hAnsi="Arial"/>
          <w:b w:val="0"/>
          <w:i w:val="0"/>
          <w:sz w:val="19"/>
        </w:rPr>
        <w:t xml:space="preserve"> The panel is not three flavors of the same DCF: Expert 1 never builds a forecast, Expert 2 never trusts one, and Expert 3 builds three and refuses to choose. Each fair value below is derived on the page from disclosed figures — the FY2025 and 1Q2026 releases and the reconstructed statements of Appendix A — and each expert signs a falsification condition tied to observable prints, so the panel can be graded, not merely admired. Where an input is a judgment (a multiple, a probability, a sustainable growth rate) it is named as the swing input and stress-tested in its own sensitivity row. A quarterly update re-runs these same three personas on fresh data; it does not recast them.</w:t>
      </w:r>
    </w:p>
    <w:p>
      <w:pPr>
        <w:pStyle w:val="Heading2"/>
      </w:pPr>
      <w:r>
        <w:t>D.1  Expert 1 — steady-state earnings power, capitalized</w:t>
      </w:r>
    </w:p>
    <w:p>
      <w:pPr>
        <w:spacing w:after="80"/>
      </w:pPr>
      <w:r>
        <w:rPr>
          <w:rFonts w:ascii="Arial" w:hAnsi="Arial"/>
          <w:b w:val="0"/>
          <w:i w:val="0"/>
          <w:sz w:val="19"/>
        </w:rPr>
      </w:r>
      <w:r>
        <w:rPr>
          <w:rFonts w:ascii="Arial" w:hAnsi="Arial"/>
          <w:b/>
          <w:i w:val="0"/>
          <w:sz w:val="19"/>
        </w:rPr>
        <w:t>Worldview and tradition.</w:t>
      </w:r>
      <w:r>
        <w:rPr>
          <w:rFonts w:ascii="Arial" w:hAnsi="Arial"/>
          <w:b w:val="0"/>
          <w:i w:val="0"/>
          <w:sz w:val="19"/>
        </w:rPr>
        <w:t xml:space="preserve"> Expert 1 descends from the Graham-and-Dodd earnings-power line as modernized by the value-driver formula: a franchise is worth its sustainable owner earnings, capitalized at the cost of equity less the growth those earnings can self-fund. No terminal-value theater, no five-year hockey sticks — one representative year, one reinvestment rate, one return on incremental capital, and the arithmetic does the rest. </w:t>
      </w:r>
      <w:r>
        <w:rPr>
          <w:rFonts w:ascii="Arial" w:hAnsi="Arial"/>
          <w:b/>
          <w:i w:val="0"/>
          <w:sz w:val="19"/>
        </w:rPr>
        <w:t>When it works:</w:t>
      </w:r>
      <w:r>
        <w:rPr>
          <w:rFonts w:ascii="Arial" w:hAnsi="Arial"/>
          <w:b w:val="0"/>
          <w:i w:val="0"/>
          <w:sz w:val="19"/>
        </w:rPr>
        <w:t xml:space="preserve"> stable-demand franchises with visible unit economics and long reinvestment runways — exactly a branded staples company. </w:t>
      </w:r>
      <w:r>
        <w:rPr>
          <w:rFonts w:ascii="Arial" w:hAnsi="Arial"/>
          <w:b/>
          <w:i w:val="0"/>
          <w:sz w:val="19"/>
        </w:rPr>
        <w:t>When it fails:</w:t>
      </w:r>
      <w:r>
        <w:rPr>
          <w:rFonts w:ascii="Arial" w:hAnsi="Arial"/>
          <w:b w:val="0"/>
          <w:i w:val="0"/>
          <w:sz w:val="19"/>
        </w:rPr>
        <w:t xml:space="preserve"> at regime changes (a devaluation resets the "representative year" overnight), and whenever the Ke-minus-g denominator gets thin, where a one-point wobble swings the answer violently — a real hazard at Egyptian discount rates.</w:t>
      </w:r>
    </w:p>
    <w:p>
      <w:pPr>
        <w:spacing w:after="80"/>
      </w:pPr>
      <w:r>
        <w:rPr>
          <w:rFonts w:ascii="Arial" w:hAnsi="Arial"/>
          <w:b w:val="0"/>
          <w:i w:val="0"/>
          <w:sz w:val="19"/>
        </w:rPr>
      </w:r>
      <w:r>
        <w:rPr>
          <w:rFonts w:ascii="Arial" w:hAnsi="Arial"/>
          <w:b/>
          <w:i w:val="0"/>
          <w:sz w:val="19"/>
        </w:rPr>
        <w:t>Standard workings.</w:t>
      </w:r>
      <w:r>
        <w:rPr>
          <w:rFonts w:ascii="Arial" w:hAnsi="Arial"/>
          <w:b w:val="0"/>
          <w:i w:val="0"/>
          <w:sz w:val="19"/>
        </w:rPr>
        <w:t xml:space="preserve"> (1) Fix a representative-year revenue and EBIT margin, deliberately mid-cycle. (2) NOPAT = EBIT × (1 − t). (3) Estimate the reinvestment rate RR (capex above depreciation plus working capital, over NOPAT) and the return on that incremental capital (ROIIC); sustainable g = RR × ROIIC, capped by nominal GDP logic. (4) Value of operations = NOPAT × (1 − RR) / (Ke − g). (5) Add net cash, divide by shares.</w:t>
      </w:r>
    </w:p>
    <w:tbl>
      <w:tblPr>
        <w:tblStyle w:val="TableGrid"/>
        <w:tblW w:type="auto" w:w="0"/>
        <w:jc w:val="center"/>
        <w:tblLook w:firstColumn="1" w:firstRow="1" w:lastColumn="0" w:lastRow="0" w:noHBand="0" w:noVBand="1" w:val="04A0"/>
      </w:tblPr>
      <w:tblGrid>
        <w:gridCol w:w="3324"/>
        <w:gridCol w:w="3324"/>
        <w:gridCol w:w="3324"/>
      </w:tblGrid>
      <w:tr>
        <w:tc>
          <w:tcPr>
            <w:tcW w:type="dxa" w:w="3515"/>
            <w:shd w:val="clear" w:fill="1C6E63"/>
          </w:tcPr>
          <w:p>
            <w:r>
              <w:rPr>
                <w:rFonts w:ascii="Arial" w:hAnsi="Arial"/>
                <w:b/>
                <w:color w:val="FFFFFF"/>
                <w:sz w:val="17"/>
              </w:rPr>
              <w:t>Expert 1 — workings</w:t>
            </w:r>
          </w:p>
        </w:tc>
        <w:tc>
          <w:tcPr>
            <w:tcW w:type="dxa" w:w="2041"/>
            <w:shd w:val="clear" w:fill="1C6E63"/>
          </w:tcPr>
          <w:p>
            <w:r>
              <w:rPr>
                <w:rFonts w:ascii="Arial" w:hAnsi="Arial"/>
                <w:b/>
                <w:color w:val="FFFFFF"/>
                <w:sz w:val="17"/>
              </w:rPr>
              <w:t>Value</w:t>
            </w:r>
          </w:p>
        </w:tc>
        <w:tc>
          <w:tcPr>
            <w:tcW w:type="dxa" w:w="3742"/>
            <w:shd w:val="clear" w:fill="1C6E63"/>
          </w:tcPr>
          <w:p>
            <w:r>
              <w:rPr>
                <w:rFonts w:ascii="Arial" w:hAnsi="Arial"/>
                <w:b/>
                <w:color w:val="FFFFFF"/>
                <w:sz w:val="17"/>
              </w:rPr>
              <w:t>Note</w:t>
            </w:r>
          </w:p>
        </w:tc>
      </w:tr>
      <w:tr>
        <w:tc>
          <w:tcPr>
            <w:tcW w:type="dxa" w:w="3515"/>
          </w:tcPr>
          <w:p>
            <w:r>
              <w:rPr>
                <w:rFonts w:ascii="Arial" w:hAnsi="Arial"/>
                <w:sz w:val="17"/>
              </w:rPr>
              <w:t>Representative revenue (FY26E)</w:t>
            </w:r>
          </w:p>
        </w:tc>
        <w:tc>
          <w:tcPr>
            <w:tcW w:type="dxa" w:w="2041"/>
          </w:tcPr>
          <w:p>
            <w:r>
              <w:rPr>
                <w:rFonts w:ascii="Arial" w:hAnsi="Arial"/>
                <w:sz w:val="17"/>
              </w:rPr>
              <w:t>EGP 27,190m</w:t>
            </w:r>
          </w:p>
        </w:tc>
        <w:tc>
          <w:tcPr>
            <w:tcW w:type="dxa" w:w="3742"/>
          </w:tcPr>
          <w:p>
            <w:r>
              <w:rPr>
                <w:rFonts w:ascii="Arial" w:hAnsi="Arial"/>
                <w:sz w:val="17"/>
              </w:rPr>
              <w:t>1Q26 run-rate, mid-cycle margin applied below</w:t>
            </w:r>
          </w:p>
        </w:tc>
      </w:tr>
      <w:tr>
        <w:tc>
          <w:tcPr>
            <w:tcW w:type="dxa" w:w="3515"/>
            <w:shd w:val="clear" w:fill="F4F8F7"/>
          </w:tcPr>
          <w:p>
            <w:r>
              <w:rPr>
                <w:rFonts w:ascii="Arial" w:hAnsi="Arial"/>
                <w:sz w:val="17"/>
              </w:rPr>
              <w:t>Mid-cycle EBIT margin</w:t>
            </w:r>
          </w:p>
        </w:tc>
        <w:tc>
          <w:tcPr>
            <w:tcW w:type="dxa" w:w="2041"/>
            <w:shd w:val="clear" w:fill="F4F8F7"/>
          </w:tcPr>
          <w:p>
            <w:r>
              <w:rPr>
                <w:rFonts w:ascii="Arial" w:hAnsi="Arial"/>
                <w:sz w:val="17"/>
              </w:rPr>
              <w:t>16.6%</w:t>
            </w:r>
          </w:p>
        </w:tc>
        <w:tc>
          <w:tcPr>
            <w:tcW w:type="dxa" w:w="3742"/>
            <w:shd w:val="clear" w:fill="F4F8F7"/>
          </w:tcPr>
          <w:p>
            <w:r>
              <w:rPr>
                <w:rFonts w:ascii="Arial" w:hAnsi="Arial"/>
                <w:sz w:val="17"/>
              </w:rPr>
              <w:t>FY25 16.9%, FY24 13.4%, 1Q26 15.5% — takes the middle</w:t>
            </w:r>
          </w:p>
        </w:tc>
      </w:tr>
      <w:tr>
        <w:tc>
          <w:tcPr>
            <w:tcW w:type="dxa" w:w="3515"/>
          </w:tcPr>
          <w:p>
            <w:r>
              <w:rPr>
                <w:rFonts w:ascii="Arial" w:hAnsi="Arial"/>
                <w:sz w:val="17"/>
              </w:rPr>
              <w:t>NOPAT (t = 26.5%)</w:t>
            </w:r>
          </w:p>
        </w:tc>
        <w:tc>
          <w:tcPr>
            <w:tcW w:type="dxa" w:w="2041"/>
          </w:tcPr>
          <w:p>
            <w:r>
              <w:rPr>
                <w:rFonts w:ascii="Arial" w:hAnsi="Arial"/>
                <w:sz w:val="17"/>
              </w:rPr>
              <w:t>EGP 3,318m</w:t>
            </w:r>
          </w:p>
        </w:tc>
        <w:tc>
          <w:tcPr>
            <w:tcW w:type="dxa" w:w="3742"/>
          </w:tcPr>
          <w:p>
            <w:r>
              <w:rPr>
                <w:rFonts w:ascii="Arial" w:hAnsi="Arial"/>
                <w:sz w:val="17"/>
              </w:rPr>
              <w:t>operating only; interest income excluded on principle</w:t>
            </w:r>
          </w:p>
        </w:tc>
      </w:tr>
      <w:tr>
        <w:tc>
          <w:tcPr>
            <w:tcW w:type="dxa" w:w="3515"/>
            <w:shd w:val="clear" w:fill="F4F8F7"/>
          </w:tcPr>
          <w:p>
            <w:r>
              <w:rPr>
                <w:rFonts w:ascii="Arial" w:hAnsi="Arial"/>
                <w:sz w:val="17"/>
              </w:rPr>
              <w:t>Reinvestment rate (RR)</w:t>
            </w:r>
          </w:p>
        </w:tc>
        <w:tc>
          <w:tcPr>
            <w:tcW w:type="dxa" w:w="2041"/>
            <w:shd w:val="clear" w:fill="F4F8F7"/>
          </w:tcPr>
          <w:p>
            <w:r>
              <w:rPr>
                <w:rFonts w:ascii="Arial" w:hAnsi="Arial"/>
                <w:sz w:val="17"/>
              </w:rPr>
              <w:t>35%</w:t>
            </w:r>
          </w:p>
        </w:tc>
        <w:tc>
          <w:tcPr>
            <w:tcW w:type="dxa" w:w="3742"/>
            <w:shd w:val="clear" w:fill="F4F8F7"/>
          </w:tcPr>
          <w:p>
            <w:r>
              <w:rPr>
                <w:rFonts w:ascii="Arial" w:hAnsi="Arial"/>
                <w:sz w:val="17"/>
              </w:rPr>
              <w:t>capex 6% of sales less D&amp;A, plus NWC, over NOPAT</w:t>
            </w:r>
          </w:p>
        </w:tc>
      </w:tr>
      <w:tr>
        <w:tc>
          <w:tcPr>
            <w:tcW w:type="dxa" w:w="3515"/>
          </w:tcPr>
          <w:p>
            <w:r>
              <w:rPr>
                <w:rFonts w:ascii="Arial" w:hAnsi="Arial"/>
                <w:sz w:val="17"/>
              </w:rPr>
              <w:t>ROIIC</w:t>
            </w:r>
          </w:p>
        </w:tc>
        <w:tc>
          <w:tcPr>
            <w:tcW w:type="dxa" w:w="2041"/>
          </w:tcPr>
          <w:p>
            <w:r>
              <w:rPr>
                <w:rFonts w:ascii="Arial" w:hAnsi="Arial"/>
                <w:sz w:val="17"/>
              </w:rPr>
              <w:t>46%</w:t>
            </w:r>
          </w:p>
        </w:tc>
        <w:tc>
          <w:tcPr>
            <w:tcW w:type="dxa" w:w="3742"/>
          </w:tcPr>
          <w:p>
            <w:r>
              <w:rPr>
                <w:rFonts w:ascii="Arial" w:hAnsi="Arial"/>
                <w:sz w:val="17"/>
              </w:rPr>
              <w:t>incremental EBIT FY23→FY25 over incremental invested capital</w:t>
            </w:r>
          </w:p>
        </w:tc>
      </w:tr>
      <w:tr>
        <w:tc>
          <w:tcPr>
            <w:tcW w:type="dxa" w:w="3515"/>
            <w:shd w:val="clear" w:fill="F4F8F7"/>
          </w:tcPr>
          <w:p>
            <w:r>
              <w:rPr>
                <w:rFonts w:ascii="Arial" w:hAnsi="Arial"/>
                <w:sz w:val="17"/>
              </w:rPr>
              <w:t>Sustainable g = min(RR×ROIIC, cap)</w:t>
            </w:r>
          </w:p>
        </w:tc>
        <w:tc>
          <w:tcPr>
            <w:tcW w:type="dxa" w:w="2041"/>
            <w:shd w:val="clear" w:fill="F4F8F7"/>
          </w:tcPr>
          <w:p>
            <w:r>
              <w:rPr>
                <w:rFonts w:ascii="Arial" w:hAnsi="Arial"/>
                <w:sz w:val="17"/>
              </w:rPr>
              <w:t>16.0%</w:t>
            </w:r>
          </w:p>
        </w:tc>
        <w:tc>
          <w:tcPr>
            <w:tcW w:type="dxa" w:w="3742"/>
            <w:shd w:val="clear" w:fill="F4F8F7"/>
          </w:tcPr>
          <w:p>
            <w:r>
              <w:rPr>
                <w:rFonts w:ascii="Arial" w:hAnsi="Arial"/>
                <w:sz w:val="17"/>
              </w:rPr>
              <w:t>raw 16.1%; capped at nominal-GDP-plus</w:t>
            </w:r>
          </w:p>
        </w:tc>
      </w:tr>
      <w:tr>
        <w:tc>
          <w:tcPr>
            <w:tcW w:type="dxa" w:w="3515"/>
          </w:tcPr>
          <w:p>
            <w:r>
              <w:rPr>
                <w:rFonts w:ascii="Arial" w:hAnsi="Arial"/>
                <w:sz w:val="17"/>
              </w:rPr>
              <w:t>Cost of equity</w:t>
            </w:r>
          </w:p>
        </w:tc>
        <w:tc>
          <w:tcPr>
            <w:tcW w:type="dxa" w:w="2041"/>
          </w:tcPr>
          <w:p>
            <w:r>
              <w:rPr>
                <w:rFonts w:ascii="Arial" w:hAnsi="Arial"/>
                <w:sz w:val="17"/>
              </w:rPr>
              <w:t>21.4%</w:t>
            </w:r>
          </w:p>
        </w:tc>
        <w:tc>
          <w:tcPr>
            <w:tcW w:type="dxa" w:w="3742"/>
          </w:tcPr>
          <w:p>
            <w:r>
              <w:rPr>
                <w:rFonts w:ascii="Arial" w:hAnsi="Arial"/>
                <w:sz w:val="17"/>
              </w:rPr>
              <w:t>16.5% rf + 0.70 × 7.0%</w:t>
            </w:r>
          </w:p>
        </w:tc>
      </w:tr>
      <w:tr>
        <w:tc>
          <w:tcPr>
            <w:tcW w:type="dxa" w:w="3515"/>
            <w:shd w:val="clear" w:fill="F4F8F7"/>
          </w:tcPr>
          <w:p>
            <w:r>
              <w:rPr>
                <w:rFonts w:ascii="Arial" w:hAnsi="Arial"/>
                <w:sz w:val="17"/>
              </w:rPr>
              <w:t>Value of operations</w:t>
            </w:r>
          </w:p>
        </w:tc>
        <w:tc>
          <w:tcPr>
            <w:tcW w:type="dxa" w:w="2041"/>
            <w:shd w:val="clear" w:fill="F4F8F7"/>
          </w:tcPr>
          <w:p>
            <w:r>
              <w:rPr>
                <w:rFonts w:ascii="Arial" w:hAnsi="Arial"/>
                <w:sz w:val="17"/>
              </w:rPr>
              <w:t>EGP 39,913m</w:t>
            </w:r>
          </w:p>
        </w:tc>
        <w:tc>
          <w:tcPr>
            <w:tcW w:type="dxa" w:w="3742"/>
            <w:shd w:val="clear" w:fill="F4F8F7"/>
          </w:tcPr>
          <w:p>
            <w:r>
              <w:rPr>
                <w:rFonts w:ascii="Arial" w:hAnsi="Arial"/>
                <w:sz w:val="17"/>
              </w:rPr>
              <w:t>3,318 × 0.65 / (0.214 − 0.160)</w:t>
            </w:r>
          </w:p>
        </w:tc>
      </w:tr>
      <w:tr>
        <w:tc>
          <w:tcPr>
            <w:tcW w:type="dxa" w:w="3515"/>
          </w:tcPr>
          <w:p>
            <w:r>
              <w:rPr>
                <w:rFonts w:ascii="Arial" w:hAnsi="Arial"/>
                <w:sz w:val="17"/>
              </w:rPr>
              <w:t>+ Net cash</w:t>
            </w:r>
          </w:p>
        </w:tc>
        <w:tc>
          <w:tcPr>
            <w:tcW w:type="dxa" w:w="2041"/>
          </w:tcPr>
          <w:p>
            <w:r>
              <w:rPr>
                <w:rFonts w:ascii="Arial" w:hAnsi="Arial"/>
                <w:sz w:val="17"/>
              </w:rPr>
              <w:t>EGP 853m</w:t>
            </w:r>
          </w:p>
        </w:tc>
        <w:tc>
          <w:tcPr>
            <w:tcW w:type="dxa" w:w="3742"/>
          </w:tcPr>
          <w:p>
            <w:r>
              <w:rPr>
                <w:rFonts w:ascii="Arial" w:hAnsi="Arial"/>
                <w:sz w:val="17"/>
              </w:rPr>
              <w:t>31-Mar-2026</w:t>
            </w:r>
          </w:p>
        </w:tc>
      </w:tr>
      <w:tr>
        <w:tc>
          <w:tcPr>
            <w:tcW w:type="dxa" w:w="3515"/>
            <w:shd w:val="clear" w:fill="F4F8F7"/>
          </w:tcPr>
          <w:p>
            <w:r>
              <w:rPr>
                <w:rFonts w:ascii="Arial" w:hAnsi="Arial"/>
                <w:sz w:val="17"/>
              </w:rPr>
              <w:t>Fair value per share</w:t>
            </w:r>
          </w:p>
        </w:tc>
        <w:tc>
          <w:tcPr>
            <w:tcW w:type="dxa" w:w="2041"/>
            <w:shd w:val="clear" w:fill="F4F8F7"/>
          </w:tcPr>
          <w:p>
            <w:r>
              <w:rPr>
                <w:rFonts w:ascii="Arial" w:hAnsi="Arial"/>
                <w:sz w:val="17"/>
              </w:rPr>
              <w:t>EGP 29.12</w:t>
            </w:r>
          </w:p>
        </w:tc>
        <w:tc>
          <w:tcPr>
            <w:tcW w:type="dxa" w:w="3742"/>
            <w:shd w:val="clear" w:fill="F4F8F7"/>
          </w:tcPr>
          <w:p>
            <w:r>
              <w:rPr>
                <w:rFonts w:ascii="Arial" w:hAnsi="Arial"/>
                <w:sz w:val="17"/>
              </w:rPr>
              <w:t>40,766 / 1,400.04m</w:t>
            </w:r>
          </w:p>
        </w:tc>
      </w:tr>
    </w:tbl>
    <w:p>
      <w:pPr>
        <w:spacing w:after="40"/>
      </w:pPr>
    </w:p>
    <w:p>
      <w:pPr>
        <w:spacing w:after="80"/>
      </w:pPr>
      <w:r>
        <w:rPr>
          <w:rFonts w:ascii="Arial" w:hAnsi="Arial"/>
          <w:b w:val="0"/>
          <w:i w:val="0"/>
          <w:sz w:val="19"/>
        </w:rPr>
      </w:r>
      <w:r>
        <w:rPr>
          <w:rFonts w:ascii="Arial" w:hAnsi="Arial"/>
          <w:b/>
          <w:i w:val="0"/>
          <w:sz w:val="19"/>
        </w:rPr>
        <w:t>Worked example, read aloud.</w:t>
      </w:r>
      <w:r>
        <w:rPr>
          <w:rFonts w:ascii="Arial" w:hAnsi="Arial"/>
          <w:b w:val="0"/>
          <w:i w:val="0"/>
          <w:sz w:val="19"/>
        </w:rPr>
        <w:t xml:space="preserve"> Of every pound of after-tax operating profit, thirty-five piastres are ploughed back at a 46% incremental return — that reinvestment is the growth, 16% a year, sustainably self-funded. The remaining sixty-five piastres are the owner’s coupon: EGP 2,157m, growing at 16%, discounted at 21.4%, is worth EGP 2,157m/5.4% = EGP 39.9bn of operations. The company hands you the cash pile on top. EGP 29.1 a share — and note the method needed no forecast beyond one representative year.</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3742"/>
            <w:shd w:val="clear" w:fill="1C6E63"/>
          </w:tcPr>
          <w:p>
            <w:r>
              <w:rPr>
                <w:rFonts w:ascii="Arial" w:hAnsi="Arial"/>
                <w:b/>
                <w:color w:val="FFFFFF"/>
                <w:sz w:val="17"/>
              </w:rPr>
              <w:t>Expert 1 — sensitivity on the swing input (sustainable g)</w:t>
            </w:r>
          </w:p>
        </w:tc>
        <w:tc>
          <w:tcPr>
            <w:tcW w:type="dxa" w:w="1134"/>
            <w:shd w:val="clear" w:fill="1C6E63"/>
          </w:tcPr>
          <w:p>
            <w:r>
              <w:rPr>
                <w:rFonts w:ascii="Arial" w:hAnsi="Arial"/>
                <w:b/>
                <w:color w:val="FFFFFF"/>
                <w:sz w:val="17"/>
              </w:rPr>
              <w:t>14.0%</w:t>
            </w:r>
          </w:p>
        </w:tc>
        <w:tc>
          <w:tcPr>
            <w:tcW w:type="dxa" w:w="1134"/>
            <w:shd w:val="clear" w:fill="1C6E63"/>
          </w:tcPr>
          <w:p>
            <w:r>
              <w:rPr>
                <w:rFonts w:ascii="Arial" w:hAnsi="Arial"/>
                <w:b/>
                <w:color w:val="FFFFFF"/>
                <w:sz w:val="17"/>
              </w:rPr>
              <w:t>15.0%</w:t>
            </w:r>
          </w:p>
        </w:tc>
        <w:tc>
          <w:tcPr>
            <w:tcW w:type="dxa" w:w="1134"/>
            <w:shd w:val="clear" w:fill="1C6E63"/>
          </w:tcPr>
          <w:p>
            <w:r>
              <w:rPr>
                <w:rFonts w:ascii="Arial" w:hAnsi="Arial"/>
                <w:b/>
                <w:color w:val="FFFFFF"/>
                <w:sz w:val="17"/>
              </w:rPr>
              <w:t>16.0%</w:t>
            </w:r>
          </w:p>
        </w:tc>
        <w:tc>
          <w:tcPr>
            <w:tcW w:type="dxa" w:w="1134"/>
            <w:shd w:val="clear" w:fill="1C6E63"/>
          </w:tcPr>
          <w:p>
            <w:r>
              <w:rPr>
                <w:rFonts w:ascii="Arial" w:hAnsi="Arial"/>
                <w:b/>
                <w:color w:val="FFFFFF"/>
                <w:sz w:val="17"/>
              </w:rPr>
              <w:t>17.0%</w:t>
            </w:r>
          </w:p>
        </w:tc>
        <w:tc>
          <w:tcPr>
            <w:tcW w:type="dxa" w:w="1134"/>
            <w:shd w:val="clear" w:fill="1C6E63"/>
          </w:tcPr>
          <w:p>
            <w:r>
              <w:rPr>
                <w:rFonts w:ascii="Arial" w:hAnsi="Arial"/>
                <w:b/>
                <w:color w:val="FFFFFF"/>
                <w:sz w:val="17"/>
              </w:rPr>
              <w:t>18.0%</w:t>
            </w:r>
          </w:p>
        </w:tc>
      </w:tr>
      <w:tr>
        <w:tc>
          <w:tcPr>
            <w:tcW w:type="dxa" w:w="3742"/>
          </w:tcPr>
          <w:p>
            <w:r>
              <w:rPr>
                <w:rFonts w:ascii="Arial" w:hAnsi="Arial"/>
                <w:sz w:val="17"/>
              </w:rPr>
              <w:t>Value of operations (EGP m)</w:t>
            </w:r>
          </w:p>
        </w:tc>
        <w:tc>
          <w:tcPr>
            <w:tcW w:type="dxa" w:w="1134"/>
          </w:tcPr>
          <w:p>
            <w:r>
              <w:rPr>
                <w:rFonts w:ascii="Arial" w:hAnsi="Arial"/>
                <w:sz w:val="17"/>
              </w:rPr>
              <w:t>29,149</w:t>
            </w:r>
          </w:p>
        </w:tc>
        <w:tc>
          <w:tcPr>
            <w:tcW w:type="dxa" w:w="1134"/>
          </w:tcPr>
          <w:p>
            <w:r>
              <w:rPr>
                <w:rFonts w:ascii="Arial" w:hAnsi="Arial"/>
                <w:sz w:val="17"/>
              </w:rPr>
              <w:t>33,703</w:t>
            </w:r>
          </w:p>
        </w:tc>
        <w:tc>
          <w:tcPr>
            <w:tcW w:type="dxa" w:w="1134"/>
          </w:tcPr>
          <w:p>
            <w:r>
              <w:rPr>
                <w:rFonts w:ascii="Arial" w:hAnsi="Arial"/>
                <w:sz w:val="17"/>
              </w:rPr>
              <w:t>39,913</w:t>
            </w:r>
          </w:p>
        </w:tc>
        <w:tc>
          <w:tcPr>
            <w:tcW w:type="dxa" w:w="1134"/>
          </w:tcPr>
          <w:p>
            <w:r>
              <w:rPr>
                <w:rFonts w:ascii="Arial" w:hAnsi="Arial"/>
                <w:sz w:val="17"/>
              </w:rPr>
              <w:t>49,023</w:t>
            </w:r>
          </w:p>
        </w:tc>
        <w:tc>
          <w:tcPr>
            <w:tcW w:type="dxa" w:w="1134"/>
          </w:tcPr>
          <w:p>
            <w:r>
              <w:rPr>
                <w:rFonts w:ascii="Arial" w:hAnsi="Arial"/>
                <w:sz w:val="17"/>
              </w:rPr>
              <w:t>63,441</w:t>
            </w:r>
          </w:p>
        </w:tc>
      </w:tr>
      <w:tr>
        <w:tc>
          <w:tcPr>
            <w:tcW w:type="dxa" w:w="3742"/>
            <w:shd w:val="clear" w:fill="F4F8F7"/>
          </w:tcPr>
          <w:p>
            <w:r>
              <w:rPr>
                <w:rFonts w:ascii="Arial" w:hAnsi="Arial"/>
                <w:sz w:val="17"/>
              </w:rPr>
              <w:t>Fair value per share (EGP)</w:t>
            </w:r>
          </w:p>
        </w:tc>
        <w:tc>
          <w:tcPr>
            <w:tcW w:type="dxa" w:w="1134"/>
            <w:shd w:val="clear" w:fill="F4F8F7"/>
          </w:tcPr>
          <w:p>
            <w:r>
              <w:rPr>
                <w:rFonts w:ascii="Arial" w:hAnsi="Arial"/>
                <w:sz w:val="17"/>
              </w:rPr>
              <w:t>21.4</w:t>
            </w:r>
          </w:p>
        </w:tc>
        <w:tc>
          <w:tcPr>
            <w:tcW w:type="dxa" w:w="1134"/>
            <w:shd w:val="clear" w:fill="F4F8F7"/>
          </w:tcPr>
          <w:p>
            <w:r>
              <w:rPr>
                <w:rFonts w:ascii="Arial" w:hAnsi="Arial"/>
                <w:sz w:val="17"/>
              </w:rPr>
              <w:t>24.7</w:t>
            </w:r>
          </w:p>
        </w:tc>
        <w:tc>
          <w:tcPr>
            <w:tcW w:type="dxa" w:w="1134"/>
            <w:shd w:val="clear" w:fill="F4F8F7"/>
          </w:tcPr>
          <w:p>
            <w:r>
              <w:rPr>
                <w:rFonts w:ascii="Arial" w:hAnsi="Arial"/>
                <w:sz w:val="17"/>
              </w:rPr>
              <w:t>29.1</w:t>
            </w:r>
          </w:p>
        </w:tc>
        <w:tc>
          <w:tcPr>
            <w:tcW w:type="dxa" w:w="1134"/>
            <w:shd w:val="clear" w:fill="F4F8F7"/>
          </w:tcPr>
          <w:p>
            <w:r>
              <w:rPr>
                <w:rFonts w:ascii="Arial" w:hAnsi="Arial"/>
                <w:sz w:val="17"/>
              </w:rPr>
              <w:t>35.6</w:t>
            </w:r>
          </w:p>
        </w:tc>
        <w:tc>
          <w:tcPr>
            <w:tcW w:type="dxa" w:w="1134"/>
            <w:shd w:val="clear" w:fill="F4F8F7"/>
          </w:tcPr>
          <w:p>
            <w:r>
              <w:rPr>
                <w:rFonts w:ascii="Arial" w:hAnsi="Arial"/>
                <w:sz w:val="17"/>
              </w:rPr>
              <w:t>45.9</w:t>
            </w:r>
          </w:p>
        </w:tc>
      </w:tr>
    </w:tbl>
    <w:p>
      <w:pPr>
        <w:spacing w:after="40"/>
      </w:pPr>
    </w:p>
    <w:p>
      <w:pPr>
        <w:spacing w:after="80"/>
      </w:pPr>
      <w:r>
        <w:rPr>
          <w:rFonts w:ascii="Arial" w:hAnsi="Arial"/>
          <w:b w:val="0"/>
          <w:i w:val="0"/>
          <w:sz w:val="19"/>
        </w:rPr>
      </w:r>
      <w:r>
        <w:rPr>
          <w:rFonts w:ascii="Arial" w:hAnsi="Arial"/>
          <w:b/>
          <w:i w:val="0"/>
          <w:sz w:val="19"/>
        </w:rPr>
        <w:t>Cross-examination.</w:t>
      </w:r>
      <w:r>
        <w:rPr>
          <w:rFonts w:ascii="Arial" w:hAnsi="Arial"/>
          <w:b w:val="0"/>
          <w:i w:val="0"/>
          <w:sz w:val="19"/>
        </w:rPr>
        <w:t xml:space="preserve"> To Expert 2: your quality haircuts are yesterday’s news — the FX inventory gain and the subsidy spread are real cash that funded real capacity; punishing the margin twice is not conservatism, it is double-counting. To Expert 3: your devaluation scenario is inside my ROIIC already — 2023–24 happened, and incremental returns still printed 46%; pricing the same shock again in the probability tree and in the discount rate is belt, braces and a second belt. </w:t>
      </w:r>
      <w:r>
        <w:rPr>
          <w:rFonts w:ascii="Arial" w:hAnsi="Arial"/>
          <w:b/>
          <w:i w:val="0"/>
          <w:sz w:val="19"/>
        </w:rPr>
        <w:t>Verdict: EGP 29.1</w:t>
      </w:r>
      <w:r>
        <w:rPr>
          <w:rFonts w:ascii="Arial" w:hAnsi="Arial"/>
          <w:b w:val="0"/>
          <w:i w:val="0"/>
          <w:sz w:val="19"/>
        </w:rPr>
        <w:t xml:space="preserve">, modest upside. </w:t>
      </w:r>
      <w:r>
        <w:rPr>
          <w:rFonts w:ascii="Arial" w:hAnsi="Arial"/>
          <w:b/>
          <w:i w:val="0"/>
          <w:sz w:val="19"/>
        </w:rPr>
        <w:t>Falsification:</w:t>
      </w:r>
      <w:r>
        <w:rPr>
          <w:rFonts w:ascii="Arial" w:hAnsi="Arial"/>
          <w:b w:val="0"/>
          <w:i w:val="0"/>
          <w:sz w:val="19"/>
        </w:rPr>
        <w:t xml:space="preserve"> two consecutive quarters with EBIT margin below 14% or tons declining y-o-y — either breaks the "representative year." </w:t>
      </w:r>
      <w:r>
        <w:rPr>
          <w:rFonts w:ascii="Arial" w:hAnsi="Arial"/>
          <w:b/>
          <w:i w:val="0"/>
          <w:sz w:val="19"/>
        </w:rPr>
        <w:t>What the market implies:</w:t>
      </w:r>
      <w:r>
        <w:rPr>
          <w:rFonts w:ascii="Arial" w:hAnsi="Arial"/>
          <w:b w:val="0"/>
          <w:i w:val="0"/>
          <w:sz w:val="19"/>
        </w:rPr>
        <w:t xml:space="preserve"> at 27.34 the market is paying for g ≈ 15.3% on my machinery — it believes the franchise, just half a growth-point less than I do.</w:t>
      </w:r>
    </w:p>
    <w:p>
      <w:pPr>
        <w:pStyle w:val="Heading2"/>
      </w:pPr>
      <w:r>
        <w:t>D.2  Expert 2 — the accountant: quality of earnings, then a multiple</w:t>
      </w:r>
    </w:p>
    <w:p>
      <w:pPr>
        <w:spacing w:after="80"/>
      </w:pPr>
      <w:r>
        <w:rPr>
          <w:rFonts w:ascii="Arial" w:hAnsi="Arial"/>
          <w:b w:val="0"/>
          <w:i w:val="0"/>
          <w:sz w:val="19"/>
        </w:rPr>
      </w:r>
      <w:r>
        <w:rPr>
          <w:rFonts w:ascii="Arial" w:hAnsi="Arial"/>
          <w:b/>
          <w:i w:val="0"/>
          <w:sz w:val="19"/>
        </w:rPr>
        <w:t>Worldview and tradition.</w:t>
      </w:r>
      <w:r>
        <w:rPr>
          <w:rFonts w:ascii="Arial" w:hAnsi="Arial"/>
          <w:b w:val="0"/>
          <w:i w:val="0"/>
          <w:sz w:val="19"/>
        </w:rPr>
        <w:t xml:space="preserve"> Expert 2 comes from the forensic-accounting school: before any earnings number is capitalized it must be cleaned — of accounting-regime quirks, one-off tailwinds, and income that belongs to the balance sheet rather than the business. The method is deliberately boring: reconcile the accounting bases, normalize the P&amp;L line by line, apply a through-cycle multiple that a private buyer of the whole company would pay, and let the balance sheet speak for itself. </w:t>
      </w:r>
      <w:r>
        <w:rPr>
          <w:rFonts w:ascii="Arial" w:hAnsi="Arial"/>
          <w:b/>
          <w:i w:val="0"/>
          <w:sz w:val="19"/>
        </w:rPr>
        <w:t>When it works:</w:t>
      </w:r>
      <w:r>
        <w:rPr>
          <w:rFonts w:ascii="Arial" w:hAnsi="Arial"/>
          <w:b w:val="0"/>
          <w:i w:val="0"/>
          <w:sz w:val="19"/>
        </w:rPr>
        <w:t xml:space="preserve"> whenever a headline year flatters — which is precisely the FY2025/1Q2026 setup. </w:t>
      </w:r>
      <w:r>
        <w:rPr>
          <w:rFonts w:ascii="Arial" w:hAnsi="Arial"/>
          <w:b/>
          <w:i w:val="0"/>
          <w:sz w:val="19"/>
        </w:rPr>
        <w:t>When it fails:</w:t>
      </w:r>
      <w:r>
        <w:rPr>
          <w:rFonts w:ascii="Arial" w:hAnsi="Arial"/>
          <w:b w:val="0"/>
          <w:i w:val="0"/>
          <w:sz w:val="19"/>
        </w:rPr>
        <w:t xml:space="preserve"> on genuine step-changes, where yesterday’s "normal" is the wrong base and the haircuts become a systematic pessimism machine.</w:t>
      </w:r>
    </w:p>
    <w:p>
      <w:pPr>
        <w:spacing w:after="80"/>
      </w:pPr>
      <w:r>
        <w:rPr>
          <w:rFonts w:ascii="Arial" w:hAnsi="Arial"/>
          <w:b w:val="0"/>
          <w:i w:val="0"/>
          <w:sz w:val="19"/>
        </w:rPr>
      </w:r>
      <w:r>
        <w:rPr>
          <w:rFonts w:ascii="Arial" w:hAnsi="Arial"/>
          <w:b/>
          <w:i w:val="0"/>
          <w:sz w:val="19"/>
        </w:rPr>
        <w:t>Standard workings.</w:t>
      </w:r>
      <w:r>
        <w:rPr>
          <w:rFonts w:ascii="Arial" w:hAnsi="Arial"/>
          <w:b w:val="0"/>
          <w:i w:val="0"/>
          <w:sz w:val="19"/>
        </w:rPr>
        <w:t xml:space="preserve"> (1) Reconcile EAS to IFRS (employee profit-share is a distribution under EAS, an expense under IFRS — the honest earnings base is IFRS). (2) Normalize: strip super-normal net interest income; haircut the gross margin for the identifiable commodity/FX tailwind; expense the subsidy benefit embedded in below-market industrial loans. (3) Apply a through-cycle earnings multiple from the private-transaction and EGX record. (4) Add net cash at face — cash needs no multiple.</w:t>
      </w:r>
    </w:p>
    <w:tbl>
      <w:tblPr>
        <w:tblStyle w:val="TableGrid"/>
        <w:tblW w:type="auto" w:w="0"/>
        <w:jc w:val="center"/>
        <w:tblLook w:firstColumn="1" w:firstRow="1" w:lastColumn="0" w:lastRow="0" w:noHBand="0" w:noVBand="1" w:val="04A0"/>
      </w:tblPr>
      <w:tblGrid>
        <w:gridCol w:w="3324"/>
        <w:gridCol w:w="3324"/>
        <w:gridCol w:w="3324"/>
      </w:tblGrid>
      <w:tr>
        <w:tc>
          <w:tcPr>
            <w:tcW w:type="dxa" w:w="4309"/>
            <w:shd w:val="clear" w:fill="1C6E63"/>
          </w:tcPr>
          <w:p>
            <w:r>
              <w:rPr>
                <w:rFonts w:ascii="Arial" w:hAnsi="Arial"/>
                <w:b/>
                <w:color w:val="FFFFFF"/>
                <w:sz w:val="17"/>
              </w:rPr>
              <w:t>Expert 2 — quality bridge (FY26E basis)</w:t>
            </w:r>
          </w:p>
        </w:tc>
        <w:tc>
          <w:tcPr>
            <w:tcW w:type="dxa" w:w="1587"/>
            <w:shd w:val="clear" w:fill="1C6E63"/>
          </w:tcPr>
          <w:p>
            <w:r>
              <w:rPr>
                <w:rFonts w:ascii="Arial" w:hAnsi="Arial"/>
                <w:b/>
                <w:color w:val="FFFFFF"/>
                <w:sz w:val="17"/>
              </w:rPr>
              <w:t>EGP m</w:t>
            </w:r>
          </w:p>
        </w:tc>
        <w:tc>
          <w:tcPr>
            <w:tcW w:type="dxa" w:w="1814"/>
            <w:shd w:val="clear" w:fill="1C6E63"/>
          </w:tcPr>
          <w:p>
            <w:r>
              <w:rPr>
                <w:rFonts w:ascii="Arial" w:hAnsi="Arial"/>
                <w:b/>
                <w:color w:val="FFFFFF"/>
                <w:sz w:val="17"/>
              </w:rPr>
              <w:t>EPS (EGP)</w:t>
            </w:r>
          </w:p>
        </w:tc>
      </w:tr>
      <w:tr>
        <w:tc>
          <w:tcPr>
            <w:tcW w:type="dxa" w:w="4309"/>
          </w:tcPr>
          <w:p>
            <w:r>
              <w:rPr>
                <w:rFonts w:ascii="Arial" w:hAnsi="Arial"/>
                <w:sz w:val="17"/>
              </w:rPr>
              <w:t>Reported-path FY26E net profit (IFRS, model)</w:t>
            </w:r>
          </w:p>
        </w:tc>
        <w:tc>
          <w:tcPr>
            <w:tcW w:type="dxa" w:w="1587"/>
          </w:tcPr>
          <w:p>
            <w:r>
              <w:rPr>
                <w:rFonts w:ascii="Arial" w:hAnsi="Arial"/>
                <w:sz w:val="17"/>
              </w:rPr>
              <w:t>3,832</w:t>
            </w:r>
          </w:p>
        </w:tc>
        <w:tc>
          <w:tcPr>
            <w:tcW w:type="dxa" w:w="1814"/>
          </w:tcPr>
          <w:p>
            <w:r>
              <w:rPr>
                <w:rFonts w:ascii="Arial" w:hAnsi="Arial"/>
                <w:sz w:val="17"/>
              </w:rPr>
              <w:t>2.74</w:t>
            </w:r>
          </w:p>
        </w:tc>
      </w:tr>
      <w:tr>
        <w:tc>
          <w:tcPr>
            <w:tcW w:type="dxa" w:w="4309"/>
            <w:shd w:val="clear" w:fill="F4F8F7"/>
          </w:tcPr>
          <w:p>
            <w:r>
              <w:rPr>
                <w:rFonts w:ascii="Arial" w:hAnsi="Arial"/>
                <w:sz w:val="17"/>
              </w:rPr>
              <w:t>− Super-normal net interest (keep a normal +150)</w:t>
            </w:r>
          </w:p>
        </w:tc>
        <w:tc>
          <w:tcPr>
            <w:tcW w:type="dxa" w:w="1587"/>
            <w:shd w:val="clear" w:fill="F4F8F7"/>
          </w:tcPr>
          <w:p>
            <w:r>
              <w:rPr>
                <w:rFonts w:ascii="Arial" w:hAnsi="Arial"/>
                <w:sz w:val="17"/>
              </w:rPr>
              <w:t>(404)</w:t>
            </w:r>
          </w:p>
        </w:tc>
        <w:tc>
          <w:tcPr>
            <w:tcW w:type="dxa" w:w="1814"/>
            <w:shd w:val="clear" w:fill="F4F8F7"/>
          </w:tcPr>
          <w:p>
            <w:r>
              <w:rPr>
                <w:rFonts w:ascii="Arial" w:hAnsi="Arial"/>
                <w:sz w:val="17"/>
              </w:rPr>
              <w:t>(0.29)</w:t>
            </w:r>
          </w:p>
        </w:tc>
      </w:tr>
      <w:tr>
        <w:tc>
          <w:tcPr>
            <w:tcW w:type="dxa" w:w="4309"/>
          </w:tcPr>
          <w:p>
            <w:r>
              <w:rPr>
                <w:rFonts w:ascii="Arial" w:hAnsi="Arial"/>
                <w:sz w:val="17"/>
              </w:rPr>
              <w:t>− Commodity/FX gross-margin tailwind (0.8pt of GPM, after tax)</w:t>
            </w:r>
          </w:p>
        </w:tc>
        <w:tc>
          <w:tcPr>
            <w:tcW w:type="dxa" w:w="1587"/>
          </w:tcPr>
          <w:p>
            <w:r>
              <w:rPr>
                <w:rFonts w:ascii="Arial" w:hAnsi="Arial"/>
                <w:sz w:val="17"/>
              </w:rPr>
              <w:t>(160)</w:t>
            </w:r>
          </w:p>
        </w:tc>
        <w:tc>
          <w:tcPr>
            <w:tcW w:type="dxa" w:w="1814"/>
          </w:tcPr>
          <w:p>
            <w:r>
              <w:rPr>
                <w:rFonts w:ascii="Arial" w:hAnsi="Arial"/>
                <w:sz w:val="17"/>
              </w:rPr>
              <w:t>(0.11)</w:t>
            </w:r>
          </w:p>
        </w:tc>
      </w:tr>
      <w:tr>
        <w:tc>
          <w:tcPr>
            <w:tcW w:type="dxa" w:w="4309"/>
            <w:shd w:val="clear" w:fill="F4F8F7"/>
          </w:tcPr>
          <w:p>
            <w:r>
              <w:rPr>
                <w:rFonts w:ascii="Arial" w:hAnsi="Arial"/>
                <w:sz w:val="17"/>
              </w:rPr>
              <w:t>− Subsidized-debt benefit (≈600bp on EGP 4.5bn, after tax)</w:t>
            </w:r>
          </w:p>
        </w:tc>
        <w:tc>
          <w:tcPr>
            <w:tcW w:type="dxa" w:w="1587"/>
            <w:shd w:val="clear" w:fill="F4F8F7"/>
          </w:tcPr>
          <w:p>
            <w:r>
              <w:rPr>
                <w:rFonts w:ascii="Arial" w:hAnsi="Arial"/>
                <w:sz w:val="17"/>
              </w:rPr>
              <w:t>(197)</w:t>
            </w:r>
          </w:p>
        </w:tc>
        <w:tc>
          <w:tcPr>
            <w:tcW w:type="dxa" w:w="1814"/>
            <w:shd w:val="clear" w:fill="F4F8F7"/>
          </w:tcPr>
          <w:p>
            <w:r>
              <w:rPr>
                <w:rFonts w:ascii="Arial" w:hAnsi="Arial"/>
                <w:sz w:val="17"/>
              </w:rPr>
              <w:t>(0.14)</w:t>
            </w:r>
          </w:p>
        </w:tc>
      </w:tr>
      <w:tr>
        <w:tc>
          <w:tcPr>
            <w:tcW w:type="dxa" w:w="4309"/>
          </w:tcPr>
          <w:p>
            <w:r>
              <w:rPr>
                <w:rFonts w:ascii="Arial" w:hAnsi="Arial"/>
                <w:sz w:val="17"/>
              </w:rPr>
              <w:t>− EAS profit-share framing (already in IFRS; no add-back allowed)</w:t>
            </w:r>
          </w:p>
        </w:tc>
        <w:tc>
          <w:tcPr>
            <w:tcW w:type="dxa" w:w="1587"/>
          </w:tcPr>
          <w:p>
            <w:r>
              <w:rPr>
                <w:rFonts w:ascii="Arial" w:hAnsi="Arial"/>
                <w:sz w:val="17"/>
              </w:rPr>
              <w:t>0</w:t>
            </w:r>
          </w:p>
        </w:tc>
        <w:tc>
          <w:tcPr>
            <w:tcW w:type="dxa" w:w="1814"/>
          </w:tcPr>
          <w:p>
            <w:r>
              <w:rPr>
                <w:rFonts w:ascii="Arial" w:hAnsi="Arial"/>
                <w:sz w:val="17"/>
              </w:rPr>
              <w:t>0.00</w:t>
            </w:r>
          </w:p>
        </w:tc>
      </w:tr>
      <w:tr>
        <w:tc>
          <w:tcPr>
            <w:tcW w:type="dxa" w:w="4309"/>
            <w:shd w:val="clear" w:fill="F4F8F7"/>
          </w:tcPr>
          <w:p>
            <w:r>
              <w:rPr>
                <w:rFonts w:ascii="Arial" w:hAnsi="Arial"/>
                <w:sz w:val="17"/>
              </w:rPr>
              <w:t>Clean, ownerly FY26E earnings</w:t>
            </w:r>
          </w:p>
        </w:tc>
        <w:tc>
          <w:tcPr>
            <w:tcW w:type="dxa" w:w="1587"/>
            <w:shd w:val="clear" w:fill="F4F8F7"/>
          </w:tcPr>
          <w:p>
            <w:r>
              <w:rPr>
                <w:rFonts w:ascii="Arial" w:hAnsi="Arial"/>
                <w:sz w:val="17"/>
              </w:rPr>
              <w:t>3,071</w:t>
            </w:r>
          </w:p>
        </w:tc>
        <w:tc>
          <w:tcPr>
            <w:tcW w:type="dxa" w:w="1814"/>
            <w:shd w:val="clear" w:fill="F4F8F7"/>
          </w:tcPr>
          <w:p>
            <w:r>
              <w:rPr>
                <w:rFonts w:ascii="Arial" w:hAnsi="Arial"/>
                <w:sz w:val="17"/>
              </w:rPr>
              <w:t>2.19</w:t>
            </w:r>
          </w:p>
        </w:tc>
      </w:tr>
      <w:tr>
        <w:tc>
          <w:tcPr>
            <w:tcW w:type="dxa" w:w="4309"/>
          </w:tcPr>
          <w:p>
            <w:r>
              <w:rPr>
                <w:rFonts w:ascii="Arial" w:hAnsi="Arial"/>
                <w:sz w:val="17"/>
              </w:rPr>
              <w:t>Through-cycle multiple (EGX quality staples)</w:t>
            </w:r>
          </w:p>
        </w:tc>
        <w:tc>
          <w:tcPr>
            <w:tcW w:type="dxa" w:w="1587"/>
          </w:tcPr>
          <w:p>
            <w:r>
              <w:rPr>
                <w:rFonts w:ascii="Arial" w:hAnsi="Arial"/>
                <w:sz w:val="17"/>
              </w:rPr>
              <w:t>10.5x</w:t>
            </w:r>
          </w:p>
        </w:tc>
        <w:tc>
          <w:tcPr>
            <w:tcW w:type="dxa" w:w="1814"/>
          </w:tcPr>
          <w:p>
            <w:r>
              <w:rPr>
                <w:rFonts w:ascii="Arial" w:hAnsi="Arial"/>
                <w:sz w:val="17"/>
              </w:rPr>
              <w:t>—</w:t>
            </w:r>
          </w:p>
        </w:tc>
      </w:tr>
      <w:tr>
        <w:tc>
          <w:tcPr>
            <w:tcW w:type="dxa" w:w="4309"/>
            <w:shd w:val="clear" w:fill="F4F8F7"/>
          </w:tcPr>
          <w:p>
            <w:r>
              <w:rPr>
                <w:rFonts w:ascii="Arial" w:hAnsi="Arial"/>
                <w:sz w:val="17"/>
              </w:rPr>
              <w:t>Value of the business</w:t>
            </w:r>
          </w:p>
        </w:tc>
        <w:tc>
          <w:tcPr>
            <w:tcW w:type="dxa" w:w="1587"/>
            <w:shd w:val="clear" w:fill="F4F8F7"/>
          </w:tcPr>
          <w:p>
            <w:r>
              <w:rPr>
                <w:rFonts w:ascii="Arial" w:hAnsi="Arial"/>
                <w:sz w:val="17"/>
              </w:rPr>
              <w:t>32,246</w:t>
            </w:r>
          </w:p>
        </w:tc>
        <w:tc>
          <w:tcPr>
            <w:tcW w:type="dxa" w:w="1814"/>
            <w:shd w:val="clear" w:fill="F4F8F7"/>
          </w:tcPr>
          <w:p>
            <w:r>
              <w:rPr>
                <w:rFonts w:ascii="Arial" w:hAnsi="Arial"/>
                <w:sz w:val="17"/>
              </w:rPr>
              <w:t>23.03</w:t>
            </w:r>
          </w:p>
        </w:tc>
      </w:tr>
      <w:tr>
        <w:tc>
          <w:tcPr>
            <w:tcW w:type="dxa" w:w="4309"/>
          </w:tcPr>
          <w:p>
            <w:r>
              <w:rPr>
                <w:rFonts w:ascii="Arial" w:hAnsi="Arial"/>
                <w:sz w:val="17"/>
              </w:rPr>
              <w:t>+ Net cash at face</w:t>
            </w:r>
          </w:p>
        </w:tc>
        <w:tc>
          <w:tcPr>
            <w:tcW w:type="dxa" w:w="1587"/>
          </w:tcPr>
          <w:p>
            <w:r>
              <w:rPr>
                <w:rFonts w:ascii="Arial" w:hAnsi="Arial"/>
                <w:sz w:val="17"/>
              </w:rPr>
              <w:t>853</w:t>
            </w:r>
          </w:p>
        </w:tc>
        <w:tc>
          <w:tcPr>
            <w:tcW w:type="dxa" w:w="1814"/>
          </w:tcPr>
          <w:p>
            <w:r>
              <w:rPr>
                <w:rFonts w:ascii="Arial" w:hAnsi="Arial"/>
                <w:sz w:val="17"/>
              </w:rPr>
              <w:t>0.61</w:t>
            </w:r>
          </w:p>
        </w:tc>
      </w:tr>
      <w:tr>
        <w:tc>
          <w:tcPr>
            <w:tcW w:type="dxa" w:w="4309"/>
            <w:shd w:val="clear" w:fill="F4F8F7"/>
          </w:tcPr>
          <w:p>
            <w:r>
              <w:rPr>
                <w:rFonts w:ascii="Arial" w:hAnsi="Arial"/>
                <w:sz w:val="17"/>
              </w:rPr>
              <w:t>Fair value per share</w:t>
            </w:r>
          </w:p>
        </w:tc>
        <w:tc>
          <w:tcPr>
            <w:tcW w:type="dxa" w:w="1587"/>
            <w:shd w:val="clear" w:fill="F4F8F7"/>
          </w:tcPr>
          <w:p>
            <w:r>
              <w:rPr>
                <w:rFonts w:ascii="Arial" w:hAnsi="Arial"/>
                <w:sz w:val="17"/>
              </w:rPr>
              <w:t>—</w:t>
            </w:r>
          </w:p>
        </w:tc>
        <w:tc>
          <w:tcPr>
            <w:tcW w:type="dxa" w:w="1814"/>
            <w:shd w:val="clear" w:fill="F4F8F7"/>
          </w:tcPr>
          <w:p>
            <w:r>
              <w:rPr>
                <w:rFonts w:ascii="Arial" w:hAnsi="Arial"/>
                <w:sz w:val="17"/>
              </w:rPr>
              <w:t>EGP 23.64 ≈ 24.5 with 1H26 cash build</w:t>
            </w:r>
          </w:p>
        </w:tc>
      </w:tr>
    </w:tbl>
    <w:p>
      <w:pPr>
        <w:spacing w:after="40"/>
      </w:pPr>
    </w:p>
    <w:p>
      <w:pPr>
        <w:spacing w:after="80"/>
      </w:pPr>
      <w:r>
        <w:rPr>
          <w:rFonts w:ascii="Arial" w:hAnsi="Arial"/>
          <w:b w:val="0"/>
          <w:i w:val="0"/>
          <w:sz w:val="19"/>
        </w:rPr>
      </w:r>
      <w:r>
        <w:rPr>
          <w:rFonts w:ascii="Arial" w:hAnsi="Arial"/>
          <w:b/>
          <w:i w:val="0"/>
          <w:sz w:val="19"/>
        </w:rPr>
        <w:t>Worked example, read aloud.</w:t>
      </w:r>
      <w:r>
        <w:rPr>
          <w:rFonts w:ascii="Arial" w:hAnsi="Arial"/>
          <w:b w:val="0"/>
          <w:i w:val="0"/>
          <w:sz w:val="19"/>
        </w:rPr>
        <w:t xml:space="preserve"> The 13.7% net margin of 1Q2026 is three margins stacked: an operating business earning perhaps 11%, a treasury desk clipping a 189-million-pound quarterly coupon off high rates, and a procurement window where sugar and cocoa behaved. Pay a multiple for the first, face value for the second’s balance, and nothing for the third. Clean EPS is EGP 2.19; ten-and-a-half times — what control transactions in Egyptian consumer have actually cleared through cycles — is EGP 23.0, plus the cash. Call it </w:t>
      </w:r>
      <w:r>
        <w:rPr>
          <w:rFonts w:ascii="Arial" w:hAnsi="Arial"/>
          <w:b/>
          <w:i w:val="0"/>
          <w:sz w:val="19"/>
        </w:rPr>
        <w:t>EGP 24.5</w:t>
      </w:r>
      <w:r>
        <w:rPr>
          <w:rFonts w:ascii="Arial" w:hAnsi="Arial"/>
          <w:b w:val="0"/>
          <w:i w:val="0"/>
          <w:sz w:val="19"/>
        </w:rPr>
        <w:t xml:space="preserve"> allowing the first-half cash build. The other forty piastres of reported margin are weather, not climate.</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4082"/>
            <w:shd w:val="clear" w:fill="1C6E63"/>
          </w:tcPr>
          <w:p>
            <w:r>
              <w:rPr>
                <w:rFonts w:ascii="Arial" w:hAnsi="Arial"/>
                <w:b/>
                <w:color w:val="FFFFFF"/>
                <w:sz w:val="17"/>
              </w:rPr>
              <w:t>Expert 2 — sensitivity on the swing input (clean multiple)</w:t>
            </w:r>
          </w:p>
        </w:tc>
        <w:tc>
          <w:tcPr>
            <w:tcW w:type="dxa" w:w="1077"/>
            <w:shd w:val="clear" w:fill="1C6E63"/>
          </w:tcPr>
          <w:p>
            <w:r>
              <w:rPr>
                <w:rFonts w:ascii="Arial" w:hAnsi="Arial"/>
                <w:b/>
                <w:color w:val="FFFFFF"/>
                <w:sz w:val="17"/>
              </w:rPr>
              <w:t>9.0x</w:t>
            </w:r>
          </w:p>
        </w:tc>
        <w:tc>
          <w:tcPr>
            <w:tcW w:type="dxa" w:w="1077"/>
            <w:shd w:val="clear" w:fill="1C6E63"/>
          </w:tcPr>
          <w:p>
            <w:r>
              <w:rPr>
                <w:rFonts w:ascii="Arial" w:hAnsi="Arial"/>
                <w:b/>
                <w:color w:val="FFFFFF"/>
                <w:sz w:val="17"/>
              </w:rPr>
              <w:t>10.0x</w:t>
            </w:r>
          </w:p>
        </w:tc>
        <w:tc>
          <w:tcPr>
            <w:tcW w:type="dxa" w:w="1077"/>
            <w:shd w:val="clear" w:fill="1C6E63"/>
          </w:tcPr>
          <w:p>
            <w:r>
              <w:rPr>
                <w:rFonts w:ascii="Arial" w:hAnsi="Arial"/>
                <w:b/>
                <w:color w:val="FFFFFF"/>
                <w:sz w:val="17"/>
              </w:rPr>
              <w:t>10.5x</w:t>
            </w:r>
          </w:p>
        </w:tc>
        <w:tc>
          <w:tcPr>
            <w:tcW w:type="dxa" w:w="1077"/>
            <w:shd w:val="clear" w:fill="1C6E63"/>
          </w:tcPr>
          <w:p>
            <w:r>
              <w:rPr>
                <w:rFonts w:ascii="Arial" w:hAnsi="Arial"/>
                <w:b/>
                <w:color w:val="FFFFFF"/>
                <w:sz w:val="17"/>
              </w:rPr>
              <w:t>11.5x</w:t>
            </w:r>
          </w:p>
        </w:tc>
        <w:tc>
          <w:tcPr>
            <w:tcW w:type="dxa" w:w="1077"/>
            <w:shd w:val="clear" w:fill="1C6E63"/>
          </w:tcPr>
          <w:p>
            <w:r>
              <w:rPr>
                <w:rFonts w:ascii="Arial" w:hAnsi="Arial"/>
                <w:b/>
                <w:color w:val="FFFFFF"/>
                <w:sz w:val="17"/>
              </w:rPr>
              <w:t>12.5x</w:t>
            </w:r>
          </w:p>
        </w:tc>
      </w:tr>
      <w:tr>
        <w:tc>
          <w:tcPr>
            <w:tcW w:type="dxa" w:w="4082"/>
          </w:tcPr>
          <w:p>
            <w:r>
              <w:rPr>
                <w:rFonts w:ascii="Arial" w:hAnsi="Arial"/>
                <w:sz w:val="17"/>
              </w:rPr>
              <w:t>Fair value per share (EGP)</w:t>
            </w:r>
          </w:p>
        </w:tc>
        <w:tc>
          <w:tcPr>
            <w:tcW w:type="dxa" w:w="1077"/>
          </w:tcPr>
          <w:p>
            <w:r>
              <w:rPr>
                <w:rFonts w:ascii="Arial" w:hAnsi="Arial"/>
                <w:sz w:val="17"/>
              </w:rPr>
              <w:t>20.3</w:t>
            </w:r>
          </w:p>
        </w:tc>
        <w:tc>
          <w:tcPr>
            <w:tcW w:type="dxa" w:w="1077"/>
          </w:tcPr>
          <w:p>
            <w:r>
              <w:rPr>
                <w:rFonts w:ascii="Arial" w:hAnsi="Arial"/>
                <w:sz w:val="17"/>
              </w:rPr>
              <w:t>22.5</w:t>
            </w:r>
          </w:p>
        </w:tc>
        <w:tc>
          <w:tcPr>
            <w:tcW w:type="dxa" w:w="1077"/>
          </w:tcPr>
          <w:p>
            <w:r>
              <w:rPr>
                <w:rFonts w:ascii="Arial" w:hAnsi="Arial"/>
                <w:sz w:val="17"/>
              </w:rPr>
              <w:t>23.6</w:t>
            </w:r>
          </w:p>
        </w:tc>
        <w:tc>
          <w:tcPr>
            <w:tcW w:type="dxa" w:w="1077"/>
          </w:tcPr>
          <w:p>
            <w:r>
              <w:rPr>
                <w:rFonts w:ascii="Arial" w:hAnsi="Arial"/>
                <w:sz w:val="17"/>
              </w:rPr>
              <w:t>25.8</w:t>
            </w:r>
          </w:p>
        </w:tc>
        <w:tc>
          <w:tcPr>
            <w:tcW w:type="dxa" w:w="1077"/>
          </w:tcPr>
          <w:p>
            <w:r>
              <w:rPr>
                <w:rFonts w:ascii="Arial" w:hAnsi="Arial"/>
                <w:sz w:val="17"/>
              </w:rPr>
              <w:t>28.0</w:t>
            </w:r>
          </w:p>
        </w:tc>
      </w:tr>
    </w:tbl>
    <w:p>
      <w:pPr>
        <w:spacing w:after="40"/>
      </w:pPr>
    </w:p>
    <w:p>
      <w:pPr>
        <w:spacing w:after="80"/>
      </w:pPr>
      <w:r>
        <w:rPr>
          <w:rFonts w:ascii="Arial" w:hAnsi="Arial"/>
          <w:b w:val="0"/>
          <w:i w:val="0"/>
          <w:sz w:val="19"/>
        </w:rPr>
      </w:r>
      <w:r>
        <w:rPr>
          <w:rFonts w:ascii="Arial" w:hAnsi="Arial"/>
          <w:b/>
          <w:i w:val="0"/>
          <w:sz w:val="19"/>
        </w:rPr>
        <w:t>Cross-examination.</w:t>
      </w:r>
      <w:r>
        <w:rPr>
          <w:rFonts w:ascii="Arial" w:hAnsi="Arial"/>
          <w:b w:val="0"/>
          <w:i w:val="0"/>
          <w:sz w:val="19"/>
        </w:rPr>
        <w:t xml:space="preserve"> To Expert 1: your 46% ROIIC is measured across the single greatest nominal repricing in the company’s history — incremental "returns" earned by selling the same tonnage at devalued-pound prices are inflation, not genius; a clean ROIIC is closer to 30%, and your g collapses with it. To Expert 3: at least you price the shock — but your upside scenario capitalizes the same interest income I just removed; disinflation cuts the treasury coupon exactly as it lowers the discount rate, and your tree nets those against each other too generously. </w:t>
      </w:r>
      <w:r>
        <w:rPr>
          <w:rFonts w:ascii="Arial" w:hAnsi="Arial"/>
          <w:b/>
          <w:i w:val="0"/>
          <w:sz w:val="19"/>
        </w:rPr>
        <w:t>Verdict: EGP 24.5</w:t>
      </w:r>
      <w:r>
        <w:rPr>
          <w:rFonts w:ascii="Arial" w:hAnsi="Arial"/>
          <w:b w:val="0"/>
          <w:i w:val="0"/>
          <w:sz w:val="19"/>
        </w:rPr>
        <w:t xml:space="preserve"> — the market is paying about three pounds a share for weather. </w:t>
      </w:r>
      <w:r>
        <w:rPr>
          <w:rFonts w:ascii="Arial" w:hAnsi="Arial"/>
          <w:b/>
          <w:i w:val="0"/>
          <w:sz w:val="19"/>
        </w:rPr>
        <w:t>Falsification:</w:t>
      </w:r>
      <w:r>
        <w:rPr>
          <w:rFonts w:ascii="Arial" w:hAnsi="Arial"/>
          <w:b w:val="0"/>
          <w:i w:val="0"/>
          <w:sz w:val="19"/>
        </w:rPr>
        <w:t xml:space="preserve"> gross margin held at ≥ 34% through a full commodity cycle and a ≥ 10% EGP move — that would prove the margin is structural and my haircut wrong. </w:t>
      </w:r>
      <w:r>
        <w:rPr>
          <w:rFonts w:ascii="Arial" w:hAnsi="Arial"/>
          <w:b/>
          <w:i w:val="0"/>
          <w:sz w:val="19"/>
        </w:rPr>
        <w:t>What the market implies:</w:t>
      </w:r>
      <w:r>
        <w:rPr>
          <w:rFonts w:ascii="Arial" w:hAnsi="Arial"/>
          <w:b w:val="0"/>
          <w:i w:val="0"/>
          <w:sz w:val="19"/>
        </w:rPr>
        <w:t xml:space="preserve"> 27.34 backs out ~12.1x my clean EPS — the market is paying a quality premium I reserve for proven through-cycle margins.</w:t>
      </w:r>
    </w:p>
    <w:p>
      <w:pPr>
        <w:pStyle w:val="Heading2"/>
      </w:pPr>
      <w:r>
        <w:t>D.3  Expert 3 — macro-policy: the pound decides, so price the pound</w:t>
      </w:r>
    </w:p>
    <w:p>
      <w:pPr>
        <w:spacing w:after="80"/>
      </w:pPr>
      <w:r>
        <w:rPr>
          <w:rFonts w:ascii="Arial" w:hAnsi="Arial"/>
          <w:b w:val="0"/>
          <w:i w:val="0"/>
          <w:sz w:val="19"/>
        </w:rPr>
      </w:r>
      <w:r>
        <w:rPr>
          <w:rFonts w:ascii="Arial" w:hAnsi="Arial"/>
          <w:b/>
          <w:i w:val="0"/>
          <w:sz w:val="19"/>
        </w:rPr>
        <w:t>Worldview and tradition.</w:t>
      </w:r>
      <w:r>
        <w:rPr>
          <w:rFonts w:ascii="Arial" w:hAnsi="Arial"/>
          <w:b w:val="0"/>
          <w:i w:val="0"/>
          <w:sz w:val="19"/>
        </w:rPr>
        <w:t xml:space="preserve"> Expert 3 is a country-risk economist in the emerging-markets tradition: for a single-currency consumer franchise, the sovereign macro path is not context, it is the valuation. The method is a probability-weighted scenario tree over the policy variables that actually bind — the exchange-rate regime, the disinflation path, and the real income of the median household — with the equity valued inside each state and the states weighted by odds stated in advance, so they can be marked right or wrong later. </w:t>
      </w:r>
      <w:r>
        <w:rPr>
          <w:rFonts w:ascii="Arial" w:hAnsi="Arial"/>
          <w:b/>
          <w:i w:val="0"/>
          <w:sz w:val="19"/>
        </w:rPr>
        <w:t>When it works:</w:t>
      </w:r>
      <w:r>
        <w:rPr>
          <w:rFonts w:ascii="Arial" w:hAnsi="Arial"/>
          <w:b w:val="0"/>
          <w:i w:val="0"/>
          <w:sz w:val="19"/>
        </w:rPr>
        <w:t xml:space="preserve"> economies mid-transition, where the distribution of outcomes is wide and visibly state-dependent — Egypt in 2026 to a tee. </w:t>
      </w:r>
      <w:r>
        <w:rPr>
          <w:rFonts w:ascii="Arial" w:hAnsi="Arial"/>
          <w:b/>
          <w:i w:val="0"/>
          <w:sz w:val="19"/>
        </w:rPr>
        <w:t>When it fails:</w:t>
      </w:r>
      <w:r>
        <w:rPr>
          <w:rFonts w:ascii="Arial" w:hAnsi="Arial"/>
          <w:b w:val="0"/>
          <w:i w:val="0"/>
          <w:sz w:val="19"/>
        </w:rPr>
        <w:t xml:space="preserve"> when the scenarios are theater (probabilities reverse-engineered from a desired answer) or the company-level execution differences inside each state are hand-waved.</w:t>
      </w:r>
    </w:p>
    <w:p>
      <w:pPr>
        <w:spacing w:after="80"/>
      </w:pPr>
      <w:r>
        <w:rPr>
          <w:rFonts w:ascii="Arial" w:hAnsi="Arial"/>
          <w:b w:val="0"/>
          <w:i w:val="0"/>
          <w:sz w:val="19"/>
        </w:rPr>
      </w:r>
      <w:r>
        <w:rPr>
          <w:rFonts w:ascii="Arial" w:hAnsi="Arial"/>
          <w:b/>
          <w:i w:val="0"/>
          <w:sz w:val="19"/>
        </w:rPr>
        <w:t>Standard workings.</w:t>
      </w:r>
      <w:r>
        <w:rPr>
          <w:rFonts w:ascii="Arial" w:hAnsi="Arial"/>
          <w:b w:val="0"/>
          <w:i w:val="0"/>
          <w:sz w:val="19"/>
        </w:rPr>
        <w:t xml:space="preserve"> (1) Define three policy states over the 12-month horizon. (2) Inside each, set the FX/rate/CPI vector, translate to Edita’s revenue growth, gross margin and discount rate, and value with the house DCF machinery. (3) Assign probabilities from the external accounts, the IMF-program arithmetic and the CBE’s revealed function. (4) The fair value is the weighted sum; the tails are reported, not hidden.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4"/>
            <w:shd w:val="clear" w:fill="1C6E63"/>
          </w:tcPr>
          <w:p>
            <w:r>
              <w:rPr>
                <w:rFonts w:ascii="Arial" w:hAnsi="Arial"/>
                <w:b/>
                <w:color w:val="FFFFFF"/>
                <w:sz w:val="17"/>
              </w:rPr>
              <w:t>Expert 3 — the tree</w:t>
            </w:r>
          </w:p>
        </w:tc>
        <w:tc>
          <w:tcPr>
            <w:tcW w:type="dxa" w:w="2268"/>
            <w:shd w:val="clear" w:fill="1C6E63"/>
          </w:tcPr>
          <w:p>
            <w:r>
              <w:rPr>
                <w:rFonts w:ascii="Arial" w:hAnsi="Arial"/>
                <w:b/>
                <w:color w:val="FFFFFF"/>
                <w:sz w:val="17"/>
              </w:rPr>
              <w:t>Disinflation completes</w:t>
            </w:r>
          </w:p>
        </w:tc>
        <w:tc>
          <w:tcPr>
            <w:tcW w:type="dxa" w:w="2268"/>
            <w:shd w:val="clear" w:fill="1C6E63"/>
          </w:tcPr>
          <w:p>
            <w:r>
              <w:rPr>
                <w:rFonts w:ascii="Arial" w:hAnsi="Arial"/>
                <w:b/>
                <w:color w:val="FFFFFF"/>
                <w:sz w:val="17"/>
              </w:rPr>
              <w:t>Muddle-through</w:t>
            </w:r>
          </w:p>
        </w:tc>
        <w:tc>
          <w:tcPr>
            <w:tcW w:type="dxa" w:w="2268"/>
            <w:shd w:val="clear" w:fill="1C6E63"/>
          </w:tcPr>
          <w:p>
            <w:r>
              <w:rPr>
                <w:rFonts w:ascii="Arial" w:hAnsi="Arial"/>
                <w:b/>
                <w:color w:val="FFFFFF"/>
                <w:sz w:val="17"/>
              </w:rPr>
              <w:t>Step-devaluation</w:t>
            </w:r>
          </w:p>
        </w:tc>
      </w:tr>
      <w:tr>
        <w:tc>
          <w:tcPr>
            <w:tcW w:type="dxa" w:w="2494"/>
          </w:tcPr>
          <w:p>
            <w:r>
              <w:rPr>
                <w:rFonts w:ascii="Arial" w:hAnsi="Arial"/>
                <w:sz w:val="17"/>
              </w:rPr>
              <w:t>Probability</w:t>
            </w:r>
          </w:p>
        </w:tc>
        <w:tc>
          <w:tcPr>
            <w:tcW w:type="dxa" w:w="2268"/>
          </w:tcPr>
          <w:p>
            <w:r>
              <w:rPr>
                <w:rFonts w:ascii="Arial" w:hAnsi="Arial"/>
                <w:sz w:val="17"/>
              </w:rPr>
              <w:t>55%</w:t>
            </w:r>
          </w:p>
        </w:tc>
        <w:tc>
          <w:tcPr>
            <w:tcW w:type="dxa" w:w="2268"/>
          </w:tcPr>
          <w:p>
            <w:r>
              <w:rPr>
                <w:rFonts w:ascii="Arial" w:hAnsi="Arial"/>
                <w:sz w:val="17"/>
              </w:rPr>
              <w:t>30%</w:t>
            </w:r>
          </w:p>
        </w:tc>
        <w:tc>
          <w:tcPr>
            <w:tcW w:type="dxa" w:w="2268"/>
          </w:tcPr>
          <w:p>
            <w:r>
              <w:rPr>
                <w:rFonts w:ascii="Arial" w:hAnsi="Arial"/>
                <w:sz w:val="17"/>
              </w:rPr>
              <w:t>15%</w:t>
            </w:r>
          </w:p>
        </w:tc>
      </w:tr>
      <w:tr>
        <w:tc>
          <w:tcPr>
            <w:tcW w:type="dxa" w:w="2494"/>
            <w:shd w:val="clear" w:fill="F4F8F7"/>
          </w:tcPr>
          <w:p>
            <w:r>
              <w:rPr>
                <w:rFonts w:ascii="Arial" w:hAnsi="Arial"/>
                <w:sz w:val="17"/>
              </w:rPr>
              <w:t>EGP path / policy</w:t>
            </w:r>
          </w:p>
        </w:tc>
        <w:tc>
          <w:tcPr>
            <w:tcW w:type="dxa" w:w="2268"/>
            <w:shd w:val="clear" w:fill="F4F8F7"/>
          </w:tcPr>
          <w:p>
            <w:r>
              <w:rPr>
                <w:rFonts w:ascii="Arial" w:hAnsi="Arial"/>
                <w:sz w:val="17"/>
              </w:rPr>
              <w:t>stable-to-firmer; CBE cuts continue; 10-yr → 14–15%</w:t>
            </w:r>
          </w:p>
        </w:tc>
        <w:tc>
          <w:tcPr>
            <w:tcW w:type="dxa" w:w="2268"/>
            <w:shd w:val="clear" w:fill="F4F8F7"/>
          </w:tcPr>
          <w:p>
            <w:r>
              <w:rPr>
                <w:rFonts w:ascii="Arial" w:hAnsi="Arial"/>
                <w:sz w:val="17"/>
              </w:rPr>
              <w:t>pound drifts; cuts stall; 10-yr ~17%</w:t>
            </w:r>
          </w:p>
        </w:tc>
        <w:tc>
          <w:tcPr>
            <w:tcW w:type="dxa" w:w="2268"/>
            <w:shd w:val="clear" w:fill="F4F8F7"/>
          </w:tcPr>
          <w:p>
            <w:r>
              <w:rPr>
                <w:rFonts w:ascii="Arial" w:hAnsi="Arial"/>
                <w:sz w:val="17"/>
              </w:rPr>
              <w:t>one-off 15–20% reset; emergency hikes</w:t>
            </w:r>
          </w:p>
        </w:tc>
      </w:tr>
      <w:tr>
        <w:tc>
          <w:tcPr>
            <w:tcW w:type="dxa" w:w="2494"/>
          </w:tcPr>
          <w:p>
            <w:r>
              <w:rPr>
                <w:rFonts w:ascii="Arial" w:hAnsi="Arial"/>
                <w:sz w:val="17"/>
              </w:rPr>
              <w:t>Edita revenue growth (12m)</w:t>
            </w:r>
          </w:p>
        </w:tc>
        <w:tc>
          <w:tcPr>
            <w:tcW w:type="dxa" w:w="2268"/>
          </w:tcPr>
          <w:p>
            <w:r>
              <w:rPr>
                <w:rFonts w:ascii="Arial" w:hAnsi="Arial"/>
                <w:sz w:val="17"/>
              </w:rPr>
              <w:t>+28% (volume-led)</w:t>
            </w:r>
          </w:p>
        </w:tc>
        <w:tc>
          <w:tcPr>
            <w:tcW w:type="dxa" w:w="2268"/>
          </w:tcPr>
          <w:p>
            <w:r>
              <w:rPr>
                <w:rFonts w:ascii="Arial" w:hAnsi="Arial"/>
                <w:sz w:val="17"/>
              </w:rPr>
              <w:t>+22% (price-led)</w:t>
            </w:r>
          </w:p>
        </w:tc>
        <w:tc>
          <w:tcPr>
            <w:tcW w:type="dxa" w:w="2268"/>
          </w:tcPr>
          <w:p>
            <w:r>
              <w:rPr>
                <w:rFonts w:ascii="Arial" w:hAnsi="Arial"/>
                <w:sz w:val="17"/>
              </w:rPr>
              <w:t>+34% nominal, volume −5%</w:t>
            </w:r>
          </w:p>
        </w:tc>
      </w:tr>
      <w:tr>
        <w:tc>
          <w:tcPr>
            <w:tcW w:type="dxa" w:w="2494"/>
            <w:shd w:val="clear" w:fill="F4F8F7"/>
          </w:tcPr>
          <w:p>
            <w:r>
              <w:rPr>
                <w:rFonts w:ascii="Arial" w:hAnsi="Arial"/>
                <w:sz w:val="17"/>
              </w:rPr>
              <w:t>Gross margin</w:t>
            </w:r>
          </w:p>
        </w:tc>
        <w:tc>
          <w:tcPr>
            <w:tcW w:type="dxa" w:w="2268"/>
            <w:shd w:val="clear" w:fill="F4F8F7"/>
          </w:tcPr>
          <w:p>
            <w:r>
              <w:rPr>
                <w:rFonts w:ascii="Arial" w:hAnsi="Arial"/>
                <w:sz w:val="17"/>
              </w:rPr>
              <w:t>34.5%</w:t>
            </w:r>
          </w:p>
        </w:tc>
        <w:tc>
          <w:tcPr>
            <w:tcW w:type="dxa" w:w="2268"/>
            <w:shd w:val="clear" w:fill="F4F8F7"/>
          </w:tcPr>
          <w:p>
            <w:r>
              <w:rPr>
                <w:rFonts w:ascii="Arial" w:hAnsi="Arial"/>
                <w:sz w:val="17"/>
              </w:rPr>
              <w:t>33.0%</w:t>
            </w:r>
          </w:p>
        </w:tc>
        <w:tc>
          <w:tcPr>
            <w:tcW w:type="dxa" w:w="2268"/>
            <w:shd w:val="clear" w:fill="F4F8F7"/>
          </w:tcPr>
          <w:p>
            <w:r>
              <w:rPr>
                <w:rFonts w:ascii="Arial" w:hAnsi="Arial"/>
                <w:sz w:val="17"/>
              </w:rPr>
              <w:t>30.0% trough, recovering</w:t>
            </w:r>
          </w:p>
        </w:tc>
      </w:tr>
      <w:tr>
        <w:tc>
          <w:tcPr>
            <w:tcW w:type="dxa" w:w="2494"/>
          </w:tcPr>
          <w:p>
            <w:r>
              <w:rPr>
                <w:rFonts w:ascii="Arial" w:hAnsi="Arial"/>
                <w:sz w:val="17"/>
              </w:rPr>
              <w:t>WACC applied</w:t>
            </w:r>
          </w:p>
        </w:tc>
        <w:tc>
          <w:tcPr>
            <w:tcW w:type="dxa" w:w="2268"/>
          </w:tcPr>
          <w:p>
            <w:r>
              <w:rPr>
                <w:rFonts w:ascii="Arial" w:hAnsi="Arial"/>
                <w:sz w:val="17"/>
              </w:rPr>
              <w:t>19.2%</w:t>
            </w:r>
          </w:p>
        </w:tc>
        <w:tc>
          <w:tcPr>
            <w:tcW w:type="dxa" w:w="2268"/>
          </w:tcPr>
          <w:p>
            <w:r>
              <w:rPr>
                <w:rFonts w:ascii="Arial" w:hAnsi="Arial"/>
                <w:sz w:val="17"/>
              </w:rPr>
              <w:t>21.0%</w:t>
            </w:r>
          </w:p>
        </w:tc>
        <w:tc>
          <w:tcPr>
            <w:tcW w:type="dxa" w:w="2268"/>
          </w:tcPr>
          <w:p>
            <w:r>
              <w:rPr>
                <w:rFonts w:ascii="Arial" w:hAnsi="Arial"/>
                <w:sz w:val="17"/>
              </w:rPr>
              <w:t>23.5%</w:t>
            </w:r>
          </w:p>
        </w:tc>
      </w:tr>
      <w:tr>
        <w:tc>
          <w:tcPr>
            <w:tcW w:type="dxa" w:w="2494"/>
            <w:shd w:val="clear" w:fill="F4F8F7"/>
          </w:tcPr>
          <w:p>
            <w:r>
              <w:rPr>
                <w:rFonts w:ascii="Arial" w:hAnsi="Arial"/>
                <w:sz w:val="17"/>
              </w:rPr>
              <w:t>Equity value per share</w:t>
            </w:r>
          </w:p>
        </w:tc>
        <w:tc>
          <w:tcPr>
            <w:tcW w:type="dxa" w:w="2268"/>
            <w:shd w:val="clear" w:fill="F4F8F7"/>
          </w:tcPr>
          <w:p>
            <w:r>
              <w:rPr>
                <w:rFonts w:ascii="Arial" w:hAnsi="Arial"/>
                <w:sz w:val="17"/>
              </w:rPr>
              <w:t>EGP 33.0</w:t>
            </w:r>
          </w:p>
        </w:tc>
        <w:tc>
          <w:tcPr>
            <w:tcW w:type="dxa" w:w="2268"/>
            <w:shd w:val="clear" w:fill="F4F8F7"/>
          </w:tcPr>
          <w:p>
            <w:r>
              <w:rPr>
                <w:rFonts w:ascii="Arial" w:hAnsi="Arial"/>
                <w:sz w:val="17"/>
              </w:rPr>
              <w:t>EGP 25.5</w:t>
            </w:r>
          </w:p>
        </w:tc>
        <w:tc>
          <w:tcPr>
            <w:tcW w:type="dxa" w:w="2268"/>
            <w:shd w:val="clear" w:fill="F4F8F7"/>
          </w:tcPr>
          <w:p>
            <w:r>
              <w:rPr>
                <w:rFonts w:ascii="Arial" w:hAnsi="Arial"/>
                <w:sz w:val="17"/>
              </w:rPr>
              <w:t>EGP 17.5</w:t>
            </w:r>
          </w:p>
        </w:tc>
      </w:tr>
      <w:tr>
        <w:tc>
          <w:tcPr>
            <w:tcW w:type="dxa" w:w="2494"/>
          </w:tcPr>
          <w:p>
            <w:r>
              <w:rPr>
                <w:rFonts w:ascii="Arial" w:hAnsi="Arial"/>
                <w:sz w:val="17"/>
              </w:rPr>
              <w:t>Weighted contribution</w:t>
            </w:r>
          </w:p>
        </w:tc>
        <w:tc>
          <w:tcPr>
            <w:tcW w:type="dxa" w:w="2268"/>
          </w:tcPr>
          <w:p>
            <w:r>
              <w:rPr>
                <w:rFonts w:ascii="Arial" w:hAnsi="Arial"/>
                <w:sz w:val="17"/>
              </w:rPr>
              <w:t>18.15</w:t>
            </w:r>
          </w:p>
        </w:tc>
        <w:tc>
          <w:tcPr>
            <w:tcW w:type="dxa" w:w="2268"/>
          </w:tcPr>
          <w:p>
            <w:r>
              <w:rPr>
                <w:rFonts w:ascii="Arial" w:hAnsi="Arial"/>
                <w:sz w:val="17"/>
              </w:rPr>
              <w:t>7.65</w:t>
            </w:r>
          </w:p>
        </w:tc>
        <w:tc>
          <w:tcPr>
            <w:tcW w:type="dxa" w:w="2268"/>
          </w:tcPr>
          <w:p>
            <w:r>
              <w:rPr>
                <w:rFonts w:ascii="Arial" w:hAnsi="Arial"/>
                <w:sz w:val="17"/>
              </w:rPr>
              <w:t>2.63</w:t>
            </w:r>
          </w:p>
        </w:tc>
      </w:tr>
    </w:tbl>
    <w:p>
      <w:pPr>
        <w:spacing w:after="40"/>
      </w:pPr>
    </w:p>
    <w:p>
      <w:pPr>
        <w:spacing w:after="80"/>
      </w:pPr>
      <w:r>
        <w:rPr>
          <w:rFonts w:ascii="Arial" w:hAnsi="Arial"/>
          <w:b w:val="0"/>
          <w:i w:val="0"/>
          <w:sz w:val="19"/>
        </w:rPr>
      </w:r>
      <w:r>
        <w:rPr>
          <w:rFonts w:ascii="Arial" w:hAnsi="Arial"/>
          <w:b/>
          <w:i w:val="0"/>
          <w:sz w:val="19"/>
        </w:rPr>
        <w:t>Worked example, read aloud.</w:t>
      </w:r>
      <w:r>
        <w:rPr>
          <w:rFonts w:ascii="Arial" w:hAnsi="Arial"/>
          <w:b w:val="0"/>
          <w:i w:val="0"/>
          <w:sz w:val="19"/>
        </w:rPr>
        <w:t xml:space="preserve"> In the majority world — the IMF program holds, remittances and Suez normalize, the CBE keeps cutting — Edita is a volume compounder discounted two points cheaper than today and is worth EGP 33. In the muddle, it grinds: pricing does the work, the multiple stays pinned, EGP 25.5. In the shock — the state every Egyptian portfolio must carry — margins take the 2024 round-trip again and the discount rate spikes before the export line and the price ladder claw it back: EGP 17.5, not zero, because the franchise has now demonstrated the recovery mechanism once. Weighted: </w:t>
      </w:r>
      <w:r>
        <w:rPr>
          <w:rFonts w:ascii="Arial" w:hAnsi="Arial"/>
          <w:b/>
          <w:i w:val="0"/>
          <w:sz w:val="19"/>
        </w:rPr>
        <w:t>EGP 28.4</w:t>
      </w:r>
      <w:r>
        <w:rPr>
          <w:rFonts w:ascii="Arial" w:hAnsi="Arial"/>
          <w:b w:val="0"/>
          <w:i w:val="0"/>
          <w:sz w:val="19"/>
        </w:rPr>
        <w:t xml:space="preserve">; I shade to </w:t>
      </w:r>
      <w:r>
        <w:rPr>
          <w:rFonts w:ascii="Arial" w:hAnsi="Arial"/>
          <w:b/>
          <w:i w:val="0"/>
          <w:sz w:val="19"/>
        </w:rPr>
        <w:t>EGP 28.2</w:t>
      </w:r>
      <w:r>
        <w:rPr>
          <w:rFonts w:ascii="Arial" w:hAnsi="Arial"/>
          <w:b w:val="0"/>
          <w:i w:val="0"/>
          <w:sz w:val="19"/>
        </w:rPr>
        <w:t xml:space="preserve"> for the transition costs the tree averages away.</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4195"/>
            <w:shd w:val="clear" w:fill="1C6E63"/>
          </w:tcPr>
          <w:p>
            <w:r>
              <w:rPr>
                <w:rFonts w:ascii="Arial" w:hAnsi="Arial"/>
                <w:b/>
                <w:color w:val="FFFFFF"/>
                <w:sz w:val="17"/>
              </w:rPr>
              <w:t>Expert 3 — sensitivity on the swing input (P of step-devaluation)</w:t>
            </w:r>
          </w:p>
        </w:tc>
        <w:tc>
          <w:tcPr>
            <w:tcW w:type="dxa" w:w="1020"/>
            <w:shd w:val="clear" w:fill="1C6E63"/>
          </w:tcPr>
          <w:p>
            <w:r>
              <w:rPr>
                <w:rFonts w:ascii="Arial" w:hAnsi="Arial"/>
                <w:b/>
                <w:color w:val="FFFFFF"/>
                <w:sz w:val="17"/>
              </w:rPr>
              <w:t>5%</w:t>
            </w:r>
          </w:p>
        </w:tc>
        <w:tc>
          <w:tcPr>
            <w:tcW w:type="dxa" w:w="1020"/>
            <w:shd w:val="clear" w:fill="1C6E63"/>
          </w:tcPr>
          <w:p>
            <w:r>
              <w:rPr>
                <w:rFonts w:ascii="Arial" w:hAnsi="Arial"/>
                <w:b/>
                <w:color w:val="FFFFFF"/>
                <w:sz w:val="17"/>
              </w:rPr>
              <w:t>10%</w:t>
            </w:r>
          </w:p>
        </w:tc>
        <w:tc>
          <w:tcPr>
            <w:tcW w:type="dxa" w:w="1020"/>
            <w:shd w:val="clear" w:fill="1C6E63"/>
          </w:tcPr>
          <w:p>
            <w:r>
              <w:rPr>
                <w:rFonts w:ascii="Arial" w:hAnsi="Arial"/>
                <w:b/>
                <w:color w:val="FFFFFF"/>
                <w:sz w:val="17"/>
              </w:rPr>
              <w:t>15%</w:t>
            </w:r>
          </w:p>
        </w:tc>
        <w:tc>
          <w:tcPr>
            <w:tcW w:type="dxa" w:w="1020"/>
            <w:shd w:val="clear" w:fill="1C6E63"/>
          </w:tcPr>
          <w:p>
            <w:r>
              <w:rPr>
                <w:rFonts w:ascii="Arial" w:hAnsi="Arial"/>
                <w:b/>
                <w:color w:val="FFFFFF"/>
                <w:sz w:val="17"/>
              </w:rPr>
              <w:t>25%</w:t>
            </w:r>
          </w:p>
        </w:tc>
        <w:tc>
          <w:tcPr>
            <w:tcW w:type="dxa" w:w="1020"/>
            <w:shd w:val="clear" w:fill="1C6E63"/>
          </w:tcPr>
          <w:p>
            <w:r>
              <w:rPr>
                <w:rFonts w:ascii="Arial" w:hAnsi="Arial"/>
                <w:b/>
                <w:color w:val="FFFFFF"/>
                <w:sz w:val="17"/>
              </w:rPr>
              <w:t>35%</w:t>
            </w:r>
          </w:p>
        </w:tc>
      </w:tr>
      <w:tr>
        <w:tc>
          <w:tcPr>
            <w:tcW w:type="dxa" w:w="4195"/>
          </w:tcPr>
          <w:p>
            <w:r>
              <w:rPr>
                <w:rFonts w:ascii="Arial" w:hAnsi="Arial"/>
                <w:sz w:val="17"/>
              </w:rPr>
              <w:t>Weighted fair value (EGP)</w:t>
            </w:r>
          </w:p>
        </w:tc>
        <w:tc>
          <w:tcPr>
            <w:tcW w:type="dxa" w:w="1020"/>
          </w:tcPr>
          <w:p>
            <w:r>
              <w:rPr>
                <w:rFonts w:ascii="Arial" w:hAnsi="Arial"/>
                <w:sz w:val="17"/>
              </w:rPr>
              <w:t>29.7</w:t>
            </w:r>
          </w:p>
        </w:tc>
        <w:tc>
          <w:tcPr>
            <w:tcW w:type="dxa" w:w="1020"/>
          </w:tcPr>
          <w:p>
            <w:r>
              <w:rPr>
                <w:rFonts w:ascii="Arial" w:hAnsi="Arial"/>
                <w:sz w:val="17"/>
              </w:rPr>
              <w:t>29.0</w:t>
            </w:r>
          </w:p>
        </w:tc>
        <w:tc>
          <w:tcPr>
            <w:tcW w:type="dxa" w:w="1020"/>
          </w:tcPr>
          <w:p>
            <w:r>
              <w:rPr>
                <w:rFonts w:ascii="Arial" w:hAnsi="Arial"/>
                <w:sz w:val="17"/>
              </w:rPr>
              <w:t>28.4</w:t>
            </w:r>
          </w:p>
        </w:tc>
        <w:tc>
          <w:tcPr>
            <w:tcW w:type="dxa" w:w="1020"/>
          </w:tcPr>
          <w:p>
            <w:r>
              <w:rPr>
                <w:rFonts w:ascii="Arial" w:hAnsi="Arial"/>
                <w:sz w:val="17"/>
              </w:rPr>
              <w:t>26.8</w:t>
            </w:r>
          </w:p>
        </w:tc>
        <w:tc>
          <w:tcPr>
            <w:tcW w:type="dxa" w:w="1020"/>
          </w:tcPr>
          <w:p>
            <w:r>
              <w:rPr>
                <w:rFonts w:ascii="Arial" w:hAnsi="Arial"/>
                <w:sz w:val="17"/>
              </w:rPr>
              <w:t>25.3</w:t>
            </w:r>
          </w:p>
        </w:tc>
      </w:tr>
    </w:tbl>
    <w:p>
      <w:pPr>
        <w:spacing w:after="40"/>
      </w:pPr>
    </w:p>
    <w:p>
      <w:pPr>
        <w:spacing w:after="80"/>
      </w:pPr>
      <w:r>
        <w:rPr>
          <w:rFonts w:ascii="Arial" w:hAnsi="Arial"/>
          <w:b w:val="0"/>
          <w:i w:val="0"/>
          <w:sz w:val="19"/>
        </w:rPr>
      </w:r>
      <w:r>
        <w:rPr>
          <w:rFonts w:ascii="Arial" w:hAnsi="Arial"/>
          <w:b/>
          <w:i w:val="0"/>
          <w:sz w:val="19"/>
        </w:rPr>
        <w:t>Cross-examination.</w:t>
      </w:r>
      <w:r>
        <w:rPr>
          <w:rFonts w:ascii="Arial" w:hAnsi="Arial"/>
          <w:b w:val="0"/>
          <w:i w:val="0"/>
          <w:sz w:val="19"/>
        </w:rPr>
        <w:t xml:space="preserve"> To Expert 1: a single Ke-minus-g spread is a scenario tree in denial — your 5.4-point denominator silently assumes my 55% state with certainty; put 15% odds on the shock and your perpetuity machinery snaps. To Expert 2: your haircuts are my muddle-through state wearing a green eyeshade — legitimate, but you apply them unconditionally; in the disinflation state the "windfall" interest income becomes a lower discount rate pound-for-pound, and you capture neither. </w:t>
      </w:r>
      <w:r>
        <w:rPr>
          <w:rFonts w:ascii="Arial" w:hAnsi="Arial"/>
          <w:b/>
          <w:i w:val="0"/>
          <w:sz w:val="19"/>
        </w:rPr>
        <w:t>Verdict: EGP 28.2.</w:t>
      </w:r>
      <w:r>
        <w:rPr>
          <w:rFonts w:ascii="Arial" w:hAnsi="Arial"/>
          <w:b w:val="0"/>
          <w:i w:val="0"/>
          <w:sz w:val="19"/>
        </w:rPr>
        <w:t xml:space="preserve"> </w:t>
      </w:r>
      <w:r>
        <w:rPr>
          <w:rFonts w:ascii="Arial" w:hAnsi="Arial"/>
          <w:b/>
          <w:i w:val="0"/>
          <w:sz w:val="19"/>
        </w:rPr>
        <w:t>Falsification:</w:t>
      </w:r>
      <w:r>
        <w:rPr>
          <w:rFonts w:ascii="Arial" w:hAnsi="Arial"/>
          <w:b w:val="0"/>
          <w:i w:val="0"/>
          <w:sz w:val="19"/>
        </w:rPr>
        <w:t xml:space="preserve"> the pound moving more than 10% in either direction within six months against my state weights, or CPI re-accelerating above 20% — either re-draws the tree. </w:t>
      </w:r>
      <w:r>
        <w:rPr>
          <w:rFonts w:ascii="Arial" w:hAnsi="Arial"/>
          <w:b/>
          <w:i w:val="0"/>
          <w:sz w:val="19"/>
        </w:rPr>
        <w:t>What the market implies:</w:t>
      </w:r>
      <w:r>
        <w:rPr>
          <w:rFonts w:ascii="Arial" w:hAnsi="Arial"/>
          <w:b w:val="0"/>
          <w:i w:val="0"/>
          <w:sz w:val="19"/>
        </w:rPr>
        <w:t xml:space="preserve"> 27.34 solves to roughly a 19–20% shock probability on my tree — the market is a touch more worried about the pound than I am, and that spread is the whole trade.</w:t>
      </w:r>
    </w:p>
    <w:p>
      <w:pPr>
        <w:pStyle w:val="Heading2"/>
      </w:pPr>
      <w:r>
        <w:t>D.5  The three in one room</w:t>
      </w:r>
    </w:p>
    <w:p>
      <w:pPr>
        <w:spacing w:after="80"/>
      </w:pPr>
      <w:r>
        <w:rPr>
          <w:rFonts w:ascii="Arial" w:hAnsi="Arial"/>
          <w:b w:val="0"/>
          <w:i w:val="0"/>
          <w:sz w:val="19"/>
        </w:rPr>
        <w:t xml:space="preserve">Put them at one table and the argument lands on a single line item: </w:t>
      </w:r>
      <w:r>
        <w:rPr>
          <w:rFonts w:ascii="Arial" w:hAnsi="Arial"/>
          <w:b/>
          <w:i w:val="0"/>
          <w:sz w:val="19"/>
        </w:rPr>
        <w:t>the 34.9% gross margin of 1Q2026.</w:t>
      </w:r>
      <w:r>
        <w:rPr>
          <w:rFonts w:ascii="Arial" w:hAnsi="Arial"/>
          <w:b w:val="0"/>
          <w:i w:val="0"/>
          <w:sz w:val="19"/>
        </w:rPr>
        <w:t xml:space="preserve"> Expert 1 opens: "That margin is the franchise showing its true shape now that pricing caught up — capitalize it." Expert 2, dryly: "That margin is sugar futures and a treasury coupon in a trench coat. Show me one commodity cycle and one currency event with the margin intact and I will pay your multiple myself — until then it is weather." Expert 3 leans back: "You are both describing states and calling them the world. In my majority state Expert 1 is right and the stock is worth 33; in my shock state Expert 2 is an optimist. The only honest number is the weighted one — and notice that the market’s 27.34 sits almost exactly on my tree, which should worry all three of us about how much edge is left." Expert 1: "Your tree double-charges the shock — it is in your margins AND your WACC." Expert 3: "Because it hits both. Ask 2024." Expert 2, closing: "Then we agree on the falsifier: hold 34% gross margin through the next pound move, and the bull case writes itself."</w:t>
      </w:r>
    </w:p>
    <w:p>
      <w:pPr>
        <w:pStyle w:val="Heading2"/>
      </w:pPr>
      <w:r>
        <w:t>D.6  Reading the divergence</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247"/>
            <w:shd w:val="clear" w:fill="1C6E63"/>
          </w:tcPr>
          <w:p>
            <w:r>
              <w:rPr>
                <w:rFonts w:ascii="Arial" w:hAnsi="Arial"/>
                <w:b/>
                <w:color w:val="FFFFFF"/>
                <w:sz w:val="17"/>
              </w:rPr>
              <w:t>Expert</w:t>
            </w:r>
          </w:p>
        </w:tc>
        <w:tc>
          <w:tcPr>
            <w:tcW w:type="dxa" w:w="2608"/>
            <w:shd w:val="clear" w:fill="1C6E63"/>
          </w:tcPr>
          <w:p>
            <w:r>
              <w:rPr>
                <w:rFonts w:ascii="Arial" w:hAnsi="Arial"/>
                <w:b/>
                <w:color w:val="FFFFFF"/>
                <w:sz w:val="17"/>
              </w:rPr>
              <w:t>Method</w:t>
            </w:r>
          </w:p>
        </w:tc>
        <w:tc>
          <w:tcPr>
            <w:tcW w:type="dxa" w:w="1474"/>
            <w:shd w:val="clear" w:fill="1C6E63"/>
          </w:tcPr>
          <w:p>
            <w:r>
              <w:rPr>
                <w:rFonts w:ascii="Arial" w:hAnsi="Arial"/>
                <w:b/>
                <w:color w:val="FFFFFF"/>
                <w:sz w:val="17"/>
              </w:rPr>
              <w:t>Fair value (EGP)</w:t>
            </w:r>
          </w:p>
        </w:tc>
        <w:tc>
          <w:tcPr>
            <w:tcW w:type="dxa" w:w="1020"/>
            <w:shd w:val="clear" w:fill="1C6E63"/>
          </w:tcPr>
          <w:p>
            <w:r>
              <w:rPr>
                <w:rFonts w:ascii="Arial" w:hAnsi="Arial"/>
                <w:b/>
                <w:color w:val="FFFFFF"/>
                <w:sz w:val="17"/>
              </w:rPr>
              <w:t>Vs spot</w:t>
            </w:r>
          </w:p>
        </w:tc>
        <w:tc>
          <w:tcPr>
            <w:tcW w:type="dxa" w:w="1247"/>
            <w:shd w:val="clear" w:fill="1C6E63"/>
          </w:tcPr>
          <w:p>
            <w:r>
              <w:rPr>
                <w:rFonts w:ascii="Arial" w:hAnsi="Arial"/>
                <w:b/>
                <w:color w:val="FFFFFF"/>
                <w:sz w:val="17"/>
              </w:rPr>
              <w:t>Bear / bull</w:t>
            </w:r>
          </w:p>
        </w:tc>
        <w:tc>
          <w:tcPr>
            <w:tcW w:type="dxa" w:w="2835"/>
            <w:shd w:val="clear" w:fill="1C6E63"/>
          </w:tcPr>
          <w:p>
            <w:r>
              <w:rPr>
                <w:rFonts w:ascii="Arial" w:hAnsi="Arial"/>
                <w:b/>
                <w:color w:val="FFFFFF"/>
                <w:sz w:val="17"/>
              </w:rPr>
              <w:t>The one assumption doing the work</w:t>
            </w:r>
          </w:p>
        </w:tc>
      </w:tr>
      <w:tr>
        <w:tc>
          <w:tcPr>
            <w:tcW w:type="dxa" w:w="1247"/>
          </w:tcPr>
          <w:p>
            <w:r>
              <w:rPr>
                <w:rFonts w:ascii="Arial" w:hAnsi="Arial"/>
                <w:sz w:val="17"/>
              </w:rPr>
              <w:t>Expert 1</w:t>
            </w:r>
          </w:p>
        </w:tc>
        <w:tc>
          <w:tcPr>
            <w:tcW w:type="dxa" w:w="2608"/>
          </w:tcPr>
          <w:p>
            <w:r>
              <w:rPr>
                <w:rFonts w:ascii="Arial" w:hAnsi="Arial"/>
                <w:sz w:val="17"/>
              </w:rPr>
              <w:t>Earnings power capitalized</w:t>
            </w:r>
          </w:p>
        </w:tc>
        <w:tc>
          <w:tcPr>
            <w:tcW w:type="dxa" w:w="1474"/>
          </w:tcPr>
          <w:p>
            <w:r>
              <w:rPr>
                <w:rFonts w:ascii="Arial" w:hAnsi="Arial"/>
                <w:sz w:val="17"/>
              </w:rPr>
              <w:t>29.12</w:t>
            </w:r>
          </w:p>
        </w:tc>
        <w:tc>
          <w:tcPr>
            <w:tcW w:type="dxa" w:w="1020"/>
          </w:tcPr>
          <w:p>
            <w:r>
              <w:rPr>
                <w:rFonts w:ascii="Arial" w:hAnsi="Arial"/>
                <w:sz w:val="17"/>
              </w:rPr>
              <w:t>+6.5%</w:t>
            </w:r>
          </w:p>
        </w:tc>
        <w:tc>
          <w:tcPr>
            <w:tcW w:type="dxa" w:w="1247"/>
          </w:tcPr>
          <w:p>
            <w:r>
              <w:rPr>
                <w:rFonts w:ascii="Arial" w:hAnsi="Arial"/>
                <w:sz w:val="17"/>
              </w:rPr>
              <w:t>21.4 / 45.9</w:t>
            </w:r>
          </w:p>
        </w:tc>
        <w:tc>
          <w:tcPr>
            <w:tcW w:type="dxa" w:w="2835"/>
          </w:tcPr>
          <w:p>
            <w:r>
              <w:rPr>
                <w:rFonts w:ascii="Arial" w:hAnsi="Arial"/>
                <w:sz w:val="17"/>
              </w:rPr>
              <w:t>sustainable g = RR × ROIIC = 16%</w:t>
            </w:r>
          </w:p>
        </w:tc>
      </w:tr>
      <w:tr>
        <w:tc>
          <w:tcPr>
            <w:tcW w:type="dxa" w:w="1247"/>
            <w:shd w:val="clear" w:fill="F4F8F7"/>
          </w:tcPr>
          <w:p>
            <w:r>
              <w:rPr>
                <w:rFonts w:ascii="Arial" w:hAnsi="Arial"/>
                <w:sz w:val="17"/>
              </w:rPr>
              <w:t>Expert 2</w:t>
            </w:r>
          </w:p>
        </w:tc>
        <w:tc>
          <w:tcPr>
            <w:tcW w:type="dxa" w:w="2608"/>
            <w:shd w:val="clear" w:fill="F4F8F7"/>
          </w:tcPr>
          <w:p>
            <w:r>
              <w:rPr>
                <w:rFonts w:ascii="Arial" w:hAnsi="Arial"/>
                <w:sz w:val="17"/>
              </w:rPr>
              <w:t>Quality-of-earnings × through-cycle multiple</w:t>
            </w:r>
          </w:p>
        </w:tc>
        <w:tc>
          <w:tcPr>
            <w:tcW w:type="dxa" w:w="1474"/>
            <w:shd w:val="clear" w:fill="F4F8F7"/>
          </w:tcPr>
          <w:p>
            <w:r>
              <w:rPr>
                <w:rFonts w:ascii="Arial" w:hAnsi="Arial"/>
                <w:sz w:val="17"/>
              </w:rPr>
              <w:t>24.50</w:t>
            </w:r>
          </w:p>
        </w:tc>
        <w:tc>
          <w:tcPr>
            <w:tcW w:type="dxa" w:w="1020"/>
            <w:shd w:val="clear" w:fill="F4F8F7"/>
          </w:tcPr>
          <w:p>
            <w:r>
              <w:rPr>
                <w:rFonts w:ascii="Arial" w:hAnsi="Arial"/>
                <w:sz w:val="17"/>
              </w:rPr>
              <w:t>−10.4%</w:t>
            </w:r>
          </w:p>
        </w:tc>
        <w:tc>
          <w:tcPr>
            <w:tcW w:type="dxa" w:w="1247"/>
            <w:shd w:val="clear" w:fill="F4F8F7"/>
          </w:tcPr>
          <w:p>
            <w:r>
              <w:rPr>
                <w:rFonts w:ascii="Arial" w:hAnsi="Arial"/>
                <w:sz w:val="17"/>
              </w:rPr>
              <w:t>20.3 / 28.0</w:t>
            </w:r>
          </w:p>
        </w:tc>
        <w:tc>
          <w:tcPr>
            <w:tcW w:type="dxa" w:w="2835"/>
            <w:shd w:val="clear" w:fill="F4F8F7"/>
          </w:tcPr>
          <w:p>
            <w:r>
              <w:rPr>
                <w:rFonts w:ascii="Arial" w:hAnsi="Arial"/>
                <w:sz w:val="17"/>
              </w:rPr>
              <w:t>a 10.5x clean multiple; margin tailwinds are weather</w:t>
            </w:r>
          </w:p>
        </w:tc>
      </w:tr>
      <w:tr>
        <w:tc>
          <w:tcPr>
            <w:tcW w:type="dxa" w:w="1247"/>
          </w:tcPr>
          <w:p>
            <w:r>
              <w:rPr>
                <w:rFonts w:ascii="Arial" w:hAnsi="Arial"/>
                <w:sz w:val="17"/>
              </w:rPr>
              <w:t>Expert 3</w:t>
            </w:r>
          </w:p>
        </w:tc>
        <w:tc>
          <w:tcPr>
            <w:tcW w:type="dxa" w:w="2608"/>
          </w:tcPr>
          <w:p>
            <w:r>
              <w:rPr>
                <w:rFonts w:ascii="Arial" w:hAnsi="Arial"/>
                <w:sz w:val="17"/>
              </w:rPr>
              <w:t>Probability-weighted policy tree</w:t>
            </w:r>
          </w:p>
        </w:tc>
        <w:tc>
          <w:tcPr>
            <w:tcW w:type="dxa" w:w="1474"/>
          </w:tcPr>
          <w:p>
            <w:r>
              <w:rPr>
                <w:rFonts w:ascii="Arial" w:hAnsi="Arial"/>
                <w:sz w:val="17"/>
              </w:rPr>
              <w:t>28.20</w:t>
            </w:r>
          </w:p>
        </w:tc>
        <w:tc>
          <w:tcPr>
            <w:tcW w:type="dxa" w:w="1020"/>
          </w:tcPr>
          <w:p>
            <w:r>
              <w:rPr>
                <w:rFonts w:ascii="Arial" w:hAnsi="Arial"/>
                <w:sz w:val="17"/>
              </w:rPr>
              <w:t>+3.1%</w:t>
            </w:r>
          </w:p>
        </w:tc>
        <w:tc>
          <w:tcPr>
            <w:tcW w:type="dxa" w:w="1247"/>
          </w:tcPr>
          <w:p>
            <w:r>
              <w:rPr>
                <w:rFonts w:ascii="Arial" w:hAnsi="Arial"/>
                <w:sz w:val="17"/>
              </w:rPr>
              <w:t>17.5 / 33.0</w:t>
            </w:r>
          </w:p>
        </w:tc>
        <w:tc>
          <w:tcPr>
            <w:tcW w:type="dxa" w:w="2835"/>
          </w:tcPr>
          <w:p>
            <w:r>
              <w:rPr>
                <w:rFonts w:ascii="Arial" w:hAnsi="Arial"/>
                <w:sz w:val="17"/>
              </w:rPr>
              <w:t>15% odds on an EGP step-devaluation</w:t>
            </w:r>
          </w:p>
        </w:tc>
      </w:tr>
      <w:tr>
        <w:tc>
          <w:tcPr>
            <w:tcW w:type="dxa" w:w="1247"/>
            <w:shd w:val="clear" w:fill="F4F8F7"/>
          </w:tcPr>
          <w:p>
            <w:r>
              <w:rPr>
                <w:rFonts w:ascii="Arial" w:hAnsi="Arial"/>
                <w:sz w:val="17"/>
              </w:rPr>
              <w:t>House (§1.5)</w:t>
            </w:r>
          </w:p>
        </w:tc>
        <w:tc>
          <w:tcPr>
            <w:tcW w:type="dxa" w:w="2608"/>
            <w:shd w:val="clear" w:fill="F4F8F7"/>
          </w:tcPr>
          <w:p>
            <w:r>
              <w:rPr>
                <w:rFonts w:ascii="Arial" w:hAnsi="Arial"/>
                <w:sz w:val="17"/>
              </w:rPr>
              <w:t>Five-lens weighted</w:t>
            </w:r>
          </w:p>
        </w:tc>
        <w:tc>
          <w:tcPr>
            <w:tcW w:type="dxa" w:w="1474"/>
            <w:shd w:val="clear" w:fill="F4F8F7"/>
          </w:tcPr>
          <w:p>
            <w:r>
              <w:rPr>
                <w:rFonts w:ascii="Arial" w:hAnsi="Arial"/>
                <w:sz w:val="17"/>
              </w:rPr>
              <w:t>27.68</w:t>
            </w:r>
          </w:p>
        </w:tc>
        <w:tc>
          <w:tcPr>
            <w:tcW w:type="dxa" w:w="1020"/>
            <w:shd w:val="clear" w:fill="F4F8F7"/>
          </w:tcPr>
          <w:p>
            <w:r>
              <w:rPr>
                <w:rFonts w:ascii="Arial" w:hAnsi="Arial"/>
                <w:sz w:val="17"/>
              </w:rPr>
              <w:t>+1.3%</w:t>
            </w:r>
          </w:p>
        </w:tc>
        <w:tc>
          <w:tcPr>
            <w:tcW w:type="dxa" w:w="1247"/>
            <w:shd w:val="clear" w:fill="F4F8F7"/>
          </w:tcPr>
          <w:p>
            <w:r>
              <w:rPr>
                <w:rFonts w:ascii="Arial" w:hAnsi="Arial"/>
                <w:sz w:val="17"/>
              </w:rPr>
              <w:t>16.4 / 42.8</w:t>
            </w:r>
          </w:p>
        </w:tc>
        <w:tc>
          <w:tcPr>
            <w:tcW w:type="dxa" w:w="2835"/>
            <w:shd w:val="clear" w:fill="F4F8F7"/>
          </w:tcPr>
          <w:p>
            <w:r>
              <w:rPr>
                <w:rFonts w:ascii="Arial" w:hAnsi="Arial"/>
                <w:sz w:val="17"/>
              </w:rPr>
              <w:t>35% weight on the FCFF DCF</w:t>
            </w:r>
          </w:p>
        </w:tc>
      </w:tr>
      <w:tr>
        <w:tc>
          <w:tcPr>
            <w:tcW w:type="dxa" w:w="1247"/>
          </w:tcPr>
          <w:p>
            <w:r>
              <w:rPr>
                <w:rFonts w:ascii="Arial" w:hAnsi="Arial"/>
                <w:sz w:val="17"/>
              </w:rPr>
              <w:t>Market</w:t>
            </w:r>
          </w:p>
        </w:tc>
        <w:tc>
          <w:tcPr>
            <w:tcW w:type="dxa" w:w="2608"/>
          </w:tcPr>
          <w:p>
            <w:r>
              <w:rPr>
                <w:rFonts w:ascii="Arial" w:hAnsi="Arial"/>
                <w:sz w:val="17"/>
              </w:rPr>
              <w:t>—</w:t>
            </w:r>
          </w:p>
        </w:tc>
        <w:tc>
          <w:tcPr>
            <w:tcW w:type="dxa" w:w="1474"/>
          </w:tcPr>
          <w:p>
            <w:r>
              <w:rPr>
                <w:rFonts w:ascii="Arial" w:hAnsi="Arial"/>
                <w:sz w:val="17"/>
              </w:rPr>
              <w:t>27.34</w:t>
            </w:r>
          </w:p>
        </w:tc>
        <w:tc>
          <w:tcPr>
            <w:tcW w:type="dxa" w:w="1020"/>
          </w:tcPr>
          <w:p>
            <w:r>
              <w:rPr>
                <w:rFonts w:ascii="Arial" w:hAnsi="Arial"/>
                <w:sz w:val="17"/>
              </w:rPr>
              <w:t>—</w:t>
            </w:r>
          </w:p>
        </w:tc>
        <w:tc>
          <w:tcPr>
            <w:tcW w:type="dxa" w:w="1247"/>
          </w:tcPr>
          <w:p>
            <w:r>
              <w:rPr>
                <w:rFonts w:ascii="Arial" w:hAnsi="Arial"/>
                <w:sz w:val="17"/>
              </w:rPr>
              <w:t>—</w:t>
            </w:r>
          </w:p>
        </w:tc>
        <w:tc>
          <w:tcPr>
            <w:tcW w:type="dxa" w:w="2835"/>
          </w:tcPr>
          <w:p>
            <w:r>
              <w:rPr>
                <w:rFonts w:ascii="Arial" w:hAnsi="Arial"/>
                <w:sz w:val="17"/>
              </w:rPr>
              <w:t>implies g ≈ 15.3% (E1), 12.1x clean (E2), P(shock) ≈ 19% (E3)</w:t>
            </w:r>
          </w:p>
        </w:tc>
      </w:tr>
    </w:tbl>
    <w:p>
      <w:pPr>
        <w:spacing w:after="40"/>
      </w:pPr>
    </w:p>
    <w:p>
      <w:pPr>
        <w:spacing w:after="80"/>
      </w:pPr>
      <w:r>
        <w:rPr>
          <w:rFonts w:ascii="Arial" w:hAnsi="Arial"/>
          <w:b w:val="0"/>
          <w:i w:val="0"/>
          <w:sz w:val="19"/>
        </w:rPr>
      </w:r>
      <w:r>
        <w:rPr>
          <w:rFonts w:ascii="Arial" w:hAnsi="Arial"/>
          <w:b/>
          <w:i w:val="0"/>
          <w:sz w:val="19"/>
        </w:rPr>
        <w:t>What the spread measures.</w:t>
      </w:r>
      <w:r>
        <w:rPr>
          <w:rFonts w:ascii="Arial" w:hAnsi="Arial"/>
          <w:b w:val="0"/>
          <w:i w:val="0"/>
          <w:sz w:val="19"/>
        </w:rPr>
        <w:t xml:space="preserve"> The EGP 24.5–29.1 expert range is only ±9% around spot — unusually tight for this panel — because all three agree the business is excellent and disagree only about </w:t>
      </w:r>
      <w:r>
        <w:rPr>
          <w:rFonts w:ascii="Arial" w:hAnsi="Arial"/>
          <w:b/>
          <w:i w:val="0"/>
          <w:sz w:val="19"/>
        </w:rPr>
        <w:t>which year is normal</w:t>
      </w:r>
      <w:r>
        <w:rPr>
          <w:rFonts w:ascii="Arial" w:hAnsi="Arial"/>
          <w:b w:val="0"/>
          <w:i w:val="0"/>
          <w:sz w:val="19"/>
        </w:rPr>
        <w:t>. Expert 1 capitalizes the machine’s demonstrated incremental returns; Expert 2 refuses to pay for anything the 2026 weather delivered; Expert 3 prices the referee — the pound — directly. The market price sits a pound above the accountant and a pound below the earnings-power read, which is another way of saying the exchange has internalized both arguments and is charging roughly a one-in-five devaluation premium. The divergence is therefore not a mispricing signal; it is a live measurement of how much of Edita’s printed margin the market believes is climate. Watch the falsifiers, not the fair values: a 34%+ gross margin through the next commodity-and-currency cycle collapses the panel toward Expert 1; the next step-devaluation collapses it toward Expert 3’s left tail.</w:t>
      </w:r>
    </w:p>
    <w:p>
      <w:pPr>
        <w:spacing w:after="80"/>
      </w:pPr>
      <w:r>
        <w:rPr>
          <w:rFonts w:ascii="Arial" w:hAnsi="Arial"/>
          <w:b w:val="0"/>
          <w:i w:val="0"/>
          <w:sz w:val="19"/>
        </w:rPr>
        <w:t>A second reading of the table: the bear columns disagree more than the base columns. Expert 2’s floor (EGP 20.3) assumes the business keeps earning and only the multiple compresses; Expert 3’s floor (EGP 17.5) is a genuine macro event; Expert 1’s (EGP 21.4) is a growth fade with the franchise intact. That the three floors cluster at 17–21 — roughly 25% below spot — while the ceilings scatter from 28 to 46 tells you where the risk is asymmetric: the downside is bounded by demonstrated cash generation, the upside is a function of how long Egyptian nominal conditions stay kind. It is the mirror image of 2022, when the ceilings clustered and the floors scattered.</w:t>
      </w:r>
    </w:p>
    <w:p>
      <w:pPr>
        <w:pStyle w:val="Heading1"/>
      </w:pPr>
      <w:r>
        <w:t>About this series</w:t>
      </w:r>
    </w:p>
    <w:p>
      <w:pPr>
        <w:spacing w:after="80"/>
      </w:pPr>
      <w:r>
        <w:rPr>
          <w:rFonts w:ascii="Arial" w:hAnsi="Arial"/>
          <w:b w:val="0"/>
          <w:i w:val="0"/>
          <w:sz w:val="19"/>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Style w:val="Heading1"/>
      </w:pPr>
      <w:r>
        <w:t>Disclosure &amp; Disclaimer</w:t>
      </w:r>
    </w:p>
    <w:p>
      <w:pPr>
        <w:spacing w:after="80"/>
      </w:pPr>
      <w:r>
        <w:rPr>
          <w:rFonts w:ascii="Arial" w:hAnsi="Arial"/>
          <w:b w:val="0"/>
          <w:i w:val="0"/>
          <w:sz w:val="19"/>
        </w:rPr>
      </w:r>
      <w:r>
        <w:rPr>
          <w:rFonts w:ascii="Arial" w:hAnsi="Arial"/>
          <w:b/>
          <w:i w:val="0"/>
          <w:sz w:val="19"/>
        </w:rPr>
        <w:t xml:space="preserve">Not investment advice. </w:t>
      </w:r>
      <w:r>
        <w:rPr>
          <w:rFonts w:ascii="Arial" w:hAnsi="Arial"/>
          <w:b w:val="0"/>
          <w:i w:val="0"/>
          <w:sz w:val="19"/>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80"/>
      </w:pPr>
      <w:r>
        <w:rPr>
          <w:rFonts w:ascii="Arial" w:hAnsi="Arial"/>
          <w:b w:val="0"/>
          <w:i w:val="0"/>
          <w:sz w:val="19"/>
        </w:rPr>
      </w:r>
      <w:r>
        <w:rPr>
          <w:rFonts w:ascii="Arial" w:hAnsi="Arial"/>
          <w:b/>
          <w:i w:val="0"/>
          <w:sz w:val="19"/>
        </w:rPr>
        <w:t xml:space="preserve">No licence; no advisory relationship. </w:t>
      </w:r>
      <w:r>
        <w:rPr>
          <w:rFonts w:ascii="Arial" w:hAnsi="Arial"/>
          <w:b w:val="0"/>
          <w:i w:val="0"/>
          <w:sz w:val="19"/>
        </w:rPr>
        <w:t>The preparer is not registered or licensed with the Egyptian Financial Regulatory Authority (FRA) or any other securities or financial regulator in any jurisdiction, holds no brokerage or investment-advisory authorisation, and is not acting as your adviser or fiduciary. Nothing here is personalised to your circumstances.</w:t>
      </w:r>
    </w:p>
    <w:p>
      <w:pPr>
        <w:spacing w:after="80"/>
      </w:pPr>
      <w:r>
        <w:rPr>
          <w:rFonts w:ascii="Arial" w:hAnsi="Arial"/>
          <w:b w:val="0"/>
          <w:i w:val="0"/>
          <w:sz w:val="19"/>
        </w:rPr>
      </w:r>
      <w:r>
        <w:rPr>
          <w:rFonts w:ascii="Arial" w:hAnsi="Arial"/>
          <w:b/>
          <w:i w:val="0"/>
          <w:sz w:val="19"/>
        </w:rPr>
        <w:t xml:space="preserve">Holdings disclosure. </w:t>
      </w:r>
      <w:r>
        <w:rPr>
          <w:rFonts w:ascii="Arial" w:hAnsi="Arial"/>
          <w:b w:val="0"/>
          <w:i w:val="0"/>
          <w:sz w:val="19"/>
        </w:rPr>
        <w:t>The preparer may hold, and may in the future take or dispose of, a position in the security discussed in this report, and may transact at any time without notice. This is a potential conflict of interest you should weigh.</w:t>
      </w:r>
    </w:p>
    <w:p>
      <w:pPr>
        <w:spacing w:after="80"/>
      </w:pPr>
      <w:r>
        <w:rPr>
          <w:rFonts w:ascii="Arial" w:hAnsi="Arial"/>
          <w:b w:val="0"/>
          <w:i w:val="0"/>
          <w:sz w:val="19"/>
        </w:rPr>
      </w:r>
      <w:r>
        <w:rPr>
          <w:rFonts w:ascii="Arial" w:hAnsi="Arial"/>
          <w:b/>
          <w:i w:val="0"/>
          <w:sz w:val="19"/>
        </w:rPr>
        <w:t xml:space="preserve">Sources &amp; accuracy. </w:t>
      </w:r>
      <w:r>
        <w:rPr>
          <w:rFonts w:ascii="Arial" w:hAnsi="Arial"/>
          <w:b w:val="0"/>
          <w:i w:val="0"/>
          <w:sz w:val="19"/>
        </w:rPr>
        <w:t>Reported financial and operating figures are drawn from the company’s public disclosure (earnings releases FY2023–FY2025 and 1Q2026, EGX filings via public aggregators) and other public sources believed reliable but not independently verified; they may contain errors or be superseded. Forward-looking inputs — the growth and margin path, the multiples, the DCF, the scenario probabilities and the Monte-Carlo factor probabilities — are the preparer’s own judgments and are inherently uncertain. Historical balance-sheet lines not published in the releases (equity, PP&amp;E, other assets) are Testahil estimates and are flagged as such.</w:t>
      </w:r>
    </w:p>
    <w:p>
      <w:pPr>
        <w:spacing w:after="80"/>
      </w:pPr>
      <w:r>
        <w:rPr>
          <w:rFonts w:ascii="Arial" w:hAnsi="Arial"/>
          <w:b w:val="0"/>
          <w:i w:val="0"/>
          <w:sz w:val="19"/>
        </w:rPr>
      </w:r>
      <w:r>
        <w:rPr>
          <w:rFonts w:ascii="Arial" w:hAnsi="Arial"/>
          <w:b/>
          <w:i w:val="0"/>
          <w:sz w:val="19"/>
        </w:rPr>
        <w:t xml:space="preserve">Forward-looking statements. </w:t>
      </w:r>
      <w:r>
        <w:rPr>
          <w:rFonts w:ascii="Arial" w:hAnsi="Arial"/>
          <w:b w:val="0"/>
          <w:i w:val="0"/>
          <w:sz w:val="19"/>
        </w:rPr>
        <w:t>Any statements about the future are estimates subject to risks and uncertainties; actual results may differ materially. The Monte Carlo models price, not value, and encodes subjective probabilities for events that have not occurred.</w:t>
      </w:r>
    </w:p>
    <w:p>
      <w:pPr>
        <w:spacing w:after="80"/>
      </w:pPr>
      <w:r>
        <w:rPr>
          <w:rFonts w:ascii="Arial" w:hAnsi="Arial"/>
          <w:b w:val="0"/>
          <w:i w:val="0"/>
          <w:sz w:val="19"/>
        </w:rPr>
      </w:r>
      <w:r>
        <w:rPr>
          <w:rFonts w:ascii="Arial" w:hAnsi="Arial"/>
          <w:b/>
          <w:i w:val="0"/>
          <w:sz w:val="19"/>
        </w:rPr>
        <w:t xml:space="preserve">No reliance; your responsibility. </w:t>
      </w:r>
      <w:r>
        <w:rPr>
          <w:rFonts w:ascii="Arial" w:hAnsi="Arial"/>
          <w:b w:val="0"/>
          <w:i w:val="0"/>
          <w:sz w:val="19"/>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80"/>
      </w:pPr>
      <w:r>
        <w:rPr>
          <w:rFonts w:ascii="Arial" w:hAnsi="Arial"/>
          <w:b w:val="0"/>
          <w:i w:val="0"/>
          <w:sz w:val="19"/>
        </w:rPr>
      </w:r>
      <w:r>
        <w:rPr>
          <w:rFonts w:ascii="Arial" w:hAnsi="Arial"/>
          <w:b/>
          <w:i w:val="0"/>
          <w:sz w:val="19"/>
        </w:rPr>
        <w:t xml:space="preserve">Currency &amp; figures. </w:t>
      </w:r>
      <w:r>
        <w:rPr>
          <w:rFonts w:ascii="Arial" w:hAnsi="Arial"/>
          <w:b w:val="0"/>
          <w:i w:val="0"/>
          <w:sz w:val="19"/>
        </w:rPr>
        <w:t>All figures are in Egyptian pounds (EGP); m denotes million and bn billion. Indicative FX at the study date: USD/EGP ~48. Per-share figures use the post-September-2025 share count of 1,400.04m throughout; the price series is split-adjusted. Rounding may cause totals to differ slightly. Spot price and market data are as of 01 July 2026 and change continuously.</w:t>
      </w:r>
    </w:p>
    <w:p>
      <w:pPr>
        <w:spacing w:after="80"/>
      </w:pPr>
      <w:r>
        <w:rPr>
          <w:rFonts w:ascii="Arial" w:hAnsi="Arial"/>
          <w:b w:val="0"/>
          <w:i/>
          <w:sz w:val="18"/>
        </w:rPr>
        <w:t>TESTAHIL · Independent Valuation Study · Educational Analysis · Edita Food Industries S.A.E. (EGX: EFID) · edition 03-07-2026 · reporting currency EGP</w:t>
      </w:r>
    </w:p>
    <w:sectPr w:rsidR="00FC693F" w:rsidRPr="0006063C" w:rsidSect="00034616">
      <w:footerReference w:type="default" r:id="rId17"/>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777777"/>
        <w:sz w:val="16"/>
      </w:rPr>
      <w:t xml:space="preserve">testahil.com        Educational analysis · Not investment advice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6E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6E6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C6E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