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9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Published index of the exchange this share is listed on</w:t>
            </w:r>
          </w:p>
        </w:tc>
        <w:tc>
          <w:tcPr>
            <w:tcW w:type="dxa" w:w="1800"/>
          </w:tcPr>
          <w:p>
            <w:pPr>
              <w:spacing w:after="20"/>
            </w:pPr>
            <w:r>
              <w:rPr>
                <w:color w:val="1C3A36"/>
                <w:sz w:val="16"/>
              </w:rPr>
              <w:t>engine/raw_indices/EG/EGX30.csv</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037"/>
          </w:tcPr>
          <w:p>
            <w:pPr>
              <w:spacing w:after="20"/>
            </w:pPr>
            <w:r>
              <w:rPr>
                <w:color w:val="1C3A36"/>
                <w:sz w:val="15"/>
              </w:rPr>
              <w:t>2026-09-03</w:t>
            </w:r>
          </w:p>
        </w:tc>
        <w:tc>
          <w:tcPr>
            <w:tcW w:type="dxa" w:w="6019"/>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143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037"/>
          </w:tcPr>
          <w:p>
            <w:pPr>
              <w:spacing w:after="20"/>
            </w:pPr>
            <w:r>
              <w:rPr>
                <w:color w:val="1C3A36"/>
                <w:sz w:val="15"/>
              </w:rPr>
              <w:t>2026-05-13</w:t>
            </w:r>
          </w:p>
        </w:tc>
        <w:tc>
          <w:tcPr>
            <w:tcW w:type="dxa" w:w="6019"/>
          </w:tcPr>
          <w:p>
            <w:pPr>
              <w:spacing w:after="20"/>
            </w:pPr>
            <w:r>
              <w:rPr>
                <w:color w:val="1C3A36"/>
                <w:sz w:val="15"/>
              </w:rPr>
              <w:t>Issued and paid-up capital note (29), audited FY2025 consolidated financial statements and the Q1-2026 condensed interim statements: 2,140,777,876 shares of EGP 1 par value, unchanged across both filings</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037"/>
          </w:tcPr>
          <w:p>
            <w:pPr>
              <w:spacing w:after="20"/>
            </w:pPr>
            <w:r>
              <w:rPr>
                <w:color w:val="1C3A36"/>
                <w:sz w:val="15"/>
              </w:rPr>
              <w:t>2024-03-13</w:t>
            </w:r>
          </w:p>
        </w:tc>
        <w:tc>
          <w:tcPr>
            <w:tcW w:type="dxa" w:w="6019"/>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037"/>
          </w:tcPr>
          <w:p>
            <w:pPr>
              <w:spacing w:after="20"/>
            </w:pPr>
            <w:r>
              <w:rPr>
                <w:color w:val="1C3A36"/>
                <w:sz w:val="15"/>
              </w:rPr>
              <w:t>2025-03-13</w:t>
            </w:r>
          </w:p>
        </w:tc>
        <w:tc>
          <w:tcPr>
            <w:tcW w:type="dxa" w:w="6019"/>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037"/>
          </w:tcPr>
          <w:p>
            <w:pPr>
              <w:spacing w:after="20"/>
            </w:pPr>
            <w:r>
              <w:rPr>
                <w:color w:val="1C3A36"/>
                <w:sz w:val="15"/>
              </w:rPr>
              <w:t>2026-03-15</w:t>
            </w:r>
          </w:p>
        </w:tc>
        <w:tc>
          <w:tcPr>
            <w:tcW w:type="dxa" w:w="6019"/>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037"/>
          </w:tcPr>
          <w:p>
            <w:pPr>
              <w:spacing w:after="20"/>
            </w:pPr>
            <w:r>
              <w:rPr>
                <w:color w:val="1C3A36"/>
                <w:sz w:val="15"/>
              </w:rPr>
              <w:t>2024-03-13</w:t>
            </w:r>
          </w:p>
        </w:tc>
        <w:tc>
          <w:tcPr>
            <w:tcW w:type="dxa" w:w="6019"/>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037"/>
          </w:tcPr>
          <w:p>
            <w:pPr>
              <w:spacing w:after="20"/>
            </w:pPr>
            <w:r>
              <w:rPr>
                <w:color w:val="1C3A36"/>
                <w:sz w:val="15"/>
              </w:rPr>
              <w:t>2025-03-13</w:t>
            </w:r>
          </w:p>
        </w:tc>
        <w:tc>
          <w:tcPr>
            <w:tcW w:type="dxa" w:w="6019"/>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037"/>
          </w:tcPr>
          <w:p>
            <w:pPr>
              <w:spacing w:after="20"/>
            </w:pPr>
            <w:r>
              <w:rPr>
                <w:color w:val="1C3A36"/>
                <w:sz w:val="15"/>
              </w:rPr>
              <w:t>2026-03-15</w:t>
            </w:r>
          </w:p>
        </w:tc>
        <w:tc>
          <w:tcPr>
            <w:tcW w:type="dxa" w:w="6019"/>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037"/>
          </w:tcPr>
          <w:p>
            <w:pPr>
              <w:spacing w:after="20"/>
            </w:pPr>
            <w:r>
              <w:rPr>
                <w:color w:val="1C3A36"/>
                <w:sz w:val="15"/>
              </w:rPr>
              <w:t>2024-03-13</w:t>
            </w:r>
          </w:p>
        </w:tc>
        <w:tc>
          <w:tcPr>
            <w:tcW w:type="dxa" w:w="6019"/>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037"/>
          </w:tcPr>
          <w:p>
            <w:pPr>
              <w:spacing w:after="20"/>
            </w:pPr>
            <w:r>
              <w:rPr>
                <w:color w:val="1C3A36"/>
                <w:sz w:val="15"/>
              </w:rPr>
              <w:t>2025-03-13</w:t>
            </w:r>
          </w:p>
        </w:tc>
        <w:tc>
          <w:tcPr>
            <w:tcW w:type="dxa" w:w="6019"/>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037"/>
          </w:tcPr>
          <w:p>
            <w:pPr>
              <w:spacing w:after="20"/>
            </w:pPr>
            <w:r>
              <w:rPr>
                <w:color w:val="1C3A36"/>
                <w:sz w:val="15"/>
              </w:rPr>
              <w:t>2026-03-15</w:t>
            </w:r>
          </w:p>
        </w:tc>
        <w:tc>
          <w:tcPr>
            <w:tcW w:type="dxa" w:w="6019"/>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037"/>
          </w:tcPr>
          <w:p>
            <w:pPr>
              <w:spacing w:after="20"/>
            </w:pPr>
            <w:r>
              <w:rPr>
                <w:color w:val="1C3A36"/>
                <w:sz w:val="15"/>
              </w:rPr>
              <w:t>2024-03-13</w:t>
            </w:r>
          </w:p>
        </w:tc>
        <w:tc>
          <w:tcPr>
            <w:tcW w:type="dxa" w:w="6019"/>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037"/>
          </w:tcPr>
          <w:p>
            <w:pPr>
              <w:spacing w:after="20"/>
            </w:pPr>
            <w:r>
              <w:rPr>
                <w:color w:val="1C3A36"/>
                <w:sz w:val="15"/>
              </w:rPr>
              <w:t>2025-03-13</w:t>
            </w:r>
          </w:p>
        </w:tc>
        <w:tc>
          <w:tcPr>
            <w:tcW w:type="dxa" w:w="6019"/>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037"/>
          </w:tcPr>
          <w:p>
            <w:pPr>
              <w:spacing w:after="20"/>
            </w:pPr>
            <w:r>
              <w:rPr>
                <w:color w:val="1C3A36"/>
                <w:sz w:val="15"/>
              </w:rPr>
              <w:t>2026-03-15</w:t>
            </w:r>
          </w:p>
        </w:tc>
        <w:tc>
          <w:tcPr>
            <w:tcW w:type="dxa" w:w="6019"/>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037"/>
          </w:tcPr>
          <w:p>
            <w:pPr>
              <w:spacing w:after="20"/>
            </w:pPr>
            <w:r>
              <w:rPr>
                <w:color w:val="1C3A36"/>
                <w:sz w:val="15"/>
              </w:rPr>
              <w:t>2024-03-13</w:t>
            </w:r>
          </w:p>
        </w:tc>
        <w:tc>
          <w:tcPr>
            <w:tcW w:type="dxa" w:w="6019"/>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037"/>
          </w:tcPr>
          <w:p>
            <w:pPr>
              <w:spacing w:after="20"/>
            </w:pPr>
            <w:r>
              <w:rPr>
                <w:color w:val="1C3A36"/>
                <w:sz w:val="15"/>
              </w:rPr>
              <w:t>2025-03-13</w:t>
            </w:r>
          </w:p>
        </w:tc>
        <w:tc>
          <w:tcPr>
            <w:tcW w:type="dxa" w:w="6019"/>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037"/>
          </w:tcPr>
          <w:p>
            <w:pPr>
              <w:spacing w:after="20"/>
            </w:pPr>
            <w:r>
              <w:rPr>
                <w:color w:val="1C3A36"/>
                <w:sz w:val="15"/>
              </w:rPr>
              <w:t>2026-03-15</w:t>
            </w:r>
          </w:p>
        </w:tc>
        <w:tc>
          <w:tcPr>
            <w:tcW w:type="dxa" w:w="6019"/>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of 25.9%</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037"/>
          </w:tcPr>
          <w:p>
            <w:pPr>
              <w:spacing w:after="20"/>
            </w:pPr>
            <w:r>
              <w:rPr>
                <w:color w:val="1C3A36"/>
                <w:sz w:val="15"/>
              </w:rPr>
              <w:t>2024-03-13</w:t>
            </w:r>
          </w:p>
        </w:tc>
        <w:tc>
          <w:tcPr>
            <w:tcW w:type="dxa" w:w="6019"/>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037"/>
          </w:tcPr>
          <w:p>
            <w:pPr>
              <w:spacing w:after="20"/>
            </w:pPr>
            <w:r>
              <w:rPr>
                <w:color w:val="1C3A36"/>
                <w:sz w:val="15"/>
              </w:rPr>
              <w:t>2025-03-13</w:t>
            </w:r>
          </w:p>
        </w:tc>
        <w:tc>
          <w:tcPr>
            <w:tcW w:type="dxa" w:w="6019"/>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037"/>
          </w:tcPr>
          <w:p>
            <w:pPr>
              <w:spacing w:after="20"/>
            </w:pPr>
            <w:r>
              <w:rPr>
                <w:color w:val="1C3A36"/>
                <w:sz w:val="15"/>
              </w:rPr>
              <w:t>2026-03-15</w:t>
            </w:r>
          </w:p>
        </w:tc>
        <w:tc>
          <w:tcPr>
            <w:tcW w:type="dxa" w:w="6019"/>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037"/>
          </w:tcPr>
          <w:p>
            <w:pPr>
              <w:spacing w:after="20"/>
            </w:pPr>
            <w:r>
              <w:rPr>
                <w:color w:val="1C3A36"/>
                <w:sz w:val="15"/>
              </w:rPr>
              <w:t>2024-03-13</w:t>
            </w:r>
          </w:p>
        </w:tc>
        <w:tc>
          <w:tcPr>
            <w:tcW w:type="dxa" w:w="6019"/>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037"/>
          </w:tcPr>
          <w:p>
            <w:pPr>
              <w:spacing w:after="20"/>
            </w:pPr>
            <w:r>
              <w:rPr>
                <w:color w:val="1C3A36"/>
                <w:sz w:val="15"/>
              </w:rPr>
              <w:t>2025-03-13</w:t>
            </w:r>
          </w:p>
        </w:tc>
        <w:tc>
          <w:tcPr>
            <w:tcW w:type="dxa" w:w="6019"/>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037"/>
          </w:tcPr>
          <w:p>
            <w:pPr>
              <w:spacing w:after="20"/>
            </w:pPr>
            <w:r>
              <w:rPr>
                <w:color w:val="1C3A36"/>
                <w:sz w:val="15"/>
              </w:rPr>
              <w:t>2026-03-15</w:t>
            </w:r>
          </w:p>
        </w:tc>
        <w:tc>
          <w:tcPr>
            <w:tcW w:type="dxa" w:w="6019"/>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037"/>
          </w:tcPr>
          <w:p>
            <w:pPr>
              <w:spacing w:after="20"/>
            </w:pPr>
            <w:r>
              <w:rPr>
                <w:color w:val="1C3A36"/>
                <w:sz w:val="15"/>
              </w:rPr>
              <w:t>2024-03-13</w:t>
            </w:r>
          </w:p>
        </w:tc>
        <w:tc>
          <w:tcPr>
            <w:tcW w:type="dxa" w:w="6019"/>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037"/>
          </w:tcPr>
          <w:p>
            <w:pPr>
              <w:spacing w:after="20"/>
            </w:pPr>
            <w:r>
              <w:rPr>
                <w:color w:val="1C3A36"/>
                <w:sz w:val="15"/>
              </w:rPr>
              <w:t>2025-03-13</w:t>
            </w:r>
          </w:p>
        </w:tc>
        <w:tc>
          <w:tcPr>
            <w:tcW w:type="dxa" w:w="6019"/>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037"/>
          </w:tcPr>
          <w:p>
            <w:pPr>
              <w:spacing w:after="20"/>
            </w:pPr>
            <w:r>
              <w:rPr>
                <w:color w:val="1C3A36"/>
                <w:sz w:val="15"/>
              </w:rPr>
              <w:t>2026-03-15</w:t>
            </w:r>
          </w:p>
        </w:tc>
        <w:tc>
          <w:tcPr>
            <w:tcW w:type="dxa" w:w="6019"/>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037"/>
          </w:tcPr>
          <w:p>
            <w:pPr>
              <w:spacing w:after="20"/>
            </w:pPr>
            <w:r>
              <w:rPr>
                <w:color w:val="1C3A36"/>
                <w:sz w:val="15"/>
              </w:rPr>
              <w:t>2024-03-13</w:t>
            </w:r>
          </w:p>
        </w:tc>
        <w:tc>
          <w:tcPr>
            <w:tcW w:type="dxa" w:w="6019"/>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037"/>
          </w:tcPr>
          <w:p>
            <w:pPr>
              <w:spacing w:after="20"/>
            </w:pPr>
            <w:r>
              <w:rPr>
                <w:color w:val="1C3A36"/>
                <w:sz w:val="15"/>
              </w:rPr>
              <w:t>2025-03-13</w:t>
            </w:r>
          </w:p>
        </w:tc>
        <w:tc>
          <w:tcPr>
            <w:tcW w:type="dxa" w:w="6019"/>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037"/>
          </w:tcPr>
          <w:p>
            <w:pPr>
              <w:spacing w:after="20"/>
            </w:pPr>
            <w:r>
              <w:rPr>
                <w:color w:val="1C3A36"/>
                <w:sz w:val="15"/>
              </w:rPr>
              <w:t>2026-03-15</w:t>
            </w:r>
          </w:p>
        </w:tc>
        <w:tc>
          <w:tcPr>
            <w:tcW w:type="dxa" w:w="6019"/>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037"/>
          </w:tcPr>
          <w:p>
            <w:pPr>
              <w:spacing w:after="20"/>
            </w:pPr>
            <w:r>
              <w:rPr>
                <w:color w:val="1C3A36"/>
                <w:sz w:val="15"/>
              </w:rPr>
              <w:t>2024-03-13</w:t>
            </w:r>
          </w:p>
        </w:tc>
        <w:tc>
          <w:tcPr>
            <w:tcW w:type="dxa" w:w="6019"/>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037"/>
          </w:tcPr>
          <w:p>
            <w:pPr>
              <w:spacing w:after="20"/>
            </w:pPr>
            <w:r>
              <w:rPr>
                <w:color w:val="1C3A36"/>
                <w:sz w:val="15"/>
              </w:rPr>
              <w:t>2025-03-13</w:t>
            </w:r>
          </w:p>
        </w:tc>
        <w:tc>
          <w:tcPr>
            <w:tcW w:type="dxa" w:w="6019"/>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037"/>
          </w:tcPr>
          <w:p>
            <w:pPr>
              <w:spacing w:after="20"/>
            </w:pPr>
            <w:r>
              <w:rPr>
                <w:color w:val="1C3A36"/>
                <w:sz w:val="15"/>
              </w:rPr>
              <w:t>2026-03-15</w:t>
            </w:r>
          </w:p>
        </w:tc>
        <w:tc>
          <w:tcPr>
            <w:tcW w:type="dxa" w:w="6019"/>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037"/>
          </w:tcPr>
          <w:p>
            <w:pPr>
              <w:spacing w:after="20"/>
            </w:pPr>
            <w:r>
              <w:rPr>
                <w:color w:val="1C3A36"/>
                <w:sz w:val="15"/>
              </w:rPr>
              <w:t>2024-03-13</w:t>
            </w:r>
          </w:p>
        </w:tc>
        <w:tc>
          <w:tcPr>
            <w:tcW w:type="dxa" w:w="6019"/>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037"/>
          </w:tcPr>
          <w:p>
            <w:pPr>
              <w:spacing w:after="20"/>
            </w:pPr>
            <w:r>
              <w:rPr>
                <w:color w:val="1C3A36"/>
                <w:sz w:val="15"/>
              </w:rPr>
              <w:t>2025-03-13</w:t>
            </w:r>
          </w:p>
        </w:tc>
        <w:tc>
          <w:tcPr>
            <w:tcW w:type="dxa" w:w="6019"/>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037"/>
          </w:tcPr>
          <w:p>
            <w:pPr>
              <w:spacing w:after="20"/>
            </w:pPr>
            <w:r>
              <w:rPr>
                <w:color w:val="1C3A36"/>
                <w:sz w:val="15"/>
              </w:rPr>
              <w:t>2026-03-15</w:t>
            </w:r>
          </w:p>
        </w:tc>
        <w:tc>
          <w:tcPr>
            <w:tcW w:type="dxa" w:w="6019"/>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037"/>
          </w:tcPr>
          <w:p>
            <w:pPr>
              <w:spacing w:after="20"/>
            </w:pPr>
            <w:r>
              <w:rPr>
                <w:color w:val="1C3A36"/>
                <w:sz w:val="15"/>
              </w:rPr>
              <w:t>2024-03-13</w:t>
            </w:r>
          </w:p>
        </w:tc>
        <w:tc>
          <w:tcPr>
            <w:tcW w:type="dxa" w:w="6019"/>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037"/>
          </w:tcPr>
          <w:p>
            <w:pPr>
              <w:spacing w:after="20"/>
            </w:pPr>
            <w:r>
              <w:rPr>
                <w:color w:val="1C3A36"/>
                <w:sz w:val="15"/>
              </w:rPr>
              <w:t>2025-03-13</w:t>
            </w:r>
          </w:p>
        </w:tc>
        <w:tc>
          <w:tcPr>
            <w:tcW w:type="dxa" w:w="6019"/>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037"/>
          </w:tcPr>
          <w:p>
            <w:pPr>
              <w:spacing w:after="20"/>
            </w:pPr>
            <w:r>
              <w:rPr>
                <w:color w:val="1C3A36"/>
                <w:sz w:val="15"/>
              </w:rPr>
              <w:t>2026-03-15</w:t>
            </w:r>
          </w:p>
        </w:tc>
        <w:tc>
          <w:tcPr>
            <w:tcW w:type="dxa" w:w="6019"/>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037"/>
          </w:tcPr>
          <w:p>
            <w:pPr>
              <w:spacing w:after="20"/>
            </w:pPr>
            <w:r>
              <w:rPr>
                <w:color w:val="1C3A36"/>
                <w:sz w:val="15"/>
              </w:rPr>
              <w:t>2024-03-13</w:t>
            </w:r>
          </w:p>
        </w:tc>
        <w:tc>
          <w:tcPr>
            <w:tcW w:type="dxa" w:w="6019"/>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037"/>
          </w:tcPr>
          <w:p>
            <w:pPr>
              <w:spacing w:after="20"/>
            </w:pPr>
            <w:r>
              <w:rPr>
                <w:color w:val="1C3A36"/>
                <w:sz w:val="15"/>
              </w:rPr>
              <w:t>2025-03-13</w:t>
            </w:r>
          </w:p>
        </w:tc>
        <w:tc>
          <w:tcPr>
            <w:tcW w:type="dxa" w:w="6019"/>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037"/>
          </w:tcPr>
          <w:p>
            <w:pPr>
              <w:spacing w:after="20"/>
            </w:pPr>
            <w:r>
              <w:rPr>
                <w:color w:val="1C3A36"/>
                <w:sz w:val="15"/>
              </w:rPr>
              <w:t>2026-03-15</w:t>
            </w:r>
          </w:p>
        </w:tc>
        <w:tc>
          <w:tcPr>
            <w:tcW w:type="dxa" w:w="6019"/>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037"/>
          </w:tcPr>
          <w:p>
            <w:pPr>
              <w:spacing w:after="20"/>
            </w:pPr>
            <w:r>
              <w:rPr>
                <w:color w:val="1C3A36"/>
                <w:sz w:val="15"/>
              </w:rPr>
              <w:t>2024-03-13</w:t>
            </w:r>
          </w:p>
        </w:tc>
        <w:tc>
          <w:tcPr>
            <w:tcW w:type="dxa" w:w="6019"/>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037"/>
          </w:tcPr>
          <w:p>
            <w:pPr>
              <w:spacing w:after="20"/>
            </w:pPr>
            <w:r>
              <w:rPr>
                <w:color w:val="1C3A36"/>
                <w:sz w:val="15"/>
              </w:rPr>
              <w:t>2025-03-13</w:t>
            </w:r>
          </w:p>
        </w:tc>
        <w:tc>
          <w:tcPr>
            <w:tcW w:type="dxa" w:w="6019"/>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037"/>
          </w:tcPr>
          <w:p>
            <w:pPr>
              <w:spacing w:after="20"/>
            </w:pPr>
            <w:r>
              <w:rPr>
                <w:color w:val="1C3A36"/>
                <w:sz w:val="15"/>
              </w:rPr>
              <w:t>2026-03-15</w:t>
            </w:r>
          </w:p>
        </w:tc>
        <w:tc>
          <w:tcPr>
            <w:tcW w:type="dxa" w:w="6019"/>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037"/>
          </w:tcPr>
          <w:p>
            <w:pPr>
              <w:spacing w:after="20"/>
            </w:pPr>
            <w:r>
              <w:rPr>
                <w:color w:val="1C3A36"/>
                <w:sz w:val="15"/>
              </w:rPr>
              <w:t>2024-03-13</w:t>
            </w:r>
          </w:p>
        </w:tc>
        <w:tc>
          <w:tcPr>
            <w:tcW w:type="dxa" w:w="6019"/>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037"/>
          </w:tcPr>
          <w:p>
            <w:pPr>
              <w:spacing w:after="20"/>
            </w:pPr>
            <w:r>
              <w:rPr>
                <w:color w:val="1C3A36"/>
                <w:sz w:val="15"/>
              </w:rPr>
              <w:t>2025-03-13</w:t>
            </w:r>
          </w:p>
        </w:tc>
        <w:tc>
          <w:tcPr>
            <w:tcW w:type="dxa" w:w="6019"/>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037"/>
          </w:tcPr>
          <w:p>
            <w:pPr>
              <w:spacing w:after="20"/>
            </w:pPr>
            <w:r>
              <w:rPr>
                <w:color w:val="1C3A36"/>
                <w:sz w:val="15"/>
              </w:rPr>
              <w:t>2026-03-15</w:t>
            </w:r>
          </w:p>
        </w:tc>
        <w:tc>
          <w:tcPr>
            <w:tcW w:type="dxa" w:w="6019"/>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037"/>
          </w:tcPr>
          <w:p>
            <w:pPr>
              <w:spacing w:after="20"/>
            </w:pPr>
            <w:r>
              <w:rPr>
                <w:color w:val="1C3A36"/>
                <w:sz w:val="15"/>
              </w:rPr>
              <w:t>2024-03-13</w:t>
            </w:r>
          </w:p>
        </w:tc>
        <w:tc>
          <w:tcPr>
            <w:tcW w:type="dxa" w:w="6019"/>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037"/>
          </w:tcPr>
          <w:p>
            <w:pPr>
              <w:spacing w:after="20"/>
            </w:pPr>
            <w:r>
              <w:rPr>
                <w:color w:val="1C3A36"/>
                <w:sz w:val="15"/>
              </w:rPr>
              <w:t>2025-03-13</w:t>
            </w:r>
          </w:p>
        </w:tc>
        <w:tc>
          <w:tcPr>
            <w:tcW w:type="dxa" w:w="6019"/>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037"/>
          </w:tcPr>
          <w:p>
            <w:pPr>
              <w:spacing w:after="20"/>
            </w:pPr>
            <w:r>
              <w:rPr>
                <w:color w:val="1C3A36"/>
                <w:sz w:val="15"/>
              </w:rPr>
              <w:t>2026-03-15</w:t>
            </w:r>
          </w:p>
        </w:tc>
        <w:tc>
          <w:tcPr>
            <w:tcW w:type="dxa" w:w="6019"/>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037"/>
          </w:tcPr>
          <w:p>
            <w:pPr>
              <w:spacing w:after="20"/>
            </w:pPr>
            <w:r>
              <w:rPr>
                <w:color w:val="1C3A36"/>
                <w:sz w:val="15"/>
              </w:rPr>
              <w:t>2024-03-13</w:t>
            </w:r>
          </w:p>
        </w:tc>
        <w:tc>
          <w:tcPr>
            <w:tcW w:type="dxa" w:w="6019"/>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037"/>
          </w:tcPr>
          <w:p>
            <w:pPr>
              <w:spacing w:after="20"/>
            </w:pPr>
            <w:r>
              <w:rPr>
                <w:color w:val="1C3A36"/>
                <w:sz w:val="15"/>
              </w:rPr>
              <w:t>2025-03-13</w:t>
            </w:r>
          </w:p>
        </w:tc>
        <w:tc>
          <w:tcPr>
            <w:tcW w:type="dxa" w:w="6019"/>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037"/>
          </w:tcPr>
          <w:p>
            <w:pPr>
              <w:spacing w:after="20"/>
            </w:pPr>
            <w:r>
              <w:rPr>
                <w:color w:val="1C3A36"/>
                <w:sz w:val="15"/>
              </w:rPr>
              <w:t>2026-03-15</w:t>
            </w:r>
          </w:p>
        </w:tc>
        <w:tc>
          <w:tcPr>
            <w:tcW w:type="dxa" w:w="6019"/>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037"/>
          </w:tcPr>
          <w:p>
            <w:pPr>
              <w:spacing w:after="20"/>
            </w:pPr>
            <w:r>
              <w:rPr>
                <w:color w:val="1C3A36"/>
                <w:sz w:val="15"/>
              </w:rPr>
              <w:t>2024-03-13</w:t>
            </w:r>
          </w:p>
        </w:tc>
        <w:tc>
          <w:tcPr>
            <w:tcW w:type="dxa" w:w="6019"/>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037"/>
          </w:tcPr>
          <w:p>
            <w:pPr>
              <w:spacing w:after="20"/>
            </w:pPr>
            <w:r>
              <w:rPr>
                <w:color w:val="1C3A36"/>
                <w:sz w:val="15"/>
              </w:rPr>
              <w:t>2025-03-13</w:t>
            </w:r>
          </w:p>
        </w:tc>
        <w:tc>
          <w:tcPr>
            <w:tcW w:type="dxa" w:w="6019"/>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037"/>
          </w:tcPr>
          <w:p>
            <w:pPr>
              <w:spacing w:after="20"/>
            </w:pPr>
            <w:r>
              <w:rPr>
                <w:color w:val="1C3A36"/>
                <w:sz w:val="15"/>
              </w:rPr>
              <w:t>2026-03-15</w:t>
            </w:r>
          </w:p>
        </w:tc>
        <w:tc>
          <w:tcPr>
            <w:tcW w:type="dxa" w:w="6019"/>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037"/>
          </w:tcPr>
          <w:p>
            <w:pPr>
              <w:spacing w:after="20"/>
            </w:pPr>
            <w:r>
              <w:rPr>
                <w:color w:val="1C3A36"/>
                <w:sz w:val="15"/>
              </w:rPr>
              <w:t>2025-03-13</w:t>
            </w:r>
          </w:p>
        </w:tc>
        <w:tc>
          <w:tcPr>
            <w:tcW w:type="dxa" w:w="6019"/>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037"/>
          </w:tcPr>
          <w:p>
            <w:pPr>
              <w:spacing w:after="20"/>
            </w:pPr>
            <w:r>
              <w:rPr>
                <w:color w:val="1C3A36"/>
                <w:sz w:val="15"/>
              </w:rPr>
              <w:t>2026-03-15</w:t>
            </w:r>
          </w:p>
        </w:tc>
        <w:tc>
          <w:tcPr>
            <w:tcW w:type="dxa" w:w="6019"/>
          </w:tcPr>
          <w:p>
            <w:pPr>
              <w:spacing w:after="20"/>
            </w:pPr>
            <w:r>
              <w:rPr>
                <w:color w:val="1C3A36"/>
                <w:sz w:val="15"/>
              </w:rPr>
              <w:t>Equity-accounted investees, carrying value, 31 Dec 2025 — the closing balance used in the valuation bridge (the anchor date is Aug-2026, so the FY2025 close is the most recent audited figure, not FY2024's)</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037"/>
          </w:tcPr>
          <w:p>
            <w:pPr>
              <w:spacing w:after="20"/>
            </w:pPr>
            <w:r>
              <w:rPr>
                <w:color w:val="1C3A36"/>
                <w:sz w:val="15"/>
              </w:rPr>
              <w:t>2025-03-13</w:t>
            </w:r>
          </w:p>
        </w:tc>
        <w:tc>
          <w:tcPr>
            <w:tcW w:type="dxa" w:w="6019"/>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037"/>
          </w:tcPr>
          <w:p>
            <w:pPr>
              <w:spacing w:after="20"/>
            </w:pPr>
            <w:r>
              <w:rPr>
                <w:color w:val="1C3A36"/>
                <w:sz w:val="15"/>
              </w:rPr>
              <w:t>2026-03-15</w:t>
            </w:r>
          </w:p>
        </w:tc>
        <w:tc>
          <w:tcPr>
            <w:tcW w:type="dxa" w:w="6019"/>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037"/>
          </w:tcPr>
          <w:p>
            <w:pPr>
              <w:spacing w:after="20"/>
            </w:pPr>
            <w:r>
              <w:rPr>
                <w:color w:val="1C3A36"/>
                <w:sz w:val="15"/>
              </w:rPr>
              <w:t>2026-03-15</w:t>
            </w:r>
          </w:p>
        </w:tc>
        <w:tc>
          <w:tcPr>
            <w:tcW w:type="dxa" w:w="6019"/>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037"/>
          </w:tcPr>
          <w:p>
            <w:pPr>
              <w:spacing w:after="20"/>
            </w:pPr>
            <w:r>
              <w:rPr>
                <w:color w:val="1C3A36"/>
                <w:sz w:val="15"/>
              </w:rPr>
              <w:t>2026-05-06</w:t>
            </w:r>
          </w:p>
        </w:tc>
        <w:tc>
          <w:tcPr>
            <w:tcW w:type="dxa" w:w="6019"/>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037"/>
          </w:tcPr>
          <w:p>
            <w:pPr>
              <w:spacing w:after="20"/>
            </w:pPr>
            <w:r>
              <w:rPr>
                <w:color w:val="1C3A36"/>
                <w:sz w:val="15"/>
              </w:rPr>
              <w:t>2024-03-13</w:t>
            </w:r>
          </w:p>
        </w:tc>
        <w:tc>
          <w:tcPr>
            <w:tcW w:type="dxa" w:w="6019"/>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037"/>
          </w:tcPr>
          <w:p>
            <w:pPr>
              <w:spacing w:after="20"/>
            </w:pPr>
            <w:r>
              <w:rPr>
                <w:color w:val="1C3A36"/>
                <w:sz w:val="15"/>
              </w:rPr>
              <w:t>2025-03-13</w:t>
            </w:r>
          </w:p>
        </w:tc>
        <w:tc>
          <w:tcPr>
            <w:tcW w:type="dxa" w:w="6019"/>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037"/>
          </w:tcPr>
          <w:p>
            <w:pPr>
              <w:spacing w:after="20"/>
            </w:pPr>
            <w:r>
              <w:rPr>
                <w:color w:val="1C3A36"/>
                <w:sz w:val="15"/>
              </w:rPr>
              <w:t>2026-03-15</w:t>
            </w:r>
          </w:p>
        </w:tc>
        <w:tc>
          <w:tcPr>
            <w:tcW w:type="dxa" w:w="6019"/>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037"/>
          </w:tcPr>
          <w:p>
            <w:pPr>
              <w:spacing w:after="20"/>
            </w:pPr>
            <w:r>
              <w:rPr>
                <w:color w:val="1C3A36"/>
                <w:sz w:val="15"/>
              </w:rPr>
              <w:t>2026-03-15</w:t>
            </w:r>
          </w:p>
        </w:tc>
        <w:tc>
          <w:tcPr>
            <w:tcW w:type="dxa" w:w="6019"/>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037"/>
          </w:tcPr>
          <w:p>
            <w:pPr>
              <w:spacing w:after="20"/>
            </w:pPr>
            <w:r>
              <w:rPr>
                <w:color w:val="1C3A36"/>
                <w:sz w:val="15"/>
              </w:rPr>
              <w:t>2026-03-15</w:t>
            </w:r>
          </w:p>
        </w:tc>
        <w:tc>
          <w:tcPr>
            <w:tcW w:type="dxa" w:w="6019"/>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037"/>
          </w:tcPr>
          <w:p>
            <w:pPr>
              <w:spacing w:after="20"/>
            </w:pPr>
            <w:r>
              <w:rPr>
                <w:color w:val="1C3A36"/>
                <w:sz w:val="15"/>
              </w:rPr>
              <w:t>2026-03-15</w:t>
            </w:r>
          </w:p>
        </w:tc>
        <w:tc>
          <w:tcPr>
            <w:tcW w:type="dxa" w:w="6019"/>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037"/>
          </w:tcPr>
          <w:p>
            <w:pPr>
              <w:spacing w:after="20"/>
            </w:pPr>
            <w:r>
              <w:rPr>
                <w:color w:val="1C3A36"/>
                <w:sz w:val="15"/>
              </w:rPr>
              <w:t>2026-05-13</w:t>
            </w:r>
          </w:p>
        </w:tc>
        <w:tc>
          <w:tcPr>
            <w:tcW w:type="dxa" w:w="6019"/>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037"/>
          </w:tcPr>
          <w:p>
            <w:pPr>
              <w:spacing w:after="20"/>
            </w:pPr>
            <w:r>
              <w:rPr>
                <w:color w:val="1C3A36"/>
                <w:sz w:val="15"/>
              </w:rPr>
              <w:t>2026-05-13</w:t>
            </w:r>
          </w:p>
        </w:tc>
        <w:tc>
          <w:tcPr>
            <w:tcW w:type="dxa" w:w="6019"/>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037"/>
          </w:tcPr>
          <w:p>
            <w:pPr>
              <w:spacing w:after="20"/>
            </w:pPr>
            <w:r>
              <w:rPr>
                <w:color w:val="1C3A36"/>
                <w:sz w:val="15"/>
              </w:rPr>
              <w:t>2026-05-13</w:t>
            </w:r>
          </w:p>
        </w:tc>
        <w:tc>
          <w:tcPr>
            <w:tcW w:type="dxa" w:w="6019"/>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037"/>
          </w:tcPr>
          <w:p>
            <w:pPr>
              <w:spacing w:after="20"/>
            </w:pPr>
            <w:r>
              <w:rPr>
                <w:color w:val="1C3A36"/>
                <w:sz w:val="15"/>
              </w:rPr>
              <w:t>2026-05-13</w:t>
            </w:r>
          </w:p>
        </w:tc>
        <w:tc>
          <w:tcPr>
            <w:tcW w:type="dxa" w:w="6019"/>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037"/>
          </w:tcPr>
          <w:p>
            <w:pPr>
              <w:spacing w:after="20"/>
            </w:pPr>
            <w:r>
              <w:rPr>
                <w:color w:val="1C3A36"/>
                <w:sz w:val="15"/>
              </w:rPr>
              <w:t>2026-05-13</w:t>
            </w:r>
          </w:p>
        </w:tc>
        <w:tc>
          <w:tcPr>
            <w:tcW w:type="dxa" w:w="6019"/>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037"/>
          </w:tcPr>
          <w:p>
            <w:pPr>
              <w:spacing w:after="20"/>
            </w:pPr>
            <w:r>
              <w:rPr>
                <w:color w:val="1C3A36"/>
                <w:sz w:val="15"/>
              </w:rPr>
              <w:t>2026-05-13</w:t>
            </w:r>
          </w:p>
        </w:tc>
        <w:tc>
          <w:tcPr>
            <w:tcW w:type="dxa" w:w="6019"/>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037"/>
          </w:tcPr>
          <w:p>
            <w:pPr>
              <w:spacing w:after="20"/>
            </w:pPr>
            <w:r>
              <w:rPr>
                <w:color w:val="1C3A36"/>
                <w:sz w:val="15"/>
              </w:rPr>
              <w:t>2026-05-13</w:t>
            </w:r>
          </w:p>
        </w:tc>
        <w:tc>
          <w:tcPr>
            <w:tcW w:type="dxa" w:w="6019"/>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037"/>
          </w:tcPr>
          <w:p>
            <w:pPr>
              <w:spacing w:after="20"/>
            </w:pPr>
            <w:r>
              <w:rPr>
                <w:color w:val="1C3A36"/>
                <w:sz w:val="15"/>
              </w:rPr>
              <w:t>2026-05-13</w:t>
            </w:r>
          </w:p>
        </w:tc>
        <w:tc>
          <w:tcPr>
            <w:tcW w:type="dxa" w:w="6019"/>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037"/>
          </w:tcPr>
          <w:p>
            <w:pPr>
              <w:spacing w:after="20"/>
            </w:pPr>
            <w:r>
              <w:rPr>
                <w:color w:val="1C3A36"/>
                <w:sz w:val="15"/>
              </w:rPr>
              <w:t>2026-05-13</w:t>
            </w:r>
          </w:p>
        </w:tc>
        <w:tc>
          <w:tcPr>
            <w:tcW w:type="dxa" w:w="6019"/>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037"/>
          </w:tcPr>
          <w:p>
            <w:pPr>
              <w:spacing w:after="20"/>
            </w:pPr>
            <w:r>
              <w:rPr>
                <w:color w:val="1C3A36"/>
                <w:sz w:val="15"/>
              </w:rPr>
              <w:t>2026-05-13</w:t>
            </w:r>
          </w:p>
        </w:tc>
        <w:tc>
          <w:tcPr>
            <w:tcW w:type="dxa" w:w="6019"/>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037"/>
          </w:tcPr>
          <w:p>
            <w:pPr>
              <w:spacing w:after="20"/>
            </w:pPr>
            <w:r>
              <w:rPr>
                <w:color w:val="1C3A36"/>
                <w:sz w:val="15"/>
              </w:rPr>
              <w:t>2026-03-15</w:t>
            </w:r>
          </w:p>
        </w:tc>
        <w:tc>
          <w:tcPr>
            <w:tcW w:type="dxa" w:w="6019"/>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037"/>
          </w:tcPr>
          <w:p>
            <w:pPr>
              <w:spacing w:after="20"/>
            </w:pPr>
            <w:r>
              <w:rPr>
                <w:color w:val="1C3A36"/>
                <w:sz w:val="15"/>
              </w:rPr>
              <w:t>2026-03-15</w:t>
            </w:r>
          </w:p>
        </w:tc>
        <w:tc>
          <w:tcPr>
            <w:tcW w:type="dxa" w:w="6019"/>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037"/>
          </w:tcPr>
          <w:p>
            <w:pPr>
              <w:spacing w:after="20"/>
            </w:pPr>
            <w:r>
              <w:rPr>
                <w:color w:val="1C3A36"/>
                <w:sz w:val="15"/>
              </w:rPr>
              <w:t>2026-03-15</w:t>
            </w:r>
          </w:p>
        </w:tc>
        <w:tc>
          <w:tcPr>
            <w:tcW w:type="dxa" w:w="6019"/>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037"/>
          </w:tcPr>
          <w:p>
            <w:pPr>
              <w:spacing w:after="20"/>
            </w:pPr>
            <w:r>
              <w:rPr>
                <w:color w:val="1C3A36"/>
                <w:sz w:val="15"/>
              </w:rPr>
              <w:t>2026-03-15</w:t>
            </w:r>
          </w:p>
        </w:tc>
        <w:tc>
          <w:tcPr>
            <w:tcW w:type="dxa" w:w="6019"/>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037"/>
          </w:tcPr>
          <w:p>
            <w:pPr>
              <w:spacing w:after="20"/>
            </w:pPr>
            <w:r>
              <w:rPr>
                <w:color w:val="1C3A36"/>
                <w:sz w:val="15"/>
              </w:rPr>
              <w:t>2026-03-15</w:t>
            </w:r>
          </w:p>
        </w:tc>
        <w:tc>
          <w:tcPr>
            <w:tcW w:type="dxa" w:w="6019"/>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037"/>
          </w:tcPr>
          <w:p>
            <w:pPr>
              <w:spacing w:after="20"/>
            </w:pPr>
            <w:r>
              <w:rPr>
                <w:color w:val="1C3A36"/>
                <w:sz w:val="15"/>
              </w:rPr>
              <w:t>2026-03-15</w:t>
            </w:r>
          </w:p>
        </w:tc>
        <w:tc>
          <w:tcPr>
            <w:tcW w:type="dxa" w:w="6019"/>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037"/>
          </w:tcPr>
          <w:p>
            <w:pPr>
              <w:spacing w:after="20"/>
            </w:pPr>
            <w:r>
              <w:rPr>
                <w:color w:val="1C3A36"/>
                <w:sz w:val="15"/>
              </w:rPr>
              <w:t>2026-03-15</w:t>
            </w:r>
          </w:p>
        </w:tc>
        <w:tc>
          <w:tcPr>
            <w:tcW w:type="dxa" w:w="6019"/>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037"/>
          </w:tcPr>
          <w:p>
            <w:pPr>
              <w:spacing w:after="20"/>
            </w:pPr>
            <w:r>
              <w:rPr>
                <w:color w:val="1C3A36"/>
                <w:sz w:val="15"/>
              </w:rPr>
              <w:t>2026-03-15</w:t>
            </w:r>
          </w:p>
        </w:tc>
        <w:tc>
          <w:tcPr>
            <w:tcW w:type="dxa" w:w="6019"/>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037"/>
          </w:tcPr>
          <w:p>
            <w:pPr>
              <w:spacing w:after="20"/>
            </w:pPr>
            <w:r>
              <w:rPr>
                <w:color w:val="1C3A36"/>
                <w:sz w:val="15"/>
              </w:rPr>
              <w:t>2026-03-15</w:t>
            </w:r>
          </w:p>
        </w:tc>
        <w:tc>
          <w:tcPr>
            <w:tcW w:type="dxa" w:w="6019"/>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037"/>
          </w:tcPr>
          <w:p>
            <w:pPr>
              <w:spacing w:after="20"/>
            </w:pPr>
            <w:r>
              <w:rPr>
                <w:color w:val="1C3A36"/>
                <w:sz w:val="15"/>
              </w:rPr>
              <w:t>2026-03-15</w:t>
            </w:r>
          </w:p>
        </w:tc>
        <w:tc>
          <w:tcPr>
            <w:tcW w:type="dxa" w:w="6019"/>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037"/>
          </w:tcPr>
          <w:p>
            <w:pPr>
              <w:spacing w:after="20"/>
            </w:pPr>
            <w:r>
              <w:rPr>
                <w:color w:val="1C3A36"/>
                <w:sz w:val="15"/>
              </w:rPr>
              <w:t>2026-03-15</w:t>
            </w:r>
          </w:p>
        </w:tc>
        <w:tc>
          <w:tcPr>
            <w:tcW w:type="dxa" w:w="6019"/>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037"/>
          </w:tcPr>
          <w:p>
            <w:pPr>
              <w:spacing w:after="20"/>
            </w:pPr>
            <w:r>
              <w:rPr>
                <w:color w:val="1C3A36"/>
                <w:sz w:val="15"/>
              </w:rPr>
              <w:t>2026-03-15</w:t>
            </w:r>
          </w:p>
        </w:tc>
        <w:tc>
          <w:tcPr>
            <w:tcW w:type="dxa" w:w="6019"/>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037"/>
          </w:tcPr>
          <w:p>
            <w:pPr>
              <w:spacing w:after="20"/>
            </w:pPr>
            <w:r>
              <w:rPr>
                <w:color w:val="1C3A36"/>
                <w:sz w:val="15"/>
              </w:rPr>
              <w:t>2026-03-15</w:t>
            </w:r>
          </w:p>
        </w:tc>
        <w:tc>
          <w:tcPr>
            <w:tcW w:type="dxa" w:w="6019"/>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037"/>
          </w:tcPr>
          <w:p>
            <w:pPr>
              <w:spacing w:after="20"/>
            </w:pPr>
            <w:r>
              <w:rPr>
                <w:color w:val="1C3A36"/>
                <w:sz w:val="15"/>
              </w:rPr>
              <w:t>2026-03-15</w:t>
            </w:r>
          </w:p>
        </w:tc>
        <w:tc>
          <w:tcPr>
            <w:tcW w:type="dxa" w:w="6019"/>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037"/>
          </w:tcPr>
          <w:p>
            <w:pPr>
              <w:spacing w:after="20"/>
            </w:pPr>
            <w:r>
              <w:rPr>
                <w:color w:val="1C3A36"/>
                <w:sz w:val="15"/>
              </w:rPr>
              <w:t>2026-05-13</w:t>
            </w:r>
          </w:p>
        </w:tc>
        <w:tc>
          <w:tcPr>
            <w:tcW w:type="dxa" w:w="6019"/>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037"/>
          </w:tcPr>
          <w:p>
            <w:pPr>
              <w:spacing w:after="20"/>
            </w:pPr>
            <w:r>
              <w:rPr>
                <w:color w:val="1C3A36"/>
                <w:sz w:val="15"/>
              </w:rPr>
              <w:t>2026-03-01</w:t>
            </w:r>
          </w:p>
        </w:tc>
        <w:tc>
          <w:tcPr>
            <w:tcW w:type="dxa" w:w="6019"/>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037"/>
          </w:tcPr>
          <w:p>
            <w:pPr>
              <w:spacing w:after="20"/>
            </w:pPr>
            <w:r>
              <w:rPr>
                <w:color w:val="1C3A36"/>
                <w:sz w:val="15"/>
              </w:rPr>
              <w:t>2026-03-15</w:t>
            </w:r>
          </w:p>
        </w:tc>
        <w:tc>
          <w:tcPr>
            <w:tcW w:type="dxa" w:w="6019"/>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037"/>
          </w:tcPr>
          <w:p>
            <w:pPr>
              <w:spacing w:after="20"/>
            </w:pPr>
            <w:r>
              <w:rPr>
                <w:color w:val="1C3A36"/>
                <w:sz w:val="15"/>
              </w:rPr>
              <w:t>2025-03-01</w:t>
            </w:r>
          </w:p>
        </w:tc>
        <w:tc>
          <w:tcPr>
            <w:tcW w:type="dxa" w:w="6019"/>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037"/>
          </w:tcPr>
          <w:p>
            <w:pPr>
              <w:spacing w:after="20"/>
            </w:pPr>
            <w:r>
              <w:rPr>
                <w:color w:val="1C3A36"/>
                <w:sz w:val="15"/>
              </w:rPr>
              <w:t>2025-03-01</w:t>
            </w:r>
          </w:p>
        </w:tc>
        <w:tc>
          <w:tcPr>
            <w:tcW w:type="dxa" w:w="6019"/>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037"/>
          </w:tcPr>
          <w:p>
            <w:pPr>
              <w:spacing w:after="20"/>
            </w:pPr>
            <w:r>
              <w:rPr>
                <w:color w:val="1C3A36"/>
                <w:sz w:val="15"/>
              </w:rPr>
              <w:t>2026-05-01</w:t>
            </w:r>
          </w:p>
        </w:tc>
        <w:tc>
          <w:tcPr>
            <w:tcW w:type="dxa" w:w="6019"/>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037"/>
          </w:tcPr>
          <w:p>
            <w:pPr>
              <w:spacing w:after="20"/>
            </w:pPr>
            <w:r>
              <w:rPr>
                <w:color w:val="1C3A36"/>
                <w:sz w:val="15"/>
              </w:rPr>
              <w:t>2026-05-01</w:t>
            </w:r>
          </w:p>
        </w:tc>
        <w:tc>
          <w:tcPr>
            <w:tcW w:type="dxa" w:w="6019"/>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037"/>
          </w:tcPr>
          <w:p>
            <w:pPr>
              <w:spacing w:after="20"/>
            </w:pPr>
            <w:r>
              <w:rPr>
                <w:color w:val="1C3A36"/>
                <w:sz w:val="15"/>
              </w:rPr>
              <w:t>2026-08-01</w:t>
            </w:r>
          </w:p>
        </w:tc>
        <w:tc>
          <w:tcPr>
            <w:tcW w:type="dxa" w:w="6019"/>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037"/>
          </w:tcPr>
          <w:p>
            <w:pPr>
              <w:spacing w:after="20"/>
            </w:pPr>
            <w:r>
              <w:rPr>
                <w:color w:val="1C3A36"/>
                <w:sz w:val="15"/>
              </w:rPr>
              <w:t>2026-08-01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037"/>
          </w:tcPr>
          <w:p>
            <w:pPr>
              <w:spacing w:after="20"/>
            </w:pPr>
            <w:r>
              <w:rPr>
                <w:color w:val="1C3A36"/>
                <w:sz w:val="15"/>
              </w:rPr>
              <w:t>2026-08-01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037"/>
          </w:tcPr>
          <w:p>
            <w:pPr>
              <w:spacing w:after="20"/>
            </w:pPr>
            <w:r>
              <w:rPr>
                <w:color w:val="1C3A36"/>
                <w:sz w:val="15"/>
              </w:rPr>
              <w:t>2026-08-01</w:t>
            </w:r>
          </w:p>
        </w:tc>
        <w:tc>
          <w:tcPr>
            <w:tcW w:type="dxa" w:w="6019"/>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037"/>
          </w:tcPr>
          <w:p>
            <w:pPr>
              <w:spacing w:after="20"/>
            </w:pPr>
            <w:r>
              <w:rPr>
                <w:color w:val="1C3A36"/>
                <w:sz w:val="15"/>
              </w:rPr>
              <w:t>2025-03-01</w:t>
            </w:r>
          </w:p>
        </w:tc>
        <w:tc>
          <w:tcPr>
            <w:tcW w:type="dxa" w:w="6019"/>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037"/>
          </w:tcPr>
          <w:p>
            <w:pPr>
              <w:spacing w:after="20"/>
            </w:pPr>
            <w:r>
              <w:rPr>
                <w:color w:val="1C3A36"/>
                <w:sz w:val="15"/>
              </w:rPr>
              <w:t>2026-05-01</w:t>
            </w:r>
          </w:p>
        </w:tc>
        <w:tc>
          <w:tcPr>
            <w:tcW w:type="dxa" w:w="6019"/>
          </w:tcPr>
          <w:p>
            <w:pPr>
              <w:spacing w:after="20"/>
            </w:pPr>
            <w:r>
              <w:rPr>
                <w:color w:val="1C3A36"/>
                <w:sz w:val="15"/>
              </w:rPr>
              <w:t>Q1-2026 reviewed interim consolidated statements: the disclosed weighted average interest rate on Egyptian-pound borrowings</w:t>
            </w:r>
          </w:p>
        </w:tc>
      </w:tr>
    </w:tbl>
    <w:p>
      <w:pPr>
        <w:spacing w:after="40"/>
      </w:pPr>
    </w:p>
    <w:p>
      <w:pPr>
        <w:spacing w:after="60" w:before="160"/>
      </w:pPr>
      <w:r>
        <w:rPr>
          <w:b/>
          <w:i w:val="0"/>
          <w:color w:val="1C3A36"/>
          <w:sz w:val="22"/>
        </w:rPr>
        <w:t>Country layer — 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037"/>
          </w:tcPr>
          <w:p>
            <w:pPr>
              <w:spacing w:after="20"/>
            </w:pPr>
            <w:r>
              <w:rPr>
                <w:color w:val="1C3A36"/>
                <w:sz w:val="15"/>
              </w:rPr>
              <w:t>2026</w:t>
            </w:r>
          </w:p>
        </w:tc>
        <w:tc>
          <w:tcPr>
            <w:tcW w:type="dxa" w:w="6019"/>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037"/>
          </w:tcPr>
          <w:p>
            <w:pPr>
              <w:spacing w:after="20"/>
            </w:pPr>
            <w:r>
              <w:rPr>
                <w:color w:val="1C3A36"/>
                <w:sz w:val="15"/>
              </w:rPr>
              <w:t>2026-08-05</w:t>
            </w:r>
          </w:p>
        </w:tc>
        <w:tc>
          <w:tcPr>
            <w:tcW w:type="dxa" w:w="6019"/>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037"/>
          </w:tcPr>
          <w:p>
            <w:pPr>
              <w:spacing w:after="20"/>
            </w:pPr>
            <w:r>
              <w:rPr>
                <w:color w:val="1C3A36"/>
                <w:sz w:val="15"/>
              </w:rPr>
              <w:t>2026-07-21</w:t>
            </w:r>
          </w:p>
        </w:tc>
        <w:tc>
          <w:tcPr>
            <w:tcW w:type="dxa" w:w="6019"/>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037"/>
          </w:tcPr>
          <w:p>
            <w:pPr>
              <w:spacing w:after="20"/>
            </w:pPr>
            <w:r>
              <w:rPr>
                <w:color w:val="1C3A36"/>
                <w:sz w:val="15"/>
              </w:rPr>
              <w:t>2026-01-05</w:t>
            </w:r>
          </w:p>
        </w:tc>
        <w:tc>
          <w:tcPr>
            <w:tcW w:type="dxa" w:w="6019"/>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037"/>
          </w:tcPr>
          <w:p>
            <w:pPr>
              <w:spacing w:after="20"/>
            </w:pPr>
            <w:r>
              <w:rPr>
                <w:color w:val="1C3A36"/>
                <w:sz w:val="15"/>
              </w:rPr>
              <w:t>2026-01-05</w:t>
            </w:r>
          </w:p>
        </w:tc>
        <w:tc>
          <w:tcPr>
            <w:tcW w:type="dxa" w:w="6019"/>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037"/>
          </w:tcPr>
          <w:p>
            <w:pPr>
              <w:spacing w:after="20"/>
            </w:pPr>
            <w:r>
              <w:rPr>
                <w:color w:val="1C3A36"/>
                <w:sz w:val="15"/>
              </w:rPr>
              <w:t>2026-09-04</w:t>
            </w:r>
          </w:p>
        </w:tc>
        <w:tc>
          <w:tcPr>
            <w:tcW w:type="dxa" w:w="6019"/>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037"/>
          </w:tcPr>
          <w:p>
            <w:pPr>
              <w:spacing w:after="20"/>
            </w:pPr>
            <w:r>
              <w:rPr>
                <w:color w:val="1C3A36"/>
                <w:sz w:val="15"/>
              </w:rPr>
              <w:t>2026-08-05</w:t>
            </w:r>
          </w:p>
        </w:tc>
        <w:tc>
          <w:tcPr>
            <w:tcW w:type="dxa" w:w="6019"/>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037"/>
          </w:tcPr>
          <w:p>
            <w:pPr>
              <w:spacing w:after="20"/>
            </w:pPr>
            <w:r>
              <w:rPr>
                <w:color w:val="1C3A36"/>
                <w:sz w:val="15"/>
              </w:rPr>
              <w:t>2026-05-13</w:t>
            </w:r>
          </w:p>
        </w:tc>
        <w:tc>
          <w:tcPr>
            <w:tcW w:type="dxa" w:w="6019"/>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037"/>
          </w:tcPr>
          <w:p>
            <w:pPr>
              <w:spacing w:after="20"/>
            </w:pPr>
            <w:r>
              <w:rPr>
                <w:color w:val="1C3A36"/>
                <w:sz w:val="15"/>
              </w:rPr>
              <w:t>2026-08-05</w:t>
            </w:r>
          </w:p>
        </w:tc>
        <w:tc>
          <w:tcPr>
            <w:tcW w:type="dxa" w:w="6019"/>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037"/>
          </w:tcPr>
          <w:p>
            <w:pPr>
              <w:spacing w:after="20"/>
            </w:pPr>
            <w:r>
              <w:rPr>
                <w:color w:val="1C3A36"/>
                <w:sz w:val="15"/>
              </w:rPr>
              <w:t>2026-08-05</w:t>
            </w:r>
          </w:p>
        </w:tc>
        <w:tc>
          <w:tcPr>
            <w:tcW w:type="dxa" w:w="6019"/>
          </w:tcPr>
          <w:p>
            <w:pPr>
              <w:spacing w:after="20"/>
            </w:pPr>
            <w:r>
              <w:rPr>
                <w:color w:val="1C3A36"/>
                <w:sz w:val="15"/>
              </w:rPr>
              <w:t>Real (ex-copper, ex-FX) volume/market-share growth for the Cables segment — modest and flat, since the company does not disclose tonnage and the model should not manufacture a volume story it cannot evidence. Cables segment revenue growth = (1+copper growth)(1+FX growth)(1+this) - 1</w:t>
            </w:r>
          </w:p>
        </w:tc>
      </w:tr>
      <w:tr>
        <w:tc>
          <w:tcPr>
            <w:tcW w:type="dxa" w:w="1656"/>
          </w:tcPr>
          <w:p>
            <w:pPr>
              <w:spacing w:after="20"/>
            </w:pPr>
            <w:r>
              <w:rPr>
                <w:color w:val="1C3A36"/>
                <w:sz w:val="15"/>
              </w:rPr>
              <w:t>construct growth</w:t>
            </w:r>
          </w:p>
        </w:tc>
        <w:tc>
          <w:tcPr>
            <w:tcW w:type="dxa" w:w="1368"/>
          </w:tcPr>
          <w:p>
            <w:pPr>
              <w:spacing w:after="20"/>
            </w:pPr>
            <w:r>
              <w:rPr>
                <w:color w:val="1C3A36"/>
                <w:sz w:val="15"/>
              </w:rPr>
              <w:t>0.18, 0.14, 0.11, 0.09, 0.08</w:t>
            </w:r>
          </w:p>
        </w:tc>
        <w:tc>
          <w:tcPr>
            <w:tcW w:type="dxa" w:w="1037"/>
          </w:tcPr>
          <w:p>
            <w:pPr>
              <w:spacing w:after="20"/>
            </w:pPr>
            <w:r>
              <w:rPr>
                <w:color w:val="1C3A36"/>
                <w:sz w:val="15"/>
              </w:rPr>
              <w:t>2026-08-05</w:t>
            </w:r>
          </w:p>
        </w:tc>
        <w:tc>
          <w:tcPr>
            <w:tcW w:type="dxa" w:w="6019"/>
          </w:tcPr>
          <w:p>
            <w:pPr>
              <w:spacing w:after="20"/>
            </w:pPr>
            <w:r>
              <w:rPr>
                <w:color w:val="1C3A36"/>
                <w:sz w:val="15"/>
              </w:rPr>
              <w:t>Constructions segment revenue growth, tapering from the FY2025 disclosed rate of +28.3% (FY2024: +32.6%) toward a more sustainable long-run pace. No order book or backlog figure is disclosed in any of the audited filings or the Q1-2026 interim, so — unlike the previous build — this is NOT a burn-rate-on-a-backlog construction; it is a direct taper on the segment's own revenue history</w:t>
            </w:r>
          </w:p>
        </w:tc>
      </w:tr>
      <w:tr>
        <w:tc>
          <w:tcPr>
            <w:tcW w:type="dxa" w:w="1656"/>
          </w:tcPr>
          <w:p>
            <w:pPr>
              <w:spacing w:after="20"/>
            </w:pPr>
            <w:r>
              <w:rPr>
                <w:color w:val="1C3A36"/>
                <w:sz w:val="15"/>
              </w:rPr>
              <w:t>elecprod growth</w:t>
            </w:r>
          </w:p>
        </w:tc>
        <w:tc>
          <w:tcPr>
            <w:tcW w:type="dxa" w:w="1368"/>
          </w:tcPr>
          <w:p>
            <w:pPr>
              <w:spacing w:after="20"/>
            </w:pPr>
            <w:r>
              <w:rPr>
                <w:color w:val="1C3A36"/>
                <w:sz w:val="15"/>
              </w:rPr>
              <w:t>0.2, 0.16, 0.13, 0.11, 0.1</w:t>
            </w:r>
          </w:p>
        </w:tc>
        <w:tc>
          <w:tcPr>
            <w:tcW w:type="dxa" w:w="1037"/>
          </w:tcPr>
          <w:p>
            <w:pPr>
              <w:spacing w:after="20"/>
            </w:pPr>
            <w:r>
              <w:rPr>
                <w:color w:val="1C3A36"/>
                <w:sz w:val="15"/>
              </w:rPr>
              <w:t>2026-08-05</w:t>
            </w:r>
          </w:p>
        </w:tc>
        <w:tc>
          <w:tcPr>
            <w:tcW w:type="dxa" w:w="6019"/>
          </w:tcPr>
          <w:p>
            <w:pPr>
              <w:spacing w:after="20"/>
            </w:pPr>
            <w:r>
              <w:rPr>
                <w:color w:val="1C3A36"/>
                <w:sz w:val="15"/>
              </w:rPr>
              <w:t>Electrical products and digital solutions segment revenue growth, tapering from the FY2025 disclosed rate of +43.7% (FY2024: +46.6%) off a smaller revenue base</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037"/>
          </w:tcPr>
          <w:p>
            <w:pPr>
              <w:spacing w:after="20"/>
            </w:pPr>
            <w:r>
              <w:rPr>
                <w:color w:val="1C3A36"/>
                <w:sz w:val="15"/>
              </w:rPr>
              <w:t>2026-08-07</w:t>
            </w:r>
          </w:p>
        </w:tc>
        <w:tc>
          <w:tcPr>
            <w:tcW w:type="dxa" w:w="6019"/>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037"/>
          </w:tcPr>
          <w:p>
            <w:pPr>
              <w:spacing w:after="20"/>
            </w:pPr>
            <w:r>
              <w:rPr>
                <w:color w:val="1C3A36"/>
                <w:sz w:val="15"/>
              </w:rPr>
              <w:t>2026-08-05</w:t>
            </w:r>
          </w:p>
        </w:tc>
        <w:tc>
          <w:tcPr>
            <w:tcW w:type="dxa" w:w="6019"/>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0.199</w:t>
            </w:r>
          </w:p>
        </w:tc>
        <w:tc>
          <w:tcPr>
            <w:tcW w:type="dxa" w:w="1037"/>
          </w:tcPr>
          <w:p>
            <w:pPr>
              <w:spacing w:after="20"/>
            </w:pPr>
            <w:r>
              <w:rPr>
                <w:color w:val="1C3A36"/>
                <w:sz w:val="15"/>
              </w:rPr>
              <w:t>2026-08-05</w:t>
            </w:r>
          </w:p>
        </w:tc>
        <w:tc>
          <w:tcPr>
            <w:tcW w:type="dxa" w:w="6019"/>
          </w:tcPr>
          <w:p>
            <w:pPr>
              <w:spacing w:after="20"/>
            </w:pPr>
            <w:r>
              <w:rPr>
                <w:color w:val="1C3A36"/>
                <w:sz w:val="15"/>
              </w:rPr>
              <w:t>Net working capital as a share of revenue, held at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037"/>
          </w:tcPr>
          <w:p>
            <w:pPr>
              <w:spacing w:after="20"/>
            </w:pPr>
            <w:r>
              <w:rPr>
                <w:color w:val="1C3A36"/>
                <w:sz w:val="15"/>
              </w:rPr>
              <w:t>2026-08-05</w:t>
            </w:r>
          </w:p>
        </w:tc>
        <w:tc>
          <w:tcPr>
            <w:tcW w:type="dxa" w:w="6019"/>
          </w:tcPr>
          <w:p>
            <w:pPr>
              <w:spacing w:after="20"/>
            </w:pPr>
            <w:r>
              <w:rPr>
                <w:color w:val="1C3A36"/>
                <w:sz w:val="15"/>
              </w:rPr>
              <w:t>Capex as a share of revenue, tapering from the FY2025 disclosed level of 4.7% (up from 3.1% FY2023 and 3.7% FY2024) toward a lower maintenance-plus-modest-capacity level as the current expansion cycle completes</w:t>
            </w:r>
          </w:p>
        </w:tc>
      </w:tr>
      <w:tr>
        <w:tc>
          <w:tcPr>
            <w:tcW w:type="dxa" w:w="1656"/>
          </w:tcPr>
          <w:p>
            <w:pPr>
              <w:spacing w:after="20"/>
            </w:pPr>
            <w:r>
              <w:rPr>
                <w:color w:val="1C3A36"/>
                <w:sz w:val="15"/>
              </w:rPr>
              <w:t>dna pct</w:t>
            </w:r>
          </w:p>
        </w:tc>
        <w:tc>
          <w:tcPr>
            <w:tcW w:type="dxa" w:w="1368"/>
          </w:tcPr>
          <w:p>
            <w:pPr>
              <w:spacing w:after="20"/>
            </w:pPr>
            <w:r>
              <w:rPr>
                <w:color w:val="1C3A36"/>
                <w:sz w:val="15"/>
              </w:rPr>
              <w:t>0.0125</w:t>
            </w:r>
          </w:p>
        </w:tc>
        <w:tc>
          <w:tcPr>
            <w:tcW w:type="dxa" w:w="1037"/>
          </w:tcPr>
          <w:p>
            <w:pPr>
              <w:spacing w:after="20"/>
            </w:pPr>
            <w:r>
              <w:rPr>
                <w:color w:val="1C3A36"/>
                <w:sz w:val="15"/>
              </w:rPr>
              <w:t>2026-08-05</w:t>
            </w:r>
          </w:p>
        </w:tc>
        <w:tc>
          <w:tcPr>
            <w:tcW w:type="dxa" w:w="6019"/>
          </w:tcPr>
          <w:p>
            <w:pPr>
              <w:spacing w:after="20"/>
            </w:pPr>
            <w:r>
              <w:rPr>
                <w:color w:val="1C3A36"/>
                <w:sz w:val="15"/>
              </w:rPr>
              <w:t>Depreciation and amortisation as a share of revenue,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037"/>
          </w:tcPr>
          <w:p>
            <w:pPr>
              <w:spacing w:after="20"/>
            </w:pPr>
            <w:r>
              <w:rPr>
                <w:color w:val="1C3A36"/>
                <w:sz w:val="15"/>
              </w:rPr>
              <w:t>2026-08-05</w:t>
            </w:r>
          </w:p>
        </w:tc>
        <w:tc>
          <w:tcPr>
            <w:tcW w:type="dxa" w:w="6019"/>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037"/>
          </w:tcPr>
          <w:p>
            <w:pPr>
              <w:spacing w:after="20"/>
            </w:pPr>
            <w:r>
              <w:rPr>
                <w:color w:val="1C3A36"/>
                <w:sz w:val="15"/>
              </w:rPr>
              <w:t>2026-09-08</w:t>
            </w:r>
          </w:p>
        </w:tc>
        <w:tc>
          <w:tcPr>
            <w:tcW w:type="dxa" w:w="6019"/>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037"/>
          </w:tcPr>
          <w:p>
            <w:pPr>
              <w:spacing w:after="20"/>
            </w:pPr>
            <w:r>
              <w:rPr>
                <w:color w:val="1C3A36"/>
                <w:sz w:val="15"/>
              </w:rPr>
              <w:t>2026-08-05</w:t>
            </w:r>
          </w:p>
        </w:tc>
        <w:tc>
          <w:tcPr>
            <w:tcW w:type="dxa" w:w="6019"/>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037"/>
          </w:tcPr>
          <w:p>
            <w:pPr>
              <w:spacing w:after="20"/>
            </w:pPr>
            <w:r>
              <w:rPr>
                <w:color w:val="1C3A36"/>
                <w:sz w:val="15"/>
              </w:rPr>
              <w:t>2026-08-05</w:t>
            </w:r>
          </w:p>
        </w:tc>
        <w:tc>
          <w:tcPr>
            <w:tcW w:type="dxa" w:w="6019"/>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037"/>
          </w:tcPr>
          <w:p>
            <w:pPr>
              <w:spacing w:after="20"/>
            </w:pPr>
            <w:r>
              <w:rPr>
                <w:color w:val="1C3A36"/>
                <w:sz w:val="15"/>
              </w:rPr>
              <w:t>2026-08-05</w:t>
            </w:r>
          </w:p>
        </w:tc>
        <w:tc>
          <w:tcPr>
            <w:tcW w:type="dxa" w:w="6019"/>
          </w:tcPr>
          <w:p>
            <w:pPr>
              <w:spacing w:after="20"/>
            </w:pPr>
            <w:r>
              <w:rPr>
                <w:color w:val="1C3A36"/>
                <w:sz w:val="15"/>
              </w:rPr>
              <w:t>Terminal risk-free rate, norm-built: the CBE's own stated medium-term inflation target of 5% plus the standard ~5.5pp emerging-market real-rate convention.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037"/>
          </w:tcPr>
          <w:p>
            <w:pPr>
              <w:spacing w:after="20"/>
            </w:pPr>
            <w:r>
              <w:rPr>
                <w:color w:val="1C3A36"/>
                <w:sz w:val="15"/>
              </w:rPr>
              <w:t>2026-08-05</w:t>
            </w:r>
          </w:p>
        </w:tc>
        <w:tc>
          <w:tcPr>
            <w:tcW w:type="dxa" w:w="6019"/>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037"/>
          </w:tcPr>
          <w:p>
            <w:pPr>
              <w:spacing w:after="20"/>
            </w:pPr>
            <w:r>
              <w:rPr>
                <w:color w:val="1C3A36"/>
                <w:sz w:val="15"/>
              </w:rPr>
              <w:t>2026-08-07</w:t>
            </w:r>
          </w:p>
        </w:tc>
        <w:tc>
          <w:tcPr>
            <w:tcW w:type="dxa" w:w="6019"/>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w:t>
            </w:r>
          </w:p>
        </w:tc>
        <w:tc>
          <w:tcPr>
            <w:tcW w:type="dxa" w:w="1037"/>
          </w:tcPr>
          <w:p>
            <w:pPr>
              <w:spacing w:after="20"/>
            </w:pPr>
            <w:r>
              <w:rPr>
                <w:color w:val="1C3A36"/>
                <w:sz w:val="15"/>
              </w:rPr>
              <w:t>2026-09-04</w:t>
            </w:r>
          </w:p>
        </w:tc>
        <w:tc>
          <w:tcPr>
            <w:tcW w:type="dxa" w:w="6019"/>
          </w:tcPr>
          <w:p>
            <w:pPr>
              <w:spacing w:after="20"/>
            </w:pPr>
            <w:r>
              <w:rPr>
                <w:color w:val="1C3A36"/>
                <w:sz w:val="15"/>
              </w:rPr>
              <w:t>STATED real terminal growth: zero. A mature diversified industrial holding its real scale in perpetuity; real growth costs incremental capital and none is assumed. The nominal rate is DERIVED from this and the house path's terminal inflation, never quoted beside it</w:t>
            </w:r>
          </w:p>
        </w:tc>
      </w:tr>
      <w:tr>
        <w:tc>
          <w:tcPr>
            <w:tcW w:type="dxa" w:w="1656"/>
          </w:tcPr>
          <w:p>
            <w:pPr>
              <w:spacing w:after="20"/>
            </w:pPr>
            <w:r>
              <w:rPr>
                <w:color w:val="1C3A36"/>
                <w:sz w:val="15"/>
              </w:rPr>
              <w:t>g term</w:t>
            </w:r>
          </w:p>
        </w:tc>
        <w:tc>
          <w:tcPr>
            <w:tcW w:type="dxa" w:w="1368"/>
          </w:tcPr>
          <w:p>
            <w:pPr>
              <w:spacing w:after="20"/>
            </w:pPr>
            <w:r>
              <w:rPr>
                <w:color w:val="1C3A36"/>
                <w:sz w:val="15"/>
              </w:rPr>
              <w:t>0.07</w:t>
            </w:r>
          </w:p>
        </w:tc>
        <w:tc>
          <w:tcPr>
            <w:tcW w:type="dxa" w:w="1037"/>
          </w:tcPr>
          <w:p>
            <w:pPr>
              <w:spacing w:after="20"/>
            </w:pPr>
            <w:r>
              <w:rPr>
                <w:color w:val="1C3A36"/>
                <w:sz w:val="15"/>
              </w:rPr>
              <w:t>2026-09-04</w:t>
            </w:r>
          </w:p>
        </w:tc>
        <w:tc>
          <w:tcPr>
            <w:tcW w:type="dxa" w:w="6019"/>
          </w:tcPr>
          <w:p>
            <w:pPr>
              <w:spacing w:after="20"/>
            </w:pPr>
            <w:r>
              <w:rPr>
                <w:color w:val="1C3A36"/>
                <w:sz w:val="15"/>
              </w:rPr>
              <w:t>Terminal NOMINAL growth, DERIVED rather than chosen: (1 + 0.0 real growth) x (1 + 7.0% long-run Egyptian inflation) - 1 = 7.0%. The house macroeconomic path is the only source of an inflation rate in this study. The first edition's 5.0% was struck against an assumed 5% inflation and was therefore a real decline of 1.87% a year in perpetuity</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037"/>
          </w:tcPr>
          <w:p>
            <w:pPr>
              <w:spacing w:after="20"/>
            </w:pPr>
            <w:r>
              <w:rPr>
                <w:color w:val="1C3A36"/>
                <w:sz w:val="15"/>
              </w:rPr>
              <w:t>2026-08-05</w:t>
            </w:r>
          </w:p>
        </w:tc>
        <w:tc>
          <w:tcPr>
            <w:tcW w:type="dxa" w:w="6019"/>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037"/>
          </w:tcPr>
          <w:p>
            <w:pPr>
              <w:spacing w:after="20"/>
            </w:pPr>
            <w:r>
              <w:rPr>
                <w:color w:val="1C3A36"/>
                <w:sz w:val="15"/>
              </w:rPr>
              <w:t>2026-08-05</w:t>
            </w:r>
          </w:p>
        </w:tc>
        <w:tc>
          <w:tcPr>
            <w:tcW w:type="dxa" w:w="6019"/>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037"/>
          </w:tcPr>
          <w:p>
            <w:pPr>
              <w:spacing w:after="20"/>
            </w:pPr>
            <w:r>
              <w:rPr>
                <w:color w:val="1C3A36"/>
                <w:sz w:val="15"/>
              </w:rPr>
              <w:t>2026-08-05</w:t>
            </w:r>
          </w:p>
        </w:tc>
        <w:tc>
          <w:tcPr>
            <w:tcW w:type="dxa" w:w="6019"/>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037"/>
          </w:tcPr>
          <w:p>
            <w:pPr>
              <w:spacing w:after="20"/>
            </w:pPr>
            <w:r>
              <w:rPr>
                <w:color w:val="1C3A36"/>
                <w:sz w:val="15"/>
              </w:rPr>
              <w:t>2026-08-05</w:t>
            </w:r>
          </w:p>
        </w:tc>
        <w:tc>
          <w:tcPr>
            <w:tcW w:type="dxa" w:w="6019"/>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037"/>
          </w:tcPr>
          <w:p>
            <w:pPr>
              <w:spacing w:after="20"/>
            </w:pPr>
            <w:r>
              <w:rPr>
                <w:color w:val="1C3A36"/>
                <w:sz w:val="15"/>
              </w:rPr>
              <w:t>2026-08-07</w:t>
            </w:r>
          </w:p>
        </w:tc>
        <w:tc>
          <w:tcPr>
            <w:tcW w:type="dxa" w:w="6019"/>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037"/>
          </w:tcPr>
          <w:p>
            <w:pPr>
              <w:spacing w:after="20"/>
            </w:pPr>
            <w:r>
              <w:rPr>
                <w:color w:val="1C3A36"/>
                <w:sz w:val="15"/>
              </w:rPr>
              <w:t>2026-08-05</w:t>
            </w:r>
          </w:p>
        </w:tc>
        <w:tc>
          <w:tcPr>
            <w:tcW w:type="dxa" w:w="6019"/>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037"/>
          </w:tcPr>
          <w:p>
            <w:pPr>
              <w:spacing w:after="20"/>
            </w:pPr>
            <w:r>
              <w:rPr>
                <w:color w:val="1C3A36"/>
                <w:sz w:val="15"/>
              </w:rPr>
              <w:t>2026-08-05</w:t>
            </w:r>
          </w:p>
        </w:tc>
        <w:tc>
          <w:tcPr>
            <w:tcW w:type="dxa" w:w="6019"/>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037"/>
          </w:tcPr>
          <w:p>
            <w:pPr>
              <w:spacing w:after="20"/>
            </w:pPr>
            <w:r>
              <w:rPr>
                <w:color w:val="1C3A36"/>
                <w:sz w:val="15"/>
              </w:rPr>
              <w:t>2026-08-05</w:t>
            </w:r>
          </w:p>
        </w:tc>
        <w:tc>
          <w:tcPr>
            <w:tcW w:type="dxa" w:w="6019"/>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037"/>
          </w:tcPr>
          <w:p>
            <w:pPr>
              <w:spacing w:after="20"/>
            </w:pPr>
            <w:r>
              <w:rPr>
                <w:color w:val="1C3A36"/>
                <w:sz w:val="15"/>
              </w:rPr>
              <w:t>2026-08-05</w:t>
            </w:r>
          </w:p>
        </w:tc>
        <w:tc>
          <w:tcPr>
            <w:tcW w:type="dxa" w:w="6019"/>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5 August 2026;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The company reports only segment revenue (Note 5-3) and segment profit (Note 16) — no volumes, prices or backlog</w:t>
            </w:r>
          </w:p>
        </w:tc>
        <w:tc>
          <w:tcPr>
            <w:tcW w:type="dxa" w:w="4464"/>
          </w:tcPr>
          <w:p>
            <w:pPr>
              <w:spacing w:after="20"/>
            </w:pPr>
            <w:r>
              <w:rPr>
                <w:color w:val="1C3A36"/>
                <w:sz w:val="15"/>
              </w:rPr>
              <w:t>The forecast is built as a taper on each segment's own recent revenue CAGR and, for Cables, a copper-price and FX-translation driver, rather than a reconstructed unit model</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