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9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43.51 per share against a market price of 130.00 — the price sits about +199% above the central estimate. That gap is not mainly an argument about the business; it is an argument about the discount rate. Discounted at an Egyptian cost of capital gliding 28.8% to 17.2%, the cash flows support roughly EGP 43.51. Discount the hard-currency share of those same cash flows at a hard-currency cost of capital of about 11.3% and the same model produces EGP 57.86 — still -55% against today's price, but +33%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17.2%, terminal growth 7%; 82% of enterprise value comes from the terminal value</w:t>
            </w:r>
          </w:p>
        </w:tc>
        <w:tc>
          <w:tcPr>
            <w:tcW w:type="dxa" w:w="1656"/>
          </w:tcPr>
          <w:p>
            <w:pPr>
              <w:spacing w:after="20"/>
              <w:jc w:val="right"/>
            </w:pPr>
            <w:r>
              <w:rPr>
                <w:color w:val="1C3A36"/>
                <w:sz w:val="17"/>
              </w:rPr>
              <w:t>16.18 – 83.80</w:t>
            </w:r>
          </w:p>
        </w:tc>
        <w:tc>
          <w:tcPr>
            <w:tcW w:type="dxa" w:w="1037"/>
          </w:tcPr>
          <w:p>
            <w:pPr>
              <w:spacing w:after="20"/>
              <w:jc w:val="right"/>
            </w:pPr>
            <w:r>
              <w:rPr>
                <w:color w:val="1C3A36"/>
                <w:sz w:val="17"/>
              </w:rPr>
              <w:t>43.51</w:t>
            </w:r>
          </w:p>
        </w:tc>
        <w:tc>
          <w:tcPr>
            <w:tcW w:type="dxa" w:w="907"/>
          </w:tcPr>
          <w:p>
            <w:pPr>
              <w:spacing w:after="20"/>
              <w:jc w:val="right"/>
            </w:pPr>
            <w:r>
              <w:rPr>
                <w:color w:val="1C3A36"/>
                <w:sz w:val="17"/>
              </w:rPr>
              <w:t>-67%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58.20 – 88.09</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76.56 – 126.96</w:t>
            </w:r>
          </w:p>
        </w:tc>
        <w:tc>
          <w:tcPr>
            <w:tcW w:type="dxa" w:w="1037"/>
          </w:tcPr>
          <w:p>
            <w:pPr>
              <w:spacing w:after="20"/>
              <w:jc w:val="right"/>
            </w:pPr>
            <w:r>
              <w:rPr>
                <w:color w:val="1C3A36"/>
                <w:sz w:val="17"/>
              </w:rPr>
              <w:t>98.96</w:t>
            </w:r>
          </w:p>
        </w:tc>
        <w:tc>
          <w:tcPr>
            <w:tcW w:type="dxa" w:w="907"/>
          </w:tcPr>
          <w:p>
            <w:pPr>
              <w:spacing w:after="20"/>
              <w:jc w:val="right"/>
            </w:pPr>
            <w:r>
              <w:rPr>
                <w:color w:val="1C3A36"/>
                <w:sz w:val="17"/>
              </w:rPr>
              <w:t>-24%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1.4× on book value of 31.24/share at a sustainable return on equity of 23.5%</w:t>
            </w:r>
          </w:p>
        </w:tc>
        <w:tc>
          <w:tcPr>
            <w:tcW w:type="dxa" w:w="1656"/>
          </w:tcPr>
          <w:p>
            <w:pPr>
              <w:spacing w:after="20"/>
              <w:jc w:val="right"/>
            </w:pPr>
            <w:r>
              <w:rPr>
                <w:color w:val="1C3A36"/>
                <w:sz w:val="17"/>
              </w:rPr>
              <w:t>33.36 – 55.40</w:t>
            </w:r>
          </w:p>
        </w:tc>
        <w:tc>
          <w:tcPr>
            <w:tcW w:type="dxa" w:w="1037"/>
          </w:tcPr>
          <w:p>
            <w:pPr>
              <w:spacing w:after="20"/>
              <w:jc w:val="right"/>
            </w:pPr>
            <w:r>
              <w:rPr>
                <w:color w:val="1C3A36"/>
                <w:sz w:val="17"/>
              </w:rPr>
              <w:t>49.21</w:t>
            </w:r>
          </w:p>
        </w:tc>
        <w:tc>
          <w:tcPr>
            <w:tcW w:type="dxa" w:w="907"/>
          </w:tcPr>
          <w:p>
            <w:pPr>
              <w:spacing w:after="20"/>
              <w:jc w:val="right"/>
            </w:pPr>
            <w:r>
              <w:rPr>
                <w:color w:val="1C3A36"/>
                <w:sz w:val="17"/>
              </w:rPr>
              <w:t>-62%</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16.18 – 83.80</w:t>
            </w:r>
          </w:p>
        </w:tc>
        <w:tc>
          <w:tcPr>
            <w:tcW w:type="dxa" w:w="1037"/>
            <w:shd w:val="clear" w:color="auto" w:fill="F6F1E6"/>
          </w:tcPr>
          <w:p>
            <w:pPr>
              <w:spacing w:after="20"/>
              <w:jc w:val="right"/>
            </w:pPr>
            <w:r>
              <w:rPr>
                <w:b/>
                <w:color w:val="1C3A36"/>
                <w:sz w:val="17"/>
              </w:rPr>
              <w:t>43.51</w:t>
            </w:r>
          </w:p>
        </w:tc>
        <w:tc>
          <w:tcPr>
            <w:tcW w:type="dxa" w:w="907"/>
            <w:shd w:val="clear" w:color="auto" w:fill="F6F1E6"/>
          </w:tcPr>
          <w:p>
            <w:pPr>
              <w:spacing w:after="20"/>
              <w:jc w:val="right"/>
            </w:pPr>
            <w:r>
              <w:rPr>
                <w:b/>
                <w:color w:val="1C3A36"/>
                <w:sz w:val="17"/>
              </w:rPr>
              <w:t>-67%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60.78</w:t>
            </w:r>
          </w:p>
        </w:tc>
        <w:tc>
          <w:tcPr>
            <w:tcW w:type="dxa" w:w="907"/>
          </w:tcPr>
          <w:p>
            <w:pPr>
              <w:spacing w:after="20"/>
              <w:jc w:val="right"/>
            </w:pPr>
            <w:r>
              <w:rPr>
                <w:color w:val="1C3A36"/>
                <w:sz w:val="17"/>
              </w:rPr>
              <w:t>-53%</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57.86</w:t>
            </w:r>
          </w:p>
        </w:tc>
        <w:tc>
          <w:tcPr>
            <w:tcW w:type="dxa" w:w="907"/>
          </w:tcPr>
          <w:p>
            <w:pPr>
              <w:spacing w:after="20"/>
              <w:jc w:val="right"/>
            </w:pPr>
            <w:r>
              <w:rPr>
                <w:color w:val="1C3A36"/>
                <w:sz w:val="17"/>
              </w:rPr>
              <w:t>-55%</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25.23</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48.70</w:t>
            </w:r>
          </w:p>
        </w:tc>
        <w:tc>
          <w:tcPr>
            <w:tcW w:type="dxa" w:w="907"/>
          </w:tcPr>
          <w:p>
            <w:pPr>
              <w:spacing w:after="20"/>
              <w:jc w:val="right"/>
            </w:pPr>
            <w:r>
              <w:rPr>
                <w:color w:val="1C3A36"/>
                <w:sz w:val="17"/>
              </w:rPr>
              <w:t>-63%</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82%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25.0%</w:t>
            </w:r>
          </w:p>
        </w:tc>
        <w:tc>
          <w:tcPr>
            <w:tcW w:type="dxa" w:w="1426"/>
          </w:tcPr>
          <w:p>
            <w:pPr>
              <w:spacing w:after="20"/>
              <w:jc w:val="right"/>
            </w:pPr>
            <w:r>
              <w:rPr>
                <w:color w:val="1C3A36"/>
                <w:sz w:val="17"/>
              </w:rPr>
              <w:t>21.7%</w:t>
            </w:r>
          </w:p>
        </w:tc>
        <w:tc>
          <w:tcPr>
            <w:tcW w:type="dxa" w:w="1426"/>
          </w:tcPr>
          <w:p>
            <w:pPr>
              <w:spacing w:after="20"/>
              <w:jc w:val="right"/>
            </w:pPr>
            <w:r>
              <w:rPr>
                <w:color w:val="1C3A36"/>
                <w:sz w:val="17"/>
              </w:rPr>
              <w:t>19.2%</w:t>
            </w:r>
          </w:p>
        </w:tc>
        <w:tc>
          <w:tcPr>
            <w:tcW w:type="dxa" w:w="1426"/>
          </w:tcPr>
          <w:p>
            <w:pPr>
              <w:spacing w:after="20"/>
              <w:jc w:val="right"/>
            </w:pPr>
            <w:r>
              <w:rPr>
                <w:color w:val="1C3A36"/>
                <w:sz w:val="17"/>
              </w:rPr>
              <w:t>17.2%</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0.6211</w:t>
            </w:r>
          </w:p>
        </w:tc>
        <w:tc>
          <w:tcPr>
            <w:tcW w:type="dxa" w:w="1426"/>
          </w:tcPr>
          <w:p>
            <w:pPr>
              <w:spacing w:after="20"/>
              <w:jc w:val="right"/>
            </w:pPr>
            <w:r>
              <w:rPr>
                <w:color w:val="1C3A36"/>
                <w:sz w:val="17"/>
              </w:rPr>
              <w:t>0.5102</w:t>
            </w:r>
          </w:p>
        </w:tc>
        <w:tc>
          <w:tcPr>
            <w:tcW w:type="dxa" w:w="1426"/>
          </w:tcPr>
          <w:p>
            <w:pPr>
              <w:spacing w:after="20"/>
              <w:jc w:val="right"/>
            </w:pPr>
            <w:r>
              <w:rPr>
                <w:color w:val="1C3A36"/>
                <w:sz w:val="17"/>
              </w:rPr>
              <w:t>0.4282</w:t>
            </w:r>
          </w:p>
        </w:tc>
        <w:tc>
          <w:tcPr>
            <w:tcW w:type="dxa" w:w="1426"/>
          </w:tcPr>
          <w:p>
            <w:pPr>
              <w:spacing w:after="20"/>
              <w:jc w:val="right"/>
            </w:pPr>
            <w:r>
              <w:rPr>
                <w:color w:val="1C3A36"/>
                <w:sz w:val="17"/>
              </w:rPr>
              <w:t>0.3653</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-3,313</w:t>
            </w:r>
          </w:p>
        </w:tc>
        <w:tc>
          <w:tcPr>
            <w:tcW w:type="dxa" w:w="1426"/>
            <w:shd w:val="clear" w:color="auto" w:fill="F6F1E6"/>
          </w:tcPr>
          <w:p>
            <w:pPr>
              <w:spacing w:after="20"/>
              <w:jc w:val="right"/>
            </w:pPr>
            <w:r>
              <w:rPr>
                <w:b/>
                <w:color w:val="1C3A36"/>
                <w:sz w:val="17"/>
              </w:rPr>
              <w:t>4,191</w:t>
            </w:r>
          </w:p>
        </w:tc>
        <w:tc>
          <w:tcPr>
            <w:tcW w:type="dxa" w:w="1426"/>
            <w:shd w:val="clear" w:color="auto" w:fill="F6F1E6"/>
          </w:tcPr>
          <w:p>
            <w:pPr>
              <w:spacing w:after="20"/>
              <w:jc w:val="right"/>
            </w:pPr>
            <w:r>
              <w:rPr>
                <w:b/>
                <w:color w:val="1C3A36"/>
                <w:sz w:val="17"/>
              </w:rPr>
              <w:t>6,216</w:t>
            </w:r>
          </w:p>
        </w:tc>
        <w:tc>
          <w:tcPr>
            <w:tcW w:type="dxa" w:w="1426"/>
            <w:shd w:val="clear" w:color="auto" w:fill="F6F1E6"/>
          </w:tcPr>
          <w:p>
            <w:pPr>
              <w:spacing w:after="20"/>
              <w:jc w:val="right"/>
            </w:pPr>
            <w:r>
              <w:rPr>
                <w:b/>
                <w:color w:val="1C3A36"/>
                <w:sz w:val="17"/>
              </w:rPr>
              <w:t>6,776</w:t>
            </w:r>
          </w:p>
        </w:tc>
        <w:tc>
          <w:tcPr>
            <w:tcW w:type="dxa" w:w="1426"/>
            <w:shd w:val="clear" w:color="auto" w:fill="F6F1E6"/>
          </w:tcPr>
          <w:p>
            <w:pPr>
              <w:spacing w:after="20"/>
              <w:jc w:val="right"/>
            </w:pPr>
            <w:r>
              <w:rPr>
                <w:b/>
                <w:color w:val="1C3A36"/>
                <w:sz w:val="17"/>
              </w:rPr>
              <w:t>6,935</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20,806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95,358</w:t>
            </w:r>
          </w:p>
        </w:tc>
        <w:tc>
          <w:tcPr>
            <w:tcW w:type="dxa" w:w="4896"/>
          </w:tcPr>
          <w:p>
            <w:pPr>
              <w:spacing w:after="20"/>
              <w:jc w:val="right"/>
            </w:pPr>
            <w:r>
              <w:rPr>
                <w:color w:val="1C3A36"/>
                <w:sz w:val="16"/>
              </w:rPr>
              <w:t>the terminal cash flow capitalised at 17.2% − 7% = 261,042, discounted at the year-5 factor 0.3653</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116,164</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82%</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81,185</w:t>
            </w:r>
          </w:p>
        </w:tc>
        <w:tc>
          <w:tcPr>
            <w:tcW w:type="dxa" w:w="4896"/>
          </w:tcPr>
          <w:p>
            <w:pPr>
              <w:spacing w:after="20"/>
              <w:jc w:val="right"/>
            </w:pPr>
            <w:r>
              <w:rPr>
                <w:color w:val="1C3A36"/>
                <w:sz w:val="16"/>
              </w:rPr>
              <w:t>EGP 37.92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43.51</w:t>
            </w:r>
          </w:p>
        </w:tc>
        <w:tc>
          <w:tcPr>
            <w:tcW w:type="dxa" w:w="4896"/>
            <w:shd w:val="clear" w:color="auto" w:fill="F6F1E6"/>
          </w:tcPr>
          <w:p>
            <w:pPr>
              <w:spacing w:after="20"/>
              <w:jc w:val="right"/>
            </w:pPr>
            <w:r>
              <w:rPr>
                <w:b/>
                <w:color w:val="1C3A36"/>
                <w:sz w:val="16"/>
              </w:rPr>
              <w:t>against a spot of 130.00 (-67%)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19.1% — a steady-state multiple takes a steady-state rate, not a five-year transitional one. (An earlier wording called this figure an 'average' of the two windows, which it never was; the actual average, 24.8%, is the construction behind this lens's published bear bound of 33.36.) That gives 1.4× book, or EGP 49.21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(-879)</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70.15</w:t>
            </w:r>
          </w:p>
        </w:tc>
        <w:tc>
          <w:tcPr>
            <w:tcW w:type="dxa" w:w="5688"/>
          </w:tcPr>
          <w:p>
            <w:pPr>
              <w:spacing w:after="20"/>
              <w:jc w:val="right"/>
            </w:pPr>
            <w:r>
              <w:rPr>
                <w:color w:val="1C3A36"/>
                <w:sz w:val="17"/>
              </w:rPr>
              <w:t>bear 58.20 at 5.5× / bull 88.09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134.15 per share instead of 70.15 — a EGP 64.00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(13,432)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20,048</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9.36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98.96</w:t>
            </w:r>
          </w:p>
        </w:tc>
      </w:tr>
    </w:tbl>
    <w:p>
      <w:pPr>
        <w:spacing w:after="40"/>
      </w:pPr>
    </w:p>
    <w:p>
      <w:pPr>
        <w:spacing w:after="200" w:before="0"/>
      </w:pPr>
      <w:r>
        <w:rPr>
          <w:b w:val="0"/>
          <w:i/>
          <w:color w:val="6E7B77"/>
          <w:sz w:val="17"/>
        </w:rPr>
        <w:t>Bear 76.56 at 7.0× and bull 126.96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16.18</w:t>
            </w:r>
          </w:p>
        </w:tc>
        <w:tc>
          <w:tcPr>
            <w:tcW w:type="dxa" w:w="1238"/>
          </w:tcPr>
          <w:p>
            <w:pPr>
              <w:spacing w:after="20"/>
              <w:jc w:val="right"/>
            </w:pPr>
            <w:r>
              <w:rPr>
                <w:color w:val="1C3A36"/>
                <w:sz w:val="17"/>
              </w:rPr>
              <w:t>43.51</w:t>
            </w:r>
          </w:p>
        </w:tc>
        <w:tc>
          <w:tcPr>
            <w:tcW w:type="dxa" w:w="1238"/>
          </w:tcPr>
          <w:p>
            <w:pPr>
              <w:spacing w:after="20"/>
              <w:jc w:val="right"/>
            </w:pPr>
            <w:r>
              <w:rPr>
                <w:color w:val="1C3A36"/>
                <w:sz w:val="17"/>
              </w:rPr>
              <w:t>83.80</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-67%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58.20</w:t>
            </w:r>
          </w:p>
        </w:tc>
        <w:tc>
          <w:tcPr>
            <w:tcW w:type="dxa" w:w="1238"/>
          </w:tcPr>
          <w:p>
            <w:pPr>
              <w:spacing w:after="20"/>
              <w:jc w:val="right"/>
            </w:pPr>
            <w:r>
              <w:rPr>
                <w:color w:val="1C3A36"/>
                <w:sz w:val="17"/>
              </w:rPr>
              <w:t>70.15</w:t>
            </w:r>
          </w:p>
        </w:tc>
        <w:tc>
          <w:tcPr>
            <w:tcW w:type="dxa" w:w="1238"/>
          </w:tcPr>
          <w:p>
            <w:pPr>
              <w:spacing w:after="20"/>
              <w:jc w:val="right"/>
            </w:pPr>
            <w:r>
              <w:rPr>
                <w:color w:val="1C3A36"/>
                <w:sz w:val="17"/>
              </w:rPr>
              <w:t>88.09</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-46%</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76.56</w:t>
            </w:r>
          </w:p>
        </w:tc>
        <w:tc>
          <w:tcPr>
            <w:tcW w:type="dxa" w:w="1238"/>
          </w:tcPr>
          <w:p>
            <w:pPr>
              <w:spacing w:after="20"/>
              <w:jc w:val="right"/>
            </w:pPr>
            <w:r>
              <w:rPr>
                <w:color w:val="1C3A36"/>
                <w:sz w:val="17"/>
              </w:rPr>
              <w:t>98.96</w:t>
            </w:r>
          </w:p>
        </w:tc>
        <w:tc>
          <w:tcPr>
            <w:tcW w:type="dxa" w:w="1238"/>
          </w:tcPr>
          <w:p>
            <w:pPr>
              <w:spacing w:after="20"/>
              <w:jc w:val="right"/>
            </w:pPr>
            <w:r>
              <w:rPr>
                <w:color w:val="1C3A36"/>
                <w:sz w:val="17"/>
              </w:rPr>
              <w:t>126.96</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33.36</w:t>
            </w:r>
          </w:p>
        </w:tc>
        <w:tc>
          <w:tcPr>
            <w:tcW w:type="dxa" w:w="1238"/>
          </w:tcPr>
          <w:p>
            <w:pPr>
              <w:spacing w:after="20"/>
              <w:jc w:val="right"/>
            </w:pPr>
            <w:r>
              <w:rPr>
                <w:color w:val="1C3A36"/>
                <w:sz w:val="17"/>
              </w:rPr>
              <w:t>49.21</w:t>
            </w:r>
          </w:p>
        </w:tc>
        <w:tc>
          <w:tcPr>
            <w:tcW w:type="dxa" w:w="1238"/>
          </w:tcPr>
          <w:p>
            <w:pPr>
              <w:spacing w:after="20"/>
              <w:jc w:val="right"/>
            </w:pPr>
            <w:r>
              <w:rPr>
                <w:color w:val="1C3A36"/>
                <w:sz w:val="17"/>
              </w:rPr>
              <w:t>55.40</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-62%</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16.18</w:t>
            </w:r>
          </w:p>
        </w:tc>
        <w:tc>
          <w:tcPr>
            <w:tcW w:type="dxa" w:w="1238"/>
            <w:shd w:val="clear" w:color="auto" w:fill="F6F1E6"/>
          </w:tcPr>
          <w:p>
            <w:pPr>
              <w:spacing w:after="20"/>
              <w:jc w:val="right"/>
            </w:pPr>
            <w:r>
              <w:rPr>
                <w:b/>
                <w:color w:val="1C3A36"/>
                <w:sz w:val="17"/>
              </w:rPr>
              <w:t>43.51</w:t>
            </w:r>
          </w:p>
        </w:tc>
        <w:tc>
          <w:tcPr>
            <w:tcW w:type="dxa" w:w="1238"/>
            <w:shd w:val="clear" w:color="auto" w:fill="F6F1E6"/>
          </w:tcPr>
          <w:p>
            <w:pPr>
              <w:spacing w:after="20"/>
              <w:jc w:val="right"/>
            </w:pPr>
            <w:r>
              <w:rPr>
                <w:b/>
                <w:color w:val="1C3A36"/>
                <w:sz w:val="17"/>
              </w:rPr>
              <w:t>83.80</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-67%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60.78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-53%</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43.51, and the market-anchored reads are published beside it at their own values so a reader can judge the disagreement rather than receive a number in which it has already been settled by a weight. An earlier edition did settle it that way and reported EGP 60.78, -53% against the price where this study holds -67%.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2.18-2.33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19.1%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17.2%</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25.23 (against 43.51)</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18.28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48.70 (5.19)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43.30 (-0.21)</w:t>
            </w:r>
          </w:p>
        </w:tc>
        <w:tc>
          <w:tcPr>
            <w:tcW w:type="dxa" w:w="3096"/>
          </w:tcPr>
          <w:p>
            <w:pPr>
              <w:spacing w:after="20"/>
              <w:jc w:val="right"/>
            </w:pPr>
            <w:r>
              <w:rPr>
                <w:color w:val="1C3A36"/>
                <w:sz w:val="16"/>
              </w:rPr>
              <w:t>Net debt carries only 6.9%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25.23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15.2%</w:t>
            </w:r>
          </w:p>
        </w:tc>
        <w:tc>
          <w:tcPr>
            <w:tcW w:type="dxa" w:w="1541"/>
          </w:tcPr>
          <w:p>
            <w:pPr>
              <w:spacing w:after="20"/>
              <w:jc w:val="right"/>
            </w:pPr>
            <w:r>
              <w:rPr>
                <w:color w:val="1C3A36"/>
                <w:sz w:val="16"/>
              </w:rPr>
              <w:t>68.64</w:t>
            </w:r>
          </w:p>
        </w:tc>
        <w:tc>
          <w:tcPr>
            <w:tcW w:type="dxa" w:w="1541"/>
          </w:tcPr>
          <w:p>
            <w:pPr>
              <w:spacing w:after="20"/>
              <w:jc w:val="right"/>
            </w:pPr>
            <w:r>
              <w:rPr>
                <w:color w:val="1C3A36"/>
                <w:sz w:val="16"/>
              </w:rPr>
              <w:t>66.58</w:t>
            </w:r>
          </w:p>
        </w:tc>
        <w:tc>
          <w:tcPr>
            <w:tcW w:type="dxa" w:w="1541"/>
          </w:tcPr>
          <w:p>
            <w:pPr>
              <w:spacing w:after="20"/>
              <w:jc w:val="right"/>
            </w:pPr>
            <w:r>
              <w:rPr>
                <w:color w:val="1C3A36"/>
                <w:sz w:val="16"/>
              </w:rPr>
              <w:t>64.58</w:t>
            </w:r>
          </w:p>
        </w:tc>
        <w:tc>
          <w:tcPr>
            <w:tcW w:type="dxa" w:w="1541"/>
          </w:tcPr>
          <w:p>
            <w:pPr>
              <w:spacing w:after="20"/>
              <w:jc w:val="right"/>
            </w:pPr>
            <w:r>
              <w:rPr>
                <w:color w:val="1C3A36"/>
                <w:sz w:val="16"/>
              </w:rPr>
              <w:t>62.65</w:t>
            </w:r>
          </w:p>
        </w:tc>
        <w:tc>
          <w:tcPr>
            <w:tcW w:type="dxa" w:w="1541"/>
          </w:tcPr>
          <w:p>
            <w:pPr>
              <w:spacing w:after="20"/>
              <w:jc w:val="right"/>
            </w:pPr>
            <w:r>
              <w:rPr>
                <w:color w:val="1C3A36"/>
                <w:sz w:val="16"/>
              </w:rPr>
              <w:t>60.79</w:t>
            </w:r>
          </w:p>
        </w:tc>
      </w:tr>
      <w:tr>
        <w:tc>
          <w:tcPr>
            <w:tcW w:type="dxa" w:w="2333"/>
          </w:tcPr>
          <w:p>
            <w:pPr>
              <w:spacing w:after="20"/>
            </w:pPr>
            <w:r>
              <w:rPr>
                <w:color w:val="1C3A36"/>
                <w:sz w:val="16"/>
              </w:rPr>
              <w:t>terminal 16.2%</w:t>
            </w:r>
          </w:p>
        </w:tc>
        <w:tc>
          <w:tcPr>
            <w:tcW w:type="dxa" w:w="1541"/>
          </w:tcPr>
          <w:p>
            <w:pPr>
              <w:spacing w:after="20"/>
              <w:jc w:val="right"/>
            </w:pPr>
            <w:r>
              <w:rPr>
                <w:color w:val="1C3A36"/>
                <w:sz w:val="16"/>
              </w:rPr>
              <w:t>59.93</w:t>
            </w:r>
          </w:p>
        </w:tc>
        <w:tc>
          <w:tcPr>
            <w:tcW w:type="dxa" w:w="1541"/>
          </w:tcPr>
          <w:p>
            <w:pPr>
              <w:spacing w:after="20"/>
              <w:jc w:val="right"/>
            </w:pPr>
            <w:r>
              <w:rPr>
                <w:color w:val="1C3A36"/>
                <w:sz w:val="16"/>
              </w:rPr>
              <w:t>58.10</w:t>
            </w:r>
          </w:p>
        </w:tc>
        <w:tc>
          <w:tcPr>
            <w:tcW w:type="dxa" w:w="1541"/>
          </w:tcPr>
          <w:p>
            <w:pPr>
              <w:spacing w:after="20"/>
              <w:jc w:val="right"/>
            </w:pPr>
            <w:r>
              <w:rPr>
                <w:color w:val="1C3A36"/>
                <w:sz w:val="16"/>
              </w:rPr>
              <w:t>56.33</w:t>
            </w:r>
          </w:p>
        </w:tc>
        <w:tc>
          <w:tcPr>
            <w:tcW w:type="dxa" w:w="1541"/>
          </w:tcPr>
          <w:p>
            <w:pPr>
              <w:spacing w:after="20"/>
              <w:jc w:val="right"/>
            </w:pPr>
            <w:r>
              <w:rPr>
                <w:color w:val="1C3A36"/>
                <w:sz w:val="16"/>
              </w:rPr>
              <w:t>54.63</w:t>
            </w:r>
          </w:p>
        </w:tc>
        <w:tc>
          <w:tcPr>
            <w:tcW w:type="dxa" w:w="1541"/>
          </w:tcPr>
          <w:p>
            <w:pPr>
              <w:spacing w:after="20"/>
              <w:jc w:val="right"/>
            </w:pPr>
            <w:r>
              <w:rPr>
                <w:color w:val="1C3A36"/>
                <w:sz w:val="16"/>
              </w:rPr>
              <w:t>52.98</w:t>
            </w:r>
          </w:p>
        </w:tc>
      </w:tr>
      <w:tr>
        <w:tc>
          <w:tcPr>
            <w:tcW w:type="dxa" w:w="2333"/>
          </w:tcPr>
          <w:p>
            <w:pPr>
              <w:spacing w:after="20"/>
            </w:pPr>
            <w:r>
              <w:rPr>
                <w:color w:val="1C3A36"/>
                <w:sz w:val="16"/>
              </w:rPr>
              <w:t>terminal 17.2%</w:t>
            </w:r>
          </w:p>
        </w:tc>
        <w:tc>
          <w:tcPr>
            <w:tcW w:type="dxa" w:w="1541"/>
          </w:tcPr>
          <w:p>
            <w:pPr>
              <w:spacing w:after="20"/>
              <w:jc w:val="right"/>
            </w:pPr>
            <w:r>
              <w:rPr>
                <w:color w:val="1C3A36"/>
                <w:sz w:val="16"/>
              </w:rPr>
              <w:t>52.93</w:t>
            </w:r>
          </w:p>
        </w:tc>
        <w:tc>
          <w:tcPr>
            <w:tcW w:type="dxa" w:w="1541"/>
          </w:tcPr>
          <w:p>
            <w:pPr>
              <w:spacing w:after="20"/>
              <w:jc w:val="right"/>
            </w:pPr>
            <w:r>
              <w:rPr>
                <w:color w:val="1C3A36"/>
                <w:sz w:val="16"/>
              </w:rPr>
              <w:t>51.29</w:t>
            </w:r>
          </w:p>
        </w:tc>
        <w:tc>
          <w:tcPr>
            <w:tcW w:type="dxa" w:w="1541"/>
          </w:tcPr>
          <w:p>
            <w:pPr>
              <w:spacing w:after="20"/>
              <w:jc w:val="right"/>
            </w:pPr>
            <w:r>
              <w:rPr>
                <w:color w:val="1C3A36"/>
                <w:sz w:val="16"/>
              </w:rPr>
              <w:t>49.71</w:t>
            </w:r>
          </w:p>
        </w:tc>
        <w:tc>
          <w:tcPr>
            <w:tcW w:type="dxa" w:w="1541"/>
          </w:tcPr>
          <w:p>
            <w:pPr>
              <w:spacing w:after="20"/>
              <w:jc w:val="right"/>
            </w:pPr>
            <w:r>
              <w:rPr>
                <w:color w:val="1C3A36"/>
                <w:sz w:val="16"/>
              </w:rPr>
              <w:t>48.18</w:t>
            </w:r>
          </w:p>
        </w:tc>
        <w:tc>
          <w:tcPr>
            <w:tcW w:type="dxa" w:w="1541"/>
          </w:tcPr>
          <w:p>
            <w:pPr>
              <w:spacing w:after="20"/>
              <w:jc w:val="right"/>
            </w:pPr>
            <w:r>
              <w:rPr>
                <w:color w:val="1C3A36"/>
                <w:sz w:val="16"/>
              </w:rPr>
              <w:t>46.70</w:t>
            </w:r>
          </w:p>
        </w:tc>
      </w:tr>
      <w:tr>
        <w:tc>
          <w:tcPr>
            <w:tcW w:type="dxa" w:w="2333"/>
          </w:tcPr>
          <w:p>
            <w:pPr>
              <w:spacing w:after="20"/>
            </w:pPr>
            <w:r>
              <w:rPr>
                <w:color w:val="1C3A36"/>
                <w:sz w:val="16"/>
              </w:rPr>
              <w:t>terminal 18.2%</w:t>
            </w:r>
          </w:p>
        </w:tc>
        <w:tc>
          <w:tcPr>
            <w:tcW w:type="dxa" w:w="1541"/>
          </w:tcPr>
          <w:p>
            <w:pPr>
              <w:spacing w:after="20"/>
              <w:jc w:val="right"/>
            </w:pPr>
            <w:r>
              <w:rPr>
                <w:color w:val="1C3A36"/>
                <w:sz w:val="16"/>
              </w:rPr>
              <w:t>47.19</w:t>
            </w:r>
          </w:p>
        </w:tc>
        <w:tc>
          <w:tcPr>
            <w:tcW w:type="dxa" w:w="1541"/>
          </w:tcPr>
          <w:p>
            <w:pPr>
              <w:spacing w:after="20"/>
              <w:jc w:val="right"/>
            </w:pPr>
            <w:r>
              <w:rPr>
                <w:color w:val="1C3A36"/>
                <w:sz w:val="16"/>
              </w:rPr>
              <w:t>45.70</w:t>
            </w:r>
          </w:p>
        </w:tc>
        <w:tc>
          <w:tcPr>
            <w:tcW w:type="dxa" w:w="1541"/>
          </w:tcPr>
          <w:p>
            <w:pPr>
              <w:spacing w:after="20"/>
              <w:jc w:val="right"/>
            </w:pPr>
            <w:r>
              <w:rPr>
                <w:color w:val="1C3A36"/>
                <w:sz w:val="16"/>
              </w:rPr>
              <w:t>44.27</w:t>
            </w:r>
          </w:p>
        </w:tc>
        <w:tc>
          <w:tcPr>
            <w:tcW w:type="dxa" w:w="1541"/>
          </w:tcPr>
          <w:p>
            <w:pPr>
              <w:spacing w:after="20"/>
              <w:jc w:val="right"/>
            </w:pPr>
            <w:r>
              <w:rPr>
                <w:color w:val="1C3A36"/>
                <w:sz w:val="16"/>
              </w:rPr>
              <w:t>42.88</w:t>
            </w:r>
          </w:p>
        </w:tc>
        <w:tc>
          <w:tcPr>
            <w:tcW w:type="dxa" w:w="1541"/>
          </w:tcPr>
          <w:p>
            <w:pPr>
              <w:spacing w:after="20"/>
              <w:jc w:val="right"/>
            </w:pPr>
            <w:r>
              <w:rPr>
                <w:color w:val="1C3A36"/>
                <w:sz w:val="16"/>
              </w:rPr>
              <w:t>41.54</w:t>
            </w:r>
          </w:p>
        </w:tc>
      </w:tr>
      <w:tr>
        <w:tc>
          <w:tcPr>
            <w:tcW w:type="dxa" w:w="2333"/>
          </w:tcPr>
          <w:p>
            <w:pPr>
              <w:spacing w:after="20"/>
            </w:pPr>
            <w:r>
              <w:rPr>
                <w:color w:val="1C3A36"/>
                <w:sz w:val="16"/>
              </w:rPr>
              <w:t>terminal 19.2%</w:t>
            </w:r>
          </w:p>
        </w:tc>
        <w:tc>
          <w:tcPr>
            <w:tcW w:type="dxa" w:w="1541"/>
          </w:tcPr>
          <w:p>
            <w:pPr>
              <w:spacing w:after="20"/>
              <w:jc w:val="right"/>
            </w:pPr>
            <w:r>
              <w:rPr>
                <w:color w:val="1C3A36"/>
                <w:sz w:val="16"/>
              </w:rPr>
              <w:t>42.39</w:t>
            </w:r>
          </w:p>
        </w:tc>
        <w:tc>
          <w:tcPr>
            <w:tcW w:type="dxa" w:w="1541"/>
          </w:tcPr>
          <w:p>
            <w:pPr>
              <w:spacing w:after="20"/>
              <w:jc w:val="right"/>
            </w:pPr>
            <w:r>
              <w:rPr>
                <w:color w:val="1C3A36"/>
                <w:sz w:val="16"/>
              </w:rPr>
              <w:t>41.03</w:t>
            </w:r>
          </w:p>
        </w:tc>
        <w:tc>
          <w:tcPr>
            <w:tcW w:type="dxa" w:w="1541"/>
          </w:tcPr>
          <w:p>
            <w:pPr>
              <w:spacing w:after="20"/>
              <w:jc w:val="right"/>
            </w:pPr>
            <w:r>
              <w:rPr>
                <w:color w:val="1C3A36"/>
                <w:sz w:val="16"/>
              </w:rPr>
              <w:t>39.72</w:t>
            </w:r>
          </w:p>
        </w:tc>
        <w:tc>
          <w:tcPr>
            <w:tcW w:type="dxa" w:w="1541"/>
          </w:tcPr>
          <w:p>
            <w:pPr>
              <w:spacing w:after="20"/>
              <w:jc w:val="right"/>
            </w:pPr>
            <w:r>
              <w:rPr>
                <w:color w:val="1C3A36"/>
                <w:sz w:val="16"/>
              </w:rPr>
              <w:t>38.46</w:t>
            </w:r>
          </w:p>
        </w:tc>
        <w:tc>
          <w:tcPr>
            <w:tcW w:type="dxa" w:w="1541"/>
          </w:tcPr>
          <w:p>
            <w:pPr>
              <w:spacing w:after="20"/>
              <w:jc w:val="right"/>
            </w:pPr>
            <w:r>
              <w:rPr>
                <w:color w:val="1C3A36"/>
                <w:sz w:val="16"/>
              </w:rPr>
              <w:t>37.24</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46.50 – 94.47</w:t>
            </w:r>
          </w:p>
        </w:tc>
        <w:tc>
          <w:tcPr>
            <w:tcW w:type="dxa" w:w="1944"/>
          </w:tcPr>
          <w:p>
            <w:pPr>
              <w:spacing w:after="20"/>
              <w:jc w:val="right"/>
            </w:pPr>
            <w:r>
              <w:rPr>
                <w:color w:val="1C3A36"/>
                <w:sz w:val="17"/>
              </w:rPr>
              <w:t>47.96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42.08 – 53.56</w:t>
            </w:r>
          </w:p>
        </w:tc>
        <w:tc>
          <w:tcPr>
            <w:tcW w:type="dxa" w:w="1944"/>
          </w:tcPr>
          <w:p>
            <w:pPr>
              <w:spacing w:after="20"/>
              <w:jc w:val="right"/>
            </w:pPr>
            <w:r>
              <w:rPr>
                <w:color w:val="1C3A36"/>
                <w:sz w:val="17"/>
              </w:rPr>
              <w:t>11.49</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23.18 – 63.84</w:t>
            </w:r>
          </w:p>
        </w:tc>
        <w:tc>
          <w:tcPr>
            <w:tcW w:type="dxa" w:w="1944"/>
          </w:tcPr>
          <w:p>
            <w:pPr>
              <w:spacing w:after="20"/>
              <w:jc w:val="right"/>
            </w:pPr>
            <w:r>
              <w:rPr>
                <w:color w:val="1C3A36"/>
                <w:sz w:val="17"/>
              </w:rPr>
              <w:t>40.67</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41.36 – 45.66</w:t>
            </w:r>
          </w:p>
        </w:tc>
        <w:tc>
          <w:tcPr>
            <w:tcW w:type="dxa" w:w="1944"/>
          </w:tcPr>
          <w:p>
            <w:pPr>
              <w:spacing w:after="20"/>
              <w:jc w:val="right"/>
            </w:pPr>
            <w:r>
              <w:rPr>
                <w:color w:val="1C3A36"/>
                <w:sz w:val="17"/>
              </w:rPr>
              <w:t>4.31</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36.28 – 50.27</w:t>
            </w:r>
          </w:p>
        </w:tc>
        <w:tc>
          <w:tcPr>
            <w:tcW w:type="dxa" w:w="1944"/>
          </w:tcPr>
          <w:p>
            <w:pPr>
              <w:spacing w:after="20"/>
              <w:jc w:val="right"/>
            </w:pPr>
            <w:r>
              <w:rPr>
                <w:color w:val="1C3A36"/>
                <w:sz w:val="17"/>
              </w:rPr>
              <w:t>13.99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40.98 – 58.17</w:t>
            </w:r>
          </w:p>
        </w:tc>
        <w:tc>
          <w:tcPr>
            <w:tcW w:type="dxa" w:w="1944"/>
          </w:tcPr>
          <w:p>
            <w:pPr>
              <w:spacing w:after="20"/>
              <w:jc w:val="right"/>
            </w:pPr>
            <w:r>
              <w:rPr>
                <w:color w:val="1C3A36"/>
                <w:sz w:val="17"/>
              </w:rPr>
              <w:t>17.19</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45.05 – 49.71</w:t>
            </w:r>
          </w:p>
        </w:tc>
        <w:tc>
          <w:tcPr>
            <w:tcW w:type="dxa" w:w="1944"/>
          </w:tcPr>
          <w:p>
            <w:pPr>
              <w:spacing w:after="20"/>
              <w:jc w:val="right"/>
            </w:pPr>
            <w:r>
              <w:rPr>
                <w:color w:val="1C3A36"/>
                <w:sz w:val="17"/>
              </w:rPr>
              <w:t>4.66</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43.51;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43.51 central, -67%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43.51, -67%</w:t>
            </w:r>
          </w:p>
        </w:tc>
        <w:tc>
          <w:tcPr>
            <w:tcW w:type="dxa" w:w="4248"/>
          </w:tcPr>
          <w:p>
            <w:pPr>
              <w:spacing w:after="20"/>
              <w:jc w:val="right"/>
            </w:pPr>
            <w:r>
              <w:rPr>
                <w:color w:val="1C3A36"/>
                <w:sz w:val="17"/>
              </w:rPr>
              <w:t>a cost of capital gliding 28.8% to 17.2%</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57.86, -55%</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70.15, -46%</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43.51</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252,892</w:t>
            </w:r>
          </w:p>
        </w:tc>
        <w:tc>
          <w:tcPr>
            <w:tcW w:type="dxa" w:w="1728"/>
          </w:tcPr>
          <w:p>
            <w:pPr>
              <w:spacing w:after="20"/>
              <w:jc w:val="right"/>
            </w:pPr>
            <w:r>
              <w:rPr>
                <w:color w:val="1C3A36"/>
                <w:sz w:val="17"/>
              </w:rPr>
              <w:t>466,619</w:t>
            </w:r>
          </w:p>
        </w:tc>
        <w:tc>
          <w:tcPr>
            <w:tcW w:type="dxa" w:w="1728"/>
          </w:tcPr>
          <w:p>
            <w:pPr>
              <w:spacing w:after="20"/>
              <w:jc w:val="right"/>
            </w:pPr>
            <w:r>
              <w:rPr>
                <w:color w:val="1C3A36"/>
                <w:sz w:val="17"/>
              </w:rPr>
              <w:t>1,211,374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183,100</w:t>
            </w:r>
          </w:p>
        </w:tc>
        <w:tc>
          <w:tcPr>
            <w:tcW w:type="dxa" w:w="1728"/>
          </w:tcPr>
          <w:p>
            <w:pPr>
              <w:spacing w:after="20"/>
              <w:jc w:val="right"/>
            </w:pPr>
            <w:r>
              <w:rPr>
                <w:color w:val="1C3A36"/>
                <w:sz w:val="17"/>
              </w:rPr>
              <w:t>510,440</w:t>
            </w:r>
          </w:p>
        </w:tc>
        <w:tc>
          <w:tcPr>
            <w:tcW w:type="dxa" w:w="1728"/>
          </w:tcPr>
          <w:p>
            <w:pPr>
              <w:spacing w:after="20"/>
              <w:jc w:val="right"/>
            </w:pPr>
            <w:r>
              <w:rPr>
                <w:color w:val="1C3A36"/>
                <w:sz w:val="17"/>
              </w:rPr>
              <w:t>1,731,051</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195,106</w:t>
            </w:r>
          </w:p>
        </w:tc>
        <w:tc>
          <w:tcPr>
            <w:tcW w:type="dxa" w:w="1728"/>
          </w:tcPr>
          <w:p>
            <w:pPr>
              <w:spacing w:after="20"/>
              <w:jc w:val="right"/>
            </w:pPr>
            <w:r>
              <w:rPr>
                <w:color w:val="1C3A36"/>
                <w:sz w:val="17"/>
              </w:rPr>
              <w:t>555,225</w:t>
            </w:r>
          </w:p>
        </w:tc>
        <w:tc>
          <w:tcPr>
            <w:tcW w:type="dxa" w:w="1728"/>
          </w:tcPr>
          <w:p>
            <w:pPr>
              <w:spacing w:after="20"/>
              <w:jc w:val="right"/>
            </w:pPr>
            <w:r>
              <w:rPr>
                <w:color w:val="1C3A36"/>
                <w:sz w:val="17"/>
              </w:rPr>
              <w:t>2,023,700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26,181</w:t>
            </w:r>
          </w:p>
        </w:tc>
        <w:tc>
          <w:tcPr>
            <w:tcW w:type="dxa" w:w="1728"/>
          </w:tcPr>
          <w:p>
            <w:pPr>
              <w:spacing w:after="20"/>
              <w:jc w:val="right"/>
            </w:pPr>
            <w:r>
              <w:rPr>
                <w:color w:val="1C3A36"/>
                <w:sz w:val="17"/>
              </w:rPr>
              <w:t>56,606</w:t>
            </w:r>
          </w:p>
        </w:tc>
        <w:tc>
          <w:tcPr>
            <w:tcW w:type="dxa" w:w="1728"/>
          </w:tcPr>
          <w:p>
            <w:pPr>
              <w:spacing w:after="20"/>
              <w:jc w:val="right"/>
            </w:pPr>
            <w:r>
              <w:rPr>
                <w:color w:val="1C3A36"/>
                <w:sz w:val="17"/>
              </w:rPr>
              <w:t>162,139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24,022</w:t>
            </w:r>
          </w:p>
        </w:tc>
        <w:tc>
          <w:tcPr>
            <w:tcW w:type="dxa" w:w="1728"/>
          </w:tcPr>
          <w:p>
            <w:pPr>
              <w:spacing w:after="20"/>
              <w:jc w:val="right"/>
            </w:pPr>
            <w:r>
              <w:rPr>
                <w:color w:val="1C3A36"/>
                <w:sz w:val="17"/>
              </w:rPr>
              <w:t>62,040</w:t>
            </w:r>
          </w:p>
        </w:tc>
        <w:tc>
          <w:tcPr>
            <w:tcW w:type="dxa" w:w="1728"/>
          </w:tcPr>
          <w:p>
            <w:pPr>
              <w:spacing w:after="20"/>
              <w:jc w:val="right"/>
            </w:pPr>
            <w:r>
              <w:rPr>
                <w:color w:val="1C3A36"/>
                <w:sz w:val="17"/>
              </w:rPr>
              <w:t>262,800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34,648</w:t>
            </w:r>
          </w:p>
        </w:tc>
        <w:tc>
          <w:tcPr>
            <w:tcW w:type="dxa" w:w="1728"/>
          </w:tcPr>
          <w:p>
            <w:pPr>
              <w:spacing w:after="20"/>
              <w:jc w:val="right"/>
            </w:pPr>
            <w:r>
              <w:rPr>
                <w:color w:val="1C3A36"/>
                <w:sz w:val="17"/>
              </w:rPr>
              <w:t>67,601</w:t>
            </w:r>
          </w:p>
        </w:tc>
        <w:tc>
          <w:tcPr>
            <w:tcW w:type="dxa" w:w="1728"/>
          </w:tcPr>
          <w:p>
            <w:pPr>
              <w:spacing w:after="20"/>
              <w:jc w:val="right"/>
            </w:pPr>
            <w:r>
              <w:rPr>
                <w:color w:val="1C3A36"/>
                <w:sz w:val="17"/>
              </w:rPr>
              <w:t>234,225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+7.44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82%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57.86.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9,904mn (4.63 per share) from the equity value — EGP 2.23 per share MORE than deducting the audited book value of 5,119mn would (an earlier wording conflated the total charge with the excess; this states both). It is also the internally consistent choice: this study values the group's equity at 1.4×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11.49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31.41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13.99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40.67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17.19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153.05 and 98.96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153.05</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112.29 – 193.82</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(19.1%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65.48</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34.12 – 59.75</w:t>
            </w:r>
          </w:p>
        </w:tc>
      </w:tr>
    </w:tbl>
    <w:p>
      <w:pPr>
        <w:spacing w:after="40"/>
      </w:pPr>
    </w:p>
    <w:p>
      <w:pPr>
        <w:spacing w:after="120" w:before="0"/>
      </w:pPr>
      <w:r>
        <w:rPr>
          <w:b w:val="0"/>
          <w:i w:val="0"/>
          <w:color w:val="1C3A36"/>
          <w:sz w:val="21"/>
        </w:rPr>
        <w:t>This is the harshest of the three readings, at EGP 65.48,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1,464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12,182</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107,208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45.29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42.23 – 57.86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25.0%</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19.2%</w:t>
            </w:r>
          </w:p>
        </w:tc>
        <w:tc>
          <w:tcPr>
            <w:tcW w:type="dxa" w:w="1426"/>
          </w:tcPr>
          <w:p>
            <w:pPr>
              <w:spacing w:after="20"/>
              <w:jc w:val="right"/>
            </w:pPr>
            <w:r>
              <w:rPr>
                <w:color w:val="1C3A36"/>
                <w:sz w:val="16"/>
              </w:rPr>
              <w:t>17.2%</w:t>
            </w:r>
          </w:p>
        </w:tc>
      </w:tr>
      <w:tr>
        <w:tc>
          <w:tcPr>
            <w:tcW w:type="dxa" w:w="2952"/>
          </w:tcPr>
          <w:p>
            <w:pPr>
              <w:spacing w:after="20"/>
            </w:pPr>
            <w:r>
              <w:rPr>
                <w:color w:val="1C3A36"/>
                <w:sz w:val="16"/>
              </w:rPr>
              <w:t>Spread</w:t>
            </w:r>
          </w:p>
        </w:tc>
        <w:tc>
          <w:tcPr>
            <w:tcW w:type="dxa" w:w="1426"/>
          </w:tcPr>
          <w:p>
            <w:pPr>
              <w:spacing w:after="20"/>
              <w:jc w:val="right"/>
            </w:pPr>
            <w:r>
              <w:rPr>
                <w:color w:val="1C3A36"/>
                <w:sz w:val="16"/>
              </w:rPr>
              <w:t>-8.4pp</w:t>
            </w:r>
          </w:p>
        </w:tc>
        <w:tc>
          <w:tcPr>
            <w:tcW w:type="dxa" w:w="1426"/>
          </w:tcPr>
          <w:p>
            <w:pPr>
              <w:spacing w:after="20"/>
              <w:jc w:val="right"/>
            </w:pPr>
            <w:r>
              <w:rPr>
                <w:color w:val="1C3A36"/>
                <w:sz w:val="16"/>
              </w:rPr>
              <w:t>-5.1pp</w:t>
            </w:r>
          </w:p>
        </w:tc>
        <w:tc>
          <w:tcPr>
            <w:tcW w:type="dxa" w:w="1426"/>
          </w:tcPr>
          <w:p>
            <w:pPr>
              <w:spacing w:after="20"/>
              <w:jc w:val="right"/>
            </w:pPr>
            <w:r>
              <w:rPr>
                <w:color w:val="1C3A36"/>
                <w:sz w:val="16"/>
              </w:rPr>
              <w:t>-2.4pp</w:t>
            </w:r>
          </w:p>
        </w:tc>
        <w:tc>
          <w:tcPr>
            <w:tcW w:type="dxa" w:w="1426"/>
          </w:tcPr>
          <w:p>
            <w:pPr>
              <w:spacing w:after="20"/>
              <w:jc w:val="right"/>
            </w:pPr>
            <w:r>
              <w:rPr>
                <w:color w:val="1C3A36"/>
                <w:sz w:val="16"/>
              </w:rPr>
              <w:t>-0.1pp</w:t>
            </w:r>
          </w:p>
        </w:tc>
        <w:tc>
          <w:tcPr>
            <w:tcW w:type="dxa" w:w="1426"/>
          </w:tcPr>
          <w:p>
            <w:pPr>
              <w:spacing w:after="20"/>
              <w:jc w:val="right"/>
            </w:pPr>
            <w:r>
              <w:rPr>
                <w:color w:val="1C3A36"/>
                <w:sz w:val="16"/>
              </w:rPr>
              <w:t>+1.6pp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-1,808</w:t>
            </w:r>
          </w:p>
        </w:tc>
        <w:tc>
          <w:tcPr>
            <w:tcW w:type="dxa" w:w="1426"/>
            <w:shd w:val="clear" w:color="auto" w:fill="F6F1E6"/>
          </w:tcPr>
          <w:p>
            <w:pPr>
              <w:spacing w:after="20"/>
              <w:jc w:val="right"/>
            </w:pPr>
            <w:r>
              <w:rPr>
                <w:b/>
                <w:color w:val="1C3A36"/>
                <w:sz w:val="16"/>
              </w:rPr>
              <w:t>-1,891</w:t>
            </w:r>
          </w:p>
        </w:tc>
        <w:tc>
          <w:tcPr>
            <w:tcW w:type="dxa" w:w="1426"/>
            <w:shd w:val="clear" w:color="auto" w:fill="F6F1E6"/>
          </w:tcPr>
          <w:p>
            <w:pPr>
              <w:spacing w:after="20"/>
              <w:jc w:val="right"/>
            </w:pPr>
            <w:r>
              <w:rPr>
                <w:b/>
                <w:color w:val="1C3A36"/>
                <w:sz w:val="16"/>
              </w:rPr>
              <w:t>389</w:t>
            </w:r>
          </w:p>
        </w:tc>
        <w:tc>
          <w:tcPr>
            <w:tcW w:type="dxa" w:w="1426"/>
            <w:shd w:val="clear" w:color="auto" w:fill="F6F1E6"/>
          </w:tcPr>
          <w:p>
            <w:pPr>
              <w:spacing w:after="20"/>
              <w:jc w:val="right"/>
            </w:pPr>
            <w:r>
              <w:rPr>
                <w:b/>
                <w:color w:val="1C3A36"/>
                <w:sz w:val="16"/>
              </w:rPr>
              <w:t>3,440</w:t>
            </w:r>
          </w:p>
        </w:tc>
        <w:tc>
          <w:tcPr>
            <w:tcW w:type="dxa" w:w="1426"/>
            <w:shd w:val="clear" w:color="auto" w:fill="F6F1E6"/>
          </w:tcPr>
          <w:p>
            <w:pPr>
              <w:spacing w:after="20"/>
              <w:jc w:val="right"/>
            </w:pPr>
            <w:r>
              <w:rPr>
                <w:b/>
                <w:color w:val="1C3A36"/>
                <w:sz w:val="16"/>
              </w:rPr>
              <w:t>6,488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(107,208) and the DCF's (116,164) differ by 8,956: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65.48; the vertical line is the market price of 130.00.</w:t>
      </w:r>
    </w:p>
    <w:p>
      <w:pPr>
        <w:spacing w:after="120" w:before="0"/>
      </w:pPr>
      <w:r>
        <w:rPr>
          <w:b w:val="0"/>
          <w:i w:val="0"/>
          <w:color w:val="1C3A36"/>
          <w:sz w:val="21"/>
        </w:rPr>
        <w:t>The panel spans EGP 45.29 to 153.05 — a factor of 3.4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65.48 sits -50% against the market price and +51% against the study's own central of 43.51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82%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