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1.085,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0.705.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6.03 a share; on the composite, AED 8.69. The first is adopted. Both are computed in full, both appear side by side in every table that matters, and they are never averaged into a single number.</w:t>
            </w:r>
          </w:p>
          <w:p>
            <w:pPr>
              <w:spacing w:after="100"/>
            </w:pPr>
            <w:r>
              <w:rPr>
                <w:b/>
                <w:color w:val="1C3A36"/>
                <w:sz w:val="19"/>
              </w:rPr>
              <w:t xml:space="preserve">This is a corrected edition, and the corrections are listed. </w:t>
            </w:r>
            <w:r>
              <w:rPr>
                <w:color w:val="1C3A36"/>
                <w:sz w:val="19"/>
              </w:rPr>
              <w:t>An earlier edition of this study was sent out for review, and four independent readers came back with findings. Five were substantive enough to change the answer and all five have been acted on: the tanker fleet is now built vessel by vessel, the cost of capital now charges for every kind of capital the company actually uses, the earnings of the joint ventures are no longer counted twice, the asset lens has been rebuilt on a method this company's distribution policy does not break, and earnings per share is now struck after the coupon on securities that rank ahead of the ordinary shares. Two of those moved the value up and three moved it down. The section headed “What changed in this edition, and why”, immediately after the caveats, sets out every one of them with its direction and its size.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(-8% year on year, because low-margin chartered-in trading fell away), earnings before interest, tax, depreciation and amortisation of USD 368 million (+7%) and attributable profit of USD 203 million (+12%).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four lenses centre at AED 6.58 against a market price of 6.16 — 7% above the market price. The cash-flow lens on its own lands at AED 6.03, 2% below the market price. The honest conclusion is that this share is close to fairly priced on the evidence assembled here, not materially cheap.</w:t>
      </w:r>
    </w:p>
    <w:p>
      <w:pPr>
        <w:spacing w:after="200" w:before="0"/>
      </w:pPr>
      <w:r>
        <w:rPr>
          <w:b w:val="0"/>
          <w:i w:val="0"/>
          <w:color w:val="1C3A36"/>
          <w:sz w:val="21"/>
        </w:rPr>
        <w:t>The reason that conclusion is stronger than it looks rests on the discount rate. Measured against the published index of its own exchange, this share's beta is 1.085 — it moves with the market, near enough one for one, on 161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0.705 and lifts the cash-flow lens to AED 8.69. That construction is published beside the adopted one throughout, because a gap of AED 2.66 a share that turns on how an index is weighted is something a reader is entitled to see rather than a detail to bury. What remains genuinely open is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8.5% to 7.7% on the share's own beta of 1.085 against the published index of its own exchange and on all three kinds of capital the company uses — ordinary equity 80.0%, debt 7.2%, perpetual capital securities 12.8% at their own coupon; terminal growth 2%; 78% of enterprise value comes from the terminal value</w:t>
            </w:r>
          </w:p>
        </w:tc>
        <w:tc>
          <w:tcPr>
            <w:tcW w:type="dxa" w:w="1526"/>
          </w:tcPr>
          <w:p>
            <w:pPr>
              <w:spacing w:after="20"/>
              <w:jc w:val="right"/>
            </w:pPr>
            <w:r>
              <w:rPr>
                <w:color w:val="1C3A36"/>
                <w:sz w:val="16"/>
              </w:rPr>
              <w:t>3.84 – 9.38</w:t>
            </w:r>
          </w:p>
        </w:tc>
        <w:tc>
          <w:tcPr>
            <w:tcW w:type="dxa" w:w="1181"/>
          </w:tcPr>
          <w:p>
            <w:pPr>
              <w:spacing w:after="20"/>
              <w:jc w:val="right"/>
            </w:pPr>
            <w:r>
              <w:rPr>
                <w:color w:val="1C3A36"/>
                <w:sz w:val="16"/>
              </w:rPr>
              <w:t>6.03</w:t>
            </w:r>
          </w:p>
        </w:tc>
        <w:tc>
          <w:tcPr>
            <w:tcW w:type="dxa" w:w="1210"/>
          </w:tcPr>
          <w:p>
            <w:pPr>
              <w:spacing w:after="20"/>
              <w:jc w:val="right"/>
            </w:pPr>
            <w:r>
              <w:rPr>
                <w:color w:val="1C3A36"/>
                <w:sz w:val="16"/>
              </w:rPr>
              <w:t>-2%</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w:t>
            </w:r>
          </w:p>
        </w:tc>
        <w:tc>
          <w:tcPr>
            <w:tcW w:type="dxa" w:w="1526"/>
          </w:tcPr>
          <w:p>
            <w:pPr>
              <w:spacing w:after="20"/>
              <w:jc w:val="right"/>
            </w:pPr>
            <w:r>
              <w:rPr>
                <w:color w:val="1C3A36"/>
                <w:sz w:val="16"/>
              </w:rPr>
              <w:t>6.78 – 10.28</w:t>
            </w:r>
          </w:p>
        </w:tc>
        <w:tc>
          <w:tcPr>
            <w:tcW w:type="dxa" w:w="1181"/>
          </w:tcPr>
          <w:p>
            <w:pPr>
              <w:spacing w:after="20"/>
              <w:jc w:val="right"/>
            </w:pPr>
            <w:r>
              <w:rPr>
                <w:color w:val="1C3A36"/>
                <w:sz w:val="16"/>
              </w:rPr>
              <w:t>8.25</w:t>
            </w:r>
          </w:p>
        </w:tc>
        <w:tc>
          <w:tcPr>
            <w:tcW w:type="dxa" w:w="1210"/>
          </w:tcPr>
          <w:p>
            <w:pPr>
              <w:spacing w:after="20"/>
              <w:jc w:val="right"/>
            </w:pPr>
            <w:r>
              <w:rPr>
                <w:color w:val="1C3A36"/>
                <w:sz w:val="16"/>
              </w:rPr>
              <w:t>+34%</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1,989 million before interest, tax, depreciation and amortisation — at the same blended multiples</w:t>
            </w:r>
          </w:p>
        </w:tc>
        <w:tc>
          <w:tcPr>
            <w:tcW w:type="dxa" w:w="1526"/>
          </w:tcPr>
          <w:p>
            <w:pPr>
              <w:spacing w:after="20"/>
              <w:jc w:val="right"/>
            </w:pPr>
            <w:r>
              <w:rPr>
                <w:color w:val="1C3A36"/>
                <w:sz w:val="16"/>
              </w:rPr>
              <w:t>7.15 – 10.81</w:t>
            </w:r>
          </w:p>
        </w:tc>
        <w:tc>
          <w:tcPr>
            <w:tcW w:type="dxa" w:w="1181"/>
          </w:tcPr>
          <w:p>
            <w:pPr>
              <w:spacing w:after="20"/>
              <w:jc w:val="right"/>
            </w:pPr>
            <w:r>
              <w:rPr>
                <w:color w:val="1C3A36"/>
                <w:sz w:val="16"/>
              </w:rPr>
              <w:t>7.90</w:t>
            </w:r>
          </w:p>
        </w:tc>
        <w:tc>
          <w:tcPr>
            <w:tcW w:type="dxa" w:w="1210"/>
          </w:tcPr>
          <w:p>
            <w:pPr>
              <w:spacing w:after="20"/>
              <w:jc w:val="right"/>
            </w:pPr>
            <w:r>
              <w:rPr>
                <w:color w:val="1C3A36"/>
                <w:sz w:val="16"/>
              </w:rPr>
              <w:t>+28%</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9.34% on that book, discounted, plus a remainder that fades at 10% a year — worth 1.38× the book it starts from</w:t>
            </w:r>
          </w:p>
        </w:tc>
        <w:tc>
          <w:tcPr>
            <w:tcW w:type="dxa" w:w="1526"/>
          </w:tcPr>
          <w:p>
            <w:pPr>
              <w:spacing w:after="20"/>
              <w:jc w:val="right"/>
            </w:pPr>
            <w:r>
              <w:rPr>
                <w:color w:val="1C3A36"/>
                <w:sz w:val="16"/>
              </w:rPr>
              <w:t>2.53 – 4.63</w:t>
            </w:r>
          </w:p>
        </w:tc>
        <w:tc>
          <w:tcPr>
            <w:tcW w:type="dxa" w:w="1181"/>
          </w:tcPr>
          <w:p>
            <w:pPr>
              <w:spacing w:after="20"/>
              <w:jc w:val="right"/>
            </w:pPr>
            <w:r>
              <w:rPr>
                <w:color w:val="1C3A36"/>
                <w:sz w:val="16"/>
              </w:rPr>
              <w:t>3.47</w:t>
            </w:r>
          </w:p>
        </w:tc>
        <w:tc>
          <w:tcPr>
            <w:tcW w:type="dxa" w:w="1210"/>
          </w:tcPr>
          <w:p>
            <w:pPr>
              <w:spacing w:after="20"/>
              <w:jc w:val="right"/>
            </w:pPr>
            <w:r>
              <w:rPr>
                <w:color w:val="1C3A36"/>
                <w:sz w:val="16"/>
              </w:rPr>
              <w:t>-44%</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beta measured against the published index of its own exchange</w:t>
            </w:r>
          </w:p>
        </w:tc>
        <w:tc>
          <w:tcPr>
            <w:tcW w:type="dxa" w:w="1526"/>
            <w:shd w:val="clear" w:color="auto" w:fill="F6F1E6"/>
          </w:tcPr>
          <w:p>
            <w:pPr>
              <w:spacing w:after="20"/>
              <w:jc w:val="right"/>
            </w:pPr>
            <w:r>
              <w:rPr>
                <w:b/>
                <w:color w:val="1C3A36"/>
                <w:sz w:val="16"/>
              </w:rPr>
              <w:t>5.04 – 9.18</w:t>
            </w:r>
          </w:p>
        </w:tc>
        <w:tc>
          <w:tcPr>
            <w:tcW w:type="dxa" w:w="1181"/>
            <w:shd w:val="clear" w:color="auto" w:fill="F6F1E6"/>
          </w:tcPr>
          <w:p>
            <w:pPr>
              <w:spacing w:after="20"/>
              <w:jc w:val="right"/>
            </w:pPr>
            <w:r>
              <w:rPr>
                <w:b/>
                <w:color w:val="1C3A36"/>
                <w:sz w:val="16"/>
              </w:rPr>
              <w:t>6.58</w:t>
            </w:r>
          </w:p>
        </w:tc>
        <w:tc>
          <w:tcPr>
            <w:tcW w:type="dxa" w:w="1210"/>
            <w:shd w:val="clear" w:color="auto" w:fill="F6F1E6"/>
          </w:tcPr>
          <w:p>
            <w:pPr>
              <w:spacing w:after="20"/>
              <w:jc w:val="right"/>
            </w:pPr>
            <w:r>
              <w:rPr>
                <w:b/>
                <w:color w:val="1C3A36"/>
                <w:sz w:val="16"/>
              </w:rPr>
              <w:t>+7%</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0.705 instead of 1.085, cost of capital gliding 6.4% to 6.3%, and 83% of enterprise value from the terminal value. The published index is the yardstick this study adopts; the composite is shown because the gap turns on index weighting rather than on the company (section 1.8). The weighted central on this construction is AED 7.64</w:t>
            </w:r>
          </w:p>
        </w:tc>
        <w:tc>
          <w:tcPr>
            <w:tcW w:type="dxa" w:w="1526"/>
          </w:tcPr>
          <w:p>
            <w:pPr>
              <w:spacing w:after="20"/>
              <w:jc w:val="right"/>
            </w:pPr>
            <w:r>
              <w:rPr>
                <w:color w:val="1C3A36"/>
                <w:sz w:val="16"/>
              </w:rPr>
              <w:t>—</w:t>
            </w:r>
          </w:p>
        </w:tc>
        <w:tc>
          <w:tcPr>
            <w:tcW w:type="dxa" w:w="1181"/>
          </w:tcPr>
          <w:p>
            <w:pPr>
              <w:spacing w:after="20"/>
              <w:jc w:val="right"/>
            </w:pPr>
            <w:r>
              <w:rPr>
                <w:color w:val="1C3A36"/>
                <w:sz w:val="16"/>
              </w:rPr>
              <w:t>8.69</w:t>
            </w:r>
          </w:p>
        </w:tc>
        <w:tc>
          <w:tcPr>
            <w:tcW w:type="dxa" w:w="1210"/>
          </w:tcPr>
          <w:p>
            <w:pPr>
              <w:spacing w:after="20"/>
              <w:jc w:val="right"/>
            </w:pPr>
            <w:r>
              <w:rPr>
                <w:color w:val="1C3A36"/>
                <w:sz w:val="16"/>
              </w:rPr>
              <w:t>+41%</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7.39</w:t>
            </w:r>
          </w:p>
        </w:tc>
        <w:tc>
          <w:tcPr>
            <w:tcW w:type="dxa" w:w="1210"/>
          </w:tcPr>
          <w:p>
            <w:pPr>
              <w:spacing w:after="20"/>
              <w:jc w:val="right"/>
            </w:pPr>
            <w:r>
              <w:rPr>
                <w:color w:val="1C3A36"/>
                <w:sz w:val="16"/>
              </w:rPr>
              <w:t>+20%</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1,254 million, instead of their carrying value of USD 1,979 million (section 1.1)</w:t>
            </w:r>
          </w:p>
        </w:tc>
        <w:tc>
          <w:tcPr>
            <w:tcW w:type="dxa" w:w="1526"/>
          </w:tcPr>
          <w:p>
            <w:pPr>
              <w:spacing w:after="20"/>
              <w:jc w:val="right"/>
            </w:pPr>
            <w:r>
              <w:rPr>
                <w:color w:val="1C3A36"/>
                <w:sz w:val="16"/>
              </w:rPr>
              <w:t>—</w:t>
            </w:r>
          </w:p>
        </w:tc>
        <w:tc>
          <w:tcPr>
            <w:tcW w:type="dxa" w:w="1181"/>
          </w:tcPr>
          <w:p>
            <w:pPr>
              <w:spacing w:after="20"/>
              <w:jc w:val="right"/>
            </w:pPr>
            <w:r>
              <w:rPr>
                <w:color w:val="1C3A36"/>
                <w:sz w:val="16"/>
              </w:rPr>
              <w:t>6.39</w:t>
            </w:r>
          </w:p>
        </w:tc>
        <w:tc>
          <w:tcPr>
            <w:tcW w:type="dxa" w:w="1210"/>
          </w:tcPr>
          <w:p>
            <w:pPr>
              <w:spacing w:after="20"/>
              <w:jc w:val="right"/>
            </w:pPr>
            <w:r>
              <w:rPr>
                <w:color w:val="1C3A36"/>
                <w:sz w:val="16"/>
              </w:rPr>
              <w:t>+4%</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weighted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within the cash-flow lens the two bounds are set by the two ends of the beta's own 90% confidence interval, 1.412 at the bear end and 0.758 at the bull end, so the published span is the span the estimate itself supports rather than a pair of round numbers chosen by hand. The index reading is the largest of the three alternatives: AED 2.66 a share separates the two constructions on the cash-flow lens and AED 1.06 on the weighted central, and both are carried at full size through section 1.1, section 1.8, the comparison in section 4 and the expert panel. Terminal value is 78%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0.22× the 2026E earnings this study forecasts, against the company's own stated medium-term target range of 2.0× to 2.5×</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4,715</w:t>
            </w:r>
          </w:p>
        </w:tc>
        <w:tc>
          <w:tcPr>
            <w:tcW w:type="dxa" w:w="1382"/>
          </w:tcPr>
          <w:p>
            <w:pPr>
              <w:spacing w:after="20"/>
              <w:jc w:val="right"/>
            </w:pPr>
            <w:r>
              <w:rPr>
                <w:color w:val="1C3A36"/>
                <w:sz w:val="16"/>
              </w:rPr>
              <w:t>4,968</w:t>
            </w:r>
          </w:p>
        </w:tc>
        <w:tc>
          <w:tcPr>
            <w:tcW w:type="dxa" w:w="1382"/>
          </w:tcPr>
          <w:p>
            <w:pPr>
              <w:spacing w:after="20"/>
              <w:jc w:val="right"/>
            </w:pPr>
            <w:r>
              <w:rPr>
                <w:color w:val="1C3A36"/>
                <w:sz w:val="16"/>
              </w:rPr>
              <w:t>5,144</w:t>
            </w:r>
          </w:p>
        </w:tc>
        <w:tc>
          <w:tcPr>
            <w:tcW w:type="dxa" w:w="1382"/>
          </w:tcPr>
          <w:p>
            <w:pPr>
              <w:spacing w:after="20"/>
              <w:jc w:val="right"/>
            </w:pPr>
            <w:r>
              <w:rPr>
                <w:color w:val="1C3A36"/>
                <w:sz w:val="16"/>
              </w:rPr>
              <w:t>5,056</w:t>
            </w:r>
          </w:p>
        </w:tc>
        <w:tc>
          <w:tcPr>
            <w:tcW w:type="dxa" w:w="1382"/>
          </w:tcPr>
          <w:p>
            <w:pPr>
              <w:spacing w:after="20"/>
              <w:jc w:val="right"/>
            </w:pPr>
            <w:r>
              <w:rPr>
                <w:color w:val="1C3A36"/>
                <w:sz w:val="16"/>
              </w:rPr>
              <w:t>4,885</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(2,814)</w:t>
            </w:r>
          </w:p>
        </w:tc>
        <w:tc>
          <w:tcPr>
            <w:tcW w:type="dxa" w:w="1382"/>
          </w:tcPr>
          <w:p>
            <w:pPr>
              <w:spacing w:after="20"/>
              <w:jc w:val="right"/>
            </w:pPr>
            <w:r>
              <w:rPr>
                <w:color w:val="1C3A36"/>
                <w:sz w:val="16"/>
              </w:rPr>
              <w:t>(2,932)</w:t>
            </w:r>
          </w:p>
        </w:tc>
        <w:tc>
          <w:tcPr>
            <w:tcW w:type="dxa" w:w="1382"/>
          </w:tcPr>
          <w:p>
            <w:pPr>
              <w:spacing w:after="20"/>
              <w:jc w:val="right"/>
            </w:pPr>
            <w:r>
              <w:rPr>
                <w:color w:val="1C3A36"/>
                <w:sz w:val="16"/>
              </w:rPr>
              <w:t>(3,025)</w:t>
            </w:r>
          </w:p>
        </w:tc>
        <w:tc>
          <w:tcPr>
            <w:tcW w:type="dxa" w:w="1382"/>
          </w:tcPr>
          <w:p>
            <w:pPr>
              <w:spacing w:after="20"/>
              <w:jc w:val="right"/>
            </w:pPr>
            <w:r>
              <w:rPr>
                <w:color w:val="1C3A36"/>
                <w:sz w:val="16"/>
              </w:rPr>
              <w:t>(3,034)</w:t>
            </w:r>
          </w:p>
        </w:tc>
        <w:tc>
          <w:tcPr>
            <w:tcW w:type="dxa" w:w="1382"/>
          </w:tcPr>
          <w:p>
            <w:pPr>
              <w:spacing w:after="20"/>
              <w:jc w:val="right"/>
            </w:pPr>
            <w:r>
              <w:rPr>
                <w:color w:val="1C3A36"/>
                <w:sz w:val="16"/>
              </w:rPr>
              <w:t>(3,020)</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1,900</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2,119</w:t>
            </w:r>
          </w:p>
        </w:tc>
        <w:tc>
          <w:tcPr>
            <w:tcW w:type="dxa" w:w="1382"/>
          </w:tcPr>
          <w:p>
            <w:pPr>
              <w:spacing w:after="20"/>
              <w:jc w:val="right"/>
            </w:pPr>
            <w:r>
              <w:rPr>
                <w:color w:val="1C3A36"/>
                <w:sz w:val="16"/>
              </w:rPr>
              <w:t>2,022</w:t>
            </w:r>
          </w:p>
        </w:tc>
        <w:tc>
          <w:tcPr>
            <w:tcW w:type="dxa" w:w="1382"/>
          </w:tcPr>
          <w:p>
            <w:pPr>
              <w:spacing w:after="20"/>
              <w:jc w:val="right"/>
            </w:pPr>
            <w:r>
              <w:rPr>
                <w:color w:val="1C3A36"/>
                <w:sz w:val="16"/>
              </w:rPr>
              <w:t>1,865</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40.3%</w:t>
            </w:r>
          </w:p>
        </w:tc>
        <w:tc>
          <w:tcPr>
            <w:tcW w:type="dxa" w:w="1382"/>
          </w:tcPr>
          <w:p>
            <w:pPr>
              <w:spacing w:after="20"/>
              <w:jc w:val="right"/>
            </w:pPr>
            <w:r>
              <w:rPr>
                <w:color w:val="1C3A36"/>
                <w:sz w:val="16"/>
              </w:rPr>
              <w:t>41.0%</w:t>
            </w:r>
          </w:p>
        </w:tc>
        <w:tc>
          <w:tcPr>
            <w:tcW w:type="dxa" w:w="1382"/>
          </w:tcPr>
          <w:p>
            <w:pPr>
              <w:spacing w:after="20"/>
              <w:jc w:val="right"/>
            </w:pPr>
            <w:r>
              <w:rPr>
                <w:color w:val="1C3A36"/>
                <w:sz w:val="16"/>
              </w:rPr>
              <w:t>41.2%</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38.2%</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1,362</w:t>
            </w:r>
          </w:p>
        </w:tc>
        <w:tc>
          <w:tcPr>
            <w:tcW w:type="dxa" w:w="1382"/>
          </w:tcPr>
          <w:p>
            <w:pPr>
              <w:spacing w:after="20"/>
              <w:jc w:val="right"/>
            </w:pPr>
            <w:r>
              <w:rPr>
                <w:color w:val="1C3A36"/>
                <w:sz w:val="16"/>
              </w:rPr>
              <w:t>1,446</w:t>
            </w:r>
          </w:p>
        </w:tc>
        <w:tc>
          <w:tcPr>
            <w:tcW w:type="dxa" w:w="1382"/>
          </w:tcPr>
          <w:p>
            <w:pPr>
              <w:spacing w:after="20"/>
              <w:jc w:val="right"/>
            </w:pPr>
            <w:r>
              <w:rPr>
                <w:color w:val="1C3A36"/>
                <w:sz w:val="16"/>
              </w:rPr>
              <w:t>1,483</w:t>
            </w:r>
          </w:p>
        </w:tc>
        <w:tc>
          <w:tcPr>
            <w:tcW w:type="dxa" w:w="1382"/>
          </w:tcPr>
          <w:p>
            <w:pPr>
              <w:spacing w:after="20"/>
              <w:jc w:val="right"/>
            </w:pPr>
            <w:r>
              <w:rPr>
                <w:color w:val="1C3A36"/>
                <w:sz w:val="16"/>
              </w:rPr>
              <w:t>1,358</w:t>
            </w:r>
          </w:p>
        </w:tc>
        <w:tc>
          <w:tcPr>
            <w:tcW w:type="dxa" w:w="1382"/>
          </w:tcPr>
          <w:p>
            <w:pPr>
              <w:spacing w:after="20"/>
              <w:jc w:val="right"/>
            </w:pPr>
            <w:r>
              <w:rPr>
                <w:color w:val="1C3A36"/>
                <w:sz w:val="16"/>
              </w:rPr>
              <w:t>1,191</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3.6%</w:t>
            </w:r>
          </w:p>
        </w:tc>
        <w:tc>
          <w:tcPr>
            <w:tcW w:type="dxa" w:w="1382"/>
          </w:tcPr>
          <w:p>
            <w:pPr>
              <w:spacing w:after="20"/>
              <w:jc w:val="right"/>
            </w:pPr>
            <w:r>
              <w:rPr>
                <w:color w:val="1C3A36"/>
                <w:sz w:val="16"/>
              </w:rPr>
              <w:t>3.8%</w:t>
            </w:r>
          </w:p>
        </w:tc>
        <w:tc>
          <w:tcPr>
            <w:tcW w:type="dxa" w:w="1382"/>
          </w:tcPr>
          <w:p>
            <w:pPr>
              <w:spacing w:after="20"/>
              <w:jc w:val="right"/>
            </w:pPr>
            <w:r>
              <w:rPr>
                <w:color w:val="1C3A36"/>
                <w:sz w:val="16"/>
              </w:rPr>
              <w:t>3.9%</w:t>
            </w:r>
          </w:p>
        </w:tc>
        <w:tc>
          <w:tcPr>
            <w:tcW w:type="dxa" w:w="1382"/>
          </w:tcPr>
          <w:p>
            <w:pPr>
              <w:spacing w:after="20"/>
              <w:jc w:val="right"/>
            </w:pPr>
            <w:r>
              <w:rPr>
                <w:color w:val="1C3A36"/>
                <w:sz w:val="16"/>
              </w:rPr>
              <w:t>4.4%</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1,312</w:t>
            </w:r>
          </w:p>
        </w:tc>
        <w:tc>
          <w:tcPr>
            <w:tcW w:type="dxa" w:w="1382"/>
          </w:tcPr>
          <w:p>
            <w:pPr>
              <w:spacing w:after="20"/>
              <w:jc w:val="right"/>
            </w:pPr>
            <w:r>
              <w:rPr>
                <w:color w:val="1C3A36"/>
                <w:sz w:val="16"/>
              </w:rPr>
              <w:t>1,390</w:t>
            </w:r>
          </w:p>
        </w:tc>
        <w:tc>
          <w:tcPr>
            <w:tcW w:type="dxa" w:w="1382"/>
          </w:tcPr>
          <w:p>
            <w:pPr>
              <w:spacing w:after="20"/>
              <w:jc w:val="right"/>
            </w:pPr>
            <w:r>
              <w:rPr>
                <w:color w:val="1C3A36"/>
                <w:sz w:val="16"/>
              </w:rPr>
              <w:t>1,425</w:t>
            </w:r>
          </w:p>
        </w:tc>
        <w:tc>
          <w:tcPr>
            <w:tcW w:type="dxa" w:w="1382"/>
          </w:tcPr>
          <w:p>
            <w:pPr>
              <w:spacing w:after="20"/>
              <w:jc w:val="right"/>
            </w:pPr>
            <w:r>
              <w:rPr>
                <w:color w:val="1C3A36"/>
                <w:sz w:val="16"/>
              </w:rPr>
              <w:t>1,299</w:t>
            </w:r>
          </w:p>
        </w:tc>
        <w:tc>
          <w:tcPr>
            <w:tcW w:type="dxa" w:w="1382"/>
          </w:tcPr>
          <w:p>
            <w:pPr>
              <w:spacing w:after="20"/>
              <w:jc w:val="right"/>
            </w:pPr>
            <w:r>
              <w:rPr>
                <w:color w:val="1C3A36"/>
                <w:sz w:val="16"/>
              </w:rPr>
              <w:t>1,131</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Less change in working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(22)</w:t>
            </w:r>
          </w:p>
        </w:tc>
        <w:tc>
          <w:tcPr>
            <w:tcW w:type="dxa" w:w="1382"/>
          </w:tcPr>
          <w:p>
            <w:pPr>
              <w:spacing w:after="20"/>
              <w:jc w:val="right"/>
            </w:pPr>
            <w:r>
              <w:rPr>
                <w:color w:val="1C3A36"/>
                <w:sz w:val="16"/>
              </w:rPr>
              <w:t>29</w:t>
            </w:r>
          </w:p>
        </w:tc>
        <w:tc>
          <w:tcPr>
            <w:tcW w:type="dxa" w:w="1382"/>
          </w:tcPr>
          <w:p>
            <w:pPr>
              <w:spacing w:after="20"/>
              <w:jc w:val="right"/>
            </w:pPr>
            <w:r>
              <w:rPr>
                <w:color w:val="1C3A36"/>
                <w:sz w:val="16"/>
              </w:rPr>
              <w:t>46</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329</w:t>
            </w:r>
          </w:p>
        </w:tc>
        <w:tc>
          <w:tcPr>
            <w:tcW w:type="dxa" w:w="1382"/>
            <w:shd w:val="clear" w:color="auto" w:fill="F6F1E6"/>
          </w:tcPr>
          <w:p>
            <w:pPr>
              <w:spacing w:after="20"/>
              <w:jc w:val="right"/>
            </w:pPr>
            <w:r>
              <w:rPr>
                <w:b/>
                <w:color w:val="1C3A36"/>
                <w:sz w:val="16"/>
              </w:rPr>
              <w:t>698</w:t>
            </w:r>
          </w:p>
        </w:tc>
        <w:tc>
          <w:tcPr>
            <w:tcW w:type="dxa" w:w="1382"/>
            <w:shd w:val="clear" w:color="auto" w:fill="F6F1E6"/>
          </w:tcPr>
          <w:p>
            <w:pPr>
              <w:spacing w:after="20"/>
              <w:jc w:val="right"/>
            </w:pPr>
            <w:r>
              <w:rPr>
                <w:b/>
                <w:color w:val="1C3A36"/>
                <w:sz w:val="16"/>
              </w:rPr>
              <w:t>793</w:t>
            </w:r>
          </w:p>
        </w:tc>
        <w:tc>
          <w:tcPr>
            <w:tcW w:type="dxa" w:w="1382"/>
            <w:shd w:val="clear" w:color="auto" w:fill="F6F1E6"/>
          </w:tcPr>
          <w:p>
            <w:pPr>
              <w:spacing w:after="20"/>
              <w:jc w:val="right"/>
            </w:pPr>
            <w:r>
              <w:rPr>
                <w:b/>
                <w:color w:val="1C3A36"/>
                <w:sz w:val="16"/>
              </w:rPr>
              <w:t>1,292</w:t>
            </w:r>
          </w:p>
        </w:tc>
        <w:tc>
          <w:tcPr>
            <w:tcW w:type="dxa" w:w="1382"/>
            <w:shd w:val="clear" w:color="auto" w:fill="F6F1E6"/>
          </w:tcPr>
          <w:p>
            <w:pPr>
              <w:spacing w:after="20"/>
              <w:jc w:val="right"/>
            </w:pPr>
            <w:r>
              <w:rPr>
                <w:b/>
                <w:color w:val="1C3A36"/>
                <w:sz w:val="16"/>
              </w:rPr>
              <w:t>1,201</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199</w:t>
            </w:r>
          </w:p>
        </w:tc>
        <w:tc>
          <w:tcPr>
            <w:tcW w:type="dxa" w:w="1382"/>
          </w:tcPr>
          <w:p>
            <w:pPr>
              <w:spacing w:after="20"/>
              <w:jc w:val="right"/>
            </w:pPr>
            <w:r>
              <w:rPr>
                <w:color w:val="1C3A36"/>
                <w:sz w:val="16"/>
              </w:rPr>
              <w:t>698</w:t>
            </w:r>
          </w:p>
        </w:tc>
        <w:tc>
          <w:tcPr>
            <w:tcW w:type="dxa" w:w="1382"/>
          </w:tcPr>
          <w:p>
            <w:pPr>
              <w:spacing w:after="20"/>
              <w:jc w:val="right"/>
            </w:pPr>
            <w:r>
              <w:rPr>
                <w:color w:val="1C3A36"/>
                <w:sz w:val="16"/>
              </w:rPr>
              <w:t>793</w:t>
            </w:r>
          </w:p>
        </w:tc>
        <w:tc>
          <w:tcPr>
            <w:tcW w:type="dxa" w:w="1382"/>
          </w:tcPr>
          <w:p>
            <w:pPr>
              <w:spacing w:after="20"/>
              <w:jc w:val="right"/>
            </w:pPr>
            <w:r>
              <w:rPr>
                <w:color w:val="1C3A36"/>
                <w:sz w:val="16"/>
              </w:rPr>
              <w:t>1,292</w:t>
            </w:r>
          </w:p>
        </w:tc>
        <w:tc>
          <w:tcPr>
            <w:tcW w:type="dxa" w:w="1382"/>
          </w:tcPr>
          <w:p>
            <w:pPr>
              <w:spacing w:after="20"/>
              <w:jc w:val="right"/>
            </w:pPr>
            <w:r>
              <w:rPr>
                <w:color w:val="1C3A36"/>
                <w:sz w:val="16"/>
              </w:rPr>
              <w:t>1,201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8.34%</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8.03%</w:t>
            </w:r>
          </w:p>
        </w:tc>
        <w:tc>
          <w:tcPr>
            <w:tcW w:type="dxa" w:w="1382"/>
          </w:tcPr>
          <w:p>
            <w:pPr>
              <w:spacing w:after="20"/>
              <w:jc w:val="right"/>
            </w:pPr>
            <w:r>
              <w:rPr>
                <w:color w:val="1C3A36"/>
                <w:sz w:val="16"/>
              </w:rPr>
              <w:t>7.88%</w:t>
            </w:r>
          </w:p>
        </w:tc>
        <w:tc>
          <w:tcPr>
            <w:tcW w:type="dxa" w:w="1382"/>
          </w:tcPr>
          <w:p>
            <w:pPr>
              <w:spacing w:after="20"/>
              <w:jc w:val="right"/>
            </w:pPr>
            <w:r>
              <w:rPr>
                <w:color w:val="1C3A36"/>
                <w:sz w:val="16"/>
              </w:rPr>
              <w:t>7.73%</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0.9417</w:t>
            </w:r>
          </w:p>
        </w:tc>
        <w:tc>
          <w:tcPr>
            <w:tcW w:type="dxa" w:w="1382"/>
          </w:tcPr>
          <w:p>
            <w:pPr>
              <w:spacing w:after="20"/>
              <w:jc w:val="right"/>
            </w:pPr>
            <w:r>
              <w:rPr>
                <w:color w:val="1C3A36"/>
                <w:sz w:val="16"/>
              </w:rPr>
              <w:t>0.8705</w:t>
            </w:r>
          </w:p>
        </w:tc>
        <w:tc>
          <w:tcPr>
            <w:tcW w:type="dxa" w:w="1382"/>
          </w:tcPr>
          <w:p>
            <w:pPr>
              <w:spacing w:after="20"/>
              <w:jc w:val="right"/>
            </w:pPr>
            <w:r>
              <w:rPr>
                <w:color w:val="1C3A36"/>
                <w:sz w:val="16"/>
              </w:rPr>
              <w:t>0.8057</w:t>
            </w:r>
          </w:p>
        </w:tc>
        <w:tc>
          <w:tcPr>
            <w:tcW w:type="dxa" w:w="1382"/>
          </w:tcPr>
          <w:p>
            <w:pPr>
              <w:spacing w:after="20"/>
              <w:jc w:val="right"/>
            </w:pPr>
            <w:r>
              <w:rPr>
                <w:color w:val="1C3A36"/>
                <w:sz w:val="16"/>
              </w:rPr>
              <w:t>0.7469</w:t>
            </w:r>
          </w:p>
        </w:tc>
        <w:tc>
          <w:tcPr>
            <w:tcW w:type="dxa" w:w="1382"/>
          </w:tcPr>
          <w:p>
            <w:pPr>
              <w:spacing w:after="20"/>
              <w:jc w:val="right"/>
            </w:pPr>
            <w:r>
              <w:rPr>
                <w:color w:val="1C3A36"/>
                <w:sz w:val="16"/>
              </w:rPr>
              <w:t>0.6932</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187</w:t>
            </w:r>
          </w:p>
        </w:tc>
        <w:tc>
          <w:tcPr>
            <w:tcW w:type="dxa" w:w="1382"/>
            <w:shd w:val="clear" w:color="auto" w:fill="F6F1E6"/>
          </w:tcPr>
          <w:p>
            <w:pPr>
              <w:spacing w:after="20"/>
              <w:jc w:val="right"/>
            </w:pPr>
            <w:r>
              <w:rPr>
                <w:b/>
                <w:color w:val="1C3A36"/>
                <w:sz w:val="16"/>
              </w:rPr>
              <w:t>608</w:t>
            </w:r>
          </w:p>
        </w:tc>
        <w:tc>
          <w:tcPr>
            <w:tcW w:type="dxa" w:w="1382"/>
            <w:shd w:val="clear" w:color="auto" w:fill="F6F1E6"/>
          </w:tcPr>
          <w:p>
            <w:pPr>
              <w:spacing w:after="20"/>
              <w:jc w:val="right"/>
            </w:pPr>
            <w:r>
              <w:rPr>
                <w:b/>
                <w:color w:val="1C3A36"/>
                <w:sz w:val="16"/>
              </w:rPr>
              <w:t>639</w:t>
            </w:r>
          </w:p>
        </w:tc>
        <w:tc>
          <w:tcPr>
            <w:tcW w:type="dxa" w:w="1382"/>
            <w:shd w:val="clear" w:color="auto" w:fill="F6F1E6"/>
          </w:tcPr>
          <w:p>
            <w:pPr>
              <w:spacing w:after="20"/>
              <w:jc w:val="right"/>
            </w:pPr>
            <w:r>
              <w:rPr>
                <w:b/>
                <w:color w:val="1C3A36"/>
                <w:sz w:val="16"/>
              </w:rPr>
              <w:t>965</w:t>
            </w:r>
          </w:p>
        </w:tc>
        <w:tc>
          <w:tcPr>
            <w:tcW w:type="dxa" w:w="1382"/>
            <w:shd w:val="clear" w:color="auto" w:fill="F6F1E6"/>
          </w:tcPr>
          <w:p>
            <w:pPr>
              <w:spacing w:after="20"/>
              <w:jc w:val="right"/>
            </w:pPr>
            <w:r>
              <w:rPr>
                <w:b/>
                <w:color w:val="1C3A36"/>
                <w:sz w:val="16"/>
              </w:rPr>
              <w:t>833</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3.6% rather than the 9% statutory rate: international shipping income is relieved under UAE law and the shipping units bore about 1% in FY2025. Working capital is carried at the collection, inventory and payment cycle the FY2025 statements actually show.</w:t>
      </w: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3,232</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947</w:t>
            </w:r>
          </w:p>
        </w:tc>
        <w:tc>
          <w:tcPr>
            <w:tcW w:type="dxa" w:w="5040"/>
          </w:tcPr>
          <w:p>
            <w:pPr>
              <w:spacing w:after="20"/>
              <w:jc w:val="left"/>
            </w:pPr>
            <w:r>
              <w:rPr>
                <w:color w:val="1C3A36"/>
                <w:sz w:val="16"/>
              </w:rPr>
              <w:t>2030E net operating profit after tax grown 2% and multiplied by one less the reinvestment rate of 17.9%; that reinvestment rate is forced to equal growth divided by the terminal return on invested capital of 11.2%,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11,453</w:t>
            </w:r>
          </w:p>
        </w:tc>
        <w:tc>
          <w:tcPr>
            <w:tcW w:type="dxa" w:w="5040"/>
          </w:tcPr>
          <w:p>
            <w:pPr>
              <w:spacing w:after="20"/>
              <w:jc w:val="left"/>
            </w:pPr>
            <w:r>
              <w:rPr>
                <w:color w:val="1C3A36"/>
                <w:sz w:val="16"/>
              </w:rPr>
              <w:t>the terminal cash flow capitalised at 7.7% less 2% = USD 16,521 million, discounted at the same year-five factor of 0.6932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14,685</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78.0%</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15,178</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(333)</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0.41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12,145</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1.64</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6.03</w:t>
            </w:r>
          </w:p>
        </w:tc>
        <w:tc>
          <w:tcPr>
            <w:tcW w:type="dxa" w:w="5040"/>
            <w:shd w:val="clear" w:color="auto" w:fill="F6F1E6"/>
          </w:tcPr>
          <w:p>
            <w:pPr>
              <w:spacing w:after="20"/>
              <w:jc w:val="left"/>
            </w:pPr>
            <w:r>
              <w:rPr>
                <w:b/>
                <w:color w:val="1C3A36"/>
                <w:sz w:val="16"/>
              </w:rPr>
              <w:t>against a market price of AED 6.16 (-2%)</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6.39</w:t>
            </w:r>
          </w:p>
        </w:tc>
        <w:tc>
          <w:tcPr>
            <w:tcW w:type="dxa" w:w="5040"/>
            <w:shd w:val="clear" w:color="auto" w:fill="F6F1E6"/>
          </w:tcPr>
          <w:p>
            <w:pPr>
              <w:spacing w:after="20"/>
              <w:jc w:val="left"/>
            </w:pPr>
            <w:r>
              <w:rPr>
                <w:b/>
                <w:color w:val="1C3A36"/>
                <w:sz w:val="16"/>
              </w:rPr>
              <w:t>deducting USD 1,254 million, the coupon capitalised at the terminal cost of capital, instead of the USD 1,979 million carrying value. Worth AED 0.36 a share. The securities are perpetual and non-amortising, so which of the two is right depends on whether the company ever calls them; both are shown</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over its full listed history give a beta of 1.085 — 161 observations, an R-squared of 0.158, a standard error of 0.199 and a 90% interval of [0.76, 1.41].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regression against an equal-weight composite of the same exchange's names and it gives 0.705 instead. That is a large difference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1.085</w:t>
            </w:r>
          </w:p>
        </w:tc>
        <w:tc>
          <w:tcPr>
            <w:tcW w:type="dxa" w:w="2808"/>
          </w:tcPr>
          <w:p>
            <w:pPr>
              <w:spacing w:after="20"/>
              <w:jc w:val="right"/>
            </w:pPr>
            <w:r>
              <w:rPr>
                <w:color w:val="1C3A36"/>
                <w:sz w:val="17"/>
              </w:rPr>
              <w:t>0.705</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9.34%</w:t>
            </w:r>
          </w:p>
        </w:tc>
        <w:tc>
          <w:tcPr>
            <w:tcW w:type="dxa" w:w="2808"/>
          </w:tcPr>
          <w:p>
            <w:pPr>
              <w:spacing w:after="20"/>
              <w:jc w:val="right"/>
            </w:pPr>
            <w:r>
              <w:rPr>
                <w:color w:val="1C3A36"/>
                <w:sz w:val="17"/>
              </w:rPr>
              <w:t>7.49%</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8.49%</w:t>
            </w:r>
          </w:p>
        </w:tc>
        <w:tc>
          <w:tcPr>
            <w:tcW w:type="dxa" w:w="2808"/>
          </w:tcPr>
          <w:p>
            <w:pPr>
              <w:spacing w:after="20"/>
              <w:jc w:val="right"/>
            </w:pPr>
            <w:r>
              <w:rPr>
                <w:color w:val="1C3A36"/>
                <w:sz w:val="17"/>
              </w:rPr>
              <w:t>6.38%</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7.73%</w:t>
            </w:r>
          </w:p>
        </w:tc>
        <w:tc>
          <w:tcPr>
            <w:tcW w:type="dxa" w:w="2808"/>
          </w:tcPr>
          <w:p>
            <w:pPr>
              <w:spacing w:after="20"/>
              <w:jc w:val="right"/>
            </w:pPr>
            <w:r>
              <w:rPr>
                <w:color w:val="1C3A36"/>
                <w:sz w:val="17"/>
              </w:rPr>
              <w:t>6.25%</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3,232</w:t>
            </w:r>
          </w:p>
        </w:tc>
        <w:tc>
          <w:tcPr>
            <w:tcW w:type="dxa" w:w="2808"/>
          </w:tcPr>
          <w:p>
            <w:pPr>
              <w:spacing w:after="20"/>
              <w:jc w:val="right"/>
            </w:pPr>
            <w:r>
              <w:rPr>
                <w:color w:val="1C3A36"/>
                <w:sz w:val="17"/>
              </w:rPr>
              <w:t>3,413</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11,453</w:t>
            </w:r>
          </w:p>
        </w:tc>
        <w:tc>
          <w:tcPr>
            <w:tcW w:type="dxa" w:w="2808"/>
          </w:tcPr>
          <w:p>
            <w:pPr>
              <w:spacing w:after="20"/>
              <w:jc w:val="right"/>
            </w:pPr>
            <w:r>
              <w:rPr>
                <w:color w:val="1C3A36"/>
                <w:sz w:val="17"/>
              </w:rPr>
              <w:t>16,665</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78.0%</w:t>
            </w:r>
          </w:p>
        </w:tc>
        <w:tc>
          <w:tcPr>
            <w:tcW w:type="dxa" w:w="2808"/>
          </w:tcPr>
          <w:p>
            <w:pPr>
              <w:spacing w:after="20"/>
              <w:jc w:val="right"/>
            </w:pPr>
            <w:r>
              <w:rPr>
                <w:color w:val="1C3A36"/>
                <w:sz w:val="17"/>
              </w:rPr>
              <w:t>83.0%</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15,178</w:t>
            </w:r>
          </w:p>
        </w:tc>
        <w:tc>
          <w:tcPr>
            <w:tcW w:type="dxa" w:w="2808"/>
          </w:tcPr>
          <w:p>
            <w:pPr>
              <w:spacing w:after="20"/>
              <w:jc w:val="right"/>
            </w:pPr>
            <w:r>
              <w:rPr>
                <w:color w:val="1C3A36"/>
                <w:sz w:val="17"/>
              </w:rPr>
              <w:t>20,571</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12,145</w:t>
            </w:r>
          </w:p>
        </w:tc>
        <w:tc>
          <w:tcPr>
            <w:tcW w:type="dxa" w:w="2808"/>
          </w:tcPr>
          <w:p>
            <w:pPr>
              <w:spacing w:after="20"/>
              <w:jc w:val="right"/>
            </w:pPr>
            <w:r>
              <w:rPr>
                <w:color w:val="1C3A36"/>
                <w:sz w:val="17"/>
              </w:rPr>
              <w:t>17,502</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6.03</w:t>
            </w:r>
          </w:p>
        </w:tc>
        <w:tc>
          <w:tcPr>
            <w:tcW w:type="dxa" w:w="2808"/>
            <w:shd w:val="clear" w:color="auto" w:fill="F6F1E6"/>
          </w:tcPr>
          <w:p>
            <w:pPr>
              <w:spacing w:after="20"/>
              <w:jc w:val="right"/>
            </w:pPr>
            <w:r>
              <w:rPr>
                <w:b/>
                <w:color w:val="1C3A36"/>
                <w:sz w:val="17"/>
              </w:rPr>
              <w:t>8.69</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-2%</w:t>
            </w:r>
          </w:p>
        </w:tc>
        <w:tc>
          <w:tcPr>
            <w:tcW w:type="dxa" w:w="2808"/>
            <w:shd w:val="clear" w:color="auto" w:fill="F6F1E6"/>
          </w:tcPr>
          <w:p>
            <w:pPr>
              <w:spacing w:after="20"/>
              <w:jc w:val="right"/>
            </w:pPr>
            <w:r>
              <w:rPr>
                <w:b/>
                <w:color w:val="1C3A36"/>
                <w:sz w:val="17"/>
              </w:rPr>
              <w:t>+41%</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2.66 between the two columns is the beta, and most of it lands in the terminal value: a 148 basis point difference in the terminal cost of capital changes the capitalisation factor on a perpetuity by roughly a quarter, which is also why the terminal value falls from 83% of enterprise value to 78%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41% above the market price to 2%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18.2% in 2026E and falls to 11.0% by 2030E as the rate cycle normalises and the capital base grows; across the five years it averages 15.0%. On the wider measure that includes the coupon the five-year average is 17.3%, and the reported history was 14.1%, 15.4% and 16.8%.</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17.3% and growth of 2%, the payout that steady state requires is 88% of earnings. This company pays out 30% to 40% and retains the rest, which compounds its book at about 11.6% a year — above the cost of equity of 9.34%,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533 million of the USD 6,993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18.2%</w:t>
            </w:r>
          </w:p>
        </w:tc>
        <w:tc>
          <w:tcPr>
            <w:tcW w:type="dxa" w:w="1354"/>
          </w:tcPr>
          <w:p>
            <w:pPr>
              <w:spacing w:after="20"/>
              <w:jc w:val="right"/>
            </w:pPr>
            <w:r>
              <w:rPr>
                <w:color w:val="1C3A36"/>
                <w:sz w:val="16"/>
              </w:rPr>
              <w:t>+8.81pp</w:t>
            </w:r>
          </w:p>
        </w:tc>
        <w:tc>
          <w:tcPr>
            <w:tcW w:type="dxa" w:w="1584"/>
          </w:tcPr>
          <w:p>
            <w:pPr>
              <w:spacing w:after="20"/>
              <w:jc w:val="right"/>
            </w:pPr>
            <w:r>
              <w:rPr>
                <w:color w:val="1C3A36"/>
                <w:sz w:val="16"/>
              </w:rPr>
              <w:t>447</w:t>
            </w:r>
          </w:p>
        </w:tc>
        <w:tc>
          <w:tcPr>
            <w:tcW w:type="dxa" w:w="1267"/>
          </w:tcPr>
          <w:p>
            <w:pPr>
              <w:spacing w:after="20"/>
              <w:jc w:val="right"/>
            </w:pPr>
            <w:r>
              <w:rPr>
                <w:color w:val="1C3A36"/>
                <w:sz w:val="16"/>
              </w:rPr>
              <w:t>0.9145</w:t>
            </w:r>
          </w:p>
        </w:tc>
        <w:tc>
          <w:tcPr>
            <w:tcW w:type="dxa" w:w="1584"/>
          </w:tcPr>
          <w:p>
            <w:pPr>
              <w:spacing w:after="20"/>
              <w:jc w:val="right"/>
            </w:pPr>
            <w:r>
              <w:rPr>
                <w:color w:val="1C3A36"/>
                <w:sz w:val="16"/>
              </w:rPr>
              <w:t>409</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5,783</w:t>
            </w:r>
          </w:p>
        </w:tc>
        <w:tc>
          <w:tcPr>
            <w:tcW w:type="dxa" w:w="1152"/>
          </w:tcPr>
          <w:p>
            <w:pPr>
              <w:spacing w:after="20"/>
              <w:jc w:val="right"/>
            </w:pPr>
            <w:r>
              <w:rPr>
                <w:color w:val="1C3A36"/>
                <w:sz w:val="16"/>
              </w:rPr>
              <w:t>17.0%</w:t>
            </w:r>
          </w:p>
        </w:tc>
        <w:tc>
          <w:tcPr>
            <w:tcW w:type="dxa" w:w="1354"/>
          </w:tcPr>
          <w:p>
            <w:pPr>
              <w:spacing w:after="20"/>
              <w:jc w:val="right"/>
            </w:pPr>
            <w:r>
              <w:rPr>
                <w:color w:val="1C3A36"/>
                <w:sz w:val="16"/>
              </w:rPr>
              <w:t>+7.68pp</w:t>
            </w:r>
          </w:p>
        </w:tc>
        <w:tc>
          <w:tcPr>
            <w:tcW w:type="dxa" w:w="1584"/>
          </w:tcPr>
          <w:p>
            <w:pPr>
              <w:spacing w:after="20"/>
              <w:jc w:val="right"/>
            </w:pPr>
            <w:r>
              <w:rPr>
                <w:color w:val="1C3A36"/>
                <w:sz w:val="16"/>
              </w:rPr>
              <w:t>444</w:t>
            </w:r>
          </w:p>
        </w:tc>
        <w:tc>
          <w:tcPr>
            <w:tcW w:type="dxa" w:w="1267"/>
          </w:tcPr>
          <w:p>
            <w:pPr>
              <w:spacing w:after="20"/>
              <w:jc w:val="right"/>
            </w:pPr>
            <w:r>
              <w:rPr>
                <w:color w:val="1C3A36"/>
                <w:sz w:val="16"/>
              </w:rPr>
              <w:t>0.8364</w:t>
            </w:r>
          </w:p>
        </w:tc>
        <w:tc>
          <w:tcPr>
            <w:tcW w:type="dxa" w:w="1584"/>
          </w:tcPr>
          <w:p>
            <w:pPr>
              <w:spacing w:after="20"/>
              <w:jc w:val="right"/>
            </w:pPr>
            <w:r>
              <w:rPr>
                <w:color w:val="1C3A36"/>
                <w:sz w:val="16"/>
              </w:rPr>
              <w:t>371</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6,537</w:t>
            </w:r>
          </w:p>
        </w:tc>
        <w:tc>
          <w:tcPr>
            <w:tcW w:type="dxa" w:w="1152"/>
          </w:tcPr>
          <w:p>
            <w:pPr>
              <w:spacing w:after="20"/>
              <w:jc w:val="right"/>
            </w:pPr>
            <w:r>
              <w:rPr>
                <w:color w:val="1C3A36"/>
                <w:sz w:val="16"/>
              </w:rPr>
              <w:t>15.8%</w:t>
            </w:r>
          </w:p>
        </w:tc>
        <w:tc>
          <w:tcPr>
            <w:tcW w:type="dxa" w:w="1354"/>
          </w:tcPr>
          <w:p>
            <w:pPr>
              <w:spacing w:after="20"/>
              <w:jc w:val="right"/>
            </w:pPr>
            <w:r>
              <w:rPr>
                <w:color w:val="1C3A36"/>
                <w:sz w:val="16"/>
              </w:rPr>
              <w:t>+6.43pp</w:t>
            </w:r>
          </w:p>
        </w:tc>
        <w:tc>
          <w:tcPr>
            <w:tcW w:type="dxa" w:w="1584"/>
          </w:tcPr>
          <w:p>
            <w:pPr>
              <w:spacing w:after="20"/>
              <w:jc w:val="right"/>
            </w:pPr>
            <w:r>
              <w:rPr>
                <w:color w:val="1C3A36"/>
                <w:sz w:val="16"/>
              </w:rPr>
              <w:t>420</w:t>
            </w:r>
          </w:p>
        </w:tc>
        <w:tc>
          <w:tcPr>
            <w:tcW w:type="dxa" w:w="1267"/>
          </w:tcPr>
          <w:p>
            <w:pPr>
              <w:spacing w:after="20"/>
              <w:jc w:val="right"/>
            </w:pPr>
            <w:r>
              <w:rPr>
                <w:color w:val="1C3A36"/>
                <w:sz w:val="16"/>
              </w:rPr>
              <w:t>0.7649</w:t>
            </w:r>
          </w:p>
        </w:tc>
        <w:tc>
          <w:tcPr>
            <w:tcW w:type="dxa" w:w="1584"/>
          </w:tcPr>
          <w:p>
            <w:pPr>
              <w:spacing w:after="20"/>
              <w:jc w:val="right"/>
            </w:pPr>
            <w:r>
              <w:rPr>
                <w:color w:val="1C3A36"/>
                <w:sz w:val="16"/>
              </w:rPr>
              <w:t>321</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7,315</w:t>
            </w:r>
          </w:p>
        </w:tc>
        <w:tc>
          <w:tcPr>
            <w:tcW w:type="dxa" w:w="1152"/>
          </w:tcPr>
          <w:p>
            <w:pPr>
              <w:spacing w:after="20"/>
              <w:jc w:val="right"/>
            </w:pPr>
            <w:r>
              <w:rPr>
                <w:color w:val="1C3A36"/>
                <w:sz w:val="16"/>
              </w:rPr>
              <w:t>13.2%</w:t>
            </w:r>
          </w:p>
        </w:tc>
        <w:tc>
          <w:tcPr>
            <w:tcW w:type="dxa" w:w="1354"/>
          </w:tcPr>
          <w:p>
            <w:pPr>
              <w:spacing w:after="20"/>
              <w:jc w:val="right"/>
            </w:pPr>
            <w:r>
              <w:rPr>
                <w:color w:val="1C3A36"/>
                <w:sz w:val="16"/>
              </w:rPr>
              <w:t>+3.86pp</w:t>
            </w:r>
          </w:p>
        </w:tc>
        <w:tc>
          <w:tcPr>
            <w:tcW w:type="dxa" w:w="1584"/>
          </w:tcPr>
          <w:p>
            <w:pPr>
              <w:spacing w:after="20"/>
              <w:jc w:val="right"/>
            </w:pPr>
            <w:r>
              <w:rPr>
                <w:color w:val="1C3A36"/>
                <w:sz w:val="16"/>
              </w:rPr>
              <w:t>282</w:t>
            </w:r>
          </w:p>
        </w:tc>
        <w:tc>
          <w:tcPr>
            <w:tcW w:type="dxa" w:w="1267"/>
          </w:tcPr>
          <w:p>
            <w:pPr>
              <w:spacing w:after="20"/>
              <w:jc w:val="right"/>
            </w:pPr>
            <w:r>
              <w:rPr>
                <w:color w:val="1C3A36"/>
                <w:sz w:val="16"/>
              </w:rPr>
              <w:t>0.6996</w:t>
            </w:r>
          </w:p>
        </w:tc>
        <w:tc>
          <w:tcPr>
            <w:tcW w:type="dxa" w:w="1584"/>
          </w:tcPr>
          <w:p>
            <w:pPr>
              <w:spacing w:after="20"/>
              <w:jc w:val="right"/>
            </w:pPr>
            <w:r>
              <w:rPr>
                <w:color w:val="1C3A36"/>
                <w:sz w:val="16"/>
              </w:rPr>
              <w:t>197</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7,973</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+1.70pp</w:t>
            </w:r>
          </w:p>
        </w:tc>
        <w:tc>
          <w:tcPr>
            <w:tcW w:type="dxa" w:w="1584"/>
          </w:tcPr>
          <w:p>
            <w:pPr>
              <w:spacing w:after="20"/>
              <w:jc w:val="right"/>
            </w:pPr>
            <w:r>
              <w:rPr>
                <w:color w:val="1C3A36"/>
                <w:sz w:val="16"/>
              </w:rPr>
              <w:t>136</w:t>
            </w:r>
          </w:p>
        </w:tc>
        <w:tc>
          <w:tcPr>
            <w:tcW w:type="dxa" w:w="1267"/>
          </w:tcPr>
          <w:p>
            <w:pPr>
              <w:spacing w:after="20"/>
              <w:jc w:val="right"/>
            </w:pPr>
            <w:r>
              <w:rPr>
                <w:color w:val="1C3A36"/>
                <w:sz w:val="16"/>
              </w:rPr>
              <w:t>0.6398</w:t>
            </w:r>
          </w:p>
        </w:tc>
        <w:tc>
          <w:tcPr>
            <w:tcW w:type="dxa" w:w="1584"/>
          </w:tcPr>
          <w:p>
            <w:pPr>
              <w:spacing w:after="20"/>
              <w:jc w:val="right"/>
            </w:pPr>
            <w:r>
              <w:rPr>
                <w:color w:val="1C3A36"/>
                <w:sz w:val="16"/>
              </w:rPr>
              <w:t>87</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1,386</w:t>
            </w:r>
          </w:p>
        </w:tc>
      </w:tr>
    </w:tbl>
    <w:p>
      <w:pPr>
        <w:spacing w:after="40"/>
      </w:pPr>
    </w:p>
    <w:p>
      <w:pPr>
        <w:spacing w:after="200" w:before="0"/>
      </w:pPr>
      <w:r>
        <w:rPr>
          <w:b w:val="0"/>
          <w:i/>
          <w:color w:val="6E7B77"/>
          <w:sz w:val="17"/>
        </w:rPr>
        <w:t>Residual income is what the ordinary shareholder earns above the 9.34%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1,386</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533</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6,993</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1.38×</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3.47</w:t>
            </w:r>
          </w:p>
        </w:tc>
      </w:tr>
      <w:tr>
        <w:trPr>
          <w:cantSplit/>
        </w:trPr>
        <w:tc>
          <w:tcPr>
            <w:tcW w:type="dxa" w:w="7056"/>
          </w:tcPr>
          <w:p>
            <w:pPr>
              <w:spacing w:after="20"/>
            </w:pPr>
            <w:r>
              <w:rPr>
                <w:color w:val="1C3A36"/>
                <w:sz w:val="17"/>
              </w:rPr>
              <w:t>Range — bear at the top of the beta's 90% interval (1.412, cost of equity 10.94%) and a return one seventh lower; bull at the bottom of it (0.758, 7.75%) and a return one seventh higher</w:t>
            </w:r>
          </w:p>
        </w:tc>
        <w:tc>
          <w:tcPr>
            <w:tcW w:type="dxa" w:w="3024"/>
          </w:tcPr>
          <w:p>
            <w:pPr>
              <w:spacing w:after="20"/>
              <w:jc w:val="right"/>
            </w:pPr>
            <w:r>
              <w:rPr>
                <w:color w:val="1C3A36"/>
                <w:sz w:val="17"/>
              </w:rPr>
              <w:t>2.53 – 4.63</w:t>
            </w:r>
          </w:p>
        </w:tc>
      </w:tr>
      <w:tr>
        <w:trPr>
          <w:cantSplit/>
        </w:trPr>
        <w:tc>
          <w:tcPr>
            <w:tcW w:type="dxa" w:w="7056"/>
          </w:tcPr>
          <w:p>
            <w:pPr>
              <w:spacing w:after="20"/>
            </w:pPr>
            <w:r>
              <w:rPr>
                <w:color w:val="1C3A36"/>
                <w:sz w:val="17"/>
              </w:rPr>
              <w:t>Memorandum — the price the market pays for that book today</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w:t>
            </w:r>
          </w:p>
        </w:tc>
      </w:tr>
    </w:tbl>
    <w:p>
      <w:pPr>
        <w:spacing w:after="40"/>
      </w:pPr>
    </w:p>
    <w:p>
      <w:pPr>
        <w:spacing w:after="120" w:before="0"/>
      </w:pPr>
      <w:r>
        <w:rPr>
          <w:b w:val="0"/>
          <w:i w:val="0"/>
          <w:color w:val="1C3A36"/>
          <w:sz w:val="21"/>
        </w:rPr>
        <w:t>The bounds move with the beta and with the return together: the bear bound of AED 2.53 takes a cost of equity of 10.94%, built on the upper end 1.412 of the beta's own 90% confidence interval, together with a return one seventh lower; the bull bound of AED 4.63 takes 7.75% on the lower end 0.758 of the same interval with a return one seventh higher. Both ends are drawn from the estimate's own statistical uncertainty rather than from round numbers chosen by hand. The lens carries the lowest weight of the four, at 15%, because it inherits the same cost of equity as the cash-flow model rather than testing it independently,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1,386</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533</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6,993</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1.38×</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3.47</w:t>
            </w:r>
          </w:p>
        </w:tc>
      </w:tr>
      <w:tr>
        <w:trPr>
          <w:cantSplit/>
        </w:trPr>
        <w:tc>
          <w:tcPr>
            <w:tcW w:type="dxa" w:w="7056"/>
          </w:tcPr>
          <w:p>
            <w:pPr>
              <w:spacing w:after="20"/>
            </w:pPr>
            <w:r>
              <w:rPr>
                <w:color w:val="1C3A36"/>
                <w:sz w:val="17"/>
              </w:rPr>
              <w:t>Range — bear at the top of the beta's 90% interval (1.412, cost of equity 10.94%) and a return one seventh lower; bull at the bottom of it (0.758, 7.75%) and a return one seventh higher</w:t>
            </w:r>
          </w:p>
        </w:tc>
        <w:tc>
          <w:tcPr>
            <w:tcW w:type="dxa" w:w="3024"/>
          </w:tcPr>
          <w:p>
            <w:pPr>
              <w:spacing w:after="20"/>
              <w:jc w:val="right"/>
            </w:pPr>
            <w:r>
              <w:rPr>
                <w:color w:val="1C3A36"/>
                <w:sz w:val="17"/>
              </w:rPr>
              <w:t>2.53 – 4.63</w:t>
            </w:r>
          </w:p>
        </w:tc>
      </w:tr>
      <w:tr>
        <w:trPr>
          <w:cantSplit/>
        </w:trPr>
        <w:tc>
          <w:tcPr>
            <w:tcW w:type="dxa" w:w="7056"/>
          </w:tcPr>
          <w:p>
            <w:pPr>
              <w:spacing w:after="20"/>
            </w:pPr>
            <w:r>
              <w:rPr>
                <w:color w:val="1C3A36"/>
                <w:sz w:val="17"/>
              </w:rPr>
              <w:t>Memorandum — the price the market pays for that book today</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w:t>
            </w:r>
          </w:p>
        </w:tc>
      </w:tr>
    </w:tbl>
    <w:p>
      <w:pPr>
        <w:spacing w:after="40"/>
      </w:pP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325"/>
        <w:gridCol w:w="2477"/>
        <w:gridCol w:w="1843"/>
        <w:gridCol w:w="1210"/>
        <w:gridCol w:w="893"/>
      </w:tblGrid>
      <w:tr>
        <w:trPr>
          <w:cantSplit/>
          <w:tblHeader/>
        </w:trPr>
        <w:tc>
          <w:tcPr>
            <w:tcW w:type="dxa" w:w="2333"/>
            <w:shd w:val="clear" w:color="auto" w:fill="EAF0EE"/>
          </w:tcPr>
          <w:p>
            <w:pPr>
              <w:spacing w:after="20"/>
            </w:pPr>
            <w:r>
              <w:rPr>
                <w:b/>
                <w:color w:val="1C3A36"/>
                <w:sz w:val="16"/>
              </w:rPr>
              <w:t>Company</w:t>
            </w:r>
          </w:p>
        </w:tc>
        <w:tc>
          <w:tcPr>
            <w:tcW w:type="dxa" w:w="1325"/>
            <w:shd w:val="clear" w:color="auto" w:fill="EAF0EE"/>
          </w:tcPr>
          <w:p>
            <w:pPr>
              <w:spacing w:after="20"/>
              <w:jc w:val="left"/>
            </w:pPr>
            <w:r>
              <w:rPr>
                <w:b/>
                <w:color w:val="1C3A36"/>
                <w:sz w:val="16"/>
              </w:rPr>
              <w:t>Market</w:t>
            </w:r>
          </w:p>
        </w:tc>
        <w:tc>
          <w:tcPr>
            <w:tcW w:type="dxa" w:w="2477"/>
            <w:shd w:val="clear" w:color="auto" w:fill="EAF0EE"/>
          </w:tcPr>
          <w:p>
            <w:pPr>
              <w:spacing w:after="20"/>
              <w:jc w:val="left"/>
            </w:pPr>
            <w:r>
              <w:rPr>
                <w:b/>
                <w:color w:val="1C3A36"/>
                <w:sz w:val="16"/>
              </w:rPr>
              <w:t>Business model</w:t>
            </w:r>
          </w:p>
        </w:tc>
        <w:tc>
          <w:tcPr>
            <w:tcW w:type="dxa" w:w="1843"/>
            <w:shd w:val="clear" w:color="auto" w:fill="EAF0EE"/>
          </w:tcPr>
          <w:p>
            <w:pPr>
              <w:spacing w:after="20"/>
            </w:pPr>
            <w:r>
              <w:rPr>
                <w:b/>
                <w:color w:val="1C3A36"/>
                <w:sz w:val="16"/>
              </w:rPr>
              <w:t>EV / earnings</w:t>
            </w:r>
          </w:p>
        </w:tc>
        <w:tc>
          <w:tcPr>
            <w:tcW w:type="dxa" w:w="1210"/>
            <w:shd w:val="clear" w:color="auto" w:fill="EAF0EE"/>
          </w:tcPr>
          <w:p>
            <w:pPr>
              <w:spacing w:after="20"/>
            </w:pPr>
            <w:r>
              <w:rPr>
                <w:b/>
                <w:color w:val="1C3A36"/>
                <w:sz w:val="16"/>
              </w:rPr>
              <w:t>Price / earnings</w:t>
            </w:r>
          </w:p>
        </w:tc>
        <w:tc>
          <w:tcPr>
            <w:tcW w:type="dxa" w:w="893"/>
            <w:shd w:val="clear" w:color="auto" w:fill="EAF0EE"/>
          </w:tcPr>
          <w:p>
            <w:pPr>
              <w:spacing w:after="20"/>
            </w:pPr>
            <w:r>
              <w:rPr>
                <w:b/>
                <w:color w:val="1C3A36"/>
                <w:sz w:val="16"/>
              </w:rPr>
              <w:t>Price / book</w:t>
            </w:r>
          </w:p>
        </w:tc>
      </w:tr>
      <w:tr>
        <w:trPr>
          <w:cantSplit/>
        </w:trPr>
        <w:tc>
          <w:tcPr>
            <w:tcW w:type="dxa" w:w="2333"/>
          </w:tcPr>
          <w:p>
            <w:pPr>
              <w:spacing w:after="20"/>
            </w:pPr>
            <w:r>
              <w:rPr>
                <w:color w:val="1C3A36"/>
                <w:sz w:val="16"/>
              </w:rPr>
              <w:t>Qatar Gas Transport (Nakilat)</w:t>
            </w:r>
          </w:p>
        </w:tc>
        <w:tc>
          <w:tcPr>
            <w:tcW w:type="dxa" w:w="1325"/>
          </w:tcPr>
          <w:p>
            <w:pPr>
              <w:spacing w:after="20"/>
              <w:jc w:val="left"/>
            </w:pPr>
            <w:r>
              <w:rPr>
                <w:color w:val="1C3A36"/>
                <w:sz w:val="16"/>
              </w:rPr>
              <w:t>Qatar</w:t>
            </w:r>
          </w:p>
        </w:tc>
        <w:tc>
          <w:tcPr>
            <w:tcW w:type="dxa" w:w="2477"/>
          </w:tcPr>
          <w:p>
            <w:pPr>
              <w:spacing w:after="20"/>
              <w:jc w:val="left"/>
            </w:pPr>
            <w:r>
              <w:rPr>
                <w:color w:val="1C3A36"/>
                <w:sz w:val="16"/>
              </w:rPr>
              <w:t>long-term contracted gas shipping</w:t>
            </w:r>
          </w:p>
        </w:tc>
        <w:tc>
          <w:tcPr>
            <w:tcW w:type="dxa" w:w="1843"/>
          </w:tcPr>
          <w:p>
            <w:pPr>
              <w:spacing w:after="20"/>
              <w:jc w:val="right"/>
            </w:pPr>
            <w:r>
              <w:rPr>
                <w:color w:val="1C3A36"/>
                <w:sz w:val="16"/>
              </w:rPr>
              <w:t>12.26×</w:t>
            </w:r>
          </w:p>
        </w:tc>
        <w:tc>
          <w:tcPr>
            <w:tcW w:type="dxa" w:w="1210"/>
          </w:tcPr>
          <w:p>
            <w:pPr>
              <w:spacing w:after="20"/>
              <w:jc w:val="right"/>
            </w:pPr>
            <w:r>
              <w:rPr>
                <w:color w:val="1C3A36"/>
                <w:sz w:val="16"/>
              </w:rPr>
              <w:t>13.97×</w:t>
            </w:r>
          </w:p>
        </w:tc>
        <w:tc>
          <w:tcPr>
            <w:tcW w:type="dxa" w:w="893"/>
          </w:tcPr>
          <w:p>
            <w:pPr>
              <w:spacing w:after="20"/>
              <w:jc w:val="right"/>
            </w:pPr>
            <w:r>
              <w:rPr>
                <w:color w:val="1C3A36"/>
                <w:sz w:val="16"/>
              </w:rPr>
              <w:t>1.65×</w:t>
            </w:r>
          </w:p>
        </w:tc>
      </w:tr>
      <w:tr>
        <w:trPr>
          <w:cantSplit/>
        </w:trPr>
        <w:tc>
          <w:tcPr>
            <w:tcW w:type="dxa" w:w="2333"/>
          </w:tcPr>
          <w:p>
            <w:pPr>
              <w:spacing w:after="20"/>
            </w:pPr>
            <w:r>
              <w:rPr>
                <w:color w:val="1C3A36"/>
                <w:sz w:val="16"/>
              </w:rPr>
              <w:t>Frontline plc</w:t>
            </w:r>
          </w:p>
        </w:tc>
        <w:tc>
          <w:tcPr>
            <w:tcW w:type="dxa" w:w="1325"/>
          </w:tcPr>
          <w:p>
            <w:pPr>
              <w:spacing w:after="20"/>
              <w:jc w:val="left"/>
            </w:pPr>
            <w:r>
              <w:rPr>
                <w:color w:val="1C3A36"/>
                <w:sz w:val="16"/>
              </w:rPr>
              <w:t>Oslo / New York</w:t>
            </w:r>
          </w:p>
        </w:tc>
        <w:tc>
          <w:tcPr>
            <w:tcW w:type="dxa" w:w="2477"/>
          </w:tcPr>
          <w:p>
            <w:pPr>
              <w:spacing w:after="20"/>
              <w:jc w:val="left"/>
            </w:pPr>
            <w:r>
              <w:rPr>
                <w:color w:val="1C3A36"/>
                <w:sz w:val="16"/>
              </w:rPr>
              <w:t>spot crude tankers</w:t>
            </w:r>
          </w:p>
        </w:tc>
        <w:tc>
          <w:tcPr>
            <w:tcW w:type="dxa" w:w="1843"/>
          </w:tcPr>
          <w:p>
            <w:pPr>
              <w:spacing w:after="20"/>
              <w:jc w:val="right"/>
            </w:pPr>
            <w:r>
              <w:rPr>
                <w:color w:val="1C3A36"/>
                <w:sz w:val="16"/>
              </w:rPr>
              <w:t>8.96×</w:t>
            </w:r>
          </w:p>
        </w:tc>
        <w:tc>
          <w:tcPr>
            <w:tcW w:type="dxa" w:w="1210"/>
          </w:tcPr>
          <w:p>
            <w:pPr>
              <w:spacing w:after="20"/>
              <w:jc w:val="right"/>
            </w:pPr>
            <w:r>
              <w:rPr>
                <w:color w:val="1C3A36"/>
                <w:sz w:val="16"/>
              </w:rPr>
              <w:t>6.44×</w:t>
            </w:r>
          </w:p>
        </w:tc>
        <w:tc>
          <w:tcPr>
            <w:tcW w:type="dxa" w:w="893"/>
          </w:tcPr>
          <w:p>
            <w:pPr>
              <w:spacing w:after="20"/>
              <w:jc w:val="right"/>
            </w:pPr>
            <w:r>
              <w:rPr>
                <w:color w:val="1C3A36"/>
                <w:sz w:val="16"/>
              </w:rPr>
              <w:t>—</w:t>
            </w:r>
          </w:p>
        </w:tc>
      </w:tr>
      <w:tr>
        <w:trPr>
          <w:cantSplit/>
        </w:trPr>
        <w:tc>
          <w:tcPr>
            <w:tcW w:type="dxa" w:w="2333"/>
          </w:tcPr>
          <w:p>
            <w:pPr>
              <w:spacing w:after="20"/>
            </w:pPr>
            <w:r>
              <w:rPr>
                <w:color w:val="1C3A36"/>
                <w:sz w:val="16"/>
              </w:rPr>
              <w:t>International Seaways</w:t>
            </w:r>
          </w:p>
        </w:tc>
        <w:tc>
          <w:tcPr>
            <w:tcW w:type="dxa" w:w="1325"/>
          </w:tcPr>
          <w:p>
            <w:pPr>
              <w:spacing w:after="20"/>
              <w:jc w:val="left"/>
            </w:pPr>
            <w:r>
              <w:rPr>
                <w:color w:val="1C3A36"/>
                <w:sz w:val="16"/>
              </w:rPr>
              <w:t>New York</w:t>
            </w:r>
          </w:p>
        </w:tc>
        <w:tc>
          <w:tcPr>
            <w:tcW w:type="dxa" w:w="2477"/>
          </w:tcPr>
          <w:p>
            <w:pPr>
              <w:spacing w:after="20"/>
              <w:jc w:val="left"/>
            </w:pPr>
            <w:r>
              <w:rPr>
                <w:color w:val="1C3A36"/>
                <w:sz w:val="16"/>
              </w:rPr>
              <w:t>spot crude and product tankers</w:t>
            </w:r>
          </w:p>
        </w:tc>
        <w:tc>
          <w:tcPr>
            <w:tcW w:type="dxa" w:w="1843"/>
          </w:tcPr>
          <w:p>
            <w:pPr>
              <w:spacing w:after="20"/>
              <w:jc w:val="right"/>
            </w:pPr>
            <w:r>
              <w:rPr>
                <w:color w:val="1C3A36"/>
                <w:sz w:val="16"/>
              </w:rPr>
              <w:t>8.10×</w:t>
            </w:r>
          </w:p>
        </w:tc>
        <w:tc>
          <w:tcPr>
            <w:tcW w:type="dxa" w:w="1210"/>
          </w:tcPr>
          <w:p>
            <w:pPr>
              <w:spacing w:after="20"/>
              <w:jc w:val="right"/>
            </w:pPr>
            <w:r>
              <w:rPr>
                <w:color w:val="1C3A36"/>
                <w:sz w:val="16"/>
              </w:rPr>
              <w:t>—</w:t>
            </w:r>
          </w:p>
        </w:tc>
        <w:tc>
          <w:tcPr>
            <w:tcW w:type="dxa" w:w="893"/>
          </w:tcPr>
          <w:p>
            <w:pPr>
              <w:spacing w:after="20"/>
              <w:jc w:val="right"/>
            </w:pPr>
            <w:r>
              <w:rPr>
                <w:color w:val="1C3A36"/>
                <w:sz w:val="16"/>
              </w:rPr>
              <w:t>—</w:t>
            </w:r>
          </w:p>
        </w:tc>
      </w:tr>
      <w:tr>
        <w:trPr>
          <w:cantSplit/>
        </w:trPr>
        <w:tc>
          <w:tcPr>
            <w:tcW w:type="dxa" w:w="2333"/>
            <w:shd w:val="clear" w:color="auto" w:fill="F6F1E6"/>
          </w:tcPr>
          <w:p>
            <w:pPr>
              <w:spacing w:after="20"/>
            </w:pPr>
            <w:r>
              <w:rPr>
                <w:b/>
                <w:color w:val="1C3A36"/>
                <w:sz w:val="16"/>
              </w:rPr>
              <w:t>ADNOC Logistics &amp; Services</w:t>
            </w:r>
          </w:p>
        </w:tc>
        <w:tc>
          <w:tcPr>
            <w:tcW w:type="dxa" w:w="1325"/>
            <w:shd w:val="clear" w:color="auto" w:fill="F6F1E6"/>
          </w:tcPr>
          <w:p>
            <w:pPr>
              <w:spacing w:after="20"/>
              <w:jc w:val="left"/>
            </w:pPr>
            <w:r>
              <w:rPr>
                <w:b/>
                <w:color w:val="1C3A36"/>
                <w:sz w:val="16"/>
              </w:rPr>
              <w:t>Abu Dhabi Exchange</w:t>
            </w:r>
          </w:p>
        </w:tc>
        <w:tc>
          <w:tcPr>
            <w:tcW w:type="dxa" w:w="2477"/>
            <w:shd w:val="clear" w:color="auto" w:fill="F6F1E6"/>
          </w:tcPr>
          <w:p>
            <w:pPr>
              <w:spacing w:after="20"/>
              <w:jc w:val="left"/>
            </w:pPr>
            <w:r>
              <w:rPr>
                <w:b/>
                <w:color w:val="1C3A36"/>
                <w:sz w:val="16"/>
              </w:rPr>
              <w:t>half contracted logistics, half merchant fleet</w:t>
            </w:r>
          </w:p>
        </w:tc>
        <w:tc>
          <w:tcPr>
            <w:tcW w:type="dxa" w:w="1843"/>
            <w:shd w:val="clear" w:color="auto" w:fill="F6F1E6"/>
          </w:tcPr>
          <w:p>
            <w:pPr>
              <w:spacing w:after="20"/>
              <w:jc w:val="right"/>
            </w:pPr>
            <w:r>
              <w:rPr>
                <w:b/>
                <w:color w:val="1C3A36"/>
                <w:sz w:val="16"/>
              </w:rPr>
              <w:t>8.67× trailing / 6.91× on 2026E</w:t>
            </w:r>
          </w:p>
        </w:tc>
        <w:tc>
          <w:tcPr>
            <w:tcW w:type="dxa" w:w="1210"/>
            <w:shd w:val="clear" w:color="auto" w:fill="F6F1E6"/>
          </w:tcPr>
          <w:p>
            <w:pPr>
              <w:spacing w:after="20"/>
              <w:jc w:val="right"/>
            </w:pPr>
            <w:r>
              <w:rPr>
                <w:b/>
                <w:color w:val="1C3A36"/>
                <w:sz w:val="16"/>
              </w:rPr>
              <w:t>15.97×</w:t>
            </w:r>
          </w:p>
        </w:tc>
        <w:tc>
          <w:tcPr>
            <w:tcW w:type="dxa" w:w="893"/>
            <w:shd w:val="clear" w:color="auto" w:fill="F6F1E6"/>
          </w:tcPr>
          <w:p>
            <w:pPr>
              <w:spacing w:after="20"/>
              <w:jc w:val="right"/>
            </w:pPr>
            <w:r>
              <w:rPr>
                <w:b/>
                <w:color w:val="1C3A36"/>
                <w:sz w:val="16"/>
              </w:rPr>
              <w:t>1.76×</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Peer figures are as published on the dates recorded in this study's source register, and the company's own trailing multiple uses the operating earnings definition used throughout, not the company's own wider reported one. The company's own multiple in the last column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8.09× rather than 6.91×.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13,131</w:t>
            </w:r>
          </w:p>
        </w:tc>
        <w:tc>
          <w:tcPr>
            <w:tcW w:type="dxa" w:w="1368"/>
          </w:tcPr>
          <w:p>
            <w:pPr>
              <w:spacing w:after="20"/>
              <w:jc w:val="right"/>
            </w:pPr>
            <w:r>
              <w:rPr>
                <w:color w:val="1C3A36"/>
                <w:sz w:val="16"/>
              </w:rPr>
              <w:t>6.91×</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15,382</w:t>
            </w:r>
          </w:p>
        </w:tc>
        <w:tc>
          <w:tcPr>
            <w:tcW w:type="dxa" w:w="1368"/>
          </w:tcPr>
          <w:p>
            <w:pPr>
              <w:spacing w:after="20"/>
              <w:jc w:val="right"/>
            </w:pPr>
            <w:r>
              <w:rPr>
                <w:color w:val="1C3A36"/>
                <w:sz w:val="16"/>
              </w:rPr>
              <w:t>8.09×</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+1.18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1,900 million</w:t>
            </w:r>
          </w:p>
        </w:tc>
      </w:tr>
      <w:tr>
        <w:trPr>
          <w:cantSplit/>
        </w:trPr>
        <w:tc>
          <w:tcPr>
            <w:tcW w:type="dxa" w:w="3312"/>
          </w:tcPr>
          <w:p>
            <w:pPr>
              <w:spacing w:after="20"/>
            </w:pPr>
            <w:r>
              <w:rPr>
                <w:color w:val="1C3A36"/>
                <w:sz w:val="16"/>
              </w:rPr>
              <w:t>Blended price-to-earnings multiple</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applied to 2026E attributable profit after the perpetual coupon of USD 1,050 million</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9.19</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6.06</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8.25</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6.78 – 10.28</w:t>
            </w:r>
          </w:p>
        </w:tc>
        <w:tc>
          <w:tcPr>
            <w:tcW w:type="dxa" w:w="5328"/>
          </w:tcPr>
          <w:p>
            <w:pPr>
              <w:spacing w:after="20"/>
              <w:jc w:val="left"/>
            </w:pPr>
            <w:r>
              <w:rPr>
                <w:color w:val="1C3A36"/>
                <w:sz w:val="16"/>
              </w:rPr>
              <w:t>the whole group at the spot multiple, and the whole group at the contracted multiple — the two corners the blend sits between</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1,177</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13,071</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670</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1,900</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21,935</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(721)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19,456</w:t>
            </w:r>
          </w:p>
        </w:tc>
        <w:tc>
          <w:tcPr>
            <w:tcW w:type="dxa" w:w="3456"/>
            <w:shd w:val="clear" w:color="auto" w:fill="F6F1E6"/>
          </w:tcPr>
          <w:p>
            <w:pPr>
              <w:spacing w:after="20"/>
              <w:jc w:val="left"/>
            </w:pPr>
            <w:r>
              <w:rPr>
                <w:b/>
                <w:color w:val="1C3A36"/>
                <w:sz w:val="16"/>
              </w:rPr>
              <w:t>AED 9.66 a share, 57% above the market price</w:t>
            </w:r>
          </w:p>
        </w:tc>
      </w:tr>
    </w:tbl>
    <w:p>
      <w:pPr>
        <w:spacing w:after="40"/>
      </w:pPr>
    </w:p>
    <w:p>
      <w:pPr>
        <w:spacing w:after="200" w:before="0"/>
      </w:pPr>
      <w:r>
        <w:rPr>
          <w:b w:val="0"/>
          <w:i/>
          <w:color w:val="6E7B77"/>
          <w:sz w:val="17"/>
        </w:rPr>
        <w:t>The sum of the parts lands at AED 9.66 against the blended relative lens at AED 8.25,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1,989 million and attributable profit after the perpetual coupon of USD 1,061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1,989</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1,900</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1,061</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0.1435</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9.68</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6.13</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7.90</w:t>
            </w:r>
          </w:p>
        </w:tc>
      </w:tr>
      <w:tr>
        <w:trPr>
          <w:cantSplit/>
        </w:trPr>
        <w:tc>
          <w:tcPr>
            <w:tcW w:type="dxa" w:w="7056"/>
            <w:shd w:val="clear" w:color="auto" w:fill="F6F1E6"/>
          </w:tcPr>
          <w:p>
            <w:pPr>
              <w:spacing w:after="20"/>
            </w:pPr>
            <w:r>
              <w:rPr>
                <w:b/>
                <w:color w:val="1C3A36"/>
                <w:sz w:val="17"/>
              </w:rPr>
              <w:t>Range — the whole group at the spot multiple, and at the contracted multiple</w:t>
            </w:r>
          </w:p>
        </w:tc>
        <w:tc>
          <w:tcPr>
            <w:tcW w:type="dxa" w:w="3024"/>
            <w:shd w:val="clear" w:color="auto" w:fill="F6F1E6"/>
          </w:tcPr>
          <w:p>
            <w:pPr>
              <w:spacing w:after="20"/>
              <w:jc w:val="right"/>
            </w:pPr>
            <w:r>
              <w:rPr>
                <w:b/>
                <w:color w:val="1C3A36"/>
                <w:sz w:val="17"/>
              </w:rPr>
              <w:t>7.15 – 10.81</w:t>
            </w:r>
          </w:p>
        </w:tc>
      </w:tr>
    </w:tbl>
    <w:p>
      <w:pPr>
        <w:spacing w:after="40"/>
      </w:pPr>
    </w:p>
    <w:p>
      <w:pPr>
        <w:spacing w:after="200" w:before="0"/>
      </w:pPr>
      <w:r>
        <w:rPr>
          <w:b w:val="0"/>
          <w:i/>
          <w:color w:val="6E7B77"/>
          <w:sz w:val="17"/>
        </w:rPr>
        <w:t>The two constructions disagree by a wide margin — AED 9.68 against AED 6.13 — and the gap is depreciation and the perpetual coupon. This is a young fleet: depreciation runs at about 28.3% of earnings before interest, tax, depreciation and amortisation across the forecast, so an enterprise measure and an after-tax earnings measure will never agree on a company like this. Averaging them is a deliberate refusal to pick, and the lens carries 20% weight accordingly.</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3.84</w:t>
            </w:r>
          </w:p>
        </w:tc>
        <w:tc>
          <w:tcPr>
            <w:tcW w:type="dxa" w:w="1238"/>
          </w:tcPr>
          <w:p>
            <w:pPr>
              <w:spacing w:after="20"/>
              <w:jc w:val="right"/>
            </w:pPr>
            <w:r>
              <w:rPr>
                <w:color w:val="1C3A36"/>
                <w:sz w:val="17"/>
              </w:rPr>
              <w:t>6.03</w:t>
            </w:r>
          </w:p>
        </w:tc>
        <w:tc>
          <w:tcPr>
            <w:tcW w:type="dxa" w:w="1238"/>
          </w:tcPr>
          <w:p>
            <w:pPr>
              <w:spacing w:after="20"/>
              <w:jc w:val="right"/>
            </w:pPr>
            <w:r>
              <w:rPr>
                <w:color w:val="1C3A36"/>
                <w:sz w:val="17"/>
              </w:rPr>
              <w:t>9.38</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2.41</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6.78</w:t>
            </w:r>
          </w:p>
        </w:tc>
        <w:tc>
          <w:tcPr>
            <w:tcW w:type="dxa" w:w="1238"/>
          </w:tcPr>
          <w:p>
            <w:pPr>
              <w:spacing w:after="20"/>
              <w:jc w:val="right"/>
            </w:pPr>
            <w:r>
              <w:rPr>
                <w:color w:val="1C3A36"/>
                <w:sz w:val="17"/>
              </w:rPr>
              <w:t>8.25</w:t>
            </w:r>
          </w:p>
        </w:tc>
        <w:tc>
          <w:tcPr>
            <w:tcW w:type="dxa" w:w="1238"/>
          </w:tcPr>
          <w:p>
            <w:pPr>
              <w:spacing w:after="20"/>
              <w:jc w:val="right"/>
            </w:pPr>
            <w:r>
              <w:rPr>
                <w:color w:val="1C3A36"/>
                <w:sz w:val="17"/>
              </w:rPr>
              <w:t>10.28</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2.06</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7.15</w:t>
            </w:r>
          </w:p>
        </w:tc>
        <w:tc>
          <w:tcPr>
            <w:tcW w:type="dxa" w:w="1238"/>
          </w:tcPr>
          <w:p>
            <w:pPr>
              <w:spacing w:after="20"/>
              <w:jc w:val="right"/>
            </w:pPr>
            <w:r>
              <w:rPr>
                <w:color w:val="1C3A36"/>
                <w:sz w:val="17"/>
              </w:rPr>
              <w:t>7.90</w:t>
            </w:r>
          </w:p>
        </w:tc>
        <w:tc>
          <w:tcPr>
            <w:tcW w:type="dxa" w:w="1238"/>
          </w:tcPr>
          <w:p>
            <w:pPr>
              <w:spacing w:after="20"/>
              <w:jc w:val="right"/>
            </w:pPr>
            <w:r>
              <w:rPr>
                <w:color w:val="1C3A36"/>
                <w:sz w:val="17"/>
              </w:rPr>
              <w:t>10.81</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1.58</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2.53</w:t>
            </w:r>
          </w:p>
        </w:tc>
        <w:tc>
          <w:tcPr>
            <w:tcW w:type="dxa" w:w="1238"/>
          </w:tcPr>
          <w:p>
            <w:pPr>
              <w:spacing w:after="20"/>
              <w:jc w:val="right"/>
            </w:pPr>
            <w:r>
              <w:rPr>
                <w:color w:val="1C3A36"/>
                <w:sz w:val="17"/>
              </w:rPr>
              <w:t>3.47</w:t>
            </w:r>
          </w:p>
        </w:tc>
        <w:tc>
          <w:tcPr>
            <w:tcW w:type="dxa" w:w="1238"/>
          </w:tcPr>
          <w:p>
            <w:pPr>
              <w:spacing w:after="20"/>
              <w:jc w:val="right"/>
            </w:pPr>
            <w:r>
              <w:rPr>
                <w:color w:val="1C3A36"/>
                <w:sz w:val="17"/>
              </w:rPr>
              <w:t>4.63</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0.52</w:t>
            </w:r>
          </w:p>
        </w:tc>
      </w:tr>
      <w:tr>
        <w:trPr>
          <w:cantSplit/>
        </w:trPr>
        <w:tc>
          <w:tcPr>
            <w:tcW w:type="dxa" w:w="3485"/>
            <w:shd w:val="clear" w:color="auto" w:fill="F6F1E6"/>
          </w:tcPr>
          <w:p>
            <w:pPr>
              <w:spacing w:after="20"/>
            </w:pPr>
            <w:r>
              <w:rPr>
                <w:b/>
                <w:color w:val="1C3A36"/>
                <w:sz w:val="17"/>
              </w:rPr>
              <w:t>Weighted central — published index</w:t>
            </w:r>
          </w:p>
        </w:tc>
        <w:tc>
          <w:tcPr>
            <w:tcW w:type="dxa" w:w="1238"/>
            <w:shd w:val="clear" w:color="auto" w:fill="F6F1E6"/>
          </w:tcPr>
          <w:p>
            <w:pPr>
              <w:spacing w:after="20"/>
              <w:jc w:val="right"/>
            </w:pPr>
            <w:r>
              <w:rPr>
                <w:b/>
                <w:color w:val="1C3A36"/>
                <w:sz w:val="17"/>
              </w:rPr>
              <w:t>5.04</w:t>
            </w:r>
          </w:p>
        </w:tc>
        <w:tc>
          <w:tcPr>
            <w:tcW w:type="dxa" w:w="1238"/>
            <w:shd w:val="clear" w:color="auto" w:fill="F6F1E6"/>
          </w:tcPr>
          <w:p>
            <w:pPr>
              <w:spacing w:after="20"/>
              <w:jc w:val="right"/>
            </w:pPr>
            <w:r>
              <w:rPr>
                <w:b/>
                <w:color w:val="1C3A36"/>
                <w:sz w:val="17"/>
              </w:rPr>
              <w:t>6.58</w:t>
            </w:r>
          </w:p>
        </w:tc>
        <w:tc>
          <w:tcPr>
            <w:tcW w:type="dxa" w:w="1238"/>
            <w:shd w:val="clear" w:color="auto" w:fill="F6F1E6"/>
          </w:tcPr>
          <w:p>
            <w:pPr>
              <w:spacing w:after="20"/>
              <w:jc w:val="right"/>
            </w:pPr>
            <w:r>
              <w:rPr>
                <w:b/>
                <w:color w:val="1C3A36"/>
                <w:sz w:val="17"/>
              </w:rPr>
              <w:t>9.18</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6.58</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3.84</w:t>
            </w:r>
          </w:p>
        </w:tc>
        <w:tc>
          <w:tcPr>
            <w:tcW w:type="dxa" w:w="1238"/>
          </w:tcPr>
          <w:p>
            <w:pPr>
              <w:spacing w:after="20"/>
              <w:jc w:val="right"/>
            </w:pPr>
            <w:r>
              <w:rPr>
                <w:color w:val="1C3A36"/>
                <w:sz w:val="17"/>
              </w:rPr>
              <w:t>8.69</w:t>
            </w:r>
          </w:p>
        </w:tc>
        <w:tc>
          <w:tcPr>
            <w:tcW w:type="dxa" w:w="1238"/>
          </w:tcPr>
          <w:p>
            <w:pPr>
              <w:spacing w:after="20"/>
              <w:jc w:val="right"/>
            </w:pPr>
            <w:r>
              <w:rPr>
                <w:color w:val="1C3A36"/>
                <w:sz w:val="17"/>
              </w:rPr>
              <w:t>9.38</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3.48</w:t>
            </w:r>
          </w:p>
        </w:tc>
      </w:tr>
      <w:tr>
        <w:trPr>
          <w:cantSplit/>
        </w:trPr>
        <w:tc>
          <w:tcPr>
            <w:tcW w:type="dxa" w:w="3485"/>
            <w:shd w:val="clear" w:color="auto" w:fill="F6F1E6"/>
          </w:tcPr>
          <w:p>
            <w:pPr>
              <w:spacing w:after="20"/>
            </w:pPr>
            <w:r>
              <w:rPr>
                <w:b/>
                <w:color w:val="1C3A36"/>
                <w:sz w:val="17"/>
              </w:rPr>
              <w:t>Weighted central — equal-weight composite</w:t>
            </w:r>
          </w:p>
        </w:tc>
        <w:tc>
          <w:tcPr>
            <w:tcW w:type="dxa" w:w="1238"/>
            <w:shd w:val="clear" w:color="auto" w:fill="F6F1E6"/>
          </w:tcPr>
          <w:p>
            <w:pPr>
              <w:spacing w:after="20"/>
              <w:jc w:val="right"/>
            </w:pPr>
            <w:r>
              <w:rPr>
                <w:b/>
                <w:color w:val="1C3A36"/>
                <w:sz w:val="17"/>
              </w:rPr>
              <w:t>5.04</w:t>
            </w:r>
          </w:p>
        </w:tc>
        <w:tc>
          <w:tcPr>
            <w:tcW w:type="dxa" w:w="1238"/>
            <w:shd w:val="clear" w:color="auto" w:fill="F6F1E6"/>
          </w:tcPr>
          <w:p>
            <w:pPr>
              <w:spacing w:after="20"/>
              <w:jc w:val="right"/>
            </w:pPr>
            <w:r>
              <w:rPr>
                <w:b/>
                <w:color w:val="1C3A36"/>
                <w:sz w:val="17"/>
              </w:rPr>
              <w:t>7.64</w:t>
            </w:r>
          </w:p>
        </w:tc>
        <w:tc>
          <w:tcPr>
            <w:tcW w:type="dxa" w:w="1238"/>
            <w:shd w:val="clear" w:color="auto" w:fill="F6F1E6"/>
          </w:tcPr>
          <w:p>
            <w:pPr>
              <w:spacing w:after="20"/>
              <w:jc w:val="right"/>
            </w:pPr>
            <w:r>
              <w:rPr>
                <w:b/>
                <w:color w:val="1C3A36"/>
                <w:sz w:val="17"/>
              </w:rPr>
              <w:t>9.18</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7.64</w:t>
            </w:r>
          </w:p>
        </w:tc>
      </w:tr>
    </w:tbl>
    <w:p>
      <w:pPr>
        <w:spacing w:after="40"/>
      </w:pPr>
    </w:p>
    <w:p>
      <w:pPr>
        <w:spacing w:after="120" w:before="0"/>
      </w:pPr>
      <w:r>
        <w:rPr>
          <w:b w:val="0"/>
          <w:i w:val="0"/>
          <w:color w:val="1C3A36"/>
          <w:sz w:val="21"/>
        </w:rPr>
        <w:t>The four lenses do not agree and the disagreement is informative. The two that price earnings through a multiple — relative and normalised — land at AED 8.25 and AED 7.90, both above the market. The two that discount or capitalise a cost of equity land below it: the cash-flow model at AED 6.03 and the book lens at AED 3.47. That split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now asks explicitly and answers with a measured beta of 1.085. Where the two families disagree, the disagreement is about the discount rate rather than about the cash flows.</w:t>
      </w:r>
    </w:p>
    <w:p>
      <w:pPr>
        <w:spacing w:after="120" w:before="0"/>
      </w:pPr>
      <w:r>
        <w:rPr>
          <w:b w:val="0"/>
          <w:i w:val="0"/>
          <w:color w:val="1C3A36"/>
          <w:sz w:val="21"/>
        </w:rPr>
        <w:t>Weighted together, the four centre at AED 6.58, 7% above the market price. Measuring the market as an equal-weight composite instead lifts that to AED 7.64, 24% above the market price. Neither figure supports a claim that this share is materially mispriced: on the adopted construction the centre of the evidence sits about 7% above the screen, which is well inside the width of any one of these lenses.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Running cost is USD 9,355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10.8 consolidated vessel-years in 2026 rising to 25.0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growing profit share from the bunkering associate.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2,323</w:t>
            </w:r>
          </w:p>
        </w:tc>
        <w:tc>
          <w:tcPr>
            <w:tcW w:type="dxa" w:w="1382"/>
          </w:tcPr>
          <w:p>
            <w:pPr>
              <w:spacing w:after="20"/>
              <w:jc w:val="right"/>
            </w:pPr>
            <w:r>
              <w:rPr>
                <w:color w:val="1C3A36"/>
                <w:sz w:val="16"/>
              </w:rPr>
              <w:t>2,404</w:t>
            </w:r>
          </w:p>
        </w:tc>
        <w:tc>
          <w:tcPr>
            <w:tcW w:type="dxa" w:w="1382"/>
          </w:tcPr>
          <w:p>
            <w:pPr>
              <w:spacing w:after="20"/>
              <w:jc w:val="right"/>
            </w:pPr>
            <w:r>
              <w:rPr>
                <w:color w:val="1C3A36"/>
                <w:sz w:val="16"/>
              </w:rPr>
              <w:t>2,429</w:t>
            </w:r>
          </w:p>
        </w:tc>
        <w:tc>
          <w:tcPr>
            <w:tcW w:type="dxa" w:w="1382"/>
          </w:tcPr>
          <w:p>
            <w:pPr>
              <w:spacing w:after="20"/>
              <w:jc w:val="right"/>
            </w:pPr>
            <w:r>
              <w:rPr>
                <w:color w:val="1C3A36"/>
                <w:sz w:val="16"/>
              </w:rPr>
              <w:t>2,210</w:t>
            </w:r>
          </w:p>
        </w:tc>
        <w:tc>
          <w:tcPr>
            <w:tcW w:type="dxa" w:w="1382"/>
          </w:tcPr>
          <w:p>
            <w:pPr>
              <w:spacing w:after="20"/>
              <w:jc w:val="right"/>
            </w:pPr>
            <w:r>
              <w:rPr>
                <w:color w:val="1C3A36"/>
                <w:sz w:val="16"/>
              </w:rPr>
              <w:t>1,903</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50%</w:t>
            </w:r>
          </w:p>
        </w:tc>
        <w:tc>
          <w:tcPr>
            <w:tcW w:type="dxa" w:w="1382"/>
          </w:tcPr>
          <w:p>
            <w:pPr>
              <w:spacing w:after="20"/>
              <w:jc w:val="right"/>
            </w:pPr>
            <w:r>
              <w:rPr>
                <w:color w:val="1C3A36"/>
                <w:sz w:val="16"/>
              </w:rPr>
              <w:t>48%</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4,715</w:t>
            </w:r>
          </w:p>
        </w:tc>
        <w:tc>
          <w:tcPr>
            <w:tcW w:type="dxa" w:w="1382"/>
            <w:shd w:val="clear" w:color="auto" w:fill="F6F1E6"/>
          </w:tcPr>
          <w:p>
            <w:pPr>
              <w:spacing w:after="20"/>
              <w:jc w:val="right"/>
            </w:pPr>
            <w:r>
              <w:rPr>
                <w:b/>
                <w:color w:val="1C3A36"/>
                <w:sz w:val="16"/>
              </w:rPr>
              <w:t>4,968</w:t>
            </w:r>
          </w:p>
        </w:tc>
        <w:tc>
          <w:tcPr>
            <w:tcW w:type="dxa" w:w="1382"/>
            <w:shd w:val="clear" w:color="auto" w:fill="F6F1E6"/>
          </w:tcPr>
          <w:p>
            <w:pPr>
              <w:spacing w:after="20"/>
              <w:jc w:val="right"/>
            </w:pPr>
            <w:r>
              <w:rPr>
                <w:b/>
                <w:color w:val="1C3A36"/>
                <w:sz w:val="16"/>
              </w:rPr>
              <w:t>5,144</w:t>
            </w:r>
          </w:p>
        </w:tc>
        <w:tc>
          <w:tcPr>
            <w:tcW w:type="dxa" w:w="1382"/>
            <w:shd w:val="clear" w:color="auto" w:fill="F6F1E6"/>
          </w:tcPr>
          <w:p>
            <w:pPr>
              <w:spacing w:after="20"/>
              <w:jc w:val="right"/>
            </w:pPr>
            <w:r>
              <w:rPr>
                <w:b/>
                <w:color w:val="1C3A36"/>
                <w:sz w:val="16"/>
              </w:rPr>
              <w:t>5,056</w:t>
            </w:r>
          </w:p>
        </w:tc>
        <w:tc>
          <w:tcPr>
            <w:tcW w:type="dxa" w:w="1382"/>
            <w:shd w:val="clear" w:color="auto" w:fill="F6F1E6"/>
          </w:tcPr>
          <w:p>
            <w:pPr>
              <w:spacing w:after="20"/>
              <w:jc w:val="right"/>
            </w:pPr>
            <w:r>
              <w:rPr>
                <w:b/>
                <w:color w:val="1C3A36"/>
                <w:sz w:val="16"/>
              </w:rPr>
              <w:t>4,885</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1,900</w:t>
            </w:r>
          </w:p>
        </w:tc>
        <w:tc>
          <w:tcPr>
            <w:tcW w:type="dxa" w:w="1382"/>
            <w:shd w:val="clear" w:color="auto" w:fill="F6F1E6"/>
          </w:tcPr>
          <w:p>
            <w:pPr>
              <w:spacing w:after="20"/>
              <w:jc w:val="right"/>
            </w:pPr>
            <w:r>
              <w:rPr>
                <w:b/>
                <w:color w:val="1C3A36"/>
                <w:sz w:val="16"/>
              </w:rPr>
              <w:t>2,036</w:t>
            </w:r>
          </w:p>
        </w:tc>
        <w:tc>
          <w:tcPr>
            <w:tcW w:type="dxa" w:w="1382"/>
            <w:shd w:val="clear" w:color="auto" w:fill="F6F1E6"/>
          </w:tcPr>
          <w:p>
            <w:pPr>
              <w:spacing w:after="20"/>
              <w:jc w:val="right"/>
            </w:pPr>
            <w:r>
              <w:rPr>
                <w:b/>
                <w:color w:val="1C3A36"/>
                <w:sz w:val="16"/>
              </w:rPr>
              <w:t>2,119</w:t>
            </w:r>
          </w:p>
        </w:tc>
        <w:tc>
          <w:tcPr>
            <w:tcW w:type="dxa" w:w="1382"/>
            <w:shd w:val="clear" w:color="auto" w:fill="F6F1E6"/>
          </w:tcPr>
          <w:p>
            <w:pPr>
              <w:spacing w:after="20"/>
              <w:jc w:val="right"/>
            </w:pPr>
            <w:r>
              <w:rPr>
                <w:b/>
                <w:color w:val="1C3A36"/>
                <w:sz w:val="16"/>
              </w:rPr>
              <w:t>2,022</w:t>
            </w:r>
          </w:p>
        </w:tc>
        <w:tc>
          <w:tcPr>
            <w:tcW w:type="dxa" w:w="1382"/>
            <w:shd w:val="clear" w:color="auto" w:fill="F6F1E6"/>
          </w:tcPr>
          <w:p>
            <w:pPr>
              <w:spacing w:after="20"/>
              <w:jc w:val="right"/>
            </w:pPr>
            <w:r>
              <w:rPr>
                <w:b/>
                <w:color w:val="1C3A36"/>
                <w:sz w:val="16"/>
              </w:rPr>
              <w:t>1,865</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40.3%</w:t>
            </w:r>
          </w:p>
        </w:tc>
        <w:tc>
          <w:tcPr>
            <w:tcW w:type="dxa" w:w="1382"/>
            <w:shd w:val="clear" w:color="auto" w:fill="F6F1E6"/>
          </w:tcPr>
          <w:p>
            <w:pPr>
              <w:spacing w:after="20"/>
              <w:jc w:val="right"/>
            </w:pPr>
            <w:r>
              <w:rPr>
                <w:b/>
                <w:color w:val="1C3A36"/>
                <w:sz w:val="16"/>
              </w:rPr>
              <w:t>41.0%</w:t>
            </w:r>
          </w:p>
        </w:tc>
        <w:tc>
          <w:tcPr>
            <w:tcW w:type="dxa" w:w="1382"/>
            <w:shd w:val="clear" w:color="auto" w:fill="F6F1E6"/>
          </w:tcPr>
          <w:p>
            <w:pPr>
              <w:spacing w:after="20"/>
              <w:jc w:val="right"/>
            </w:pPr>
            <w:r>
              <w:rPr>
                <w:b/>
                <w:color w:val="1C3A36"/>
                <w:sz w:val="16"/>
              </w:rPr>
              <w:t>41.2%</w:t>
            </w:r>
          </w:p>
        </w:tc>
        <w:tc>
          <w:tcPr>
            <w:tcW w:type="dxa" w:w="1382"/>
            <w:shd w:val="clear" w:color="auto" w:fill="F6F1E6"/>
          </w:tcPr>
          <w:p>
            <w:pPr>
              <w:spacing w:after="20"/>
              <w:jc w:val="right"/>
            </w:pPr>
            <w:r>
              <w:rPr>
                <w:b/>
                <w:color w:val="1C3A36"/>
                <w:sz w:val="16"/>
              </w:rPr>
              <w:t>40.0%</w:t>
            </w:r>
          </w:p>
        </w:tc>
        <w:tc>
          <w:tcPr>
            <w:tcW w:type="dxa" w:w="1382"/>
            <w:shd w:val="clear" w:color="auto" w:fill="F6F1E6"/>
          </w:tcPr>
          <w:p>
            <w:pPr>
              <w:spacing w:after="20"/>
              <w:jc w:val="right"/>
            </w:pPr>
            <w:r>
              <w:rPr>
                <w:b/>
                <w:color w:val="1C3A36"/>
                <w:sz w:val="16"/>
              </w:rPr>
              <w:t>38.2%</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40.3% to 38.2% across the forecast — is an output of the changing mix, not a path anyone chose. The margin rises against FY2025's 29.3% mainly because the low-margin chartered-in trading that grossed up FY2025 revenue is not repeated: the first quarter of 2026 showed revenue -8% year on year while earnings rose +7%.</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2,323</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1,177</w:t>
            </w:r>
          </w:p>
        </w:tc>
        <w:tc>
          <w:tcPr>
            <w:tcW w:type="dxa" w:w="1555"/>
          </w:tcPr>
          <w:p>
            <w:pPr>
              <w:spacing w:after="20"/>
              <w:jc w:val="right"/>
            </w:pPr>
            <w:r>
              <w:rPr>
                <w:color w:val="1C3A36"/>
                <w:sz w:val="16"/>
              </w:rPr>
              <w:t>+23%</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4,715</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1,900</w:t>
            </w:r>
          </w:p>
        </w:tc>
        <w:tc>
          <w:tcPr>
            <w:tcW w:type="dxa" w:w="1555"/>
            <w:shd w:val="clear" w:color="auto" w:fill="F6F1E6"/>
          </w:tcPr>
          <w:p>
            <w:pPr>
              <w:spacing w:after="20"/>
              <w:jc w:val="right"/>
            </w:pPr>
            <w:r>
              <w:rPr>
                <w:b/>
                <w:color w:val="1C3A36"/>
                <w:sz w:val="16"/>
              </w:rPr>
              <w:t>+18%</w:t>
            </w:r>
          </w:p>
        </w:tc>
      </w:tr>
    </w:tbl>
    <w:p>
      <w:pPr>
        <w:spacing w:after="40"/>
      </w:pPr>
    </w:p>
    <w:p>
      <w:pPr>
        <w:spacing w:after="200" w:before="0"/>
      </w:pPr>
      <w:r>
        <w:rPr>
          <w:b w:val="0"/>
          <w:i/>
          <w:color w:val="6E7B77"/>
          <w:sz w:val="17"/>
        </w:rPr>
        <w:t>Revenue and earnings in USD million. Guidance is the midpoint of the ranges the company published for the year; the built figures are the output of the unit model in this section.</w:t>
      </w:r>
    </w:p>
    <w:p>
      <w:pPr>
        <w:spacing w:after="120" w:before="0"/>
      </w:pPr>
      <w:r>
        <w:rPr>
          <w:b w:val="0"/>
          <w:i w:val="0"/>
          <w:color w:val="1C3A36"/>
          <w:sz w:val="21"/>
        </w:rPr>
        <w:t>The group gap is +18%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+18% is carried openly through every lens in this study. Note also that the gap runs the other way in Integrated Logistics on revenue, where the build is above guidance on both lines, and is largest in Shipping at +23%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2027-03-28</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2028-03-28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2026-05-04</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2026-07-02</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2026-07-09</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2026-10-08</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2027-01-31</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2027-02-06</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2027-09-02</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2027-09-16</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2027-02-01</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2027-02-21</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2028-03-28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Two substitutions are carried and flagged: quarterly rates for the medium-range class are not disclosed for FY2024, so the FY2025 average stands in, and the handysize vessels are not broken out at all and are carried at the medium-range rate. Both are immaterial — together those classes are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very large crude carrier rate from USD 228,118 in 2026E down to USD 47,924 by 2030E, a straight glide to the FY2024-FY2025 average. It crosses the one-year charter rate above in 2027E-2028E, which is to say it is broadly consistent with what the forward market was willing to pay</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7.39 a share against the base case's AED 6.03.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1.83 a share — and that range is wide enough to carry fair value across the market price, which it reaches between the 100% and 110% anchors. Widening the beta across the 0.705-to-1.412 range tested in section 1.9 moves it by AED 4.91, which is 2.7 times as much and remains the widest single sensitivity in the study. But the two are not comparable as open questions. The beta is measured, with a 90% interval of [0.76, 1.41]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1.085</w:t>
            </w:r>
          </w:p>
        </w:tc>
        <w:tc>
          <w:tcPr>
            <w:tcW w:type="dxa" w:w="1037"/>
          </w:tcPr>
          <w:p>
            <w:pPr>
              <w:spacing w:after="20"/>
              <w:jc w:val="right"/>
            </w:pPr>
            <w:r>
              <w:rPr>
                <w:color w:val="1C3A36"/>
                <w:sz w:val="16"/>
              </w:rPr>
              <w:t>1.085</w:t>
            </w:r>
          </w:p>
        </w:tc>
        <w:tc>
          <w:tcPr>
            <w:tcW w:type="dxa" w:w="5371"/>
          </w:tcPr>
          <w:p>
            <w:pPr>
              <w:spacing w:after="20"/>
              <w:jc w:val="left"/>
            </w:pPr>
            <w:r>
              <w:rPr>
                <w:color w:val="1C3A36"/>
                <w:sz w:val="16"/>
              </w:rPr>
              <w:t>own-stock weekly regression against the FTSE ADX General Index over the full listed history: n = 161, R-squared 0.158, standard error 0.199, 90% interval [0.76, 1.41]. The evidence table below sets this out in full alongside the equal-weight composite, which gives 0.705</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9.34%</w:t>
            </w:r>
          </w:p>
        </w:tc>
        <w:tc>
          <w:tcPr>
            <w:tcW w:type="dxa" w:w="1037"/>
            <w:shd w:val="clear" w:color="auto" w:fill="F6F1E6"/>
          </w:tcPr>
          <w:p>
            <w:pPr>
              <w:spacing w:after="20"/>
              <w:jc w:val="right"/>
            </w:pPr>
            <w:r>
              <w:rPr>
                <w:b/>
                <w:color w:val="1C3A36"/>
                <w:sz w:val="16"/>
              </w:rPr>
              <w:t>8.53%</w:t>
            </w:r>
          </w:p>
        </w:tc>
        <w:tc>
          <w:tcPr>
            <w:tcW w:type="dxa" w:w="5371"/>
            <w:shd w:val="clear" w:color="auto" w:fill="F6F1E6"/>
          </w:tcPr>
          <w:p>
            <w:pPr>
              <w:spacing w:after="20"/>
              <w:jc w:val="left"/>
            </w:pPr>
            <w:r>
              <w:rPr>
                <w:b/>
                <w:color w:val="1C3A36"/>
                <w:sz w:val="16"/>
              </w:rPr>
              <w:t>adjusted risk-free rate plus beta times the premium. On the equal-weight composite's 0.705 it would be 7.49%; on the lead-lag sum beta of 1.164, 9.73%</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a weighted read of six disclosed instruments — the evidence table follows</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4.50%</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9.01% to 8.49% and the terminal rate from 8.21% to 7.73%</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8.49%</w:t>
            </w:r>
          </w:p>
        </w:tc>
        <w:tc>
          <w:tcPr>
            <w:tcW w:type="dxa" w:w="1037"/>
          </w:tcPr>
          <w:p>
            <w:pPr>
              <w:spacing w:after="20"/>
              <w:jc w:val="right"/>
            </w:pPr>
            <w:r>
              <w:rPr>
                <w:color w:val="1C3A36"/>
                <w:sz w:val="16"/>
              </w:rPr>
              <w:t>7.73%</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8.34% · 8.18% · 8.03% · 7.88% · 7.73%</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This study regresses the share's own weekly returns on the FTSE ADX General Index — the published, capitalisation-weighted index of the exchange the share is listed on. The index series runs from 2011-01-02 to 2026-07-24 across 3,883 sessions and was screened against the exchange's own trading calendar before use.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w:t>
            </w:r>
          </w:p>
        </w:tc>
        <w:tc>
          <w:tcPr>
            <w:tcW w:type="dxa" w:w="6019"/>
          </w:tcPr>
          <w:p>
            <w:pPr>
              <w:spacing w:after="20"/>
              <w:jc w:val="left"/>
            </w:pPr>
            <w:r>
              <w:rPr>
                <w:color w:val="1C3A36"/>
                <w:sz w:val="16"/>
              </w:rPr>
              <w:t>The published capitalisation-weighted index of the exchange the share is listed on — the local index the beta rule asks for.</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161</w:t>
            </w:r>
          </w:p>
        </w:tc>
        <w:tc>
          <w:tcPr>
            <w:tcW w:type="dxa" w:w="6019"/>
          </w:tcPr>
          <w:p>
            <w:pPr>
              <w:spacing w:after="20"/>
              <w:jc w:val="left"/>
            </w:pPr>
            <w:r>
              <w:rPr>
                <w:color w:val="1C3A36"/>
                <w:sz w:val="16"/>
              </w:rPr>
              <w:t>weekly returns over the share's full listed history of 3.18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1.085</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0.199</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0.158</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0.758 to 1.412</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w:t>
            </w:r>
          </w:p>
        </w:tc>
      </w:tr>
      <w:tr>
        <w:trPr>
          <w:cantSplit/>
        </w:trPr>
        <w:tc>
          <w:tcPr>
            <w:tcW w:type="dxa" w:w="2477"/>
          </w:tcPr>
          <w:p>
            <w:pPr>
              <w:spacing w:after="20"/>
            </w:pPr>
            <w:r>
              <w:rPr>
                <w:color w:val="1C3A36"/>
                <w:sz w:val="16"/>
              </w:rPr>
              <w:t>Lead-lag sum beta</w:t>
            </w:r>
          </w:p>
        </w:tc>
        <w:tc>
          <w:tcPr>
            <w:tcW w:type="dxa" w:w="1584"/>
          </w:tcPr>
          <w:p>
            <w:pPr>
              <w:spacing w:after="20"/>
              <w:jc w:val="left"/>
            </w:pPr>
            <w:r>
              <w:rPr>
                <w:color w:val="1C3A36"/>
                <w:sz w:val="16"/>
              </w:rPr>
              <w:t>1.164</w:t>
            </w:r>
          </w:p>
        </w:tc>
        <w:tc>
          <w:tcPr>
            <w:tcW w:type="dxa" w:w="6019"/>
          </w:tcPr>
          <w:p>
            <w:pPr>
              <w:spacing w:after="20"/>
              <w:jc w:val="left"/>
            </w:pPr>
            <w:r>
              <w:rPr>
                <w:color w:val="1C3A36"/>
                <w:sz w:val="16"/>
              </w:rPr>
              <w:t>one lead and two lags, which recovers co-movement booked late because the share does not trade on every session. It is +0.079 against the adopted figure, so the correction points slightly higher rather than lower</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0.705</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0.172 on 163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0.663</w:t>
            </w:r>
          </w:p>
        </w:tc>
        <w:tc>
          <w:tcPr>
            <w:tcW w:type="dxa" w:w="6019"/>
          </w:tcPr>
          <w:p>
            <w:pPr>
              <w:spacing w:after="20"/>
              <w:jc w:val="left"/>
            </w:pPr>
            <w:r>
              <w:rPr>
                <w:color w:val="1C3A36"/>
                <w:sz w:val="16"/>
              </w:rPr>
              <w:t>ADX + DFM equal-weight composite; disclosed, not adopted. R-squared 0.168 across 18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supplied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0.380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0.203,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weighted across the drawn book</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weighted by what is actually drawn. It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Five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1.085</w:t>
            </w:r>
          </w:p>
        </w:tc>
        <w:tc>
          <w:tcPr>
            <w:tcW w:type="dxa" w:w="2664"/>
          </w:tcPr>
          <w:p>
            <w:pPr>
              <w:spacing w:after="20"/>
            </w:pPr>
            <w:r>
              <w:rPr>
                <w:color w:val="1C3A36"/>
                <w:sz w:val="15"/>
              </w:rPr>
              <w:t>The same regression against an equal-weight composite of the same exchange's names, giving 0.705 — cost of equity 7.49% instead of 9.34%</w:t>
            </w:r>
          </w:p>
        </w:tc>
        <w:tc>
          <w:tcPr>
            <w:tcW w:type="dxa" w:w="1843"/>
          </w:tcPr>
          <w:p>
            <w:pPr>
              <w:spacing w:after="20"/>
            </w:pPr>
            <w:r>
              <w:rPr>
                <w:color w:val="1C3A36"/>
                <w:sz w:val="15"/>
              </w:rPr>
              <w:t>AED 8.69 against 6.03</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6.39, +0.36 against 6.03</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5.01 against 6.03</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1.085 and 1.250 rows, and in the rate-anchor range between the 100% and 110%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1.085</w:t>
            </w:r>
          </w:p>
        </w:tc>
        <w:tc>
          <w:tcPr>
            <w:tcW w:type="dxa" w:w="1555"/>
            <w:shd w:val="clear" w:color="auto" w:fill="EAF0EE"/>
          </w:tcPr>
          <w:p>
            <w:pPr>
              <w:spacing w:after="20"/>
            </w:pPr>
            <w:r>
              <w:rPr>
                <w:b/>
                <w:color w:val="1C3A36"/>
                <w:sz w:val="16"/>
              </w:rPr>
              <w:t>1.250</w:t>
            </w:r>
          </w:p>
        </w:tc>
        <w:tc>
          <w:tcPr>
            <w:tcW w:type="dxa" w:w="1555"/>
            <w:shd w:val="clear" w:color="auto" w:fill="EAF0EE"/>
          </w:tcPr>
          <w:p>
            <w:pPr>
              <w:spacing w:after="20"/>
            </w:pPr>
            <w:r>
              <w:rPr>
                <w:b/>
                <w:color w:val="1C3A36"/>
                <w:sz w:val="16"/>
              </w:rPr>
              <w:t>1.412</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8.82</w:t>
            </w:r>
          </w:p>
        </w:tc>
        <w:tc>
          <w:tcPr>
            <w:tcW w:type="dxa" w:w="1555"/>
          </w:tcPr>
          <w:p>
            <w:pPr>
              <w:spacing w:after="20"/>
              <w:jc w:val="right"/>
            </w:pPr>
            <w:r>
              <w:rPr>
                <w:color w:val="1C3A36"/>
                <w:sz w:val="16"/>
              </w:rPr>
              <w:t>7.38</w:t>
            </w:r>
          </w:p>
        </w:tc>
        <w:tc>
          <w:tcPr>
            <w:tcW w:type="dxa" w:w="1555"/>
          </w:tcPr>
          <w:p>
            <w:pPr>
              <w:spacing w:after="20"/>
              <w:jc w:val="right"/>
            </w:pPr>
            <w:r>
              <w:rPr>
                <w:color w:val="1C3A36"/>
                <w:sz w:val="16"/>
              </w:rPr>
              <w:t>6.34</w:t>
            </w:r>
          </w:p>
        </w:tc>
        <w:tc>
          <w:tcPr>
            <w:tcW w:type="dxa" w:w="1555"/>
          </w:tcPr>
          <w:p>
            <w:pPr>
              <w:spacing w:after="20"/>
              <w:jc w:val="right"/>
            </w:pPr>
            <w:r>
              <w:rPr>
                <w:color w:val="1C3A36"/>
                <w:sz w:val="16"/>
              </w:rPr>
              <w:t>5.59</w:t>
            </w:r>
          </w:p>
        </w:tc>
        <w:tc>
          <w:tcPr>
            <w:tcW w:type="dxa" w:w="1555"/>
          </w:tcPr>
          <w:p>
            <w:pPr>
              <w:spacing w:after="20"/>
              <w:jc w:val="right"/>
            </w:pPr>
            <w:r>
              <w:rPr>
                <w:color w:val="1C3A36"/>
                <w:sz w:val="16"/>
              </w:rPr>
              <w:t>4.99</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9.40</w:t>
            </w:r>
          </w:p>
        </w:tc>
        <w:tc>
          <w:tcPr>
            <w:tcW w:type="dxa" w:w="1555"/>
          </w:tcPr>
          <w:p>
            <w:pPr>
              <w:spacing w:after="20"/>
              <w:jc w:val="right"/>
            </w:pPr>
            <w:r>
              <w:rPr>
                <w:color w:val="1C3A36"/>
                <w:sz w:val="16"/>
              </w:rPr>
              <w:t>7.74</w:t>
            </w:r>
          </w:p>
        </w:tc>
        <w:tc>
          <w:tcPr>
            <w:tcW w:type="dxa" w:w="1555"/>
          </w:tcPr>
          <w:p>
            <w:pPr>
              <w:spacing w:after="20"/>
              <w:jc w:val="right"/>
            </w:pPr>
            <w:r>
              <w:rPr>
                <w:color w:val="1C3A36"/>
                <w:sz w:val="16"/>
              </w:rPr>
              <w:t>6.57</w:t>
            </w:r>
          </w:p>
        </w:tc>
        <w:tc>
          <w:tcPr>
            <w:tcW w:type="dxa" w:w="1555"/>
          </w:tcPr>
          <w:p>
            <w:pPr>
              <w:spacing w:after="20"/>
              <w:jc w:val="right"/>
            </w:pPr>
            <w:r>
              <w:rPr>
                <w:color w:val="1C3A36"/>
                <w:sz w:val="16"/>
              </w:rPr>
              <w:t>5.76</w:t>
            </w:r>
          </w:p>
        </w:tc>
        <w:tc>
          <w:tcPr>
            <w:tcW w:type="dxa" w:w="1555"/>
          </w:tcPr>
          <w:p>
            <w:pPr>
              <w:spacing w:after="20"/>
              <w:jc w:val="right"/>
            </w:pPr>
            <w:r>
              <w:rPr>
                <w:color w:val="1C3A36"/>
                <w:sz w:val="16"/>
              </w:rPr>
              <w:t>5.11</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10.14</w:t>
            </w:r>
          </w:p>
        </w:tc>
        <w:tc>
          <w:tcPr>
            <w:tcW w:type="dxa" w:w="1555"/>
          </w:tcPr>
          <w:p>
            <w:pPr>
              <w:spacing w:after="20"/>
              <w:jc w:val="right"/>
            </w:pPr>
            <w:r>
              <w:rPr>
                <w:color w:val="1C3A36"/>
                <w:sz w:val="16"/>
              </w:rPr>
              <w:t>8.18</w:t>
            </w:r>
          </w:p>
        </w:tc>
        <w:tc>
          <w:tcPr>
            <w:tcW w:type="dxa" w:w="1555"/>
          </w:tcPr>
          <w:p>
            <w:pPr>
              <w:spacing w:after="20"/>
              <w:jc w:val="right"/>
            </w:pPr>
            <w:r>
              <w:rPr>
                <w:color w:val="1C3A36"/>
                <w:sz w:val="16"/>
              </w:rPr>
              <w:t>6.85</w:t>
            </w:r>
          </w:p>
        </w:tc>
        <w:tc>
          <w:tcPr>
            <w:tcW w:type="dxa" w:w="1555"/>
          </w:tcPr>
          <w:p>
            <w:pPr>
              <w:spacing w:after="20"/>
              <w:jc w:val="right"/>
            </w:pPr>
            <w:r>
              <w:rPr>
                <w:color w:val="1C3A36"/>
                <w:sz w:val="16"/>
              </w:rPr>
              <w:t>5.95</w:t>
            </w:r>
          </w:p>
        </w:tc>
        <w:tc>
          <w:tcPr>
            <w:tcW w:type="dxa" w:w="1555"/>
          </w:tcPr>
          <w:p>
            <w:pPr>
              <w:spacing w:after="20"/>
              <w:jc w:val="right"/>
            </w:pPr>
            <w:r>
              <w:rPr>
                <w:color w:val="1C3A36"/>
                <w:sz w:val="16"/>
              </w:rPr>
              <w:t>5.23</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11.10</w:t>
            </w:r>
          </w:p>
        </w:tc>
        <w:tc>
          <w:tcPr>
            <w:tcW w:type="dxa" w:w="1555"/>
          </w:tcPr>
          <w:p>
            <w:pPr>
              <w:spacing w:after="20"/>
              <w:jc w:val="right"/>
            </w:pPr>
            <w:r>
              <w:rPr>
                <w:color w:val="1C3A36"/>
                <w:sz w:val="16"/>
              </w:rPr>
              <w:t>8.73</w:t>
            </w:r>
          </w:p>
        </w:tc>
        <w:tc>
          <w:tcPr>
            <w:tcW w:type="dxa" w:w="1555"/>
          </w:tcPr>
          <w:p>
            <w:pPr>
              <w:spacing w:after="20"/>
              <w:jc w:val="right"/>
            </w:pPr>
            <w:r>
              <w:rPr>
                <w:color w:val="1C3A36"/>
                <w:sz w:val="16"/>
              </w:rPr>
              <w:t>7.19</w:t>
            </w:r>
          </w:p>
        </w:tc>
        <w:tc>
          <w:tcPr>
            <w:tcW w:type="dxa" w:w="1555"/>
          </w:tcPr>
          <w:p>
            <w:pPr>
              <w:spacing w:after="20"/>
              <w:jc w:val="right"/>
            </w:pPr>
            <w:r>
              <w:rPr>
                <w:color w:val="1C3A36"/>
                <w:sz w:val="16"/>
              </w:rPr>
              <w:t>6.17</w:t>
            </w:r>
          </w:p>
        </w:tc>
        <w:tc>
          <w:tcPr>
            <w:tcW w:type="dxa" w:w="1555"/>
          </w:tcPr>
          <w:p>
            <w:pPr>
              <w:spacing w:after="20"/>
              <w:jc w:val="right"/>
            </w:pPr>
            <w:r>
              <w:rPr>
                <w:color w:val="1C3A36"/>
                <w:sz w:val="16"/>
              </w:rPr>
              <w:t>5.38</w:t>
            </w:r>
          </w:p>
        </w:tc>
      </w:tr>
    </w:tbl>
    <w:p>
      <w:pPr>
        <w:spacing w:after="40"/>
      </w:pPr>
    </w:p>
    <w:p>
      <w:pPr>
        <w:spacing w:after="200" w:before="0"/>
      </w:pPr>
      <w:r>
        <w:rPr>
          <w:b w:val="0"/>
          <w:i/>
          <w:color w:val="6E7B77"/>
          <w:sz w:val="17"/>
        </w:rPr>
        <w:t>Fair value in AED per share. The adopted construction is the 1.085 column at 2.0% growth; the equal-weight composite alternative is the 0.705 column at the same growth. The right-hand column of 1.412 is the top of the regression's own 90% confidence interval and is where the bear case is struck; the bull case is struck at the bottom of that interval, 0.758, which sits just inside the left-hand column. Beta moves the answer across the whole width of this table; growth moves it a fraction of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0.705 – 1.412</w:t>
            </w:r>
          </w:p>
        </w:tc>
        <w:tc>
          <w:tcPr>
            <w:tcW w:type="dxa" w:w="2304"/>
          </w:tcPr>
          <w:p>
            <w:pPr>
              <w:spacing w:after="20"/>
              <w:jc w:val="left"/>
            </w:pPr>
            <w:r>
              <w:rPr>
                <w:color w:val="1C3A36"/>
                <w:sz w:val="16"/>
              </w:rPr>
              <w:t>5.23 – 10.14</w:t>
            </w:r>
          </w:p>
        </w:tc>
        <w:tc>
          <w:tcPr>
            <w:tcW w:type="dxa" w:w="1944"/>
          </w:tcPr>
          <w:p>
            <w:pPr>
              <w:spacing w:after="20"/>
              <w:jc w:val="right"/>
            </w:pPr>
            <w:r>
              <w:rPr>
                <w:color w:val="1C3A36"/>
                <w:sz w:val="16"/>
              </w:rPr>
              <w:t>4.91</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5.19 – 7.02</w:t>
            </w:r>
          </w:p>
        </w:tc>
        <w:tc>
          <w:tcPr>
            <w:tcW w:type="dxa" w:w="1944"/>
          </w:tcPr>
          <w:p>
            <w:pPr>
              <w:spacing w:after="20"/>
              <w:jc w:val="right"/>
            </w:pPr>
            <w:r>
              <w:rPr>
                <w:color w:val="1C3A36"/>
                <w:sz w:val="16"/>
              </w:rPr>
              <w:t>1.83</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5.28 – 6.52</w:t>
            </w:r>
          </w:p>
        </w:tc>
        <w:tc>
          <w:tcPr>
            <w:tcW w:type="dxa" w:w="1944"/>
          </w:tcPr>
          <w:p>
            <w:pPr>
              <w:spacing w:after="20"/>
              <w:jc w:val="right"/>
            </w:pPr>
            <w:r>
              <w:rPr>
                <w:color w:val="1C3A36"/>
                <w:sz w:val="16"/>
              </w:rPr>
              <w:t>1.24</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5.01 – 6.01</w:t>
            </w:r>
          </w:p>
        </w:tc>
        <w:tc>
          <w:tcPr>
            <w:tcW w:type="dxa" w:w="1944"/>
          </w:tcPr>
          <w:p>
            <w:pPr>
              <w:spacing w:after="20"/>
              <w:jc w:val="right"/>
            </w:pPr>
            <w:r>
              <w:rPr>
                <w:color w:val="1C3A36"/>
                <w:sz w:val="16"/>
              </w:rPr>
              <w:t>1.00</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6.34 – 7.19</w:t>
            </w:r>
          </w:p>
        </w:tc>
        <w:tc>
          <w:tcPr>
            <w:tcW w:type="dxa" w:w="1944"/>
          </w:tcPr>
          <w:p>
            <w:pPr>
              <w:spacing w:after="20"/>
              <w:jc w:val="right"/>
            </w:pPr>
            <w:r>
              <w:rPr>
                <w:color w:val="1C3A36"/>
                <w:sz w:val="16"/>
              </w:rPr>
              <w:t>0.85</w:t>
            </w:r>
          </w:p>
        </w:tc>
      </w:tr>
      <w:tr>
        <w:trPr>
          <w:cantSplit/>
        </w:trPr>
        <w:tc>
          <w:tcPr>
            <w:tcW w:type="dxa" w:w="3024"/>
          </w:tcPr>
          <w:p>
            <w:pPr>
              <w:spacing w:after="20"/>
            </w:pPr>
            <w:r>
              <w:rPr>
                <w:color w:val="1C3A36"/>
                <w:sz w:val="16"/>
              </w:rPr>
              <w:t>Bear-to-bull scenario composite</w:t>
            </w:r>
          </w:p>
        </w:tc>
        <w:tc>
          <w:tcPr>
            <w:tcW w:type="dxa" w:w="2808"/>
          </w:tcPr>
          <w:p>
            <w:pPr>
              <w:spacing w:after="20"/>
              <w:jc w:val="left"/>
            </w:pPr>
            <w:r>
              <w:rPr>
                <w:color w:val="1C3A36"/>
                <w:sz w:val="16"/>
              </w:rPr>
              <w:t>rates, capital expenditure and the beta at the two ends of its own 90% interval — 1.412 in the bear, 0.758 in the bull</w:t>
            </w:r>
          </w:p>
        </w:tc>
        <w:tc>
          <w:tcPr>
            <w:tcW w:type="dxa" w:w="2304"/>
          </w:tcPr>
          <w:p>
            <w:pPr>
              <w:spacing w:after="20"/>
              <w:jc w:val="left"/>
            </w:pPr>
            <w:r>
              <w:rPr>
                <w:color w:val="1C3A36"/>
                <w:sz w:val="16"/>
              </w:rPr>
              <w:t>3.84 – 9.38</w:t>
            </w:r>
          </w:p>
        </w:tc>
        <w:tc>
          <w:tcPr>
            <w:tcW w:type="dxa" w:w="1944"/>
          </w:tcPr>
          <w:p>
            <w:pPr>
              <w:spacing w:after="20"/>
              <w:jc w:val="right"/>
            </w:pPr>
            <w:r>
              <w:rPr>
                <w:color w:val="1C3A36"/>
                <w:sz w:val="16"/>
              </w:rPr>
              <w:t>5.54</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width of the beta row is the width of a measured statistical interval, and the study publishes its bear and bull cases at that interval's two ends rather than choosing a comfortable point inside it; the width of the rate-anchor row is a judgement about the future that no amount of data settles. The first is uncertainty that has been quantified, the second is uncertainty that has not. The tax row deserves its own note: at a uniform 15% the value falls to AED 5.01, a loss of AED 1.02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because on the adopted construction they now sit inside it rather than far above it: the weighted central of AED 6.58 sits at the furthest computed resistance of 6.60, and the cash-flow lens on its own, at AED 6.03, sits between the first and second computed supports of 5.93 and 5.56. The equal-weight composite reading of AED 7.64 is the only one of the three above every level in the table. A valuation and a level ladder are unrelated constructions and their agreeing here proves nothing; it is recorded because the two disagreed markedly under the study's earlier measurement of the market and no longer do.</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6.58 on the beta measured against the published index, and AED 7.64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6.58, +7%</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7.64, +24%</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6.03, -2%</w:t>
            </w:r>
          </w:p>
        </w:tc>
        <w:tc>
          <w:tcPr>
            <w:tcW w:type="dxa" w:w="4464"/>
          </w:tcPr>
          <w:p>
            <w:pPr>
              <w:spacing w:after="20"/>
            </w:pPr>
            <w:r>
              <w:rPr>
                <w:color w:val="1C3A36"/>
                <w:sz w:val="16"/>
              </w:rPr>
              <w:t>a cost of capital gliding 8.49% to 7.7%</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8.69, +41%</w:t>
            </w:r>
          </w:p>
        </w:tc>
        <w:tc>
          <w:tcPr>
            <w:tcW w:type="dxa" w:w="4464"/>
          </w:tcPr>
          <w:p>
            <w:pPr>
              <w:spacing w:after="20"/>
            </w:pPr>
            <w:r>
              <w:rPr>
                <w:color w:val="1C3A36"/>
                <w:sz w:val="16"/>
              </w:rPr>
              <w:t>the same, gliding 6.38% to 6.3%</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8.25, +34%</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9.66, +57%</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7.39, +20%</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The market price of AED 6.16 sits above the cash-flow lens of AED 6.03 and below the weighted central of AED 6.58, a band of roughly 9% from end to end. The two multiple lenses land above the market, but they import their cost of capital from comparators rather than state one, so they are evidence about relative pricing rather than an independent answer; the expert panel in Appendix C, which prices mid-cycle earnings rather than a terminal value, centres at AED 5.49, 11% below the market price. Read together, the evidence brackets the screen price. It does not point away from it.</w:t>
      </w:r>
    </w:p>
    <w:p>
      <w:pPr>
        <w:spacing w:after="120" w:before="0"/>
      </w:pPr>
      <w:r>
        <w:rPr>
          <w:b w:val="0"/>
          <w:i w:val="0"/>
          <w:color w:val="1C3A36"/>
          <w:sz w:val="21"/>
        </w:rPr>
        <w:t>This is a weaker claim than the study previously made, and the reason is worth stating plainly. The cash-flow lens rests on a beta of 1.085, measured on 161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0.705 and the central rises to AED 7.64 — a difference of AED 1.06 a share that turns entirely on index weighting. Both numbers are in this document at full size and neither is hidden inside an average, but the adopted one is the published index, and on it this share is close to fairly priced rather than materially cheap.</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1.83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10.8 in 2026 to 25.0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0.46× earnings in 2026E to net cash by 2029E, against a stated target of 2.0× to 2.5×. The company will not sit there</w:t>
            </w:r>
          </w:p>
        </w:tc>
        <w:tc>
          <w:tcPr>
            <w:tcW w:type="dxa" w:w="3888"/>
          </w:tcPr>
          <w:p>
            <w:pPr>
              <w:spacing w:after="20"/>
            </w:pPr>
            <w:r>
              <w:rPr>
                <w:color w:val="1C3A36"/>
                <w:sz w:val="16"/>
              </w:rPr>
              <w:t>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1.02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0.36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cash-flow lens on its own sits inside this zone and the book lens below it, so this is not a range at which the fundamental work would call the share cheap</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this zone contains the study’s own weighted central,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weighted central sits</w:t>
            </w:r>
          </w:p>
        </w:tc>
        <w:tc>
          <w:tcPr>
            <w:tcW w:type="dxa" w:w="2448"/>
          </w:tcPr>
          <w:p>
            <w:pPr>
              <w:spacing w:after="20"/>
              <w:jc w:val="right"/>
            </w:pPr>
            <w:r>
              <w:rPr>
                <w:color w:val="1C3A36"/>
                <w:sz w:val="16"/>
              </w:rPr>
              <w:t>6.58</w:t>
            </w:r>
          </w:p>
        </w:tc>
        <w:tc>
          <w:tcPr>
            <w:tcW w:type="dxa" w:w="5040"/>
          </w:tcPr>
          <w:p>
            <w:pPr>
              <w:spacing w:after="20"/>
              <w:jc w:val="left"/>
            </w:pPr>
            <w:r>
              <w:rPr>
                <w:color w:val="1C3A36"/>
                <w:sz w:val="16"/>
              </w:rPr>
              <w:t>between the 50th and 75th percentile of the three-month distribution. The valuation and the price map — which knows nothing about value — are in the same place, which is a change from this study's earlier measurement of the market and is the clearest sign that the share is close to fairly priced</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6.03</w:t>
            </w:r>
          </w:p>
        </w:tc>
        <w:tc>
          <w:tcPr>
            <w:tcW w:type="dxa" w:w="5040"/>
          </w:tcPr>
          <w:p>
            <w:pPr>
              <w:spacing w:after="20"/>
              <w:jc w:val="left"/>
            </w:pPr>
            <w:r>
              <w:rPr>
                <w:color w:val="1C3A36"/>
                <w:sz w:val="16"/>
              </w:rPr>
              <w:t>between the 25th and 50th percentile — below the price today, and reachable inside the horizon without anything unusual happening</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7.64</w:t>
            </w:r>
          </w:p>
        </w:tc>
        <w:tc>
          <w:tcPr>
            <w:tcW w:type="dxa" w:w="5040"/>
          </w:tcPr>
          <w:p>
            <w:pPr>
              <w:spacing w:after="20"/>
              <w:jc w:val="left"/>
            </w:pPr>
            <w:r>
              <w:rPr>
                <w:color w:val="1C3A36"/>
                <w:sz w:val="16"/>
              </w:rPr>
              <w:t>between the 75th and 95th percentile of the three-month distribution</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still moves the answer more than anything else, even though it is now settled. </w:t>
      </w:r>
      <w:r>
        <w:rPr>
          <w:color w:val="1C3A36"/>
          <w:sz w:val="21"/>
        </w:rPr>
        <w:t>Regressed against the FTSE ADX General Index, the beta is 1.085; regressed against an equal-weight composite of the same exchange's names it is 0.705, worth AED 2.66 a share on the cash-flow lens. Across the beta range tested in section 1.9 the swing is AED 4.91, still the widest single sensitivity in the study. What has changed is that this is no longer an unresolved argument between a regression and an economic prior — the published index of the share's own exchange is the right yardstick and the two now agree. What remains is ordinary statistical uncertainty: 3.2 years of listed history, an R-squared of 0.158, and a 90% interval of [0.76, 1.41] that this study's bear and bull cases carry at full width rather than narrowing. A longer history could still move the point estimate inside that interval,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78% of the cash-flow model's enterprise value is the terminal value on the adopted construction, 83% on the equal-weight composite. That is high, and it is the arithmetic consequence of discounting a business whose explicit years are depressed by a heavy capital programme — capital expenditure runs USD 1,375 million in 2026E against earnings of USD 1,900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+18% above the guided group earnings midpoint — +23%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0.46× earnings in 2026E to 0.20× in 2028E and turns to net cash of USD 1,028 million by 2030E, against a stated medium-term target of 2.0× to 2.5×. At the low end of that target the 2030E balance sheet would carry about USD 3,730 million of net debt, so the modelled path leaves roughly USD 4,758 million of unused capacity, on top of an undrawn committed revolving facility of USD 2.0 billion. The company will either lever up for acquisitions or return more capital.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Two rate substitutions are carried in the fleet build. </w:t>
      </w:r>
      <w:r>
        <w:rPr>
          <w:color w:val="1C3A36"/>
          <w:sz w:val="21"/>
        </w:rPr>
        <w:t>Quarterly rates for the medium-range class are not disclosed for FY2024, so the FY2025 average stands in; the handysize vessels are not broken out at all and are carried at the medium-range rate. Together those are 18 of 52 vessels and the lowest earners in the fleet, so the effect is small — but it is a substitution, and it is labelled as one.</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533 million of the USD 6,993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lens carries 15% weight, which is the lowest of the four, partly for this reason.</w:t>
      </w:r>
    </w:p>
    <w:p>
      <w:pPr>
        <w:pStyle w:val="ListBullet"/>
        <w:spacing w:after="60"/>
      </w:pPr>
      <w:r>
        <w:rPr>
          <w:b/>
          <w:color w:val="1C3A36"/>
          <w:sz w:val="21"/>
        </w:rPr>
        <w:t xml:space="preserve">Two unit inputs are solved rather than sourced. </w:t>
      </w:r>
      <w:r>
        <w:rPr>
          <w:color w:val="1C3A36"/>
          <w:sz w:val="21"/>
        </w:rPr>
        <w:t>Per-vessel running cost of USD 9,355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w:t>
      </w:r>
      <w:r>
        <w:rPr>
          <w:color w:val="1C3A36"/>
          <w:sz w:val="21"/>
        </w:rPr>
        <w:t>Reported Tankers revenue was 2.72×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ratio moves the revenue line and never the earnings line, so it cannot affect the valuation — but a reader comparing this study's revenue forecast with a broker's should know the two may be on different conventions.</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5.01.</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this edition, and why</w:t>
      </w:r>
    </w:p>
    <w:p>
      <w:pPr>
        <w:spacing w:after="120" w:before="0"/>
      </w:pPr>
      <w:r>
        <w:rPr>
          <w:b w:val="0"/>
          <w:i w:val="0"/>
          <w:color w:val="1C3A36"/>
          <w:sz w:val="21"/>
        </w:rPr>
        <w:t>An earlier edition of this study was circulated for review, and four independent readers came back with findings. Five of those findings were substantive enough to change the answer. All five have been acted on, and every one of them is set out below with the direction it moved the value and roughly how far. None of this is presented as refinement: three of the five were errors, and they are called errors here. A study that has been corrected and does not say so is worse than one that was right the first time, because the reader has no way of telling which they are holding.</w:t>
      </w:r>
    </w:p>
    <w:p>
      <w:pPr>
        <w:spacing w:after="120" w:before="0"/>
      </w:pPr>
      <w:r>
        <w:rPr>
          <w:b w:val="0"/>
          <w:i w:val="0"/>
          <w:color w:val="1C3A36"/>
          <w:sz w:val="21"/>
        </w:rPr>
        <w:t>Two of the corrections raised the value and three lowered it. On the cash-flow lens the net effect is a move to AED 6.03 a share and the weighted central to AED 6.58, against a market price of 6.16. The conclusion the study reaches — that this share is close to fairly priced on the evidence assembled here rather than materially cheap — is unchanged, but it is now reached from a materially different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9.01% to 8.49% and the terminal rate from 8.21% to 7.73%.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88% of earnings. It pays out 30% to 40%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2.08× book, or AED 5.24 a share; residual income gives AED 3.47. At 15% weight the difference is worth about AED 0.27 of the weighted central.</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8.5%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333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0.41 that applying the profit share to the whole equity value would have cost — the criticism was right about the premise and wrong about the conclusion.</w:t>
            </w:r>
          </w:p>
        </w:tc>
      </w:tr>
    </w:tbl>
    <w:p>
      <w:pPr>
        <w:spacing w:after="40"/>
      </w:pPr>
    </w:p>
    <w:p>
      <w:pPr>
        <w:spacing w:after="20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 Nor did the beta change: it is still 1.085 against the published index of the share's own exchange, with the equal-weight composite reading of 0.705 published beside it at full size throughout.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4,715</w:t>
            </w:r>
          </w:p>
        </w:tc>
        <w:tc>
          <w:tcPr>
            <w:tcW w:type="dxa" w:w="950"/>
          </w:tcPr>
          <w:p>
            <w:pPr>
              <w:spacing w:after="20"/>
              <w:jc w:val="right"/>
            </w:pPr>
            <w:r>
              <w:rPr>
                <w:color w:val="1C3A36"/>
                <w:sz w:val="15"/>
              </w:rPr>
              <w:t>4,968</w:t>
            </w:r>
          </w:p>
        </w:tc>
        <w:tc>
          <w:tcPr>
            <w:tcW w:type="dxa" w:w="950"/>
          </w:tcPr>
          <w:p>
            <w:pPr>
              <w:spacing w:after="20"/>
              <w:jc w:val="right"/>
            </w:pPr>
            <w:r>
              <w:rPr>
                <w:color w:val="1C3A36"/>
                <w:sz w:val="15"/>
              </w:rPr>
              <w:t>5,144</w:t>
            </w:r>
          </w:p>
        </w:tc>
        <w:tc>
          <w:tcPr>
            <w:tcW w:type="dxa" w:w="950"/>
          </w:tcPr>
          <w:p>
            <w:pPr>
              <w:spacing w:after="20"/>
              <w:jc w:val="right"/>
            </w:pPr>
            <w:r>
              <w:rPr>
                <w:color w:val="1C3A36"/>
                <w:sz w:val="15"/>
              </w:rPr>
              <w:t>5,056</w:t>
            </w:r>
          </w:p>
        </w:tc>
        <w:tc>
          <w:tcPr>
            <w:tcW w:type="dxa" w:w="950"/>
          </w:tcPr>
          <w:p>
            <w:pPr>
              <w:spacing w:after="20"/>
              <w:jc w:val="right"/>
            </w:pPr>
            <w:r>
              <w:rPr>
                <w:color w:val="1C3A36"/>
                <w:sz w:val="15"/>
              </w:rPr>
              <w:t>4,885</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(2,814)</w:t>
            </w:r>
          </w:p>
        </w:tc>
        <w:tc>
          <w:tcPr>
            <w:tcW w:type="dxa" w:w="950"/>
          </w:tcPr>
          <w:p>
            <w:pPr>
              <w:spacing w:after="20"/>
              <w:jc w:val="right"/>
            </w:pPr>
            <w:r>
              <w:rPr>
                <w:color w:val="1C3A36"/>
                <w:sz w:val="15"/>
              </w:rPr>
              <w:t>(2,932)</w:t>
            </w:r>
          </w:p>
        </w:tc>
        <w:tc>
          <w:tcPr>
            <w:tcW w:type="dxa" w:w="950"/>
          </w:tcPr>
          <w:p>
            <w:pPr>
              <w:spacing w:after="20"/>
              <w:jc w:val="right"/>
            </w:pPr>
            <w:r>
              <w:rPr>
                <w:color w:val="1C3A36"/>
                <w:sz w:val="15"/>
              </w:rPr>
              <w:t>(3,025)</w:t>
            </w:r>
          </w:p>
        </w:tc>
        <w:tc>
          <w:tcPr>
            <w:tcW w:type="dxa" w:w="950"/>
          </w:tcPr>
          <w:p>
            <w:pPr>
              <w:spacing w:after="20"/>
              <w:jc w:val="right"/>
            </w:pPr>
            <w:r>
              <w:rPr>
                <w:color w:val="1C3A36"/>
                <w:sz w:val="15"/>
              </w:rPr>
              <w:t>(3,034)</w:t>
            </w:r>
          </w:p>
        </w:tc>
        <w:tc>
          <w:tcPr>
            <w:tcW w:type="dxa" w:w="950"/>
          </w:tcPr>
          <w:p>
            <w:pPr>
              <w:spacing w:after="20"/>
              <w:jc w:val="right"/>
            </w:pPr>
            <w:r>
              <w:rPr>
                <w:color w:val="1C3A36"/>
                <w:sz w:val="15"/>
              </w:rPr>
              <w:t>(3,020)</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1,900</w:t>
            </w:r>
          </w:p>
        </w:tc>
        <w:tc>
          <w:tcPr>
            <w:tcW w:type="dxa" w:w="950"/>
            <w:shd w:val="clear" w:color="auto" w:fill="F6F1E6"/>
          </w:tcPr>
          <w:p>
            <w:pPr>
              <w:spacing w:after="20"/>
              <w:jc w:val="right"/>
            </w:pPr>
            <w:r>
              <w:rPr>
                <w:b/>
                <w:color w:val="1C3A36"/>
                <w:sz w:val="15"/>
              </w:rPr>
              <w:t>2,036</w:t>
            </w:r>
          </w:p>
        </w:tc>
        <w:tc>
          <w:tcPr>
            <w:tcW w:type="dxa" w:w="950"/>
            <w:shd w:val="clear" w:color="auto" w:fill="F6F1E6"/>
          </w:tcPr>
          <w:p>
            <w:pPr>
              <w:spacing w:after="20"/>
              <w:jc w:val="right"/>
            </w:pPr>
            <w:r>
              <w:rPr>
                <w:b/>
                <w:color w:val="1C3A36"/>
                <w:sz w:val="15"/>
              </w:rPr>
              <w:t>2,119</w:t>
            </w:r>
          </w:p>
        </w:tc>
        <w:tc>
          <w:tcPr>
            <w:tcW w:type="dxa" w:w="950"/>
            <w:shd w:val="clear" w:color="auto" w:fill="F6F1E6"/>
          </w:tcPr>
          <w:p>
            <w:pPr>
              <w:spacing w:after="20"/>
              <w:jc w:val="right"/>
            </w:pPr>
            <w:r>
              <w:rPr>
                <w:b/>
                <w:color w:val="1C3A36"/>
                <w:sz w:val="15"/>
              </w:rPr>
              <w:t>2,022</w:t>
            </w:r>
          </w:p>
        </w:tc>
        <w:tc>
          <w:tcPr>
            <w:tcW w:type="dxa" w:w="950"/>
            <w:shd w:val="clear" w:color="auto" w:fill="F6F1E6"/>
          </w:tcPr>
          <w:p>
            <w:pPr>
              <w:spacing w:after="20"/>
              <w:jc w:val="right"/>
            </w:pPr>
            <w:r>
              <w:rPr>
                <w:b/>
                <w:color w:val="1C3A36"/>
                <w:sz w:val="15"/>
              </w:rPr>
              <w:t>1,865</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40.3%</w:t>
            </w:r>
          </w:p>
        </w:tc>
        <w:tc>
          <w:tcPr>
            <w:tcW w:type="dxa" w:w="950"/>
          </w:tcPr>
          <w:p>
            <w:pPr>
              <w:spacing w:after="20"/>
              <w:jc w:val="right"/>
            </w:pPr>
            <w:r>
              <w:rPr>
                <w:color w:val="1C3A36"/>
                <w:sz w:val="15"/>
              </w:rPr>
              <w:t>41.0%</w:t>
            </w:r>
          </w:p>
        </w:tc>
        <w:tc>
          <w:tcPr>
            <w:tcW w:type="dxa" w:w="950"/>
          </w:tcPr>
          <w:p>
            <w:pPr>
              <w:spacing w:after="20"/>
              <w:jc w:val="right"/>
            </w:pPr>
            <w:r>
              <w:rPr>
                <w:color w:val="1C3A36"/>
                <w:sz w:val="15"/>
              </w:rPr>
              <w:t>41.2%</w:t>
            </w:r>
          </w:p>
        </w:tc>
        <w:tc>
          <w:tcPr>
            <w:tcW w:type="dxa" w:w="950"/>
          </w:tcPr>
          <w:p>
            <w:pPr>
              <w:spacing w:after="20"/>
              <w:jc w:val="right"/>
            </w:pPr>
            <w:r>
              <w:rPr>
                <w:color w:val="1C3A36"/>
                <w:sz w:val="15"/>
              </w:rPr>
              <w:t>40.0%</w:t>
            </w:r>
          </w:p>
        </w:tc>
        <w:tc>
          <w:tcPr>
            <w:tcW w:type="dxa" w:w="950"/>
          </w:tcPr>
          <w:p>
            <w:pPr>
              <w:spacing w:after="20"/>
              <w:jc w:val="right"/>
            </w:pPr>
            <w:r>
              <w:rPr>
                <w:color w:val="1C3A36"/>
                <w:sz w:val="15"/>
              </w:rPr>
              <w:t>38.2%</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(538)</w:t>
            </w:r>
          </w:p>
        </w:tc>
        <w:tc>
          <w:tcPr>
            <w:tcW w:type="dxa" w:w="950"/>
          </w:tcPr>
          <w:p>
            <w:pPr>
              <w:spacing w:after="20"/>
              <w:jc w:val="right"/>
            </w:pPr>
            <w:r>
              <w:rPr>
                <w:color w:val="1C3A36"/>
                <w:sz w:val="15"/>
              </w:rPr>
              <w:t>(590)</w:t>
            </w:r>
          </w:p>
        </w:tc>
        <w:tc>
          <w:tcPr>
            <w:tcW w:type="dxa" w:w="950"/>
          </w:tcPr>
          <w:p>
            <w:pPr>
              <w:spacing w:after="20"/>
              <w:jc w:val="right"/>
            </w:pPr>
            <w:r>
              <w:rPr>
                <w:color w:val="1C3A36"/>
                <w:sz w:val="15"/>
              </w:rPr>
              <w:t>(636)</w:t>
            </w:r>
          </w:p>
        </w:tc>
        <w:tc>
          <w:tcPr>
            <w:tcW w:type="dxa" w:w="950"/>
          </w:tcPr>
          <w:p>
            <w:pPr>
              <w:spacing w:after="20"/>
              <w:jc w:val="right"/>
            </w:pPr>
            <w:r>
              <w:rPr>
                <w:color w:val="1C3A36"/>
                <w:sz w:val="15"/>
              </w:rPr>
              <w:t>(664)</w:t>
            </w:r>
          </w:p>
        </w:tc>
        <w:tc>
          <w:tcPr>
            <w:tcW w:type="dxa" w:w="950"/>
          </w:tcPr>
          <w:p>
            <w:pPr>
              <w:spacing w:after="20"/>
              <w:jc w:val="right"/>
            </w:pPr>
            <w:r>
              <w:rPr>
                <w:color w:val="1C3A36"/>
                <w:sz w:val="15"/>
              </w:rPr>
              <w:t>(674)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1,362</w:t>
            </w:r>
          </w:p>
        </w:tc>
        <w:tc>
          <w:tcPr>
            <w:tcW w:type="dxa" w:w="950"/>
          </w:tcPr>
          <w:p>
            <w:pPr>
              <w:spacing w:after="20"/>
              <w:jc w:val="right"/>
            </w:pPr>
            <w:r>
              <w:rPr>
                <w:color w:val="1C3A36"/>
                <w:sz w:val="15"/>
              </w:rPr>
              <w:t>1,446</w:t>
            </w:r>
          </w:p>
        </w:tc>
        <w:tc>
          <w:tcPr>
            <w:tcW w:type="dxa" w:w="950"/>
          </w:tcPr>
          <w:p>
            <w:pPr>
              <w:spacing w:after="20"/>
              <w:jc w:val="right"/>
            </w:pPr>
            <w:r>
              <w:rPr>
                <w:color w:val="1C3A36"/>
                <w:sz w:val="15"/>
              </w:rPr>
              <w:t>1,483</w:t>
            </w:r>
          </w:p>
        </w:tc>
        <w:tc>
          <w:tcPr>
            <w:tcW w:type="dxa" w:w="950"/>
          </w:tcPr>
          <w:p>
            <w:pPr>
              <w:spacing w:after="20"/>
              <w:jc w:val="right"/>
            </w:pPr>
            <w:r>
              <w:rPr>
                <w:color w:val="1C3A36"/>
                <w:sz w:val="15"/>
              </w:rPr>
              <w:t>1,358</w:t>
            </w:r>
          </w:p>
        </w:tc>
        <w:tc>
          <w:tcPr>
            <w:tcW w:type="dxa" w:w="950"/>
          </w:tcPr>
          <w:p>
            <w:pPr>
              <w:spacing w:after="20"/>
              <w:jc w:val="right"/>
            </w:pPr>
            <w:r>
              <w:rPr>
                <w:color w:val="1C3A36"/>
                <w:sz w:val="15"/>
              </w:rPr>
              <w:t>1,191</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(57)</w:t>
            </w:r>
          </w:p>
        </w:tc>
        <w:tc>
          <w:tcPr>
            <w:tcW w:type="dxa" w:w="950"/>
          </w:tcPr>
          <w:p>
            <w:pPr>
              <w:spacing w:after="20"/>
              <w:jc w:val="right"/>
            </w:pPr>
            <w:r>
              <w:rPr>
                <w:color w:val="1C3A36"/>
                <w:sz w:val="15"/>
              </w:rPr>
              <w:t>(67)</w:t>
            </w:r>
          </w:p>
        </w:tc>
        <w:tc>
          <w:tcPr>
            <w:tcW w:type="dxa" w:w="950"/>
          </w:tcPr>
          <w:p>
            <w:pPr>
              <w:spacing w:after="20"/>
              <w:jc w:val="right"/>
            </w:pPr>
            <w:r>
              <w:rPr>
                <w:color w:val="1C3A36"/>
                <w:sz w:val="15"/>
              </w:rPr>
              <w:t>(56)</w:t>
            </w:r>
          </w:p>
        </w:tc>
        <w:tc>
          <w:tcPr>
            <w:tcW w:type="dxa" w:w="950"/>
          </w:tcPr>
          <w:p>
            <w:pPr>
              <w:spacing w:after="20"/>
              <w:jc w:val="right"/>
            </w:pPr>
            <w:r>
              <w:rPr>
                <w:color w:val="1C3A36"/>
                <w:sz w:val="15"/>
              </w:rPr>
              <w:t>(40)</w:t>
            </w:r>
          </w:p>
        </w:tc>
        <w:tc>
          <w:tcPr>
            <w:tcW w:type="dxa" w:w="950"/>
          </w:tcPr>
          <w:p>
            <w:pPr>
              <w:spacing w:after="20"/>
              <w:jc w:val="right"/>
            </w:pPr>
            <w:r>
              <w:rPr>
                <w:color w:val="1C3A36"/>
                <w:sz w:val="15"/>
              </w:rPr>
              <w:t>(-4)</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1,305</w:t>
            </w:r>
          </w:p>
        </w:tc>
        <w:tc>
          <w:tcPr>
            <w:tcW w:type="dxa" w:w="950"/>
          </w:tcPr>
          <w:p>
            <w:pPr>
              <w:spacing w:after="20"/>
              <w:jc w:val="right"/>
            </w:pPr>
            <w:r>
              <w:rPr>
                <w:color w:val="1C3A36"/>
                <w:sz w:val="15"/>
              </w:rPr>
              <w:t>1,379</w:t>
            </w:r>
          </w:p>
        </w:tc>
        <w:tc>
          <w:tcPr>
            <w:tcW w:type="dxa" w:w="950"/>
          </w:tcPr>
          <w:p>
            <w:pPr>
              <w:spacing w:after="20"/>
              <w:jc w:val="right"/>
            </w:pPr>
            <w:r>
              <w:rPr>
                <w:color w:val="1C3A36"/>
                <w:sz w:val="15"/>
              </w:rPr>
              <w:t>1,428</w:t>
            </w:r>
          </w:p>
        </w:tc>
        <w:tc>
          <w:tcPr>
            <w:tcW w:type="dxa" w:w="950"/>
          </w:tcPr>
          <w:p>
            <w:pPr>
              <w:spacing w:after="20"/>
              <w:jc w:val="right"/>
            </w:pPr>
            <w:r>
              <w:rPr>
                <w:color w:val="1C3A36"/>
                <w:sz w:val="15"/>
              </w:rPr>
              <w:t>1,318</w:t>
            </w:r>
          </w:p>
        </w:tc>
        <w:tc>
          <w:tcPr>
            <w:tcW w:type="dxa" w:w="950"/>
          </w:tcPr>
          <w:p>
            <w:pPr>
              <w:spacing w:after="20"/>
              <w:jc w:val="right"/>
            </w:pPr>
            <w:r>
              <w:rPr>
                <w:color w:val="1C3A36"/>
                <w:sz w:val="15"/>
              </w:rPr>
              <w:t>1,196</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(47)</w:t>
            </w:r>
          </w:p>
        </w:tc>
        <w:tc>
          <w:tcPr>
            <w:tcW w:type="dxa" w:w="950"/>
          </w:tcPr>
          <w:p>
            <w:pPr>
              <w:spacing w:after="20"/>
              <w:jc w:val="right"/>
            </w:pPr>
            <w:r>
              <w:rPr>
                <w:color w:val="1C3A36"/>
                <w:sz w:val="15"/>
              </w:rPr>
              <w:t>(53)</w:t>
            </w:r>
          </w:p>
        </w:tc>
        <w:tc>
          <w:tcPr>
            <w:tcW w:type="dxa" w:w="950"/>
          </w:tcPr>
          <w:p>
            <w:pPr>
              <w:spacing w:after="20"/>
              <w:jc w:val="right"/>
            </w:pPr>
            <w:r>
              <w:rPr>
                <w:color w:val="1C3A36"/>
                <w:sz w:val="15"/>
              </w:rPr>
              <w:t>(56)</w:t>
            </w:r>
          </w:p>
        </w:tc>
        <w:tc>
          <w:tcPr>
            <w:tcW w:type="dxa" w:w="950"/>
          </w:tcPr>
          <w:p>
            <w:pPr>
              <w:spacing w:after="20"/>
              <w:jc w:val="right"/>
            </w:pPr>
            <w:r>
              <w:rPr>
                <w:color w:val="1C3A36"/>
                <w:sz w:val="15"/>
              </w:rPr>
              <w:t>(57)</w:t>
            </w:r>
          </w:p>
        </w:tc>
        <w:tc>
          <w:tcPr>
            <w:tcW w:type="dxa" w:w="950"/>
          </w:tcPr>
          <w:p>
            <w:pPr>
              <w:spacing w:after="20"/>
              <w:jc w:val="right"/>
            </w:pPr>
            <w:r>
              <w:rPr>
                <w:color w:val="1C3A36"/>
                <w:sz w:val="15"/>
              </w:rPr>
              <w:t>(60)</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1,257</w:t>
            </w:r>
          </w:p>
        </w:tc>
        <w:tc>
          <w:tcPr>
            <w:tcW w:type="dxa" w:w="950"/>
          </w:tcPr>
          <w:p>
            <w:pPr>
              <w:spacing w:after="20"/>
              <w:jc w:val="right"/>
            </w:pPr>
            <w:r>
              <w:rPr>
                <w:color w:val="1C3A36"/>
                <w:sz w:val="15"/>
              </w:rPr>
              <w:t>1,326</w:t>
            </w:r>
          </w:p>
        </w:tc>
        <w:tc>
          <w:tcPr>
            <w:tcW w:type="dxa" w:w="950"/>
          </w:tcPr>
          <w:p>
            <w:pPr>
              <w:spacing w:after="20"/>
              <w:jc w:val="right"/>
            </w:pPr>
            <w:r>
              <w:rPr>
                <w:color w:val="1C3A36"/>
                <w:sz w:val="15"/>
              </w:rPr>
              <w:t>1,371</w:t>
            </w:r>
          </w:p>
        </w:tc>
        <w:tc>
          <w:tcPr>
            <w:tcW w:type="dxa" w:w="950"/>
          </w:tcPr>
          <w:p>
            <w:pPr>
              <w:spacing w:after="20"/>
              <w:jc w:val="right"/>
            </w:pPr>
            <w:r>
              <w:rPr>
                <w:color w:val="1C3A36"/>
                <w:sz w:val="15"/>
              </w:rPr>
              <w:t>1,261</w:t>
            </w:r>
          </w:p>
        </w:tc>
        <w:tc>
          <w:tcPr>
            <w:tcW w:type="dxa" w:w="950"/>
          </w:tcPr>
          <w:p>
            <w:pPr>
              <w:spacing w:after="20"/>
              <w:jc w:val="right"/>
            </w:pPr>
            <w:r>
              <w:rPr>
                <w:color w:val="1C3A36"/>
                <w:sz w:val="15"/>
              </w:rPr>
              <w:t>1,135</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(117)</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(100)</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1,147</w:t>
            </w:r>
          </w:p>
        </w:tc>
        <w:tc>
          <w:tcPr>
            <w:tcW w:type="dxa" w:w="950"/>
            <w:shd w:val="clear" w:color="auto" w:fill="F6F1E6"/>
          </w:tcPr>
          <w:p>
            <w:pPr>
              <w:spacing w:after="20"/>
              <w:jc w:val="right"/>
            </w:pPr>
            <w:r>
              <w:rPr>
                <w:b/>
                <w:color w:val="1C3A36"/>
                <w:sz w:val="15"/>
              </w:rPr>
              <w:t>1,210</w:t>
            </w:r>
          </w:p>
        </w:tc>
        <w:tc>
          <w:tcPr>
            <w:tcW w:type="dxa" w:w="950"/>
            <w:shd w:val="clear" w:color="auto" w:fill="F6F1E6"/>
          </w:tcPr>
          <w:p>
            <w:pPr>
              <w:spacing w:after="20"/>
              <w:jc w:val="right"/>
            </w:pPr>
            <w:r>
              <w:rPr>
                <w:b/>
                <w:color w:val="1C3A36"/>
                <w:sz w:val="15"/>
              </w:rPr>
              <w:t>1,251</w:t>
            </w:r>
          </w:p>
        </w:tc>
        <w:tc>
          <w:tcPr>
            <w:tcW w:type="dxa" w:w="950"/>
            <w:shd w:val="clear" w:color="auto" w:fill="F6F1E6"/>
          </w:tcPr>
          <w:p>
            <w:pPr>
              <w:spacing w:after="20"/>
              <w:jc w:val="right"/>
            </w:pPr>
            <w:r>
              <w:rPr>
                <w:b/>
                <w:color w:val="1C3A36"/>
                <w:sz w:val="15"/>
              </w:rPr>
              <w:t>1,150</w:t>
            </w:r>
          </w:p>
        </w:tc>
        <w:tc>
          <w:tcPr>
            <w:tcW w:type="dxa" w:w="950"/>
            <w:shd w:val="clear" w:color="auto" w:fill="F6F1E6"/>
          </w:tcPr>
          <w:p>
            <w:pPr>
              <w:spacing w:after="20"/>
              <w:jc w:val="right"/>
            </w:pPr>
            <w:r>
              <w:rPr>
                <w:b/>
                <w:color w:val="1C3A36"/>
                <w:sz w:val="15"/>
              </w:rPr>
              <w:t>1,035</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1,050</w:t>
            </w:r>
          </w:p>
        </w:tc>
        <w:tc>
          <w:tcPr>
            <w:tcW w:type="dxa" w:w="950"/>
          </w:tcPr>
          <w:p>
            <w:pPr>
              <w:spacing w:after="20"/>
              <w:jc w:val="right"/>
            </w:pPr>
            <w:r>
              <w:rPr>
                <w:color w:val="1C3A36"/>
                <w:sz w:val="15"/>
              </w:rPr>
              <w:t>1,113</w:t>
            </w:r>
          </w:p>
        </w:tc>
        <w:tc>
          <w:tcPr>
            <w:tcW w:type="dxa" w:w="950"/>
          </w:tcPr>
          <w:p>
            <w:pPr>
              <w:spacing w:after="20"/>
              <w:jc w:val="right"/>
            </w:pPr>
            <w:r>
              <w:rPr>
                <w:color w:val="1C3A36"/>
                <w:sz w:val="15"/>
              </w:rPr>
              <w:t>1,154</w:t>
            </w:r>
          </w:p>
        </w:tc>
        <w:tc>
          <w:tcPr>
            <w:tcW w:type="dxa" w:w="950"/>
          </w:tcPr>
          <w:p>
            <w:pPr>
              <w:spacing w:after="20"/>
              <w:jc w:val="right"/>
            </w:pPr>
            <w:r>
              <w:rPr>
                <w:color w:val="1C3A36"/>
                <w:sz w:val="15"/>
              </w:rPr>
              <w:t>1,053</w:t>
            </w:r>
          </w:p>
        </w:tc>
        <w:tc>
          <w:tcPr>
            <w:tcW w:type="dxa" w:w="950"/>
          </w:tcPr>
          <w:p>
            <w:pPr>
              <w:spacing w:after="20"/>
              <w:jc w:val="right"/>
            </w:pPr>
            <w:r>
              <w:rPr>
                <w:color w:val="1C3A36"/>
                <w:sz w:val="15"/>
              </w:rPr>
              <w:t>938</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0.142</w:t>
            </w:r>
          </w:p>
        </w:tc>
        <w:tc>
          <w:tcPr>
            <w:tcW w:type="dxa" w:w="950"/>
            <w:shd w:val="clear" w:color="auto" w:fill="F6F1E6"/>
          </w:tcPr>
          <w:p>
            <w:pPr>
              <w:spacing w:after="20"/>
              <w:jc w:val="right"/>
            </w:pPr>
            <w:r>
              <w:rPr>
                <w:b/>
                <w:color w:val="1C3A36"/>
                <w:sz w:val="15"/>
              </w:rPr>
              <w:t>0.150</w:t>
            </w:r>
          </w:p>
        </w:tc>
        <w:tc>
          <w:tcPr>
            <w:tcW w:type="dxa" w:w="950"/>
            <w:shd w:val="clear" w:color="auto" w:fill="F6F1E6"/>
          </w:tcPr>
          <w:p>
            <w:pPr>
              <w:spacing w:after="20"/>
              <w:jc w:val="right"/>
            </w:pPr>
            <w:r>
              <w:rPr>
                <w:b/>
                <w:color w:val="1C3A36"/>
                <w:sz w:val="15"/>
              </w:rPr>
              <w:t>0.156</w:t>
            </w:r>
          </w:p>
        </w:tc>
        <w:tc>
          <w:tcPr>
            <w:tcW w:type="dxa" w:w="950"/>
            <w:shd w:val="clear" w:color="auto" w:fill="F6F1E6"/>
          </w:tcPr>
          <w:p>
            <w:pPr>
              <w:spacing w:after="20"/>
              <w:jc w:val="right"/>
            </w:pPr>
            <w:r>
              <w:rPr>
                <w:b/>
                <w:color w:val="1C3A36"/>
                <w:sz w:val="15"/>
              </w:rPr>
              <w:t>0.142</w:t>
            </w:r>
          </w:p>
        </w:tc>
        <w:tc>
          <w:tcPr>
            <w:tcW w:type="dxa" w:w="950"/>
            <w:shd w:val="clear" w:color="auto" w:fill="F6F1E6"/>
          </w:tcPr>
          <w:p>
            <w:pPr>
              <w:spacing w:after="20"/>
              <w:jc w:val="right"/>
            </w:pPr>
            <w:r>
              <w:rPr>
                <w:b/>
                <w:color w:val="1C3A36"/>
                <w:sz w:val="15"/>
              </w:rPr>
              <w:t>0.127</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0.155</w:t>
            </w:r>
          </w:p>
        </w:tc>
        <w:tc>
          <w:tcPr>
            <w:tcW w:type="dxa" w:w="950"/>
          </w:tcPr>
          <w:p>
            <w:pPr>
              <w:spacing w:after="20"/>
              <w:jc w:val="right"/>
            </w:pPr>
            <w:r>
              <w:rPr>
                <w:color w:val="1C3A36"/>
                <w:sz w:val="15"/>
              </w:rPr>
              <w:t>0.163</w:t>
            </w:r>
          </w:p>
        </w:tc>
        <w:tc>
          <w:tcPr>
            <w:tcW w:type="dxa" w:w="950"/>
          </w:tcPr>
          <w:p>
            <w:pPr>
              <w:spacing w:after="20"/>
              <w:jc w:val="right"/>
            </w:pPr>
            <w:r>
              <w:rPr>
                <w:color w:val="1C3A36"/>
                <w:sz w:val="15"/>
              </w:rPr>
              <w:t>0.169</w:t>
            </w:r>
          </w:p>
        </w:tc>
        <w:tc>
          <w:tcPr>
            <w:tcW w:type="dxa" w:w="950"/>
          </w:tcPr>
          <w:p>
            <w:pPr>
              <w:spacing w:after="20"/>
              <w:jc w:val="right"/>
            </w:pPr>
            <w:r>
              <w:rPr>
                <w:color w:val="1C3A36"/>
                <w:sz w:val="15"/>
              </w:rPr>
              <w:t>0.155</w:t>
            </w:r>
          </w:p>
        </w:tc>
        <w:tc>
          <w:tcPr>
            <w:tcW w:type="dxa" w:w="950"/>
          </w:tcPr>
          <w:p>
            <w:pPr>
              <w:spacing w:after="20"/>
              <w:jc w:val="right"/>
            </w:pPr>
            <w:r>
              <w:rPr>
                <w:color w:val="1C3A36"/>
                <w:sz w:val="15"/>
              </w:rPr>
              <w:t>0.140</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9.2%;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7,833</w:t>
            </w:r>
          </w:p>
        </w:tc>
        <w:tc>
          <w:tcPr>
            <w:tcW w:type="dxa" w:w="950"/>
          </w:tcPr>
          <w:p>
            <w:pPr>
              <w:spacing w:after="20"/>
              <w:jc w:val="right"/>
            </w:pPr>
            <w:r>
              <w:rPr>
                <w:color w:val="1C3A36"/>
                <w:sz w:val="15"/>
              </w:rPr>
              <w:t>8,602</w:t>
            </w:r>
          </w:p>
        </w:tc>
        <w:tc>
          <w:tcPr>
            <w:tcW w:type="dxa" w:w="950"/>
          </w:tcPr>
          <w:p>
            <w:pPr>
              <w:spacing w:after="20"/>
              <w:jc w:val="right"/>
            </w:pPr>
            <w:r>
              <w:rPr>
                <w:color w:val="1C3A36"/>
                <w:sz w:val="15"/>
              </w:rPr>
              <w:t>9,327</w:t>
            </w:r>
          </w:p>
        </w:tc>
        <w:tc>
          <w:tcPr>
            <w:tcW w:type="dxa" w:w="950"/>
          </w:tcPr>
          <w:p>
            <w:pPr>
              <w:spacing w:after="20"/>
              <w:jc w:val="right"/>
            </w:pPr>
            <w:r>
              <w:rPr>
                <w:color w:val="1C3A36"/>
                <w:sz w:val="15"/>
              </w:rPr>
              <w:t>9,482</w:t>
            </w:r>
          </w:p>
        </w:tc>
        <w:tc>
          <w:tcPr>
            <w:tcW w:type="dxa" w:w="950"/>
          </w:tcPr>
          <w:p>
            <w:pPr>
              <w:spacing w:after="20"/>
              <w:jc w:val="right"/>
            </w:pPr>
            <w:r>
              <w:rPr>
                <w:color w:val="1C3A36"/>
                <w:sz w:val="15"/>
              </w:rPr>
              <w:t>9,580</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493</w:t>
            </w:r>
          </w:p>
        </w:tc>
        <w:tc>
          <w:tcPr>
            <w:tcW w:type="dxa" w:w="950"/>
            <w:shd w:val="clear" w:color="auto" w:fill="F6F1E6"/>
          </w:tcPr>
          <w:p>
            <w:pPr>
              <w:spacing w:after="20"/>
              <w:jc w:val="right"/>
            </w:pPr>
            <w:r>
              <w:rPr>
                <w:b/>
                <w:color w:val="1C3A36"/>
                <w:sz w:val="15"/>
              </w:rPr>
              <w:t>531</w:t>
            </w:r>
          </w:p>
        </w:tc>
        <w:tc>
          <w:tcPr>
            <w:tcW w:type="dxa" w:w="950"/>
            <w:shd w:val="clear" w:color="auto" w:fill="F6F1E6"/>
          </w:tcPr>
          <w:p>
            <w:pPr>
              <w:spacing w:after="20"/>
              <w:jc w:val="right"/>
            </w:pPr>
            <w:r>
              <w:rPr>
                <w:b/>
                <w:color w:val="1C3A36"/>
                <w:sz w:val="15"/>
              </w:rPr>
              <w:t>553</w:t>
            </w:r>
          </w:p>
        </w:tc>
        <w:tc>
          <w:tcPr>
            <w:tcW w:type="dxa" w:w="950"/>
            <w:shd w:val="clear" w:color="auto" w:fill="F6F1E6"/>
          </w:tcPr>
          <w:p>
            <w:pPr>
              <w:spacing w:after="20"/>
              <w:jc w:val="right"/>
            </w:pPr>
            <w:r>
              <w:rPr>
                <w:b/>
                <w:color w:val="1C3A36"/>
                <w:sz w:val="15"/>
              </w:rPr>
              <w:t>524</w:t>
            </w:r>
          </w:p>
        </w:tc>
        <w:tc>
          <w:tcPr>
            <w:tcW w:type="dxa" w:w="950"/>
            <w:shd w:val="clear" w:color="auto" w:fill="F6F1E6"/>
          </w:tcPr>
          <w:p>
            <w:pPr>
              <w:spacing w:after="20"/>
              <w:jc w:val="right"/>
            </w:pPr>
            <w:r>
              <w:rPr>
                <w:b/>
                <w:color w:val="1C3A36"/>
                <w:sz w:val="15"/>
              </w:rPr>
              <w:t>478</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1,417</w:t>
            </w:r>
          </w:p>
        </w:tc>
        <w:tc>
          <w:tcPr>
            <w:tcW w:type="dxa" w:w="950"/>
          </w:tcPr>
          <w:p>
            <w:pPr>
              <w:spacing w:after="20"/>
              <w:jc w:val="right"/>
            </w:pPr>
            <w:r>
              <w:rPr>
                <w:color w:val="1C3A36"/>
                <w:sz w:val="15"/>
              </w:rPr>
              <w:t>1,578</w:t>
            </w:r>
          </w:p>
        </w:tc>
        <w:tc>
          <w:tcPr>
            <w:tcW w:type="dxa" w:w="950"/>
          </w:tcPr>
          <w:p>
            <w:pPr>
              <w:spacing w:after="20"/>
              <w:jc w:val="right"/>
            </w:pPr>
            <w:r>
              <w:rPr>
                <w:color w:val="1C3A36"/>
                <w:sz w:val="15"/>
              </w:rPr>
              <w:t>1,395</w:t>
            </w:r>
          </w:p>
        </w:tc>
        <w:tc>
          <w:tcPr>
            <w:tcW w:type="dxa" w:w="950"/>
          </w:tcPr>
          <w:p>
            <w:pPr>
              <w:spacing w:after="20"/>
              <w:jc w:val="right"/>
            </w:pPr>
            <w:r>
              <w:rPr>
                <w:color w:val="1C3A36"/>
                <w:sz w:val="15"/>
              </w:rPr>
              <w:t>1,125</w:t>
            </w:r>
          </w:p>
        </w:tc>
        <w:tc>
          <w:tcPr>
            <w:tcW w:type="dxa" w:w="950"/>
          </w:tcPr>
          <w:p>
            <w:pPr>
              <w:spacing w:after="20"/>
              <w:jc w:val="right"/>
            </w:pPr>
            <w:r>
              <w:rPr>
                <w:color w:val="1C3A36"/>
                <w:sz w:val="15"/>
              </w:rPr>
              <w:t>361</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882</w:t>
            </w:r>
          </w:p>
        </w:tc>
        <w:tc>
          <w:tcPr>
            <w:tcW w:type="dxa" w:w="950"/>
          </w:tcPr>
          <w:p>
            <w:pPr>
              <w:spacing w:after="20"/>
              <w:jc w:val="right"/>
            </w:pPr>
            <w:r>
              <w:rPr>
                <w:color w:val="1C3A36"/>
                <w:sz w:val="15"/>
              </w:rPr>
              <w:t>699</w:t>
            </w:r>
          </w:p>
        </w:tc>
        <w:tc>
          <w:tcPr>
            <w:tcW w:type="dxa" w:w="950"/>
          </w:tcPr>
          <w:p>
            <w:pPr>
              <w:spacing w:after="20"/>
              <w:jc w:val="right"/>
            </w:pPr>
            <w:r>
              <w:rPr>
                <w:color w:val="1C3A36"/>
                <w:sz w:val="15"/>
              </w:rPr>
              <w:t>430</w:t>
            </w:r>
          </w:p>
        </w:tc>
        <w:tc>
          <w:tcPr>
            <w:tcW w:type="dxa" w:w="950"/>
          </w:tcPr>
          <w:p>
            <w:pPr>
              <w:spacing w:after="20"/>
              <w:jc w:val="right"/>
            </w:pPr>
            <w:r>
              <w:rPr>
                <w:color w:val="1C3A36"/>
                <w:sz w:val="15"/>
              </w:rPr>
              <w:t>(334)</w:t>
            </w:r>
          </w:p>
        </w:tc>
        <w:tc>
          <w:tcPr>
            <w:tcW w:type="dxa" w:w="950"/>
          </w:tcPr>
          <w:p>
            <w:pPr>
              <w:spacing w:after="20"/>
              <w:jc w:val="right"/>
            </w:pPr>
            <w:r>
              <w:rPr>
                <w:color w:val="1C3A36"/>
                <w:sz w:val="15"/>
              </w:rPr>
              <w:t>(1,028)</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5,783</w:t>
            </w:r>
          </w:p>
        </w:tc>
        <w:tc>
          <w:tcPr>
            <w:tcW w:type="dxa" w:w="950"/>
            <w:shd w:val="clear" w:color="auto" w:fill="F6F1E6"/>
          </w:tcPr>
          <w:p>
            <w:pPr>
              <w:spacing w:after="20"/>
              <w:jc w:val="right"/>
            </w:pPr>
            <w:r>
              <w:rPr>
                <w:b/>
                <w:color w:val="1C3A36"/>
                <w:sz w:val="15"/>
              </w:rPr>
              <w:t>6,537</w:t>
            </w:r>
          </w:p>
        </w:tc>
        <w:tc>
          <w:tcPr>
            <w:tcW w:type="dxa" w:w="950"/>
            <w:shd w:val="clear" w:color="auto" w:fill="F6F1E6"/>
          </w:tcPr>
          <w:p>
            <w:pPr>
              <w:spacing w:after="20"/>
              <w:jc w:val="right"/>
            </w:pPr>
            <w:r>
              <w:rPr>
                <w:b/>
                <w:color w:val="1C3A36"/>
                <w:sz w:val="15"/>
              </w:rPr>
              <w:t>7,315</w:t>
            </w:r>
          </w:p>
        </w:tc>
        <w:tc>
          <w:tcPr>
            <w:tcW w:type="dxa" w:w="950"/>
            <w:shd w:val="clear" w:color="auto" w:fill="F6F1E6"/>
          </w:tcPr>
          <w:p>
            <w:pPr>
              <w:spacing w:after="20"/>
              <w:jc w:val="right"/>
            </w:pPr>
            <w:r>
              <w:rPr>
                <w:b/>
                <w:color w:val="1C3A36"/>
                <w:sz w:val="15"/>
              </w:rPr>
              <w:t>7,973</w:t>
            </w:r>
          </w:p>
        </w:tc>
        <w:tc>
          <w:tcPr>
            <w:tcW w:type="dxa" w:w="950"/>
            <w:shd w:val="clear" w:color="auto" w:fill="F6F1E6"/>
          </w:tcPr>
          <w:p>
            <w:pPr>
              <w:spacing w:after="20"/>
              <w:jc w:val="right"/>
            </w:pPr>
            <w:r>
              <w:rPr>
                <w:b/>
                <w:color w:val="1C3A36"/>
                <w:sz w:val="15"/>
              </w:rPr>
              <w:t>8,497</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0.7816</w:t>
            </w:r>
          </w:p>
        </w:tc>
        <w:tc>
          <w:tcPr>
            <w:tcW w:type="dxa" w:w="950"/>
          </w:tcPr>
          <w:p>
            <w:pPr>
              <w:spacing w:after="20"/>
              <w:jc w:val="right"/>
            </w:pPr>
            <w:r>
              <w:rPr>
                <w:color w:val="1C3A36"/>
                <w:sz w:val="15"/>
              </w:rPr>
              <w:t>0.8836</w:t>
            </w:r>
          </w:p>
        </w:tc>
        <w:tc>
          <w:tcPr>
            <w:tcW w:type="dxa" w:w="950"/>
          </w:tcPr>
          <w:p>
            <w:pPr>
              <w:spacing w:after="20"/>
              <w:jc w:val="right"/>
            </w:pPr>
            <w:r>
              <w:rPr>
                <w:color w:val="1C3A36"/>
                <w:sz w:val="15"/>
              </w:rPr>
              <w:t>0.9887</w:t>
            </w:r>
          </w:p>
        </w:tc>
        <w:tc>
          <w:tcPr>
            <w:tcW w:type="dxa" w:w="950"/>
          </w:tcPr>
          <w:p>
            <w:pPr>
              <w:spacing w:after="20"/>
              <w:jc w:val="right"/>
            </w:pPr>
            <w:r>
              <w:rPr>
                <w:color w:val="1C3A36"/>
                <w:sz w:val="15"/>
              </w:rPr>
              <w:t>1.0776</w:t>
            </w:r>
          </w:p>
        </w:tc>
        <w:tc>
          <w:tcPr>
            <w:tcW w:type="dxa" w:w="950"/>
          </w:tcPr>
          <w:p>
            <w:pPr>
              <w:spacing w:after="20"/>
              <w:jc w:val="right"/>
            </w:pPr>
            <w:r>
              <w:rPr>
                <w:color w:val="1C3A36"/>
                <w:sz w:val="15"/>
              </w:rPr>
              <w:t>1.1484</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0.46×</w:t>
            </w:r>
          </w:p>
        </w:tc>
        <w:tc>
          <w:tcPr>
            <w:tcW w:type="dxa" w:w="950"/>
          </w:tcPr>
          <w:p>
            <w:pPr>
              <w:spacing w:after="20"/>
              <w:jc w:val="right"/>
            </w:pPr>
            <w:r>
              <w:rPr>
                <w:color w:val="1C3A36"/>
                <w:sz w:val="15"/>
              </w:rPr>
              <w:t>0.46×</w:t>
            </w:r>
          </w:p>
        </w:tc>
        <w:tc>
          <w:tcPr>
            <w:tcW w:type="dxa" w:w="950"/>
          </w:tcPr>
          <w:p>
            <w:pPr>
              <w:spacing w:after="20"/>
              <w:jc w:val="right"/>
            </w:pPr>
            <w:r>
              <w:rPr>
                <w:color w:val="1C3A36"/>
                <w:sz w:val="15"/>
              </w:rPr>
              <w:t>0.34×</w:t>
            </w:r>
          </w:p>
        </w:tc>
        <w:tc>
          <w:tcPr>
            <w:tcW w:type="dxa" w:w="950"/>
          </w:tcPr>
          <w:p>
            <w:pPr>
              <w:spacing w:after="20"/>
              <w:jc w:val="right"/>
            </w:pPr>
            <w:r>
              <w:rPr>
                <w:color w:val="1C3A36"/>
                <w:sz w:val="15"/>
              </w:rPr>
              <w:t>0.20×</w:t>
            </w:r>
          </w:p>
        </w:tc>
        <w:tc>
          <w:tcPr>
            <w:tcW w:type="dxa" w:w="950"/>
          </w:tcPr>
          <w:p>
            <w:pPr>
              <w:spacing w:after="20"/>
              <w:jc w:val="right"/>
            </w:pPr>
            <w:r>
              <w:rPr>
                <w:color w:val="1C3A36"/>
                <w:sz w:val="15"/>
              </w:rPr>
              <w:t>-0.17×</w:t>
            </w:r>
          </w:p>
        </w:tc>
        <w:tc>
          <w:tcPr>
            <w:tcW w:type="dxa" w:w="950"/>
          </w:tcPr>
          <w:p>
            <w:pPr>
              <w:spacing w:after="20"/>
              <w:jc w:val="right"/>
            </w:pPr>
            <w:r>
              <w:rPr>
                <w:color w:val="1C3A36"/>
                <w:sz w:val="15"/>
              </w:rPr>
              <w:t>-0.55×</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21.1%</w:t>
            </w:r>
          </w:p>
        </w:tc>
        <w:tc>
          <w:tcPr>
            <w:tcW w:type="dxa" w:w="950"/>
          </w:tcPr>
          <w:p>
            <w:pPr>
              <w:spacing w:after="20"/>
              <w:jc w:val="right"/>
            </w:pPr>
            <w:r>
              <w:rPr>
                <w:color w:val="1C3A36"/>
                <w:sz w:val="15"/>
              </w:rPr>
              <w:t>19.6%</w:t>
            </w:r>
          </w:p>
        </w:tc>
        <w:tc>
          <w:tcPr>
            <w:tcW w:type="dxa" w:w="950"/>
          </w:tcPr>
          <w:p>
            <w:pPr>
              <w:spacing w:after="20"/>
              <w:jc w:val="right"/>
            </w:pPr>
            <w:r>
              <w:rPr>
                <w:color w:val="1C3A36"/>
                <w:sz w:val="15"/>
              </w:rPr>
              <w:t>18.1%</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12.6%</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(22)</w:t>
            </w:r>
          </w:p>
        </w:tc>
        <w:tc>
          <w:tcPr>
            <w:tcW w:type="dxa" w:w="1382"/>
          </w:tcPr>
          <w:p>
            <w:pPr>
              <w:spacing w:after="20"/>
              <w:jc w:val="right"/>
            </w:pPr>
            <w:r>
              <w:rPr>
                <w:color w:val="1C3A36"/>
                <w:sz w:val="16"/>
              </w:rPr>
              <w:t>29</w:t>
            </w:r>
          </w:p>
        </w:tc>
        <w:tc>
          <w:tcPr>
            <w:tcW w:type="dxa" w:w="1382"/>
          </w:tcPr>
          <w:p>
            <w:pPr>
              <w:spacing w:after="20"/>
              <w:jc w:val="right"/>
            </w:pPr>
            <w:r>
              <w:rPr>
                <w:color w:val="1C3A36"/>
                <w:sz w:val="16"/>
              </w:rPr>
              <w:t>46</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329</w:t>
            </w:r>
          </w:p>
        </w:tc>
        <w:tc>
          <w:tcPr>
            <w:tcW w:type="dxa" w:w="1382"/>
            <w:shd w:val="clear" w:color="auto" w:fill="F6F1E6"/>
          </w:tcPr>
          <w:p>
            <w:pPr>
              <w:spacing w:after="20"/>
              <w:jc w:val="right"/>
            </w:pPr>
            <w:r>
              <w:rPr>
                <w:b/>
                <w:color w:val="1C3A36"/>
                <w:sz w:val="16"/>
              </w:rPr>
              <w:t>698</w:t>
            </w:r>
          </w:p>
        </w:tc>
        <w:tc>
          <w:tcPr>
            <w:tcW w:type="dxa" w:w="1382"/>
            <w:shd w:val="clear" w:color="auto" w:fill="F6F1E6"/>
          </w:tcPr>
          <w:p>
            <w:pPr>
              <w:spacing w:after="20"/>
              <w:jc w:val="right"/>
            </w:pPr>
            <w:r>
              <w:rPr>
                <w:b/>
                <w:color w:val="1C3A36"/>
                <w:sz w:val="16"/>
              </w:rPr>
              <w:t>793</w:t>
            </w:r>
          </w:p>
        </w:tc>
        <w:tc>
          <w:tcPr>
            <w:tcW w:type="dxa" w:w="1382"/>
            <w:shd w:val="clear" w:color="auto" w:fill="F6F1E6"/>
          </w:tcPr>
          <w:p>
            <w:pPr>
              <w:spacing w:after="20"/>
              <w:jc w:val="right"/>
            </w:pPr>
            <w:r>
              <w:rPr>
                <w:b/>
                <w:color w:val="1C3A36"/>
                <w:sz w:val="16"/>
              </w:rPr>
              <w:t>1,292</w:t>
            </w:r>
          </w:p>
        </w:tc>
        <w:tc>
          <w:tcPr>
            <w:tcW w:type="dxa" w:w="1382"/>
            <w:shd w:val="clear" w:color="auto" w:fill="F6F1E6"/>
          </w:tcPr>
          <w:p>
            <w:pPr>
              <w:spacing w:after="20"/>
              <w:jc w:val="right"/>
            </w:pPr>
            <w:r>
              <w:rPr>
                <w:b/>
                <w:color w:val="1C3A36"/>
                <w:sz w:val="16"/>
              </w:rPr>
              <w:t>1,201</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(83)</w:t>
            </w:r>
          </w:p>
        </w:tc>
        <w:tc>
          <w:tcPr>
            <w:tcW w:type="dxa" w:w="1382"/>
          </w:tcPr>
          <w:p>
            <w:pPr>
              <w:spacing w:after="20"/>
              <w:jc w:val="right"/>
            </w:pPr>
            <w:r>
              <w:rPr>
                <w:color w:val="1C3A36"/>
                <w:sz w:val="16"/>
              </w:rPr>
              <w:t>(92)</w:t>
            </w:r>
          </w:p>
        </w:tc>
        <w:tc>
          <w:tcPr>
            <w:tcW w:type="dxa" w:w="1382"/>
          </w:tcPr>
          <w:p>
            <w:pPr>
              <w:spacing w:after="20"/>
              <w:jc w:val="right"/>
            </w:pPr>
            <w:r>
              <w:rPr>
                <w:color w:val="1C3A36"/>
                <w:sz w:val="16"/>
              </w:rPr>
              <w:t>(81)</w:t>
            </w:r>
          </w:p>
        </w:tc>
        <w:tc>
          <w:tcPr>
            <w:tcW w:type="dxa" w:w="1382"/>
          </w:tcPr>
          <w:p>
            <w:pPr>
              <w:spacing w:after="20"/>
              <w:jc w:val="right"/>
            </w:pPr>
            <w:r>
              <w:rPr>
                <w:color w:val="1C3A36"/>
                <w:sz w:val="16"/>
              </w:rPr>
              <w:t>(66)</w:t>
            </w:r>
          </w:p>
        </w:tc>
        <w:tc>
          <w:tcPr>
            <w:tcW w:type="dxa" w:w="1382"/>
          </w:tcPr>
          <w:p>
            <w:pPr>
              <w:spacing w:after="20"/>
              <w:jc w:val="right"/>
            </w:pPr>
            <w:r>
              <w:rPr>
                <w:color w:val="1C3A36"/>
                <w:sz w:val="16"/>
              </w:rPr>
              <w:t>(21)</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40%</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1,417</w:t>
            </w:r>
          </w:p>
        </w:tc>
        <w:tc>
          <w:tcPr>
            <w:tcW w:type="dxa" w:w="1382"/>
          </w:tcPr>
          <w:p>
            <w:pPr>
              <w:spacing w:after="20"/>
              <w:jc w:val="right"/>
            </w:pPr>
            <w:r>
              <w:rPr>
                <w:color w:val="1C3A36"/>
                <w:sz w:val="16"/>
              </w:rPr>
              <w:t>1,578</w:t>
            </w:r>
          </w:p>
        </w:tc>
        <w:tc>
          <w:tcPr>
            <w:tcW w:type="dxa" w:w="1382"/>
          </w:tcPr>
          <w:p>
            <w:pPr>
              <w:spacing w:after="20"/>
              <w:jc w:val="right"/>
            </w:pPr>
            <w:r>
              <w:rPr>
                <w:color w:val="1C3A36"/>
                <w:sz w:val="16"/>
              </w:rPr>
              <w:t>1,395</w:t>
            </w:r>
          </w:p>
        </w:tc>
        <w:tc>
          <w:tcPr>
            <w:tcW w:type="dxa" w:w="1382"/>
          </w:tcPr>
          <w:p>
            <w:pPr>
              <w:spacing w:after="20"/>
              <w:jc w:val="right"/>
            </w:pPr>
            <w:r>
              <w:rPr>
                <w:color w:val="1C3A36"/>
                <w:sz w:val="16"/>
              </w:rPr>
              <w:t>1,125</w:t>
            </w:r>
          </w:p>
        </w:tc>
        <w:tc>
          <w:tcPr>
            <w:tcW w:type="dxa" w:w="1382"/>
          </w:tcPr>
          <w:p>
            <w:pPr>
              <w:spacing w:after="20"/>
              <w:jc w:val="right"/>
            </w:pPr>
            <w:r>
              <w:rPr>
                <w:color w:val="1C3A36"/>
                <w:sz w:val="16"/>
              </w:rPr>
              <w:t>361</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882</w:t>
            </w:r>
          </w:p>
        </w:tc>
        <w:tc>
          <w:tcPr>
            <w:tcW w:type="dxa" w:w="1382"/>
          </w:tcPr>
          <w:p>
            <w:pPr>
              <w:spacing w:after="20"/>
              <w:jc w:val="right"/>
            </w:pPr>
            <w:r>
              <w:rPr>
                <w:color w:val="1C3A36"/>
                <w:sz w:val="16"/>
              </w:rPr>
              <w:t>699</w:t>
            </w:r>
          </w:p>
        </w:tc>
        <w:tc>
          <w:tcPr>
            <w:tcW w:type="dxa" w:w="1382"/>
          </w:tcPr>
          <w:p>
            <w:pPr>
              <w:spacing w:after="20"/>
              <w:jc w:val="right"/>
            </w:pPr>
            <w:r>
              <w:rPr>
                <w:color w:val="1C3A36"/>
                <w:sz w:val="16"/>
              </w:rPr>
              <w:t>430</w:t>
            </w:r>
          </w:p>
        </w:tc>
        <w:tc>
          <w:tcPr>
            <w:tcW w:type="dxa" w:w="1382"/>
          </w:tcPr>
          <w:p>
            <w:pPr>
              <w:spacing w:after="20"/>
              <w:jc w:val="right"/>
            </w:pPr>
            <w:r>
              <w:rPr>
                <w:color w:val="1C3A36"/>
                <w:sz w:val="16"/>
              </w:rPr>
              <w:t>(334)</w:t>
            </w:r>
          </w:p>
        </w:tc>
        <w:tc>
          <w:tcPr>
            <w:tcW w:type="dxa" w:w="1382"/>
          </w:tcPr>
          <w:p>
            <w:pPr>
              <w:spacing w:after="20"/>
              <w:jc w:val="right"/>
            </w:pPr>
            <w:r>
              <w:rPr>
                <w:color w:val="1C3A36"/>
                <w:sz w:val="16"/>
              </w:rPr>
              <w:t>(1,028)</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0.46×</w:t>
            </w:r>
          </w:p>
        </w:tc>
        <w:tc>
          <w:tcPr>
            <w:tcW w:type="dxa" w:w="1382"/>
            <w:shd w:val="clear" w:color="auto" w:fill="F6F1E6"/>
          </w:tcPr>
          <w:p>
            <w:pPr>
              <w:spacing w:after="20"/>
              <w:jc w:val="right"/>
            </w:pPr>
            <w:r>
              <w:rPr>
                <w:b/>
                <w:color w:val="1C3A36"/>
                <w:sz w:val="16"/>
              </w:rPr>
              <w:t>0.34×</w:t>
            </w:r>
          </w:p>
        </w:tc>
        <w:tc>
          <w:tcPr>
            <w:tcW w:type="dxa" w:w="1382"/>
            <w:shd w:val="clear" w:color="auto" w:fill="F6F1E6"/>
          </w:tcPr>
          <w:p>
            <w:pPr>
              <w:spacing w:after="20"/>
              <w:jc w:val="right"/>
            </w:pPr>
            <w:r>
              <w:rPr>
                <w:b/>
                <w:color w:val="1C3A36"/>
                <w:sz w:val="16"/>
              </w:rPr>
              <w:t>0.20×</w:t>
            </w:r>
          </w:p>
        </w:tc>
        <w:tc>
          <w:tcPr>
            <w:tcW w:type="dxa" w:w="1382"/>
            <w:shd w:val="clear" w:color="auto" w:fill="F6F1E6"/>
          </w:tcPr>
          <w:p>
            <w:pPr>
              <w:spacing w:after="20"/>
              <w:jc w:val="right"/>
            </w:pPr>
            <w:r>
              <w:rPr>
                <w:b/>
                <w:color w:val="1C3A36"/>
                <w:sz w:val="16"/>
              </w:rPr>
              <w:t>-0.17×</w:t>
            </w:r>
          </w:p>
        </w:tc>
        <w:tc>
          <w:tcPr>
            <w:tcW w:type="dxa" w:w="1382"/>
            <w:shd w:val="clear" w:color="auto" w:fill="F6F1E6"/>
          </w:tcPr>
          <w:p>
            <w:pPr>
              <w:spacing w:after="20"/>
              <w:jc w:val="right"/>
            </w:pPr>
            <w:r>
              <w:rPr>
                <w:b/>
                <w:color w:val="1C3A36"/>
                <w:sz w:val="16"/>
              </w:rPr>
              <w:t>-0.55×</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8,397</w:t>
            </w:r>
          </w:p>
        </w:tc>
        <w:tc>
          <w:tcPr>
            <w:tcW w:type="dxa" w:w="1382"/>
          </w:tcPr>
          <w:p>
            <w:pPr>
              <w:spacing w:after="20"/>
              <w:jc w:val="right"/>
            </w:pPr>
            <w:r>
              <w:rPr>
                <w:color w:val="1C3A36"/>
                <w:sz w:val="16"/>
              </w:rPr>
              <w:t>9,203</w:t>
            </w:r>
          </w:p>
        </w:tc>
        <w:tc>
          <w:tcPr>
            <w:tcW w:type="dxa" w:w="1382"/>
          </w:tcPr>
          <w:p>
            <w:pPr>
              <w:spacing w:after="20"/>
              <w:jc w:val="right"/>
            </w:pPr>
            <w:r>
              <w:rPr>
                <w:color w:val="1C3A36"/>
                <w:sz w:val="16"/>
              </w:rPr>
              <w:t>9,951</w:t>
            </w:r>
          </w:p>
        </w:tc>
        <w:tc>
          <w:tcPr>
            <w:tcW w:type="dxa" w:w="1382"/>
          </w:tcPr>
          <w:p>
            <w:pPr>
              <w:spacing w:after="20"/>
              <w:jc w:val="right"/>
            </w:pPr>
            <w:r>
              <w:rPr>
                <w:color w:val="1C3A36"/>
                <w:sz w:val="16"/>
              </w:rPr>
              <w:t>10,077</w:t>
            </w:r>
          </w:p>
        </w:tc>
        <w:tc>
          <w:tcPr>
            <w:tcW w:type="dxa" w:w="1382"/>
          </w:tcPr>
          <w:p>
            <w:pPr>
              <w:spacing w:after="20"/>
              <w:jc w:val="right"/>
            </w:pPr>
            <w:r>
              <w:rPr>
                <w:color w:val="1C3A36"/>
                <w:sz w:val="16"/>
              </w:rPr>
              <w:t>10,128</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15.1%</w:t>
            </w:r>
          </w:p>
        </w:tc>
        <w:tc>
          <w:tcPr>
            <w:tcW w:type="dxa" w:w="1382"/>
          </w:tcPr>
          <w:p>
            <w:pPr>
              <w:spacing w:after="20"/>
              <w:jc w:val="right"/>
            </w:pPr>
            <w:r>
              <w:rPr>
                <w:color w:val="1C3A36"/>
                <w:sz w:val="16"/>
              </w:rPr>
              <w:t>14.3%</w:t>
            </w:r>
          </w:p>
        </w:tc>
        <w:tc>
          <w:tcPr>
            <w:tcW w:type="dxa" w:w="1382"/>
          </w:tcPr>
          <w:p>
            <w:pPr>
              <w:spacing w:after="20"/>
              <w:jc w:val="right"/>
            </w:pPr>
            <w:r>
              <w:rPr>
                <w:color w:val="1C3A36"/>
                <w:sz w:val="16"/>
              </w:rPr>
              <w:t>12.9%</w:t>
            </w:r>
          </w:p>
        </w:tc>
        <w:tc>
          <w:tcPr>
            <w:tcW w:type="dxa" w:w="1382"/>
          </w:tcPr>
          <w:p>
            <w:pPr>
              <w:spacing w:after="20"/>
              <w:jc w:val="right"/>
            </w:pPr>
            <w:r>
              <w:rPr>
                <w:color w:val="1C3A36"/>
                <w:sz w:val="16"/>
              </w:rPr>
              <w:t>11.2%</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8.34%</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8.03%</w:t>
            </w:r>
          </w:p>
        </w:tc>
        <w:tc>
          <w:tcPr>
            <w:tcW w:type="dxa" w:w="1382"/>
          </w:tcPr>
          <w:p>
            <w:pPr>
              <w:spacing w:after="20"/>
              <w:jc w:val="right"/>
            </w:pPr>
            <w:r>
              <w:rPr>
                <w:color w:val="1C3A36"/>
                <w:sz w:val="16"/>
              </w:rPr>
              <w:t>7.88%</w:t>
            </w:r>
          </w:p>
        </w:tc>
        <w:tc>
          <w:tcPr>
            <w:tcW w:type="dxa" w:w="1382"/>
          </w:tcPr>
          <w:p>
            <w:pPr>
              <w:spacing w:after="20"/>
              <w:jc w:val="right"/>
            </w:pPr>
            <w:r>
              <w:rPr>
                <w:color w:val="1C3A36"/>
                <w:sz w:val="16"/>
              </w:rPr>
              <w:t>7.73%</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+7.3pp</w:t>
            </w:r>
          </w:p>
        </w:tc>
        <w:tc>
          <w:tcPr>
            <w:tcW w:type="dxa" w:w="1382"/>
            <w:shd w:val="clear" w:color="auto" w:fill="F6F1E6"/>
          </w:tcPr>
          <w:p>
            <w:pPr>
              <w:spacing w:after="20"/>
              <w:jc w:val="right"/>
            </w:pPr>
            <w:r>
              <w:rPr>
                <w:b/>
                <w:color w:val="1C3A36"/>
                <w:sz w:val="16"/>
              </w:rPr>
              <w:t>+6.9pp</w:t>
            </w:r>
          </w:p>
        </w:tc>
        <w:tc>
          <w:tcPr>
            <w:tcW w:type="dxa" w:w="1382"/>
            <w:shd w:val="clear" w:color="auto" w:fill="F6F1E6"/>
          </w:tcPr>
          <w:p>
            <w:pPr>
              <w:spacing w:after="20"/>
              <w:jc w:val="right"/>
            </w:pPr>
            <w:r>
              <w:rPr>
                <w:b/>
                <w:color w:val="1C3A36"/>
                <w:sz w:val="16"/>
              </w:rPr>
              <w:t>+6.3pp</w:t>
            </w:r>
          </w:p>
        </w:tc>
        <w:tc>
          <w:tcPr>
            <w:tcW w:type="dxa" w:w="1382"/>
            <w:shd w:val="clear" w:color="auto" w:fill="F6F1E6"/>
          </w:tcPr>
          <w:p>
            <w:pPr>
              <w:spacing w:after="20"/>
              <w:jc w:val="right"/>
            </w:pPr>
            <w:r>
              <w:rPr>
                <w:b/>
                <w:color w:val="1C3A36"/>
                <w:sz w:val="16"/>
              </w:rPr>
              <w:t>+5.0pp</w:t>
            </w:r>
          </w:p>
        </w:tc>
        <w:tc>
          <w:tcPr>
            <w:tcW w:type="dxa" w:w="1382"/>
            <w:shd w:val="clear" w:color="auto" w:fill="F6F1E6"/>
          </w:tcPr>
          <w:p>
            <w:pPr>
              <w:spacing w:after="20"/>
              <w:jc w:val="right"/>
            </w:pPr>
            <w:r>
              <w:rPr>
                <w:b/>
                <w:color w:val="1C3A36"/>
                <w:sz w:val="16"/>
              </w:rPr>
              <w:t>+3.4pp</w:t>
            </w:r>
          </w:p>
        </w:tc>
      </w:tr>
    </w:tbl>
    <w:p>
      <w:pPr>
        <w:spacing w:after="40"/>
      </w:pPr>
    </w:p>
    <w:p>
      <w:pPr>
        <w:spacing w:after="120" w:before="0"/>
      </w:pPr>
      <w:r>
        <w:rPr>
          <w:b w:val="0"/>
          <w:i w:val="0"/>
          <w:color w:val="1C3A36"/>
          <w:sz w:val="21"/>
        </w:rPr>
        <w:t>Three things in that table are worth reading together. Free cash flow to the firm is only USD 329 million in 2026E — on earnings of USD 1,900 million — because the capital programme peaks at USD 1,375 million and working capital builds by USD 147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+7.3 percentage points to +3.4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1.83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2.66 a share between the two published constructions, and AED 4.91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6,056 million</w:t>
            </w:r>
          </w:p>
        </w:tc>
        <w:tc>
          <w:tcPr>
            <w:tcW w:type="dxa" w:w="3528"/>
          </w:tcPr>
          <w:p>
            <w:pPr>
              <w:spacing w:after="20"/>
            </w:pPr>
            <w:r>
              <w:rPr>
                <w:color w:val="1C3A36"/>
                <w:sz w:val="16"/>
              </w:rPr>
              <w:t>the capital-expenditure row spans AED 1.24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1.02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0.36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Company figures come only from the company's own issued statements and disclosures; no data vendor, broker or press report is used as the source of any reported historical figure.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9,355 a day used is solved so that the owned fleet's charter-equivalent revenue less running cost reproduces the reported FY2025 result for the unit.</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1,989</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(620)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1,368</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(57)</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(68)</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1,268</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(112)</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1,059</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0.1432</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6.31</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4.73 – 7.89</w:t>
            </w:r>
          </w:p>
        </w:tc>
      </w:tr>
    </w:tbl>
    <w:p>
      <w:pPr>
        <w:spacing w:after="40"/>
      </w:pPr>
    </w:p>
    <w:p>
      <w:pPr>
        <w:spacing w:after="120" w:before="0"/>
      </w:pPr>
      <w:r>
        <w:rPr>
          <w:b w:val="0"/>
          <w:i w:val="0"/>
          <w:color w:val="1C3A36"/>
          <w:sz w:val="21"/>
        </w:rPr>
        <w:t>Named sensitivity: each single turn of the multiple is worth AED 0.53 a share, so the 9×-to-15× range above spans AED 3.16. And every USD 100 million of mid-cycle earnings before interest, tax, depreciation and amortisation — about 5.0%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863</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(62)</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727</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(9.34%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10,092</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5.01</w:t>
            </w:r>
          </w:p>
        </w:tc>
      </w:tr>
      <w:tr>
        <w:trPr>
          <w:cantSplit/>
        </w:trPr>
        <w:tc>
          <w:tcPr>
            <w:tcW w:type="dxa" w:w="6912"/>
          </w:tcPr>
          <w:p>
            <w:pPr>
              <w:spacing w:after="20"/>
            </w:pPr>
            <w:r>
              <w:rPr>
                <w:color w:val="1C3A36"/>
                <w:sz w:val="16"/>
              </w:rPr>
              <w:t>Range — the low end at a cost of equity of 10.94%, built on the top of the beta's 90% interval (1.412), with lower growth; the high end at 7.75% on the bottom of it (0.758) with higher growth</w:t>
            </w:r>
          </w:p>
        </w:tc>
        <w:tc>
          <w:tcPr>
            <w:tcW w:type="dxa" w:w="3168"/>
          </w:tcPr>
          <w:p>
            <w:pPr>
              <w:spacing w:after="20"/>
              <w:jc w:val="right"/>
            </w:pPr>
            <w:r>
              <w:rPr>
                <w:color w:val="1C3A36"/>
                <w:sz w:val="16"/>
              </w:rPr>
              <w:t>3.67 – 7.04</w:t>
            </w:r>
          </w:p>
        </w:tc>
      </w:tr>
    </w:tbl>
    <w:p>
      <w:pPr>
        <w:spacing w:after="40"/>
      </w:pPr>
    </w:p>
    <w:p>
      <w:pPr>
        <w:spacing w:after="120" w:before="0"/>
      </w:pPr>
      <w:r>
        <w:rPr>
          <w:b w:val="0"/>
          <w:i w:val="0"/>
          <w:color w:val="1C3A36"/>
          <w:sz w:val="21"/>
        </w:rPr>
        <w:t>This expert lands at AED 5.01, below the study's own weighted central of AED 6.58, and the reason is specific: the five-year average free cash flow of USD 863 million is dragged down by the investment years. Free cash flow to the firm is USD 329 million in 2026E and USD 1,292 million in 2029E; averaging a business across a period when it is building the assets that produce the later number is a real charge against it. That is the method doing what it says it does, and it is why the range extends as high as AED 7.04.</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7.49% instead of 9.34% — and the answer is roughly AED 6.70 a share, a rise of about 34%.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3.37.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2,083</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3,351</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12,867</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(2,479)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10,388</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5.16</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3.91 – 6.13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15.1%</w:t>
            </w:r>
          </w:p>
        </w:tc>
        <w:tc>
          <w:tcPr>
            <w:tcW w:type="dxa" w:w="1382"/>
          </w:tcPr>
          <w:p>
            <w:pPr>
              <w:spacing w:after="20"/>
              <w:jc w:val="right"/>
            </w:pPr>
            <w:r>
              <w:rPr>
                <w:color w:val="1C3A36"/>
                <w:sz w:val="16"/>
              </w:rPr>
              <w:t>14.3%</w:t>
            </w:r>
          </w:p>
        </w:tc>
        <w:tc>
          <w:tcPr>
            <w:tcW w:type="dxa" w:w="1382"/>
          </w:tcPr>
          <w:p>
            <w:pPr>
              <w:spacing w:after="20"/>
              <w:jc w:val="right"/>
            </w:pPr>
            <w:r>
              <w:rPr>
                <w:color w:val="1C3A36"/>
                <w:sz w:val="16"/>
              </w:rPr>
              <w:t>12.9%</w:t>
            </w:r>
          </w:p>
        </w:tc>
        <w:tc>
          <w:tcPr>
            <w:tcW w:type="dxa" w:w="1382"/>
          </w:tcPr>
          <w:p>
            <w:pPr>
              <w:spacing w:after="20"/>
              <w:jc w:val="right"/>
            </w:pPr>
            <w:r>
              <w:rPr>
                <w:color w:val="1C3A36"/>
                <w:sz w:val="16"/>
              </w:rPr>
              <w:t>11.2%</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+7.1pp</w:t>
            </w:r>
          </w:p>
        </w:tc>
        <w:tc>
          <w:tcPr>
            <w:tcW w:type="dxa" w:w="1382"/>
            <w:shd w:val="clear" w:color="auto" w:fill="F6F1E6"/>
          </w:tcPr>
          <w:p>
            <w:pPr>
              <w:spacing w:after="20"/>
              <w:jc w:val="right"/>
            </w:pPr>
            <w:r>
              <w:rPr>
                <w:b/>
                <w:color w:val="1C3A36"/>
                <w:sz w:val="16"/>
              </w:rPr>
              <w:t>+6.6pp</w:t>
            </w:r>
          </w:p>
        </w:tc>
        <w:tc>
          <w:tcPr>
            <w:tcW w:type="dxa" w:w="1382"/>
            <w:shd w:val="clear" w:color="auto" w:fill="F6F1E6"/>
          </w:tcPr>
          <w:p>
            <w:pPr>
              <w:spacing w:after="20"/>
              <w:jc w:val="right"/>
            </w:pPr>
            <w:r>
              <w:rPr>
                <w:b/>
                <w:color w:val="1C3A36"/>
                <w:sz w:val="16"/>
              </w:rPr>
              <w:t>+5.8pp</w:t>
            </w:r>
          </w:p>
        </w:tc>
        <w:tc>
          <w:tcPr>
            <w:tcW w:type="dxa" w:w="1382"/>
            <w:shd w:val="clear" w:color="auto" w:fill="F6F1E6"/>
          </w:tcPr>
          <w:p>
            <w:pPr>
              <w:spacing w:after="20"/>
              <w:jc w:val="right"/>
            </w:pPr>
            <w:r>
              <w:rPr>
                <w:b/>
                <w:color w:val="1C3A36"/>
                <w:sz w:val="16"/>
              </w:rPr>
              <w:t>+4.4pp</w:t>
            </w:r>
          </w:p>
        </w:tc>
        <w:tc>
          <w:tcPr>
            <w:tcW w:type="dxa" w:w="1382"/>
            <w:shd w:val="clear" w:color="auto" w:fill="F6F1E6"/>
          </w:tcPr>
          <w:p>
            <w:pPr>
              <w:spacing w:after="20"/>
              <w:jc w:val="right"/>
            </w:pPr>
            <w:r>
              <w:rPr>
                <w:b/>
                <w:color w:val="1C3A36"/>
                <w:sz w:val="16"/>
              </w:rPr>
              <w:t>+2.7pp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600</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580</w:t>
            </w:r>
          </w:p>
        </w:tc>
        <w:tc>
          <w:tcPr>
            <w:tcW w:type="dxa" w:w="1382"/>
          </w:tcPr>
          <w:p>
            <w:pPr>
              <w:spacing w:after="20"/>
              <w:jc w:val="right"/>
            </w:pPr>
            <w:r>
              <w:rPr>
                <w:color w:val="1C3A36"/>
                <w:sz w:val="16"/>
              </w:rPr>
              <w:t>444</w:t>
            </w:r>
          </w:p>
        </w:tc>
        <w:tc>
          <w:tcPr>
            <w:tcW w:type="dxa" w:w="1382"/>
          </w:tcPr>
          <w:p>
            <w:pPr>
              <w:spacing w:after="20"/>
              <w:jc w:val="right"/>
            </w:pPr>
            <w:r>
              <w:rPr>
                <w:color w:val="1C3A36"/>
                <w:sz w:val="16"/>
              </w:rPr>
              <w:t>272</w:t>
            </w:r>
          </w:p>
        </w:tc>
      </w:tr>
    </w:tbl>
    <w:p>
      <w:pPr>
        <w:spacing w:after="40"/>
      </w:pPr>
    </w:p>
    <w:p>
      <w:pPr>
        <w:spacing w:after="200" w:before="0"/>
      </w:pPr>
      <w:r>
        <w:rPr>
          <w:b w:val="0"/>
          <w:i/>
          <w:color w:val="6E7B77"/>
          <w:sz w:val="17"/>
        </w:rPr>
        <w:t>This is the most revealing exhibit in the study. The spread is positive in every forecast year — the business earns 16% on capital in 2026E against a cost of 8%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8.49% held flat across all five years rather than the declining schedule the cash-flow model discounts at, so the spread row is exactly the return row less 8.49% and the economic-profit row is exactly that spread on the same closing capital. Appendix A.3 shows the spread on the declining schedule instead, which is why the two tables give different spreads from the same returns. Note also that this leg's enterprise value of USD 12,867 million differs from the cash-flow model's USD 15,178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5.16 that already sits 16% below the market price, and takes the fifth-year spread of +2.7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329 million to USD 1,292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3.37,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5.49, the vertical line the market price of AED 6.16.</w:t>
      </w:r>
    </w:p>
    <w:p>
      <w:pPr>
        <w:spacing w:after="120" w:before="0"/>
      </w:pPr>
      <w:r>
        <w:rPr>
          <w:b w:val="0"/>
          <w:i w:val="0"/>
          <w:color w:val="1C3A36"/>
          <w:sz w:val="21"/>
        </w:rPr>
        <w:t>The panel spans AED 5.01 to 6.31 — a factor of 1.26 between the most and least generous base case, which is a narrow disagreement by the standards of this series. That narrowness is itself informative: three methods that share almost nothing methodologically land within AED 1.30 of one another. All three land at or below the market price, and all three below this study's own weighted central of AED 6.58.</w:t>
      </w:r>
    </w:p>
    <w:p>
      <w:pPr>
        <w:spacing w:after="120" w:before="0"/>
      </w:pPr>
      <w:r>
        <w:rPr>
          <w:b w:val="0"/>
          <w:i w:val="0"/>
          <w:color w:val="1C3A36"/>
          <w:sz w:val="21"/>
        </w:rPr>
        <w:t>The panel centre of AED 5.49 sits 11% below the market price and -16% against this study's weighted central. That gap is real and it has a single explanation: every one of the three experts works from mid-cycle or five-year-average earnings, and none of them capitalises a terminal value the way the cash-flow model does. The cash-flow model puts 78%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9.34%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1.30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78%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0.36 a share in the main model</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7.64 appears throughout this document beside the adopted AED 6.58.</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