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4" w:lineRule="auto"/>
      </w:pPr>
      <w:r>
        <w:rPr>
          <w:rFonts w:ascii="Arial" w:hAnsi="Arial"/>
          <w:b/>
          <w:i w:val="0"/>
          <w:color w:val="222222"/>
          <w:sz w:val="20"/>
        </w:rPr>
        <w:t>Independent Valuation Study — Educational Analysis</w:t>
      </w:r>
    </w:p>
    <w:p>
      <w:pPr>
        <w:spacing w:after="40" w:before="0" w:line="274" w:lineRule="auto"/>
      </w:pPr>
      <w:r>
        <w:rPr>
          <w:rFonts w:ascii="Arial" w:hAnsi="Arial"/>
          <w:b/>
          <w:i w:val="0"/>
          <w:color w:val="1C3A36"/>
          <w:sz w:val="56"/>
        </w:rPr>
        <w:t>Samsung Electronics Co., Ltd.  (KRX: 005930)</w:t>
      </w:r>
    </w:p>
    <w:p>
      <w:pPr>
        <w:spacing w:after="160" w:before="0" w:line="274" w:lineRule="auto"/>
      </w:pPr>
      <w:r>
        <w:rPr>
          <w:rFonts w:ascii="Arial" w:hAnsi="Arial"/>
          <w:b w:val="0"/>
          <w:i/>
          <w:color w:val="222222"/>
          <w:sz w:val="22"/>
        </w:rPr>
        <w:t>Fundamental analysis · Technical analysis · Monte Carlo simulation — one integrated read</w:t>
      </w:r>
    </w:p>
    <w:p>
      <w:pPr>
        <w:spacing w:after="240" w:before="0" w:line="274" w:lineRule="auto"/>
        <w:jc w:val="both"/>
      </w:pPr>
      <w:r>
        <w:rPr>
          <w:rFonts w:ascii="Arial" w:hAnsi="Arial"/>
          <w:b w:val="0"/>
          <w:i w:val="0"/>
          <w:color w:val="63706C"/>
          <w:sz w:val="16"/>
        </w:rPr>
        <w:t>Anchor: KRW 339,500 (26 Jun 2026 close) · ~6.63bn shares · mkt cap ~KRW 2,251tn · net cash ~KRW 119tn · #2 global semiconductor vendor · listed-affiliate stakes (Samsung SDS, Biologics, SDI, Electro-Mechanics) · prices &amp; probabilities computed 26 Jun 2026 from the attached daily price history (4 Jan 2021 — 26 Jun 2026) · independent bottom-up valuation, derived segment/forecast inputs · memory is ~94% of peak operating profit and the swing factor.</w:t>
      </w:r>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360"/>
      </w:tblGrid>
      <w:tr>
        <w:tc>
          <w:tcPr>
            <w:tcW w:type="dxa" w:w="9504"/>
            <w:shd w:val="clear" w:color="auto" w:fill="F2ECDD"/>
            <w:tcMar>
              <w:top w:w="120" w:type="dxa"/>
              <w:bottom w:w="120" w:type="dxa"/>
              <w:left w:w="200" w:type="dxa"/>
              <w:right w:w="200" w:type="dxa"/>
            </w:tcMar>
            <w:tcBorders>
              <w:left w:val="single" w:sz="18" w:space="0" w:color="C0A45F"/>
            </w:tcBorders>
          </w:tcPr>
          <w:p>
            <w:pPr>
              <w:spacing w:after="0" w:line="288" w:lineRule="auto"/>
              <w:jc w:val="both"/>
            </w:pPr>
            <w:r>
              <w:rPr>
                <w:rFonts w:ascii="Arial" w:hAnsi="Arial"/>
                <w:b/>
                <w:i w:val="0"/>
                <w:color w:val="1C3A36"/>
                <w:sz w:val="16"/>
              </w:rPr>
              <w:t xml:space="preserve">READ FIRST — what this document is, and is not.  </w:t>
            </w:r>
            <w:r>
              <w:rPr>
                <w:rFonts w:ascii="Arial" w:hAnsi="Arial"/>
                <w:b w:val="0"/>
                <w:i w:val="0"/>
                <w:sz w:val="16"/>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Korean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Samsung's own disclosure; forward-looking inputs — projections, normalisation, multiples, the DCF and Monte-Carlo factor probabilities — are the preparer's judgments and are flagged throughout. Consult a licensed financial advisor before any investment decision.</w:t>
            </w:r>
          </w:p>
        </w:tc>
      </w:tr>
    </w:tbl>
    <w:p>
      <w:pPr>
        <w:spacing w:after="160"/>
      </w:pPr>
    </w:p>
    <w:p>
      <w:pPr>
        <w:spacing w:after="140" w:before="280" w:line="274" w:lineRule="auto"/>
        <w:pBdr>
          <w:bottom w:val="single" w:sz="12" w:space="4" w:color="C0A45F"/>
        </w:pBdr>
      </w:pPr>
      <w:r>
        <w:rPr>
          <w:rFonts w:ascii="Arial" w:hAnsi="Arial"/>
          <w:b/>
          <w:i w:val="0"/>
          <w:color w:val="1C3A36"/>
          <w:sz w:val="26"/>
        </w:rPr>
        <w:t>Headline</w:t>
      </w:r>
    </w:p>
    <w:p>
      <w:pPr>
        <w:spacing w:after="120" w:before="0" w:line="274" w:lineRule="auto"/>
        <w:jc w:val="both"/>
      </w:pPr>
      <w:r>
        <w:rPr>
          <w:rFonts w:ascii="Arial" w:hAnsi="Arial"/>
          <w:b/>
          <w:i w:val="0"/>
          <w:sz w:val="16"/>
        </w:rPr>
        <w:t>The model's read: the price is full, but the tape is strong.</w:t>
      </w:r>
      <w:r>
        <w:rPr>
          <w:rFonts w:ascii="Arial" w:hAnsi="Arial"/>
          <w:b w:val="0"/>
          <w:i w:val="0"/>
          <w:sz w:val="16"/>
        </w:rPr>
        <w:t xml:space="preserve"> At KRW 339,500 the shares trade about 13% above our weighted central estimate of KRW 296,502; spot sits above every fundamental lens except the outright supercycle case. Samsung is the largest memory-chip maker on earth and in mid-2026 is earning more than at any point in its history — first-quarter 2026 operating profit of KRW 57tn alone exceeded the whole of FY2025 (KRW 44tn), driven almost entirely by the Device Solutions chip division (KRW 53.7tn, ~94% of group profit), and the shares have risen ~485% off their 52-week low. The question is not whether Samsung is a great company — it plainly is — but whether KRW 339,500 a share is a fair price for it.</w:t>
      </w:r>
    </w:p>
    <w:p>
      <w:pPr>
        <w:spacing w:after="120" w:before="0" w:line="274" w:lineRule="auto"/>
        <w:jc w:val="both"/>
      </w:pPr>
      <w:r>
        <w:rPr>
          <w:rFonts w:ascii="Arial" w:hAnsi="Arial"/>
          <w:b w:val="0"/>
          <w:i w:val="0"/>
          <w:sz w:val="16"/>
        </w:rPr>
        <w:t>Five independent lenses cluster between KRW 214,800 and KRW 410,754; the weighted central estimate is KRW 296,502, about 13% below spot. The sum-of-the-parts — even after crediting memory with a structurally higher, AI-era earnings plateau — lands at KRW 283,499 (-16%). A consolidated whole-company DCF (KRW 214,800), which charges Samsung for the ~KRW 100tn/yr of capital expenditure the boom demands, corroborates the asset-based build and lands lower still — on owned, after-capex cash flow the stock looks even fuller. Relative multiples (KRW 316,742) and through-cycle earnings power (KRW 253,394) complete a four-plus-one-lens synthesis. Only by capitalising near-peak earnings at full multiples — the supercycle case at KRW 410,754 (+21%) — does the arithmetic reach today's price; sell-side consensus, which clusters above spot, effectively adopts that bull case as the base case. We do not.</w:t>
      </w:r>
    </w:p>
    <w:p>
      <w:pPr>
        <w:spacing w:after="120" w:before="0" w:line="274" w:lineRule="auto"/>
        <w:jc w:val="both"/>
      </w:pPr>
      <w:r>
        <w:rPr>
          <w:rFonts w:ascii="Arial" w:hAnsi="Arial"/>
          <w:b/>
          <w:i w:val="0"/>
          <w:sz w:val="16"/>
        </w:rPr>
        <w:t>This is a statement about valuation, not direction.</w:t>
      </w:r>
      <w:r>
        <w:rPr>
          <w:rFonts w:ascii="Arial" w:hAnsi="Arial"/>
          <w:b w:val="0"/>
          <w:i w:val="0"/>
          <w:sz w:val="16"/>
        </w:rPr>
        <w:t xml:space="preserve"> Momentum is powerful, the memory shortage is real and Samsung says it persists into 2027, and a single 16-factor Monte Carlo (DRAM/NAND ASPs, HBM share, USD/KRW, AI capex, KOSPI flows, smartphones, foundry ramp, plus nine discrete event risks; 50,000 paths, seed 42) puts the T+20 median at ~346,091 and the T+60 median at ~359,482, with a right tail to ~520,627. A richly-valued stock in a genuine boom can stay rich for a long time. What a buyer at this level underwrites is the durability of the AI-memory supercycle and Samsung closing its high-bandwidth-memory (HBM) gap with SK Hynix — not a margin of safety on normalised earnings, because there isn't one. The downside tail belongs to memory-cycle reversion and the ~94% profit concentration that offers no cushion; the upside tail to a durable supercycle, an HBM4 share recovery, and Korea's value-up re-rating.</w:t>
      </w:r>
    </w:p>
    <w:p>
      <w:pPr>
        <w:spacing w:after="140" w:before="280" w:line="274" w:lineRule="auto"/>
        <w:pBdr>
          <w:bottom w:val="single" w:sz="12" w:space="4" w:color="C0A45F"/>
        </w:pBdr>
      </w:pPr>
      <w:r>
        <w:rPr>
          <w:rFonts w:ascii="Arial" w:hAnsi="Arial"/>
          <w:b/>
          <w:i w:val="0"/>
          <w:color w:val="1C3A36"/>
          <w:sz w:val="26"/>
        </w:rPr>
        <w:t>Company overview — Samsung Electronics at a glance</w:t>
      </w:r>
    </w:p>
    <w:p>
      <w:pPr>
        <w:spacing w:after="120" w:before="0" w:line="274" w:lineRule="auto"/>
        <w:jc w:val="both"/>
      </w:pPr>
      <w:r>
        <w:rPr>
          <w:rFonts w:ascii="Arial" w:hAnsi="Arial"/>
          <w:b w:val="0"/>
          <w:i w:val="0"/>
          <w:sz w:val="16"/>
        </w:rPr>
        <w:t>Samsung Electronics (KRX: 005930) is the world's largest memory-chip maker and a vertically-integrated electronics and semiconductor conglomerate. Its profit engine is memory — DRAM, NAND flash and high-bandwidth memory (HBM). Around it sit logic-chip design (System LSI), a contract chip-manufacturing arm (Foundry), a controlled display affiliate (Samsung Display), the Galaxy smartphone and networks business (MX), televisions and home appliances (VD/DA) and Harman (connected-car audio). It also holds large stakes in listed affiliates — Samsung SDS, Samsung Biologics, Samsung SDI, Samsung Electro-Mechanics — and a fortress, net-cash balance sheet of roughly KRW 119 trillion. The defining feature for valuation is that one segment, memory, now produces almost all of the profit and is at a cyclical extreme: Q1-2026 group operating profit of KRW 57.2tn (DS KRW 53.7tn) exceeded all of FY2025.</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Item</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Value (as disclosed / derived)</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Listing / sector</w:t>
            </w:r>
          </w:p>
        </w:tc>
        <w:tc>
          <w:tcPr>
            <w:tcW w:type="dxa" w:w="2160"/>
            <w:tcMar>
              <w:top w:w="36" w:type="dxa"/>
              <w:bottom w:w="36" w:type="dxa"/>
              <w:left w:w="96" w:type="dxa"/>
              <w:right w:w="96" w:type="dxa"/>
            </w:tcMar>
          </w:tcPr>
          <w:p>
            <w:pPr>
              <w:spacing w:after="0" w:before="0"/>
              <w:jc w:val="left"/>
            </w:pPr>
            <w:r>
              <w:rPr>
                <w:rFonts w:ascii="Arial" w:hAnsi="Arial"/>
                <w:b w:val="0"/>
                <w:i w:val="0"/>
                <w:sz w:val="16"/>
              </w:rPr>
              <w:t>KRX: 005930 · semiconductors, electronics &amp; devices</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Ultimate context</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Samsung Group affiliate; controlled-shareholder (Lee family) structure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Share price (26 Jun 2026 close)</w:t>
            </w:r>
          </w:p>
        </w:tc>
        <w:tc>
          <w:tcPr>
            <w:tcW w:type="dxa" w:w="2160"/>
            <w:tcMar>
              <w:top w:w="36" w:type="dxa"/>
              <w:bottom w:w="36" w:type="dxa"/>
              <w:left w:w="96" w:type="dxa"/>
              <w:right w:w="96" w:type="dxa"/>
            </w:tcMar>
          </w:tcPr>
          <w:p>
            <w:pPr>
              <w:spacing w:after="0" w:before="0"/>
              <w:jc w:val="left"/>
            </w:pPr>
            <w:r>
              <w:rPr>
                <w:rFonts w:ascii="Arial" w:hAnsi="Arial"/>
                <w:b w:val="0"/>
                <w:i w:val="0"/>
                <w:sz w:val="16"/>
              </w:rPr>
              <w:t>KRW 339,500</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Shares outstanding (ex-treasury)</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~6.63bn</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Market capitalisation</w:t>
            </w:r>
          </w:p>
        </w:tc>
        <w:tc>
          <w:tcPr>
            <w:tcW w:type="dxa" w:w="2160"/>
            <w:tcMar>
              <w:top w:w="36" w:type="dxa"/>
              <w:bottom w:w="36" w:type="dxa"/>
              <w:left w:w="96" w:type="dxa"/>
              <w:right w:w="96" w:type="dxa"/>
            </w:tcMar>
          </w:tcPr>
          <w:p>
            <w:pPr>
              <w:spacing w:after="0" w:before="0"/>
              <w:jc w:val="left"/>
            </w:pPr>
            <w:r>
              <w:rPr>
                <w:rFonts w:ascii="Arial" w:hAnsi="Arial"/>
                <w:b w:val="0"/>
                <w:i w:val="0"/>
                <w:sz w:val="16"/>
              </w:rPr>
              <w:t>~KRW 2,251tn (~USD 0.42tn)</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Net cash (Q1-2026)</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~KRW 119tn (fortress balance sheet)</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FY2025 revenue / OP / net</w:t>
            </w:r>
          </w:p>
        </w:tc>
        <w:tc>
          <w:tcPr>
            <w:tcW w:type="dxa" w:w="2160"/>
            <w:tcMar>
              <w:top w:w="36" w:type="dxa"/>
              <w:bottom w:w="36" w:type="dxa"/>
              <w:left w:w="96" w:type="dxa"/>
              <w:right w:w="96" w:type="dxa"/>
            </w:tcMar>
          </w:tcPr>
          <w:p>
            <w:pPr>
              <w:spacing w:after="0" w:before="0"/>
              <w:jc w:val="left"/>
            </w:pPr>
            <w:r>
              <w:rPr>
                <w:rFonts w:ascii="Arial" w:hAnsi="Arial"/>
                <w:b w:val="0"/>
                <w:i w:val="0"/>
                <w:sz w:val="16"/>
              </w:rPr>
              <w:t>KRW 333.6tn / 43.6tn / 45.2tn (records)</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Q1-2026 revenue / OP</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KRW 133.9tn / 57.2tn (OP &gt; all of FY2025)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Book value per share (FY2025)</w:t>
            </w:r>
          </w:p>
        </w:tc>
        <w:tc>
          <w:tcPr>
            <w:tcW w:type="dxa" w:w="2160"/>
            <w:tcMar>
              <w:top w:w="36" w:type="dxa"/>
              <w:bottom w:w="36" w:type="dxa"/>
              <w:left w:w="96" w:type="dxa"/>
              <w:right w:w="96" w:type="dxa"/>
            </w:tcMar>
          </w:tcPr>
          <w:p>
            <w:pPr>
              <w:spacing w:after="0" w:before="0"/>
              <w:jc w:val="left"/>
            </w:pPr>
            <w:r>
              <w:rPr>
                <w:rFonts w:ascii="Arial" w:hAnsi="Arial"/>
                <w:b w:val="0"/>
                <w:i w:val="0"/>
                <w:sz w:val="16"/>
              </w:rPr>
              <w:t>~KRW 64,000 (P/B ~5.3x)</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2026E P/E (peak EPS)</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~11.3x (vs TSMC ~24x)</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R&amp;D (FY2025)</w:t>
            </w:r>
          </w:p>
        </w:tc>
        <w:tc>
          <w:tcPr>
            <w:tcW w:type="dxa" w:w="2160"/>
            <w:tcMar>
              <w:top w:w="36" w:type="dxa"/>
              <w:bottom w:w="36" w:type="dxa"/>
              <w:left w:w="96" w:type="dxa"/>
              <w:right w:w="96" w:type="dxa"/>
            </w:tcMar>
          </w:tcPr>
          <w:p>
            <w:pPr>
              <w:spacing w:after="0" w:before="0"/>
              <w:jc w:val="left"/>
            </w:pPr>
            <w:r>
              <w:rPr>
                <w:rFonts w:ascii="Arial" w:hAnsi="Arial"/>
                <w:b w:val="0"/>
                <w:i w:val="0"/>
                <w:sz w:val="16"/>
              </w:rPr>
              <w:t>KRW 37.7tn (record)</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Profit concentration</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~94% memory / Device Solutions</w:t>
            </w:r>
          </w:p>
        </w:tc>
      </w:tr>
    </w:tbl>
    <w:p>
      <w:pPr>
        <w:spacing w:after="80"/>
      </w:pPr>
    </w:p>
    <w:p>
      <w:pPr>
        <w:spacing w:after="120" w:before="0" w:line="274" w:lineRule="auto"/>
        <w:jc w:val="both"/>
      </w:pPr>
      <w:r>
        <w:rPr>
          <w:rFonts w:ascii="Arial" w:hAnsi="Arial"/>
          <w:b w:val="0"/>
          <w:i/>
          <w:sz w:val="16"/>
        </w:rPr>
        <w:t>Company-level figures are sourced from Samsung's public disclosure (Samsung IR) and other public sources; forward-looking inputs — the 2026e‑2030e projections, segment normalisation, multiples, the DCF and the Monte-Carlo factor probabilities — are the preparer's derived estimates, not company disclosure, and are flagged throughout.</w:t>
      </w:r>
    </w:p>
    <w:p>
      <w:pPr>
        <w:spacing w:after="140" w:before="280" w:line="274" w:lineRule="auto"/>
        <w:pBdr>
          <w:bottom w:val="single" w:sz="12" w:space="4" w:color="C0A45F"/>
        </w:pBdr>
      </w:pPr>
      <w:r>
        <w:rPr>
          <w:rFonts w:ascii="Arial" w:hAnsi="Arial"/>
          <w:b/>
          <w:i w:val="0"/>
          <w:color w:val="1C3A36"/>
          <w:sz w:val="26"/>
        </w:rPr>
        <w:t>1  Fundamental valuation</w:t>
      </w:r>
    </w:p>
    <w:p>
      <w:pPr>
        <w:spacing w:after="120" w:before="0" w:line="274" w:lineRule="auto"/>
        <w:jc w:val="both"/>
      </w:pPr>
      <w:r>
        <w:rPr>
          <w:rFonts w:ascii="Arial" w:hAnsi="Arial"/>
          <w:b w:val="0"/>
          <w:i w:val="0"/>
          <w:sz w:val="16"/>
        </w:rPr>
        <w:t>A semiconductor conglomerate is not valued like a property developer or a bank: there is no land bank to revalue and no loan book to provision, but a portfolio of operating businesses at very different points in their own cycles, sitting on a large pile of net cash and listed stakes. The primary lens is a sum-of-the-parts (SOTP): value each segment on a normalised, mid-cycle level of earnings times a multiple appropriate to that business, add net cash and stakes, and divide by shares. We then cross-check that asset-based figure three ways — a consolidated DCF, relative multiples against the global chip peer set, and a through-cycle earnings-power calculation. Reported segment numbers are Samsung's disclosure; the normalisation and multiples are our judgments, shown explicitly so you can disagree.</w:t>
      </w:r>
    </w:p>
    <w:p>
      <w:pPr>
        <w:spacing w:after="80" w:before="200" w:line="274" w:lineRule="auto"/>
      </w:pPr>
      <w:r>
        <w:rPr>
          <w:rFonts w:ascii="Arial" w:hAnsi="Arial"/>
          <w:b/>
          <w:i w:val="0"/>
          <w:color w:val="1C3A36"/>
          <w:sz w:val="22"/>
        </w:rPr>
        <w:t>1.1  Sum-of-the-parts — the primary lens</w:t>
      </w:r>
    </w:p>
    <w:p>
      <w:pPr>
        <w:spacing w:after="120" w:before="0" w:line="274" w:lineRule="auto"/>
        <w:jc w:val="both"/>
      </w:pPr>
      <w:r>
        <w:rPr>
          <w:rFonts w:ascii="Arial" w:hAnsi="Arial"/>
          <w:b/>
          <w:i w:val="0"/>
          <w:sz w:val="16"/>
        </w:rPr>
        <w:t>The crux of the whole exercise is the memory line.</w:t>
      </w:r>
      <w:r>
        <w:rPr>
          <w:rFonts w:ascii="Arial" w:hAnsi="Arial"/>
          <w:b w:val="0"/>
          <w:i w:val="0"/>
          <w:sz w:val="16"/>
        </w:rPr>
        <w:t xml:space="preserve"> In 2026 memory is earning at an extraordinary rate — annualising the Q1 chip-division run-rate would put memory operating profit near KRW 200tn. That is a peak, not a sustainable mid-cycle number. Our base case credits memory with a structurally higher, AI-era plateau of ~KRW 175tn of operating profit — well above the old-cycle average, deliberately generous to the "the boom is durable" view — and capitalises it at 9x, a multiple between a pure-commodity memory maker and a structural-growth franchise. Even on that generous basis the base SOTP is </w:t>
      </w:r>
      <w:r>
        <w:rPr>
          <w:rFonts w:ascii="Arial" w:hAnsi="Arial"/>
          <w:b/>
          <w:i w:val="0"/>
          <w:sz w:val="16"/>
        </w:rPr>
        <w:t>KRW 283,499</w:t>
      </w:r>
      <w:r>
        <w:rPr>
          <w:rFonts w:ascii="Arial" w:hAnsi="Arial"/>
          <w:b w:val="0"/>
          <w:i w:val="0"/>
          <w:sz w:val="16"/>
        </w:rPr>
        <w:t>, about 16% below spot.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340"/>
        <w:gridCol w:w="2340"/>
        <w:gridCol w:w="2340"/>
        <w:gridCol w:w="23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SOTP component (base case)</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Norm. OP / value</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Multiple</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EV (KRW tn)</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Memory (DRAM / NAND / HBM)</w:t>
            </w:r>
          </w:p>
        </w:tc>
        <w:tc>
          <w:tcPr>
            <w:tcW w:type="dxa" w:w="2160"/>
            <w:tcMar>
              <w:top w:w="36" w:type="dxa"/>
              <w:bottom w:w="36" w:type="dxa"/>
              <w:left w:w="96" w:type="dxa"/>
              <w:right w:w="96" w:type="dxa"/>
            </w:tcMar>
          </w:tcPr>
          <w:p>
            <w:pPr>
              <w:spacing w:after="0" w:before="0"/>
              <w:jc w:val="left"/>
            </w:pPr>
            <w:r>
              <w:rPr>
                <w:rFonts w:ascii="Arial" w:hAnsi="Arial"/>
                <w:b w:val="0"/>
                <w:i w:val="0"/>
                <w:sz w:val="16"/>
              </w:rPr>
              <w:t>175 tn</w:t>
            </w:r>
          </w:p>
        </w:tc>
        <w:tc>
          <w:tcPr>
            <w:tcW w:type="dxa" w:w="2160"/>
            <w:tcMar>
              <w:top w:w="36" w:type="dxa"/>
              <w:bottom w:w="36" w:type="dxa"/>
              <w:left w:w="96" w:type="dxa"/>
              <w:right w:w="96" w:type="dxa"/>
            </w:tcMar>
          </w:tcPr>
          <w:p>
            <w:pPr>
              <w:spacing w:after="0" w:before="0"/>
              <w:jc w:val="left"/>
            </w:pPr>
            <w:r>
              <w:rPr>
                <w:rFonts w:ascii="Arial" w:hAnsi="Arial"/>
                <w:b w:val="0"/>
                <w:i w:val="0"/>
                <w:sz w:val="16"/>
              </w:rPr>
              <w:t>9.0x</w:t>
            </w:r>
          </w:p>
        </w:tc>
        <w:tc>
          <w:tcPr>
            <w:tcW w:type="dxa" w:w="2160"/>
            <w:tcMar>
              <w:top w:w="36" w:type="dxa"/>
              <w:bottom w:w="36" w:type="dxa"/>
              <w:left w:w="96" w:type="dxa"/>
              <w:right w:w="96" w:type="dxa"/>
            </w:tcMar>
          </w:tcPr>
          <w:p>
            <w:pPr>
              <w:spacing w:after="0" w:before="0"/>
              <w:jc w:val="left"/>
            </w:pPr>
            <w:r>
              <w:rPr>
                <w:rFonts w:ascii="Arial" w:hAnsi="Arial"/>
                <w:b w:val="0"/>
                <w:i w:val="0"/>
                <w:sz w:val="16"/>
              </w:rPr>
              <w:t>1,575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System LSI (logic/SoC)</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4 tn</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8.0x</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32</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Samsung Display (stake)</w:t>
            </w:r>
          </w:p>
        </w:tc>
        <w:tc>
          <w:tcPr>
            <w:tcW w:type="dxa" w:w="2160"/>
            <w:tcMar>
              <w:top w:w="36" w:type="dxa"/>
              <w:bottom w:w="36" w:type="dxa"/>
              <w:left w:w="96" w:type="dxa"/>
              <w:right w:w="96" w:type="dxa"/>
            </w:tcMar>
          </w:tcPr>
          <w:p>
            <w:pPr>
              <w:spacing w:after="0" w:before="0"/>
              <w:jc w:val="left"/>
            </w:pPr>
            <w:r>
              <w:rPr>
                <w:rFonts w:ascii="Arial" w:hAnsi="Arial"/>
                <w:b w:val="0"/>
                <w:i w:val="0"/>
                <w:sz w:val="16"/>
              </w:rPr>
              <w:t>5 tn</w:t>
            </w:r>
          </w:p>
        </w:tc>
        <w:tc>
          <w:tcPr>
            <w:tcW w:type="dxa" w:w="2160"/>
            <w:tcMar>
              <w:top w:w="36" w:type="dxa"/>
              <w:bottom w:w="36" w:type="dxa"/>
              <w:left w:w="96" w:type="dxa"/>
              <w:right w:w="96" w:type="dxa"/>
            </w:tcMar>
          </w:tcPr>
          <w:p>
            <w:pPr>
              <w:spacing w:after="0" w:before="0"/>
              <w:jc w:val="left"/>
            </w:pPr>
            <w:r>
              <w:rPr>
                <w:rFonts w:ascii="Arial" w:hAnsi="Arial"/>
                <w:b w:val="0"/>
                <w:i w:val="0"/>
                <w:sz w:val="16"/>
              </w:rPr>
              <w:t>6.5x</w:t>
            </w:r>
          </w:p>
        </w:tc>
        <w:tc>
          <w:tcPr>
            <w:tcW w:type="dxa" w:w="2160"/>
            <w:tcMar>
              <w:top w:w="36" w:type="dxa"/>
              <w:bottom w:w="36" w:type="dxa"/>
              <w:left w:w="96" w:type="dxa"/>
              <w:right w:w="96" w:type="dxa"/>
            </w:tcMar>
          </w:tcPr>
          <w:p>
            <w:pPr>
              <w:spacing w:after="0" w:before="0"/>
              <w:jc w:val="left"/>
            </w:pPr>
            <w:r>
              <w:rPr>
                <w:rFonts w:ascii="Arial" w:hAnsi="Arial"/>
                <w:b w:val="0"/>
                <w:i w:val="0"/>
                <w:sz w:val="16"/>
              </w:rPr>
              <w:t>33</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MX + Networks (mobile)</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13 tn</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6.0x</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78</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VD + DA (TV/appliances)</w:t>
            </w:r>
          </w:p>
        </w:tc>
        <w:tc>
          <w:tcPr>
            <w:tcW w:type="dxa" w:w="2160"/>
            <w:tcMar>
              <w:top w:w="36" w:type="dxa"/>
              <w:bottom w:w="36" w:type="dxa"/>
              <w:left w:w="96" w:type="dxa"/>
              <w:right w:w="96" w:type="dxa"/>
            </w:tcMar>
          </w:tcPr>
          <w:p>
            <w:pPr>
              <w:spacing w:after="0" w:before="0"/>
              <w:jc w:val="left"/>
            </w:pPr>
            <w:r>
              <w:rPr>
                <w:rFonts w:ascii="Arial" w:hAnsi="Arial"/>
                <w:b w:val="0"/>
                <w:i w:val="0"/>
                <w:sz w:val="16"/>
              </w:rPr>
              <w:t>1.5 tn</w:t>
            </w:r>
          </w:p>
        </w:tc>
        <w:tc>
          <w:tcPr>
            <w:tcW w:type="dxa" w:w="2160"/>
            <w:tcMar>
              <w:top w:w="36" w:type="dxa"/>
              <w:bottom w:w="36" w:type="dxa"/>
              <w:left w:w="96" w:type="dxa"/>
              <w:right w:w="96" w:type="dxa"/>
            </w:tcMar>
          </w:tcPr>
          <w:p>
            <w:pPr>
              <w:spacing w:after="0" w:before="0"/>
              <w:jc w:val="left"/>
            </w:pPr>
            <w:r>
              <w:rPr>
                <w:rFonts w:ascii="Arial" w:hAnsi="Arial"/>
                <w:b w:val="0"/>
                <w:i w:val="0"/>
                <w:sz w:val="16"/>
              </w:rPr>
              <w:t>5.0x</w:t>
            </w:r>
          </w:p>
        </w:tc>
        <w:tc>
          <w:tcPr>
            <w:tcW w:type="dxa" w:w="2160"/>
            <w:tcMar>
              <w:top w:w="36" w:type="dxa"/>
              <w:bottom w:w="36" w:type="dxa"/>
              <w:left w:w="96" w:type="dxa"/>
              <w:right w:w="96" w:type="dxa"/>
            </w:tcMar>
          </w:tcPr>
          <w:p>
            <w:pPr>
              <w:spacing w:after="0" w:before="0"/>
              <w:jc w:val="left"/>
            </w:pPr>
            <w:r>
              <w:rPr>
                <w:rFonts w:ascii="Arial" w:hAnsi="Arial"/>
                <w:b w:val="0"/>
                <w:i w:val="0"/>
                <w:sz w:val="16"/>
              </w:rPr>
              <w:t>8</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Harman (auto/audio)</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1.3 tn</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8.0x</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10</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Foundry (option value)</w:t>
            </w:r>
          </w:p>
        </w:tc>
        <w:tc>
          <w:tcPr>
            <w:tcW w:type="dxa" w:w="2160"/>
            <w:tcMar>
              <w:top w:w="36" w:type="dxa"/>
              <w:bottom w:w="36" w:type="dxa"/>
              <w:left w:w="96" w:type="dxa"/>
              <w:right w:w="96" w:type="dxa"/>
            </w:tcMar>
          </w:tcPr>
          <w:p>
            <w:pPr>
              <w:spacing w:after="0" w:before="0"/>
              <w:jc w:val="left"/>
            </w:pPr>
            <w:r>
              <w:rPr>
                <w:rFonts w:ascii="Arial" w:hAnsi="Arial"/>
                <w:b w:val="0"/>
                <w:i w:val="0"/>
                <w:sz w:val="16"/>
              </w:rPr>
              <w:t>—</w:t>
            </w:r>
          </w:p>
        </w:tc>
        <w:tc>
          <w:tcPr>
            <w:tcW w:type="dxa" w:w="2160"/>
            <w:tcMar>
              <w:top w:w="36" w:type="dxa"/>
              <w:bottom w:w="36" w:type="dxa"/>
              <w:left w:w="96" w:type="dxa"/>
              <w:right w:w="96" w:type="dxa"/>
            </w:tcMar>
          </w:tcPr>
          <w:p>
            <w:pPr>
              <w:spacing w:after="0" w:before="0"/>
              <w:jc w:val="left"/>
            </w:pPr>
            <w:r>
              <w:rPr>
                <w:rFonts w:ascii="Arial" w:hAnsi="Arial"/>
                <w:b w:val="0"/>
                <w:i w:val="0"/>
                <w:sz w:val="16"/>
              </w:rPr>
              <w:t>—</w:t>
            </w:r>
          </w:p>
        </w:tc>
        <w:tc>
          <w:tcPr>
            <w:tcW w:type="dxa" w:w="2160"/>
            <w:tcMar>
              <w:top w:w="36" w:type="dxa"/>
              <w:bottom w:w="36" w:type="dxa"/>
              <w:left w:w="96" w:type="dxa"/>
              <w:right w:w="96" w:type="dxa"/>
            </w:tcMar>
          </w:tcPr>
          <w:p>
            <w:pPr>
              <w:spacing w:after="0" w:before="0"/>
              <w:jc w:val="left"/>
            </w:pPr>
            <w:r>
              <w:rPr>
                <w:rFonts w:ascii="Arial" w:hAnsi="Arial"/>
                <w:b w:val="0"/>
                <w:i w:val="0"/>
                <w:sz w:val="16"/>
              </w:rPr>
              <w:t>0</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 Net cash</w:t>
            </w:r>
          </w:p>
        </w:tc>
        <w:tc>
          <w:tcPr>
            <w:tcW w:type="dxa" w:w="2160"/>
            <w:tcMar>
              <w:top w:w="36" w:type="dxa"/>
              <w:bottom w:w="36" w:type="dxa"/>
              <w:left w:w="96" w:type="dxa"/>
              <w:right w:w="96" w:type="dxa"/>
            </w:tcMar>
            <w:shd w:val="clear" w:color="auto" w:fill="DCE7E2"/>
          </w:tcPr>
          <w:p>
            <w:pPr>
              <w:spacing w:after="0" w:before="0"/>
              <w:jc w:val="left"/>
            </w:pPr>
          </w:p>
        </w:tc>
        <w:tc>
          <w:tcPr>
            <w:tcW w:type="dxa" w:w="2160"/>
            <w:tcMar>
              <w:top w:w="36" w:type="dxa"/>
              <w:bottom w:w="36" w:type="dxa"/>
              <w:left w:w="96" w:type="dxa"/>
              <w:right w:w="96" w:type="dxa"/>
            </w:tcMar>
            <w:shd w:val="clear" w:color="auto" w:fill="DCE7E2"/>
          </w:tcPr>
          <w:p>
            <w:pPr>
              <w:spacing w:after="0" w:before="0"/>
              <w:jc w:val="left"/>
            </w:pP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119.2</w:t>
            </w:r>
          </w:p>
        </w:tc>
      </w:tr>
      <w:tr>
        <w:tc>
          <w:tcPr>
            <w:tcW w:type="dxa" w:w="2880"/>
            <w:tcMar>
              <w:top w:w="36" w:type="dxa"/>
              <w:bottom w:w="36" w:type="dxa"/>
              <w:left w:w="96" w:type="dxa"/>
              <w:right w:w="96" w:type="dxa"/>
            </w:tcMar>
          </w:tcPr>
          <w:p>
            <w:pPr>
              <w:spacing w:after="0" w:before="0"/>
              <w:jc w:val="left"/>
            </w:pPr>
            <w:r>
              <w:rPr>
                <w:rFonts w:ascii="Arial" w:hAnsi="Arial"/>
                <w:b/>
                <w:i w:val="0"/>
                <w:sz w:val="16"/>
              </w:rPr>
              <w:t>(+) Listed stakes / other</w:t>
            </w:r>
          </w:p>
        </w:tc>
        <w:tc>
          <w:tcPr>
            <w:tcW w:type="dxa" w:w="2160"/>
            <w:tcMar>
              <w:top w:w="36" w:type="dxa"/>
              <w:bottom w:w="36" w:type="dxa"/>
              <w:left w:w="96" w:type="dxa"/>
              <w:right w:w="96" w:type="dxa"/>
            </w:tcMar>
          </w:tcPr>
          <w:p>
            <w:pPr>
              <w:spacing w:after="0" w:before="0"/>
              <w:jc w:val="left"/>
            </w:pPr>
          </w:p>
        </w:tc>
        <w:tc>
          <w:tcPr>
            <w:tcW w:type="dxa" w:w="2160"/>
            <w:tcMar>
              <w:top w:w="36" w:type="dxa"/>
              <w:bottom w:w="36" w:type="dxa"/>
              <w:left w:w="96" w:type="dxa"/>
              <w:right w:w="96" w:type="dxa"/>
            </w:tcMar>
          </w:tcPr>
          <w:p>
            <w:pPr>
              <w:spacing w:after="0" w:before="0"/>
              <w:jc w:val="left"/>
            </w:pPr>
          </w:p>
        </w:tc>
        <w:tc>
          <w:tcPr>
            <w:tcW w:type="dxa" w:w="2160"/>
            <w:tcMar>
              <w:top w:w="36" w:type="dxa"/>
              <w:bottom w:w="36" w:type="dxa"/>
              <w:left w:w="96" w:type="dxa"/>
              <w:right w:w="96" w:type="dxa"/>
            </w:tcMar>
          </w:tcPr>
          <w:p>
            <w:pPr>
              <w:spacing w:after="0" w:before="0"/>
              <w:jc w:val="left"/>
            </w:pPr>
            <w:r>
              <w:rPr>
                <w:rFonts w:ascii="Arial" w:hAnsi="Arial"/>
                <w:b/>
                <w:i w:val="0"/>
                <w:sz w:val="16"/>
              </w:rPr>
              <w:t>25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Equity value</w:t>
            </w:r>
          </w:p>
        </w:tc>
        <w:tc>
          <w:tcPr>
            <w:tcW w:type="dxa" w:w="2160"/>
            <w:tcMar>
              <w:top w:w="36" w:type="dxa"/>
              <w:bottom w:w="36" w:type="dxa"/>
              <w:left w:w="96" w:type="dxa"/>
              <w:right w:w="96" w:type="dxa"/>
            </w:tcMar>
            <w:shd w:val="clear" w:color="auto" w:fill="DCE7E2"/>
          </w:tcPr>
          <w:p>
            <w:pPr>
              <w:spacing w:after="0" w:before="0"/>
              <w:jc w:val="left"/>
            </w:pPr>
          </w:p>
        </w:tc>
        <w:tc>
          <w:tcPr>
            <w:tcW w:type="dxa" w:w="2160"/>
            <w:tcMar>
              <w:top w:w="36" w:type="dxa"/>
              <w:bottom w:w="36" w:type="dxa"/>
              <w:left w:w="96" w:type="dxa"/>
              <w:right w:w="96" w:type="dxa"/>
            </w:tcMar>
            <w:shd w:val="clear" w:color="auto" w:fill="DCE7E2"/>
          </w:tcPr>
          <w:p>
            <w:pPr>
              <w:spacing w:after="0" w:before="0"/>
              <w:jc w:val="left"/>
            </w:pP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~1,880</w:t>
            </w:r>
          </w:p>
        </w:tc>
      </w:tr>
      <w:tr>
        <w:tc>
          <w:tcPr>
            <w:tcW w:type="dxa" w:w="2880"/>
            <w:tcMar>
              <w:top w:w="36" w:type="dxa"/>
              <w:bottom w:w="36" w:type="dxa"/>
              <w:left w:w="96" w:type="dxa"/>
              <w:right w:w="96" w:type="dxa"/>
            </w:tcMar>
          </w:tcPr>
          <w:p>
            <w:pPr>
              <w:spacing w:after="0" w:before="0"/>
              <w:jc w:val="left"/>
            </w:pPr>
            <w:r>
              <w:rPr>
                <w:rFonts w:ascii="Arial" w:hAnsi="Arial"/>
                <w:b/>
                <w:i w:val="0"/>
                <w:sz w:val="16"/>
              </w:rPr>
              <w:t>Value / share (base)</w:t>
            </w:r>
          </w:p>
        </w:tc>
        <w:tc>
          <w:tcPr>
            <w:tcW w:type="dxa" w:w="2160"/>
            <w:tcMar>
              <w:top w:w="36" w:type="dxa"/>
              <w:bottom w:w="36" w:type="dxa"/>
              <w:left w:w="96" w:type="dxa"/>
              <w:right w:w="96" w:type="dxa"/>
            </w:tcMar>
          </w:tcPr>
          <w:p>
            <w:pPr>
              <w:spacing w:after="0" w:before="0"/>
              <w:jc w:val="left"/>
            </w:pPr>
          </w:p>
        </w:tc>
        <w:tc>
          <w:tcPr>
            <w:tcW w:type="dxa" w:w="2160"/>
            <w:tcMar>
              <w:top w:w="36" w:type="dxa"/>
              <w:bottom w:w="36" w:type="dxa"/>
              <w:left w:w="96" w:type="dxa"/>
              <w:right w:w="96" w:type="dxa"/>
            </w:tcMar>
          </w:tcPr>
          <w:p>
            <w:pPr>
              <w:spacing w:after="0" w:before="0"/>
              <w:jc w:val="left"/>
            </w:pPr>
          </w:p>
        </w:tc>
        <w:tc>
          <w:tcPr>
            <w:tcW w:type="dxa" w:w="2160"/>
            <w:tcMar>
              <w:top w:w="36" w:type="dxa"/>
              <w:bottom w:w="36" w:type="dxa"/>
              <w:left w:w="96" w:type="dxa"/>
              <w:right w:w="96" w:type="dxa"/>
            </w:tcMar>
          </w:tcPr>
          <w:p>
            <w:pPr>
              <w:spacing w:after="0" w:before="0"/>
              <w:jc w:val="left"/>
            </w:pPr>
            <w:r>
              <w:rPr>
                <w:rFonts w:ascii="Arial" w:hAnsi="Arial"/>
                <w:b/>
                <w:i w:val="0"/>
                <w:sz w:val="16"/>
              </w:rPr>
              <w:t>KRW 283,499</w:t>
            </w:r>
          </w:p>
        </w:tc>
      </w:tr>
    </w:tbl>
    <w:p>
      <w:pPr>
        <w:spacing w:after="80"/>
      </w:pPr>
    </w:p>
    <w:p>
      <w:pPr>
        <w:spacing w:after="120" w:before="0" w:line="274" w:lineRule="auto"/>
        <w:jc w:val="both"/>
      </w:pPr>
      <w:r>
        <w:rPr>
          <w:rFonts w:ascii="Arial" w:hAnsi="Arial"/>
          <w:b/>
          <w:i w:val="0"/>
          <w:sz w:val="16"/>
        </w:rPr>
        <w:t>The three SOTP cases bracket the memory debate.</w:t>
      </w:r>
      <w:r>
        <w:rPr>
          <w:rFonts w:ascii="Arial" w:hAnsi="Arial"/>
          <w:b w:val="0"/>
          <w:i w:val="0"/>
          <w:sz w:val="16"/>
        </w:rPr>
        <w:t xml:space="preserve"> The </w:t>
      </w:r>
      <w:r>
        <w:rPr>
          <w:rFonts w:ascii="Arial" w:hAnsi="Arial"/>
          <w:b/>
          <w:i w:val="0"/>
          <w:sz w:val="16"/>
        </w:rPr>
        <w:t>supercycle (bull) case</w:t>
      </w:r>
      <w:r>
        <w:rPr>
          <w:rFonts w:ascii="Arial" w:hAnsi="Arial"/>
          <w:b w:val="0"/>
          <w:i w:val="0"/>
          <w:sz w:val="16"/>
        </w:rPr>
        <w:t xml:space="preserve"> lifts memory to ~KRW 230tn at 10x and ascribes ~KRW 60tn of foundry option value — it reaches </w:t>
      </w:r>
      <w:r>
        <w:rPr>
          <w:rFonts w:ascii="Arial" w:hAnsi="Arial"/>
          <w:b/>
          <w:i w:val="0"/>
          <w:sz w:val="16"/>
        </w:rPr>
        <w:t>KRW 410,754</w:t>
      </w:r>
      <w:r>
        <w:rPr>
          <w:rFonts w:ascii="Arial" w:hAnsi="Arial"/>
          <w:b w:val="0"/>
          <w:i w:val="0"/>
          <w:sz w:val="16"/>
        </w:rPr>
        <w:t xml:space="preserve"> (+21%), roughly where today's price and consensus sit. The </w:t>
      </w:r>
      <w:r>
        <w:rPr>
          <w:rFonts w:ascii="Arial" w:hAnsi="Arial"/>
          <w:b/>
          <w:i w:val="0"/>
          <w:sz w:val="16"/>
        </w:rPr>
        <w:t>cycle-reversion (bear) case</w:t>
      </w:r>
      <w:r>
        <w:rPr>
          <w:rFonts w:ascii="Arial" w:hAnsi="Arial"/>
          <w:b w:val="0"/>
          <w:i w:val="0"/>
          <w:sz w:val="16"/>
        </w:rPr>
        <w:t xml:space="preserve"> normalises memory to a genuine through-cycle ~KRW 60tn at 7x — the "still a commodity" view — and collapses to </w:t>
      </w:r>
      <w:r>
        <w:rPr>
          <w:rFonts w:ascii="Arial" w:hAnsi="Arial"/>
          <w:b/>
          <w:i w:val="0"/>
          <w:sz w:val="16"/>
        </w:rPr>
        <w:t>KRW 95,053</w:t>
      </w:r>
      <w:r>
        <w:rPr>
          <w:rFonts w:ascii="Arial" w:hAnsi="Arial"/>
          <w:b w:val="0"/>
          <w:i w:val="0"/>
          <w:sz w:val="16"/>
        </w:rPr>
        <w:t xml:space="preserve"> (-72%). The width of that range, KRW 95,053 to KRW 410,754, is the honest measure of how much the answer depends on one's view of the memory cycle.</w:t>
      </w:r>
    </w:p>
    <w:p>
      <w:pPr>
        <w:spacing w:after="80" w:before="200" w:line="274" w:lineRule="auto"/>
      </w:pPr>
      <w:r>
        <w:rPr>
          <w:rFonts w:ascii="Arial" w:hAnsi="Arial"/>
          <w:b/>
          <w:i w:val="0"/>
          <w:color w:val="1C3A36"/>
          <w:sz w:val="22"/>
        </w:rPr>
        <w:t>1.2  Consolidated DCF — the cash-flow cross-check</w:t>
      </w:r>
    </w:p>
    <w:p>
      <w:pPr>
        <w:spacing w:after="120" w:before="0" w:line="274" w:lineRule="auto"/>
        <w:jc w:val="both"/>
      </w:pPr>
      <w:r>
        <w:rPr>
          <w:rFonts w:ascii="Arial" w:hAnsi="Arial"/>
          <w:b w:val="0"/>
          <w:i w:val="0"/>
          <w:sz w:val="16"/>
        </w:rPr>
        <w:t>The SOTP values Samsung on segment earnings; a DCF asks the more demanding question — after Samsung pays for the capital expenditure the boom requires, how much cash is left for owners? We project unlevered free cash flow to the firm (FCFF) for 2026e‑2030e (capturing the supercycle peak and a normalisation), discount at a KRW WACC of 8.5%, and add a normalised terminal value.</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560"/>
        <w:gridCol w:w="1560"/>
        <w:gridCol w:w="1560"/>
        <w:gridCol w:w="1560"/>
        <w:gridCol w:w="1560"/>
        <w:gridCol w:w="156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FCFF build (KRW tn)</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2026e</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2027e</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2028e</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2029e</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2030e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Operating profit</w:t>
            </w:r>
          </w:p>
        </w:tc>
        <w:tc>
          <w:tcPr>
            <w:tcW w:type="dxa" w:w="1325"/>
            <w:tcMar>
              <w:top w:w="36" w:type="dxa"/>
              <w:bottom w:w="36" w:type="dxa"/>
              <w:left w:w="96" w:type="dxa"/>
              <w:right w:w="96" w:type="dxa"/>
            </w:tcMar>
          </w:tcPr>
          <w:p>
            <w:pPr>
              <w:spacing w:after="0" w:before="0"/>
              <w:jc w:val="left"/>
            </w:pPr>
            <w:r>
              <w:rPr>
                <w:rFonts w:ascii="Arial" w:hAnsi="Arial"/>
                <w:b w:val="0"/>
                <w:i w:val="0"/>
                <w:sz w:val="16"/>
              </w:rPr>
              <w:t>215</w:t>
            </w:r>
          </w:p>
        </w:tc>
        <w:tc>
          <w:tcPr>
            <w:tcW w:type="dxa" w:w="1325"/>
            <w:tcMar>
              <w:top w:w="36" w:type="dxa"/>
              <w:bottom w:w="36" w:type="dxa"/>
              <w:left w:w="96" w:type="dxa"/>
              <w:right w:w="96" w:type="dxa"/>
            </w:tcMar>
          </w:tcPr>
          <w:p>
            <w:pPr>
              <w:spacing w:after="0" w:before="0"/>
              <w:jc w:val="left"/>
            </w:pPr>
            <w:r>
              <w:rPr>
                <w:rFonts w:ascii="Arial" w:hAnsi="Arial"/>
                <w:b w:val="0"/>
                <w:i w:val="0"/>
                <w:sz w:val="16"/>
              </w:rPr>
              <w:t>190</w:t>
            </w:r>
          </w:p>
        </w:tc>
        <w:tc>
          <w:tcPr>
            <w:tcW w:type="dxa" w:w="1325"/>
            <w:tcMar>
              <w:top w:w="36" w:type="dxa"/>
              <w:bottom w:w="36" w:type="dxa"/>
              <w:left w:w="96" w:type="dxa"/>
              <w:right w:w="96" w:type="dxa"/>
            </w:tcMar>
          </w:tcPr>
          <w:p>
            <w:pPr>
              <w:spacing w:after="0" w:before="0"/>
              <w:jc w:val="left"/>
            </w:pPr>
            <w:r>
              <w:rPr>
                <w:rFonts w:ascii="Arial" w:hAnsi="Arial"/>
                <w:b w:val="0"/>
                <w:i w:val="0"/>
                <w:sz w:val="16"/>
              </w:rPr>
              <w:t>120</w:t>
            </w:r>
          </w:p>
        </w:tc>
        <w:tc>
          <w:tcPr>
            <w:tcW w:type="dxa" w:w="1325"/>
            <w:tcMar>
              <w:top w:w="36" w:type="dxa"/>
              <w:bottom w:w="36" w:type="dxa"/>
              <w:left w:w="96" w:type="dxa"/>
              <w:right w:w="96" w:type="dxa"/>
            </w:tcMar>
          </w:tcPr>
          <w:p>
            <w:pPr>
              <w:spacing w:after="0" w:before="0"/>
              <w:jc w:val="left"/>
            </w:pPr>
            <w:r>
              <w:rPr>
                <w:rFonts w:ascii="Arial" w:hAnsi="Arial"/>
                <w:b w:val="0"/>
                <w:i w:val="0"/>
                <w:sz w:val="16"/>
              </w:rPr>
              <w:t>132</w:t>
            </w:r>
          </w:p>
        </w:tc>
        <w:tc>
          <w:tcPr>
            <w:tcW w:type="dxa" w:w="1325"/>
            <w:tcMar>
              <w:top w:w="36" w:type="dxa"/>
              <w:bottom w:w="36" w:type="dxa"/>
              <w:left w:w="96" w:type="dxa"/>
              <w:right w:w="96" w:type="dxa"/>
            </w:tcMar>
          </w:tcPr>
          <w:p>
            <w:pPr>
              <w:spacing w:after="0" w:before="0"/>
              <w:jc w:val="left"/>
            </w:pPr>
            <w:r>
              <w:rPr>
                <w:rFonts w:ascii="Arial" w:hAnsi="Arial"/>
                <w:b w:val="0"/>
                <w:i w:val="0"/>
                <w:sz w:val="16"/>
              </w:rPr>
              <w:t>145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NOPAT (after 18% tax)</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176.3</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155.8</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98.4</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108.2</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118.9</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 D&amp;A</w:t>
            </w:r>
          </w:p>
        </w:tc>
        <w:tc>
          <w:tcPr>
            <w:tcW w:type="dxa" w:w="1325"/>
            <w:tcMar>
              <w:top w:w="36" w:type="dxa"/>
              <w:bottom w:w="36" w:type="dxa"/>
              <w:left w:w="96" w:type="dxa"/>
              <w:right w:w="96" w:type="dxa"/>
            </w:tcMar>
          </w:tcPr>
          <w:p>
            <w:pPr>
              <w:spacing w:after="0" w:before="0"/>
              <w:jc w:val="left"/>
            </w:pPr>
            <w:r>
              <w:rPr>
                <w:rFonts w:ascii="Arial" w:hAnsi="Arial"/>
                <w:b w:val="0"/>
                <w:i w:val="0"/>
                <w:sz w:val="16"/>
              </w:rPr>
              <w:t>52</w:t>
            </w:r>
          </w:p>
        </w:tc>
        <w:tc>
          <w:tcPr>
            <w:tcW w:type="dxa" w:w="1325"/>
            <w:tcMar>
              <w:top w:w="36" w:type="dxa"/>
              <w:bottom w:w="36" w:type="dxa"/>
              <w:left w:w="96" w:type="dxa"/>
              <w:right w:w="96" w:type="dxa"/>
            </w:tcMar>
          </w:tcPr>
          <w:p>
            <w:pPr>
              <w:spacing w:after="0" w:before="0"/>
              <w:jc w:val="left"/>
            </w:pPr>
            <w:r>
              <w:rPr>
                <w:rFonts w:ascii="Arial" w:hAnsi="Arial"/>
                <w:b w:val="0"/>
                <w:i w:val="0"/>
                <w:sz w:val="16"/>
              </w:rPr>
              <w:t>54</w:t>
            </w:r>
          </w:p>
        </w:tc>
        <w:tc>
          <w:tcPr>
            <w:tcW w:type="dxa" w:w="1325"/>
            <w:tcMar>
              <w:top w:w="36" w:type="dxa"/>
              <w:bottom w:w="36" w:type="dxa"/>
              <w:left w:w="96" w:type="dxa"/>
              <w:right w:w="96" w:type="dxa"/>
            </w:tcMar>
          </w:tcPr>
          <w:p>
            <w:pPr>
              <w:spacing w:after="0" w:before="0"/>
              <w:jc w:val="left"/>
            </w:pPr>
            <w:r>
              <w:rPr>
                <w:rFonts w:ascii="Arial" w:hAnsi="Arial"/>
                <w:b w:val="0"/>
                <w:i w:val="0"/>
                <w:sz w:val="16"/>
              </w:rPr>
              <w:t>56</w:t>
            </w:r>
          </w:p>
        </w:tc>
        <w:tc>
          <w:tcPr>
            <w:tcW w:type="dxa" w:w="1325"/>
            <w:tcMar>
              <w:top w:w="36" w:type="dxa"/>
              <w:bottom w:w="36" w:type="dxa"/>
              <w:left w:w="96" w:type="dxa"/>
              <w:right w:w="96" w:type="dxa"/>
            </w:tcMar>
          </w:tcPr>
          <w:p>
            <w:pPr>
              <w:spacing w:after="0" w:before="0"/>
              <w:jc w:val="left"/>
            </w:pPr>
            <w:r>
              <w:rPr>
                <w:rFonts w:ascii="Arial" w:hAnsi="Arial"/>
                <w:b w:val="0"/>
                <w:i w:val="0"/>
                <w:sz w:val="16"/>
              </w:rPr>
              <w:t>58</w:t>
            </w:r>
          </w:p>
        </w:tc>
        <w:tc>
          <w:tcPr>
            <w:tcW w:type="dxa" w:w="1325"/>
            <w:tcMar>
              <w:top w:w="36" w:type="dxa"/>
              <w:bottom w:w="36" w:type="dxa"/>
              <w:left w:w="96" w:type="dxa"/>
              <w:right w:w="96" w:type="dxa"/>
            </w:tcMar>
          </w:tcPr>
          <w:p>
            <w:pPr>
              <w:spacing w:after="0" w:before="0"/>
              <w:jc w:val="left"/>
            </w:pPr>
            <w:r>
              <w:rPr>
                <w:rFonts w:ascii="Arial" w:hAnsi="Arial"/>
                <w:b w:val="0"/>
                <w:i w:val="0"/>
                <w:sz w:val="16"/>
              </w:rPr>
              <w:t>60</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 Capex</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(100)</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(98)</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(88)</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(85)</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(85)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 Δ Working capital</w:t>
            </w:r>
          </w:p>
        </w:tc>
        <w:tc>
          <w:tcPr>
            <w:tcW w:type="dxa" w:w="1325"/>
            <w:tcMar>
              <w:top w:w="36" w:type="dxa"/>
              <w:bottom w:w="36" w:type="dxa"/>
              <w:left w:w="96" w:type="dxa"/>
              <w:right w:w="96" w:type="dxa"/>
            </w:tcMar>
          </w:tcPr>
          <w:p>
            <w:pPr>
              <w:spacing w:after="0" w:before="0"/>
              <w:jc w:val="left"/>
            </w:pPr>
            <w:r>
              <w:rPr>
                <w:rFonts w:ascii="Arial" w:hAnsi="Arial"/>
                <w:b w:val="0"/>
                <w:i w:val="0"/>
                <w:sz w:val="16"/>
              </w:rPr>
              <w:t>(12)</w:t>
            </w:r>
          </w:p>
        </w:tc>
        <w:tc>
          <w:tcPr>
            <w:tcW w:type="dxa" w:w="1325"/>
            <w:tcMar>
              <w:top w:w="36" w:type="dxa"/>
              <w:bottom w:w="36" w:type="dxa"/>
              <w:left w:w="96" w:type="dxa"/>
              <w:right w:w="96" w:type="dxa"/>
            </w:tcMar>
          </w:tcPr>
          <w:p>
            <w:pPr>
              <w:spacing w:after="0" w:before="0"/>
              <w:jc w:val="left"/>
            </w:pPr>
            <w:r>
              <w:rPr>
                <w:rFonts w:ascii="Arial" w:hAnsi="Arial"/>
                <w:b w:val="0"/>
                <w:i w:val="0"/>
                <w:sz w:val="16"/>
              </w:rPr>
              <w:t>(3)</w:t>
            </w:r>
          </w:p>
        </w:tc>
        <w:tc>
          <w:tcPr>
            <w:tcW w:type="dxa" w:w="1325"/>
            <w:tcMar>
              <w:top w:w="36" w:type="dxa"/>
              <w:bottom w:w="36" w:type="dxa"/>
              <w:left w:w="96" w:type="dxa"/>
              <w:right w:w="96" w:type="dxa"/>
            </w:tcMar>
          </w:tcPr>
          <w:p>
            <w:pPr>
              <w:spacing w:after="0" w:before="0"/>
              <w:jc w:val="left"/>
            </w:pPr>
            <w:r>
              <w:rPr>
                <w:rFonts w:ascii="Arial" w:hAnsi="Arial"/>
                <w:b w:val="0"/>
                <w:i w:val="0"/>
                <w:sz w:val="16"/>
              </w:rPr>
              <w:t>5</w:t>
            </w:r>
          </w:p>
        </w:tc>
        <w:tc>
          <w:tcPr>
            <w:tcW w:type="dxa" w:w="1325"/>
            <w:tcMar>
              <w:top w:w="36" w:type="dxa"/>
              <w:bottom w:w="36" w:type="dxa"/>
              <w:left w:w="96" w:type="dxa"/>
              <w:right w:w="96" w:type="dxa"/>
            </w:tcMar>
          </w:tcPr>
          <w:p>
            <w:pPr>
              <w:spacing w:after="0" w:before="0"/>
              <w:jc w:val="left"/>
            </w:pPr>
            <w:r>
              <w:rPr>
                <w:rFonts w:ascii="Arial" w:hAnsi="Arial"/>
                <w:b w:val="0"/>
                <w:i w:val="0"/>
                <w:sz w:val="16"/>
              </w:rPr>
              <w:t>(4)</w:t>
            </w:r>
          </w:p>
        </w:tc>
        <w:tc>
          <w:tcPr>
            <w:tcW w:type="dxa" w:w="1325"/>
            <w:tcMar>
              <w:top w:w="36" w:type="dxa"/>
              <w:bottom w:w="36" w:type="dxa"/>
              <w:left w:w="96" w:type="dxa"/>
              <w:right w:w="96" w:type="dxa"/>
            </w:tcMar>
          </w:tcPr>
          <w:p>
            <w:pPr>
              <w:spacing w:after="0" w:before="0"/>
              <w:jc w:val="left"/>
            </w:pPr>
            <w:r>
              <w:rPr>
                <w:rFonts w:ascii="Arial" w:hAnsi="Arial"/>
                <w:b w:val="0"/>
                <w:i w:val="0"/>
                <w:sz w:val="16"/>
              </w:rPr>
              <w:t>(4)</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Unlevered FCFF</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116.3</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108.8</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71.4</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77.2</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89.9</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Discount factor @ 8.5%</w:t>
            </w:r>
          </w:p>
        </w:tc>
        <w:tc>
          <w:tcPr>
            <w:tcW w:type="dxa" w:w="1325"/>
            <w:tcMar>
              <w:top w:w="36" w:type="dxa"/>
              <w:bottom w:w="36" w:type="dxa"/>
              <w:left w:w="96" w:type="dxa"/>
              <w:right w:w="96" w:type="dxa"/>
            </w:tcMar>
          </w:tcPr>
          <w:p>
            <w:pPr>
              <w:spacing w:after="0" w:before="0"/>
              <w:jc w:val="left"/>
            </w:pPr>
            <w:r>
              <w:rPr>
                <w:rFonts w:ascii="Arial" w:hAnsi="Arial"/>
                <w:b w:val="0"/>
                <w:i w:val="0"/>
                <w:sz w:val="16"/>
              </w:rPr>
              <w:t>0.922</w:t>
            </w:r>
          </w:p>
        </w:tc>
        <w:tc>
          <w:tcPr>
            <w:tcW w:type="dxa" w:w="1325"/>
            <w:tcMar>
              <w:top w:w="36" w:type="dxa"/>
              <w:bottom w:w="36" w:type="dxa"/>
              <w:left w:w="96" w:type="dxa"/>
              <w:right w:w="96" w:type="dxa"/>
            </w:tcMar>
          </w:tcPr>
          <w:p>
            <w:pPr>
              <w:spacing w:after="0" w:before="0"/>
              <w:jc w:val="left"/>
            </w:pPr>
            <w:r>
              <w:rPr>
                <w:rFonts w:ascii="Arial" w:hAnsi="Arial"/>
                <w:b w:val="0"/>
                <w:i w:val="0"/>
                <w:sz w:val="16"/>
              </w:rPr>
              <w:t>0.849</w:t>
            </w:r>
          </w:p>
        </w:tc>
        <w:tc>
          <w:tcPr>
            <w:tcW w:type="dxa" w:w="1325"/>
            <w:tcMar>
              <w:top w:w="36" w:type="dxa"/>
              <w:bottom w:w="36" w:type="dxa"/>
              <w:left w:w="96" w:type="dxa"/>
              <w:right w:w="96" w:type="dxa"/>
            </w:tcMar>
          </w:tcPr>
          <w:p>
            <w:pPr>
              <w:spacing w:after="0" w:before="0"/>
              <w:jc w:val="left"/>
            </w:pPr>
            <w:r>
              <w:rPr>
                <w:rFonts w:ascii="Arial" w:hAnsi="Arial"/>
                <w:b w:val="0"/>
                <w:i w:val="0"/>
                <w:sz w:val="16"/>
              </w:rPr>
              <w:t>0.783</w:t>
            </w:r>
          </w:p>
        </w:tc>
        <w:tc>
          <w:tcPr>
            <w:tcW w:type="dxa" w:w="1325"/>
            <w:tcMar>
              <w:top w:w="36" w:type="dxa"/>
              <w:bottom w:w="36" w:type="dxa"/>
              <w:left w:w="96" w:type="dxa"/>
              <w:right w:w="96" w:type="dxa"/>
            </w:tcMar>
          </w:tcPr>
          <w:p>
            <w:pPr>
              <w:spacing w:after="0" w:before="0"/>
              <w:jc w:val="left"/>
            </w:pPr>
            <w:r>
              <w:rPr>
                <w:rFonts w:ascii="Arial" w:hAnsi="Arial"/>
                <w:b w:val="0"/>
                <w:i w:val="0"/>
                <w:sz w:val="16"/>
              </w:rPr>
              <w:t>0.722</w:t>
            </w:r>
          </w:p>
        </w:tc>
        <w:tc>
          <w:tcPr>
            <w:tcW w:type="dxa" w:w="1325"/>
            <w:tcMar>
              <w:top w:w="36" w:type="dxa"/>
              <w:bottom w:w="36" w:type="dxa"/>
              <w:left w:w="96" w:type="dxa"/>
              <w:right w:w="96" w:type="dxa"/>
            </w:tcMar>
          </w:tcPr>
          <w:p>
            <w:pPr>
              <w:spacing w:after="0" w:before="0"/>
              <w:jc w:val="left"/>
            </w:pPr>
            <w:r>
              <w:rPr>
                <w:rFonts w:ascii="Arial" w:hAnsi="Arial"/>
                <w:b w:val="0"/>
                <w:i w:val="0"/>
                <w:sz w:val="16"/>
              </w:rPr>
              <w:t>0.665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PV of FCFF</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107.2</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92.4</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55.9</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55.7</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59.8</w:t>
            </w:r>
          </w:p>
        </w:tc>
      </w:tr>
    </w:tbl>
    <w:p>
      <w:pPr>
        <w:spacing w:after="80"/>
      </w:pP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3120"/>
        <w:gridCol w:w="3120"/>
        <w:gridCol w:w="312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DCF bridge to value</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KRW tn</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per share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PV of explicit FCFF (2026e‑2030e)</w:t>
            </w:r>
          </w:p>
        </w:tc>
        <w:tc>
          <w:tcPr>
            <w:tcW w:type="dxa" w:w="2160"/>
            <w:tcMar>
              <w:top w:w="36" w:type="dxa"/>
              <w:bottom w:w="36" w:type="dxa"/>
              <w:left w:w="96" w:type="dxa"/>
              <w:right w:w="96" w:type="dxa"/>
            </w:tcMar>
          </w:tcPr>
          <w:p>
            <w:pPr>
              <w:spacing w:after="0" w:before="0"/>
              <w:jc w:val="left"/>
            </w:pPr>
            <w:r>
              <w:rPr>
                <w:rFonts w:ascii="Arial" w:hAnsi="Arial"/>
                <w:b w:val="0"/>
                <w:i w:val="0"/>
                <w:sz w:val="16"/>
              </w:rPr>
              <w:t>371</w:t>
            </w:r>
          </w:p>
        </w:tc>
        <w:tc>
          <w:tcPr>
            <w:tcW w:type="dxa" w:w="2160"/>
            <w:tcMar>
              <w:top w:w="36" w:type="dxa"/>
              <w:bottom w:w="36" w:type="dxa"/>
              <w:left w:w="96" w:type="dxa"/>
              <w:right w:w="96" w:type="dxa"/>
            </w:tcMar>
          </w:tcPr>
          <w:p>
            <w:pPr>
              <w:spacing w:after="0" w:before="0"/>
              <w:jc w:val="left"/>
            </w:pP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 PV of terminal value (norm. FCFF 80tn, g 2.5%)</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909</w:t>
            </w:r>
          </w:p>
        </w:tc>
        <w:tc>
          <w:tcPr>
            <w:tcW w:type="dxa" w:w="2160"/>
            <w:tcMar>
              <w:top w:w="36" w:type="dxa"/>
              <w:bottom w:w="36" w:type="dxa"/>
              <w:left w:w="96" w:type="dxa"/>
              <w:right w:w="96" w:type="dxa"/>
            </w:tcMar>
            <w:shd w:val="clear" w:color="auto" w:fill="DCE7E2"/>
          </w:tcPr>
          <w:p>
            <w:pPr>
              <w:spacing w:after="0" w:before="0"/>
              <w:jc w:val="left"/>
            </w:pPr>
          </w:p>
        </w:tc>
      </w:tr>
      <w:tr>
        <w:tc>
          <w:tcPr>
            <w:tcW w:type="dxa" w:w="2880"/>
            <w:tcMar>
              <w:top w:w="36" w:type="dxa"/>
              <w:bottom w:w="36" w:type="dxa"/>
              <w:left w:w="96" w:type="dxa"/>
              <w:right w:w="96" w:type="dxa"/>
            </w:tcMar>
          </w:tcPr>
          <w:p>
            <w:pPr>
              <w:spacing w:after="0" w:before="0"/>
              <w:jc w:val="left"/>
            </w:pPr>
            <w:r>
              <w:rPr>
                <w:rFonts w:ascii="Arial" w:hAnsi="Arial"/>
                <w:b/>
                <w:i w:val="0"/>
                <w:sz w:val="16"/>
              </w:rPr>
              <w:t>Enterprise value</w:t>
            </w:r>
          </w:p>
        </w:tc>
        <w:tc>
          <w:tcPr>
            <w:tcW w:type="dxa" w:w="2160"/>
            <w:tcMar>
              <w:top w:w="36" w:type="dxa"/>
              <w:bottom w:w="36" w:type="dxa"/>
              <w:left w:w="96" w:type="dxa"/>
              <w:right w:w="96" w:type="dxa"/>
            </w:tcMar>
          </w:tcPr>
          <w:p>
            <w:pPr>
              <w:spacing w:after="0" w:before="0"/>
              <w:jc w:val="left"/>
            </w:pPr>
            <w:r>
              <w:rPr>
                <w:rFonts w:ascii="Arial" w:hAnsi="Arial"/>
                <w:b/>
                <w:i w:val="0"/>
                <w:sz w:val="16"/>
              </w:rPr>
              <w:t>1,280</w:t>
            </w:r>
          </w:p>
        </w:tc>
        <w:tc>
          <w:tcPr>
            <w:tcW w:type="dxa" w:w="2160"/>
            <w:tcMar>
              <w:top w:w="36" w:type="dxa"/>
              <w:bottom w:w="36" w:type="dxa"/>
              <w:left w:w="96" w:type="dxa"/>
              <w:right w:w="96" w:type="dxa"/>
            </w:tcMar>
          </w:tcPr>
          <w:p>
            <w:pPr>
              <w:spacing w:after="0" w:before="0"/>
              <w:jc w:val="left"/>
            </w:pP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 Net cash</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119.2</w:t>
            </w:r>
          </w:p>
        </w:tc>
        <w:tc>
          <w:tcPr>
            <w:tcW w:type="dxa" w:w="2160"/>
            <w:tcMar>
              <w:top w:w="36" w:type="dxa"/>
              <w:bottom w:w="36" w:type="dxa"/>
              <w:left w:w="96" w:type="dxa"/>
              <w:right w:w="96" w:type="dxa"/>
            </w:tcMar>
            <w:shd w:val="clear" w:color="auto" w:fill="DCE7E2"/>
          </w:tcPr>
          <w:p>
            <w:pPr>
              <w:spacing w:after="0" w:before="0"/>
              <w:jc w:val="left"/>
            </w:pPr>
          </w:p>
        </w:tc>
      </w:tr>
      <w:tr>
        <w:tc>
          <w:tcPr>
            <w:tcW w:type="dxa" w:w="2880"/>
            <w:tcMar>
              <w:top w:w="36" w:type="dxa"/>
              <w:bottom w:w="36" w:type="dxa"/>
              <w:left w:w="96" w:type="dxa"/>
              <w:right w:w="96" w:type="dxa"/>
            </w:tcMar>
          </w:tcPr>
          <w:p>
            <w:pPr>
              <w:spacing w:after="0" w:before="0"/>
              <w:jc w:val="left"/>
            </w:pPr>
            <w:r>
              <w:rPr>
                <w:rFonts w:ascii="Arial" w:hAnsi="Arial"/>
                <w:b w:val="0"/>
                <w:i w:val="0"/>
                <w:sz w:val="16"/>
              </w:rPr>
              <w:t>(+) Listed stakes / other</w:t>
            </w:r>
          </w:p>
        </w:tc>
        <w:tc>
          <w:tcPr>
            <w:tcW w:type="dxa" w:w="2160"/>
            <w:tcMar>
              <w:top w:w="36" w:type="dxa"/>
              <w:bottom w:w="36" w:type="dxa"/>
              <w:left w:w="96" w:type="dxa"/>
              <w:right w:w="96" w:type="dxa"/>
            </w:tcMar>
          </w:tcPr>
          <w:p>
            <w:pPr>
              <w:spacing w:after="0" w:before="0"/>
              <w:jc w:val="left"/>
            </w:pPr>
            <w:r>
              <w:rPr>
                <w:rFonts w:ascii="Arial" w:hAnsi="Arial"/>
                <w:b w:val="0"/>
                <w:i w:val="0"/>
                <w:sz w:val="16"/>
              </w:rPr>
              <w:t>25</w:t>
            </w:r>
          </w:p>
        </w:tc>
        <w:tc>
          <w:tcPr>
            <w:tcW w:type="dxa" w:w="2160"/>
            <w:tcMar>
              <w:top w:w="36" w:type="dxa"/>
              <w:bottom w:w="36" w:type="dxa"/>
              <w:left w:w="96" w:type="dxa"/>
              <w:right w:w="96" w:type="dxa"/>
            </w:tcMar>
          </w:tcPr>
          <w:p>
            <w:pPr>
              <w:spacing w:after="0" w:before="0"/>
              <w:jc w:val="left"/>
            </w:pP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Equity value</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1,424</w:t>
            </w:r>
          </w:p>
        </w:tc>
        <w:tc>
          <w:tcPr>
            <w:tcW w:type="dxa" w:w="2160"/>
            <w:tcMar>
              <w:top w:w="36" w:type="dxa"/>
              <w:bottom w:w="36" w:type="dxa"/>
              <w:left w:w="96" w:type="dxa"/>
              <w:right w:w="96" w:type="dxa"/>
            </w:tcMar>
            <w:shd w:val="clear" w:color="auto" w:fill="DCE7E2"/>
          </w:tcPr>
          <w:p>
            <w:pPr>
              <w:spacing w:after="0" w:before="0"/>
              <w:jc w:val="left"/>
            </w:pPr>
          </w:p>
        </w:tc>
      </w:tr>
      <w:tr>
        <w:tc>
          <w:tcPr>
            <w:tcW w:type="dxa" w:w="2880"/>
            <w:tcMar>
              <w:top w:w="36" w:type="dxa"/>
              <w:bottom w:w="36" w:type="dxa"/>
              <w:left w:w="96" w:type="dxa"/>
              <w:right w:w="96" w:type="dxa"/>
            </w:tcMar>
          </w:tcPr>
          <w:p>
            <w:pPr>
              <w:spacing w:after="0" w:before="0"/>
              <w:jc w:val="left"/>
            </w:pPr>
            <w:r>
              <w:rPr>
                <w:rFonts w:ascii="Arial" w:hAnsi="Arial"/>
                <w:b/>
                <w:i w:val="0"/>
                <w:sz w:val="16"/>
              </w:rPr>
              <w:t>DCF value / share</w:t>
            </w:r>
          </w:p>
        </w:tc>
        <w:tc>
          <w:tcPr>
            <w:tcW w:type="dxa" w:w="2160"/>
            <w:tcMar>
              <w:top w:w="36" w:type="dxa"/>
              <w:bottom w:w="36" w:type="dxa"/>
              <w:left w:w="96" w:type="dxa"/>
              <w:right w:w="96" w:type="dxa"/>
            </w:tcMar>
          </w:tcPr>
          <w:p>
            <w:pPr>
              <w:spacing w:after="0" w:before="0"/>
              <w:jc w:val="left"/>
            </w:pPr>
          </w:p>
        </w:tc>
        <w:tc>
          <w:tcPr>
            <w:tcW w:type="dxa" w:w="2160"/>
            <w:tcMar>
              <w:top w:w="36" w:type="dxa"/>
              <w:bottom w:w="36" w:type="dxa"/>
              <w:left w:w="96" w:type="dxa"/>
              <w:right w:w="96" w:type="dxa"/>
            </w:tcMar>
          </w:tcPr>
          <w:p>
            <w:pPr>
              <w:spacing w:after="0" w:before="0"/>
              <w:jc w:val="left"/>
            </w:pPr>
            <w:r>
              <w:rPr>
                <w:rFonts w:ascii="Arial" w:hAnsi="Arial"/>
                <w:b/>
                <w:i w:val="0"/>
                <w:sz w:val="16"/>
              </w:rPr>
              <w:t>KRW 214,800</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vs spot</w:t>
            </w:r>
          </w:p>
        </w:tc>
        <w:tc>
          <w:tcPr>
            <w:tcW w:type="dxa" w:w="2160"/>
            <w:tcMar>
              <w:top w:w="36" w:type="dxa"/>
              <w:bottom w:w="36" w:type="dxa"/>
              <w:left w:w="96" w:type="dxa"/>
              <w:right w:w="96" w:type="dxa"/>
            </w:tcMar>
            <w:shd w:val="clear" w:color="auto" w:fill="DCE7E2"/>
          </w:tcPr>
          <w:p>
            <w:pPr>
              <w:spacing w:after="0" w:before="0"/>
              <w:jc w:val="left"/>
            </w:pP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-37%</w:t>
            </w:r>
          </w:p>
        </w:tc>
      </w:tr>
    </w:tbl>
    <w:p>
      <w:pPr>
        <w:spacing w:after="80"/>
      </w:pPr>
    </w:p>
    <w:p>
      <w:pPr>
        <w:spacing w:after="120" w:before="0" w:line="274" w:lineRule="auto"/>
        <w:jc w:val="both"/>
      </w:pPr>
      <w:r>
        <w:rPr>
          <w:rFonts w:ascii="Arial" w:hAnsi="Arial"/>
          <w:b/>
          <w:i w:val="0"/>
          <w:sz w:val="16"/>
        </w:rPr>
        <w:t>Why the DCF lands below the SOTP.</w:t>
      </w:r>
      <w:r>
        <w:rPr>
          <w:rFonts w:ascii="Arial" w:hAnsi="Arial"/>
          <w:b w:val="0"/>
          <w:i w:val="0"/>
          <w:sz w:val="16"/>
        </w:rPr>
        <w:t xml:space="preserve"> At KRW 214,800 the cash-flow lens sits well below the asset-based KRW 283,499 and far below spot. The reason is structural: Samsung must spend on the order of KRW 100tn a year — roughly half of operating cash flow — to build the HBM, advanced-DRAM and foundry capacity the AI boom demands. On owned, after-capex cash flow the stock looks even fuller than on segment earnings. A bull will object that this capex is growth investment whose returns the terminal value understates; that is a fair argument, and exactly why we treat the DCF as a cross-check rather than the primary lens. But the direction is unambiguous — it corroborates, rather than relieves, the richly-valued reading. Sensitivity grids are in 1.9.</w:t>
      </w:r>
    </w:p>
    <w:p>
      <w:pPr>
        <w:spacing w:after="80" w:before="200" w:line="274" w:lineRule="auto"/>
      </w:pPr>
      <w:r>
        <w:rPr>
          <w:rFonts w:ascii="Arial" w:hAnsi="Arial"/>
          <w:b/>
          <w:i w:val="0"/>
          <w:color w:val="1C3A36"/>
          <w:sz w:val="22"/>
        </w:rPr>
        <w:t>1.3  Relative multiples</w:t>
      </w:r>
    </w:p>
    <w:p>
      <w:pPr>
        <w:spacing w:after="120" w:before="0" w:line="274" w:lineRule="auto"/>
        <w:jc w:val="both"/>
      </w:pPr>
      <w:r>
        <w:rPr>
          <w:rFonts w:ascii="Arial" w:hAnsi="Arial"/>
          <w:b/>
          <w:i w:val="0"/>
          <w:sz w:val="16"/>
        </w:rPr>
        <w:t>On peak earnings Samsung looks cheap; on normalised earnings it does not.</w:t>
      </w:r>
      <w:r>
        <w:rPr>
          <w:rFonts w:ascii="Arial" w:hAnsi="Arial"/>
          <w:b w:val="0"/>
          <w:i w:val="0"/>
          <w:sz w:val="16"/>
        </w:rPr>
        <w:t xml:space="preserve"> At KRW 339,500 the shares trade at ~11.3x our 2026e earnings of KRW 30,166 per share — optically inexpensive next to TSMC (~24x) and below SK Hynix on forward earnings. But 2026e is peak-cycle earnings; the "cheap" multiple is a function of a denominator we do not believe is sustainable. As the cycle normalises, the 2027e multiple rises to ~12.5x and the through-cycle multiple is far higher. Applying 9‑12x to 2026e EPS gives a blended </w:t>
      </w:r>
      <w:r>
        <w:rPr>
          <w:rFonts w:ascii="Arial" w:hAnsi="Arial"/>
          <w:b/>
          <w:i w:val="0"/>
          <w:sz w:val="16"/>
        </w:rPr>
        <w:t>KRW 316,742</w:t>
      </w:r>
      <w:r>
        <w:rPr>
          <w:rFonts w:ascii="Arial" w:hAnsi="Arial"/>
          <w:b w:val="0"/>
          <w:i w:val="0"/>
          <w:sz w:val="16"/>
        </w:rPr>
        <w:t xml:space="preserve"> (-7%). The honest reading: cheap if you annualise the peak, not cheap if you normalise.</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340"/>
        <w:gridCol w:w="2340"/>
        <w:gridCol w:w="2340"/>
        <w:gridCol w:w="23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Relative lens</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Metric</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Multiple</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Implied / sh</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2026e P/E (peak EPS KRW 30,166)</w:t>
            </w:r>
          </w:p>
        </w:tc>
        <w:tc>
          <w:tcPr>
            <w:tcW w:type="dxa" w:w="2160"/>
            <w:tcMar>
              <w:top w:w="36" w:type="dxa"/>
              <w:bottom w:w="36" w:type="dxa"/>
              <w:left w:w="96" w:type="dxa"/>
              <w:right w:w="96" w:type="dxa"/>
            </w:tcMar>
          </w:tcPr>
          <w:p>
            <w:pPr>
              <w:spacing w:after="0" w:before="0"/>
              <w:jc w:val="left"/>
            </w:pPr>
            <w:r>
              <w:rPr>
                <w:rFonts w:ascii="Arial" w:hAnsi="Arial"/>
                <w:b w:val="0"/>
                <w:i w:val="0"/>
                <w:sz w:val="16"/>
              </w:rPr>
              <w:t>11.3x now</w:t>
            </w:r>
          </w:p>
        </w:tc>
        <w:tc>
          <w:tcPr>
            <w:tcW w:type="dxa" w:w="2160"/>
            <w:tcMar>
              <w:top w:w="36" w:type="dxa"/>
              <w:bottom w:w="36" w:type="dxa"/>
              <w:left w:w="96" w:type="dxa"/>
              <w:right w:w="96" w:type="dxa"/>
            </w:tcMar>
          </w:tcPr>
          <w:p>
            <w:pPr>
              <w:spacing w:after="0" w:before="0"/>
              <w:jc w:val="left"/>
            </w:pPr>
            <w:r>
              <w:rPr>
                <w:rFonts w:ascii="Arial" w:hAnsi="Arial"/>
                <w:b w:val="0"/>
                <w:i w:val="0"/>
                <w:sz w:val="16"/>
              </w:rPr>
              <w:t>9‑12x</w:t>
            </w:r>
          </w:p>
        </w:tc>
        <w:tc>
          <w:tcPr>
            <w:tcW w:type="dxa" w:w="2160"/>
            <w:tcMar>
              <w:top w:w="36" w:type="dxa"/>
              <w:bottom w:w="36" w:type="dxa"/>
              <w:left w:w="96" w:type="dxa"/>
              <w:right w:w="96" w:type="dxa"/>
            </w:tcMar>
          </w:tcPr>
          <w:p>
            <w:pPr>
              <w:spacing w:after="0" w:before="0"/>
              <w:jc w:val="left"/>
            </w:pPr>
            <w:r>
              <w:rPr>
                <w:rFonts w:ascii="Arial" w:hAnsi="Arial"/>
                <w:b w:val="0"/>
                <w:i w:val="0"/>
                <w:sz w:val="16"/>
              </w:rPr>
              <w:t>KRW 271,493‑361,991</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2027e P/E (fading EPS KRW 27,149)</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12.5x</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cycle rolling over</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Price / book</w:t>
            </w:r>
          </w:p>
        </w:tc>
        <w:tc>
          <w:tcPr>
            <w:tcW w:type="dxa" w:w="2160"/>
            <w:tcMar>
              <w:top w:w="36" w:type="dxa"/>
              <w:bottom w:w="36" w:type="dxa"/>
              <w:left w:w="96" w:type="dxa"/>
              <w:right w:w="96" w:type="dxa"/>
            </w:tcMar>
          </w:tcPr>
          <w:p>
            <w:pPr>
              <w:spacing w:after="0" w:before="0"/>
              <w:jc w:val="left"/>
            </w:pPr>
            <w:r>
              <w:rPr>
                <w:rFonts w:ascii="Arial" w:hAnsi="Arial"/>
                <w:b w:val="0"/>
                <w:i w:val="0"/>
                <w:sz w:val="16"/>
              </w:rPr>
              <w:t>5.3x</w:t>
            </w:r>
          </w:p>
        </w:tc>
        <w:tc>
          <w:tcPr>
            <w:tcW w:type="dxa" w:w="2160"/>
            <w:tcMar>
              <w:top w:w="36" w:type="dxa"/>
              <w:bottom w:w="36" w:type="dxa"/>
              <w:left w:w="96" w:type="dxa"/>
              <w:right w:w="96" w:type="dxa"/>
            </w:tcMar>
          </w:tcPr>
          <w:p>
            <w:pPr>
              <w:spacing w:after="0" w:before="0"/>
              <w:jc w:val="left"/>
            </w:pPr>
            <w:r>
              <w:rPr>
                <w:rFonts w:ascii="Arial" w:hAnsi="Arial"/>
                <w:b w:val="0"/>
                <w:i w:val="0"/>
                <w:sz w:val="16"/>
              </w:rPr>
              <w:t>1‑1.5x hist.</w:t>
            </w:r>
          </w:p>
        </w:tc>
        <w:tc>
          <w:tcPr>
            <w:tcW w:type="dxa" w:w="2160"/>
            <w:tcMar>
              <w:top w:w="36" w:type="dxa"/>
              <w:bottom w:w="36" w:type="dxa"/>
              <w:left w:w="96" w:type="dxa"/>
              <w:right w:w="96" w:type="dxa"/>
            </w:tcMar>
          </w:tcPr>
          <w:p>
            <w:pPr>
              <w:spacing w:after="0" w:before="0"/>
              <w:jc w:val="left"/>
            </w:pPr>
            <w:r>
              <w:rPr>
                <w:rFonts w:ascii="Arial" w:hAnsi="Arial"/>
                <w:b w:val="0"/>
                <w:i w:val="0"/>
                <w:sz w:val="16"/>
              </w:rPr>
              <w:t>well above history</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Blended relative value</w:t>
            </w:r>
          </w:p>
        </w:tc>
        <w:tc>
          <w:tcPr>
            <w:tcW w:type="dxa" w:w="2160"/>
            <w:tcMar>
              <w:top w:w="36" w:type="dxa"/>
              <w:bottom w:w="36" w:type="dxa"/>
              <w:left w:w="96" w:type="dxa"/>
              <w:right w:w="96" w:type="dxa"/>
            </w:tcMar>
            <w:shd w:val="clear" w:color="auto" w:fill="DCE7E2"/>
          </w:tcPr>
          <w:p>
            <w:pPr>
              <w:spacing w:after="0" w:before="0"/>
              <w:jc w:val="left"/>
            </w:pPr>
          </w:p>
        </w:tc>
        <w:tc>
          <w:tcPr>
            <w:tcW w:type="dxa" w:w="2160"/>
            <w:tcMar>
              <w:top w:w="36" w:type="dxa"/>
              <w:bottom w:w="36" w:type="dxa"/>
              <w:left w:w="96" w:type="dxa"/>
              <w:right w:w="96" w:type="dxa"/>
            </w:tcMar>
            <w:shd w:val="clear" w:color="auto" w:fill="DCE7E2"/>
          </w:tcPr>
          <w:p>
            <w:pPr>
              <w:spacing w:after="0" w:before="0"/>
              <w:jc w:val="left"/>
            </w:pP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KRW 316,742</w:t>
            </w:r>
          </w:p>
        </w:tc>
      </w:tr>
    </w:tbl>
    <w:p>
      <w:pPr>
        <w:spacing w:after="80"/>
      </w:pPr>
    </w:p>
    <w:p>
      <w:pPr>
        <w:spacing w:after="80" w:before="200" w:line="274" w:lineRule="auto"/>
      </w:pPr>
      <w:r>
        <w:rPr>
          <w:rFonts w:ascii="Arial" w:hAnsi="Arial"/>
          <w:b/>
          <w:i w:val="0"/>
          <w:color w:val="1C3A36"/>
          <w:sz w:val="22"/>
        </w:rPr>
        <w:t>1.4  Normalized earnings power</w:t>
      </w:r>
    </w:p>
    <w:p>
      <w:pPr>
        <w:spacing w:after="120" w:before="0" w:line="274" w:lineRule="auto"/>
        <w:jc w:val="both"/>
      </w:pPr>
      <w:r>
        <w:rPr>
          <w:rFonts w:ascii="Arial" w:hAnsi="Arial"/>
          <w:b/>
          <w:i w:val="0"/>
          <w:sz w:val="16"/>
        </w:rPr>
        <w:t>Strip out the cycle and ask what Samsung earns in an average year.</w:t>
      </w:r>
      <w:r>
        <w:rPr>
          <w:rFonts w:ascii="Arial" w:hAnsi="Arial"/>
          <w:b w:val="0"/>
          <w:i w:val="0"/>
          <w:sz w:val="16"/>
        </w:rPr>
        <w:t xml:space="preserve"> Blending a trough (the 2023 memory loss), the 2024‑25 recovery and the 2026‑27 peak, a defensible through-cycle net profit is ~KRW 120tn — far below the 2026e peak of KRW 200tn but far above the 2023 trough. At a 14x through-cycle multiple (a premium to a pure commodity, a discount to a secular grower) that is </w:t>
      </w:r>
      <w:r>
        <w:rPr>
          <w:rFonts w:ascii="Arial" w:hAnsi="Arial"/>
          <w:b/>
          <w:i w:val="0"/>
          <w:sz w:val="16"/>
        </w:rPr>
        <w:t>KRW 253,394</w:t>
      </w:r>
      <w:r>
        <w:rPr>
          <w:rFonts w:ascii="Arial" w:hAnsi="Arial"/>
          <w:b w:val="0"/>
          <w:i w:val="0"/>
          <w:sz w:val="16"/>
        </w:rPr>
        <w:t xml:space="preserve"> (-25%). This is the most conservative operating lens and the one most exposed to the objection that AI has permanently raised the floor — the supercycle question the price is asking.</w:t>
      </w:r>
    </w:p>
    <w:p>
      <w:pPr>
        <w:spacing w:after="80" w:before="200" w:line="274" w:lineRule="auto"/>
      </w:pPr>
      <w:r>
        <w:rPr>
          <w:rFonts w:ascii="Arial" w:hAnsi="Arial"/>
          <w:b/>
          <w:i w:val="0"/>
          <w:color w:val="1C3A36"/>
          <w:sz w:val="22"/>
        </w:rPr>
        <w:t>1.5  Synthesis — five lenses</w:t>
      </w:r>
    </w:p>
    <w:p>
      <w:pPr>
        <w:spacing w:after="120" w:before="0" w:line="274" w:lineRule="auto"/>
        <w:jc w:val="both"/>
      </w:pPr>
      <w:r>
        <w:rPr>
          <w:rFonts w:ascii="Arial" w:hAnsi="Arial"/>
          <w:b w:val="0"/>
          <w:i w:val="0"/>
          <w:sz w:val="16"/>
        </w:rPr>
        <w:t>The five methods and weights are below. We lean on the SOTP (the right structure for a multi-segment conglomerate) and the through-cycle and relative lenses, give the DCF a modest weight as a corroborating cross-check, and keep a meaningful weight on the supercycle case because the boom is real and could prove durable.</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340"/>
        <w:gridCol w:w="2340"/>
        <w:gridCol w:w="2340"/>
        <w:gridCol w:w="23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Method</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KRW / sh</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vs spot</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Weight</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SOTP — normalized (base)</w:t>
            </w:r>
          </w:p>
        </w:tc>
        <w:tc>
          <w:tcPr>
            <w:tcW w:type="dxa" w:w="2160"/>
            <w:tcMar>
              <w:top w:w="36" w:type="dxa"/>
              <w:bottom w:w="36" w:type="dxa"/>
              <w:left w:w="96" w:type="dxa"/>
              <w:right w:w="96" w:type="dxa"/>
            </w:tcMar>
          </w:tcPr>
          <w:p>
            <w:pPr>
              <w:spacing w:after="0" w:before="0"/>
              <w:jc w:val="left"/>
            </w:pPr>
            <w:r>
              <w:rPr>
                <w:rFonts w:ascii="Arial" w:hAnsi="Arial"/>
                <w:b w:val="0"/>
                <w:i w:val="0"/>
                <w:sz w:val="16"/>
              </w:rPr>
              <w:t>283,499</w:t>
            </w:r>
          </w:p>
        </w:tc>
        <w:tc>
          <w:tcPr>
            <w:tcW w:type="dxa" w:w="2160"/>
            <w:tcMar>
              <w:top w:w="36" w:type="dxa"/>
              <w:bottom w:w="36" w:type="dxa"/>
              <w:left w:w="96" w:type="dxa"/>
              <w:right w:w="96" w:type="dxa"/>
            </w:tcMar>
          </w:tcPr>
          <w:p>
            <w:pPr>
              <w:spacing w:after="0" w:before="0"/>
              <w:jc w:val="left"/>
            </w:pPr>
            <w:r>
              <w:rPr>
                <w:rFonts w:ascii="Arial" w:hAnsi="Arial"/>
                <w:b w:val="0"/>
                <w:i w:val="0"/>
                <w:sz w:val="16"/>
              </w:rPr>
              <w:t>-16%</w:t>
            </w:r>
          </w:p>
        </w:tc>
        <w:tc>
          <w:tcPr>
            <w:tcW w:type="dxa" w:w="2160"/>
            <w:tcMar>
              <w:top w:w="36" w:type="dxa"/>
              <w:bottom w:w="36" w:type="dxa"/>
              <w:left w:w="96" w:type="dxa"/>
              <w:right w:w="96" w:type="dxa"/>
            </w:tcMar>
          </w:tcPr>
          <w:p>
            <w:pPr>
              <w:spacing w:after="0" w:before="0"/>
              <w:jc w:val="left"/>
            </w:pPr>
            <w:r>
              <w:rPr>
                <w:rFonts w:ascii="Arial" w:hAnsi="Arial"/>
                <w:b w:val="0"/>
                <w:i w:val="0"/>
                <w:sz w:val="16"/>
              </w:rPr>
              <w:t>25%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SOTP — supercycle (bull)</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410,754</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+21%</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Consolidated DCF (FCFF)</w:t>
            </w:r>
          </w:p>
        </w:tc>
        <w:tc>
          <w:tcPr>
            <w:tcW w:type="dxa" w:w="2160"/>
            <w:tcMar>
              <w:top w:w="36" w:type="dxa"/>
              <w:bottom w:w="36" w:type="dxa"/>
              <w:left w:w="96" w:type="dxa"/>
              <w:right w:w="96" w:type="dxa"/>
            </w:tcMar>
          </w:tcPr>
          <w:p>
            <w:pPr>
              <w:spacing w:after="0" w:before="0"/>
              <w:jc w:val="left"/>
            </w:pPr>
            <w:r>
              <w:rPr>
                <w:rFonts w:ascii="Arial" w:hAnsi="Arial"/>
                <w:b w:val="0"/>
                <w:i w:val="0"/>
                <w:sz w:val="16"/>
              </w:rPr>
              <w:t>214,800</w:t>
            </w:r>
          </w:p>
        </w:tc>
        <w:tc>
          <w:tcPr>
            <w:tcW w:type="dxa" w:w="2160"/>
            <w:tcMar>
              <w:top w:w="36" w:type="dxa"/>
              <w:bottom w:w="36" w:type="dxa"/>
              <w:left w:w="96" w:type="dxa"/>
              <w:right w:w="96" w:type="dxa"/>
            </w:tcMar>
          </w:tcPr>
          <w:p>
            <w:pPr>
              <w:spacing w:after="0" w:before="0"/>
              <w:jc w:val="left"/>
            </w:pPr>
            <w:r>
              <w:rPr>
                <w:rFonts w:ascii="Arial" w:hAnsi="Arial"/>
                <w:b w:val="0"/>
                <w:i w:val="0"/>
                <w:sz w:val="16"/>
              </w:rPr>
              <w:t>-37%</w:t>
            </w:r>
          </w:p>
        </w:tc>
        <w:tc>
          <w:tcPr>
            <w:tcW w:type="dxa" w:w="2160"/>
            <w:tcMar>
              <w:top w:w="36" w:type="dxa"/>
              <w:bottom w:w="36" w:type="dxa"/>
              <w:left w:w="96" w:type="dxa"/>
              <w:right w:w="96" w:type="dxa"/>
            </w:tcMar>
          </w:tcPr>
          <w:p>
            <w:pPr>
              <w:spacing w:after="0" w:before="0"/>
              <w:jc w:val="left"/>
            </w:pPr>
            <w:r>
              <w:rPr>
                <w:rFonts w:ascii="Arial" w:hAnsi="Arial"/>
                <w:b w:val="0"/>
                <w:i w:val="0"/>
                <w:sz w:val="16"/>
              </w:rPr>
              <w:t>10%</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Relative multiples (blended)</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316,742</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-7%</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25%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Normalized earnings power</w:t>
            </w:r>
          </w:p>
        </w:tc>
        <w:tc>
          <w:tcPr>
            <w:tcW w:type="dxa" w:w="2160"/>
            <w:tcMar>
              <w:top w:w="36" w:type="dxa"/>
              <w:bottom w:w="36" w:type="dxa"/>
              <w:left w:w="96" w:type="dxa"/>
              <w:right w:w="96" w:type="dxa"/>
            </w:tcMar>
          </w:tcPr>
          <w:p>
            <w:pPr>
              <w:spacing w:after="0" w:before="0"/>
              <w:jc w:val="left"/>
            </w:pPr>
            <w:r>
              <w:rPr>
                <w:rFonts w:ascii="Arial" w:hAnsi="Arial"/>
                <w:b w:val="0"/>
                <w:i w:val="0"/>
                <w:sz w:val="16"/>
              </w:rPr>
              <w:t>253,394</w:t>
            </w:r>
          </w:p>
        </w:tc>
        <w:tc>
          <w:tcPr>
            <w:tcW w:type="dxa" w:w="2160"/>
            <w:tcMar>
              <w:top w:w="36" w:type="dxa"/>
              <w:bottom w:w="36" w:type="dxa"/>
              <w:left w:w="96" w:type="dxa"/>
              <w:right w:w="96" w:type="dxa"/>
            </w:tcMar>
          </w:tcPr>
          <w:p>
            <w:pPr>
              <w:spacing w:after="0" w:before="0"/>
              <w:jc w:val="left"/>
            </w:pPr>
            <w:r>
              <w:rPr>
                <w:rFonts w:ascii="Arial" w:hAnsi="Arial"/>
                <w:b w:val="0"/>
                <w:i w:val="0"/>
                <w:sz w:val="16"/>
              </w:rPr>
              <w:t>-25%</w:t>
            </w:r>
          </w:p>
        </w:tc>
        <w:tc>
          <w:tcPr>
            <w:tcW w:type="dxa" w:w="2160"/>
            <w:tcMar>
              <w:top w:w="36" w:type="dxa"/>
              <w:bottom w:w="36" w:type="dxa"/>
              <w:left w:w="96" w:type="dxa"/>
              <w:right w:w="96" w:type="dxa"/>
            </w:tcMar>
          </w:tcPr>
          <w:p>
            <w:pPr>
              <w:spacing w:after="0" w:before="0"/>
              <w:jc w:val="left"/>
            </w:pPr>
            <w:r>
              <w:rPr>
                <w:rFonts w:ascii="Arial" w:hAnsi="Arial"/>
                <w:b w:val="0"/>
                <w:i w:val="0"/>
                <w:sz w:val="16"/>
              </w:rPr>
              <w:t>25%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WEIGHTED CENTRAL</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296,502</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-13%</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100%</w:t>
            </w:r>
          </w:p>
        </w:tc>
      </w:tr>
    </w:tbl>
    <w:p>
      <w:pPr>
        <w:spacing w:after="80"/>
      </w:pPr>
    </w:p>
    <w:p>
      <w:pPr>
        <w:spacing w:before="160" w:after="40"/>
        <w:jc w:val="center"/>
      </w:pPr>
      <w:r>
        <w:drawing>
          <wp:inline xmlns:a="http://schemas.openxmlformats.org/drawingml/2006/main" xmlns:pic="http://schemas.openxmlformats.org/drawingml/2006/picture">
            <wp:extent cx="5212080" cy="2051563"/>
            <wp:docPr id="1" name="Picture 1"/>
            <wp:cNvGraphicFramePr>
              <a:graphicFrameLocks noChangeAspect="1"/>
            </wp:cNvGraphicFramePr>
            <a:graphic>
              <a:graphicData uri="http://schemas.openxmlformats.org/drawingml/2006/picture">
                <pic:pic>
                  <pic:nvPicPr>
                    <pic:cNvPr id="0" name="fig1_football.png"/>
                    <pic:cNvPicPr/>
                  </pic:nvPicPr>
                  <pic:blipFill>
                    <a:blip r:embed="rId11"/>
                    <a:stretch>
                      <a:fillRect/>
                    </a:stretch>
                  </pic:blipFill>
                  <pic:spPr>
                    <a:xfrm>
                      <a:off x="0" y="0"/>
                      <a:ext cx="5212080" cy="2051563"/>
                    </a:xfrm>
                    <a:prstGeom prst="rect"/>
                  </pic:spPr>
                </pic:pic>
              </a:graphicData>
            </a:graphic>
          </wp:inline>
        </w:drawing>
      </w:r>
    </w:p>
    <w:p>
      <w:pPr>
        <w:spacing w:after="200" w:before="0" w:line="274" w:lineRule="auto"/>
        <w:jc w:val="center"/>
      </w:pPr>
      <w:r>
        <w:rPr>
          <w:rFonts w:ascii="Arial" w:hAnsi="Arial"/>
          <w:b w:val="0"/>
          <w:i/>
          <w:color w:val="63706C"/>
          <w:sz w:val="15"/>
        </w:rPr>
        <w:t>Figure 1 · Valuation football field — five lenses. Spot sits above every fundamental method except the supercycle case; the DCF sits lowest.</w:t>
      </w:r>
    </w:p>
    <w:p>
      <w:pPr>
        <w:spacing w:after="120" w:before="0" w:line="274" w:lineRule="auto"/>
        <w:jc w:val="both"/>
      </w:pPr>
      <w:r>
        <w:rPr>
          <w:rFonts w:ascii="Arial" w:hAnsi="Arial"/>
          <w:b/>
          <w:i w:val="0"/>
          <w:sz w:val="16"/>
        </w:rPr>
        <w:t>How to read this.</w:t>
      </w:r>
      <w:r>
        <w:rPr>
          <w:rFonts w:ascii="Arial" w:hAnsi="Arial"/>
          <w:b w:val="0"/>
          <w:i w:val="0"/>
          <w:sz w:val="16"/>
        </w:rPr>
        <w:t xml:space="preserve"> The clustering is tight on the downside-to-middle and only the supercycle case overlaps spot — the signature of a stock priced for the bull outcome: little margin of safety on normalised earnings, and the buyer is paid to be right about memory-cycle durability and Samsung's HBM catch-up. None of this forecasts a fall — the next sections describe a price process with a slight upward drift — it states that, on the fundamentals, you are buying the optimistic scenario at close to full value.</w:t>
      </w:r>
    </w:p>
    <w:p>
      <w:pPr>
        <w:spacing w:after="140" w:before="280" w:line="274" w:lineRule="auto"/>
        <w:pBdr>
          <w:bottom w:val="single" w:sz="12" w:space="4" w:color="C0A45F"/>
        </w:pBdr>
      </w:pPr>
      <w:r>
        <w:rPr>
          <w:rFonts w:ascii="Arial" w:hAnsi="Arial"/>
          <w:b/>
          <w:i w:val="0"/>
          <w:color w:val="1C3A36"/>
          <w:sz w:val="26"/>
        </w:rPr>
        <w:t>1.6  The operating segments — a deeper look</w:t>
      </w:r>
    </w:p>
    <w:p>
      <w:pPr>
        <w:spacing w:after="120" w:before="0" w:line="274" w:lineRule="auto"/>
        <w:jc w:val="both"/>
      </w:pPr>
      <w:r>
        <w:rPr>
          <w:rFonts w:ascii="Arial" w:hAnsi="Arial"/>
          <w:b w:val="0"/>
          <w:i w:val="0"/>
          <w:sz w:val="16"/>
        </w:rPr>
        <w:t>The valuation rests on segment-level judgments. For each business we set out the macro-sector backdrop (the industry structure Samsung operates inside) and the company-specific position (where Samsung actually stands within it), with the strengths and weaknesses that drive the normalisation. One fact recurs throughout: memory is ~94% of peak operating profit, so everything outside memory is, in valuation terms, a rounding error today — but several of those businesses are where the structural risks and the optionality live.</w:t>
      </w:r>
    </w:p>
    <w:p>
      <w:pPr>
        <w:spacing w:after="80" w:before="0" w:line="274" w:lineRule="auto"/>
        <w:jc w:val="both"/>
      </w:pPr>
      <w:r>
        <w:rPr>
          <w:rFonts w:ascii="Arial" w:hAnsi="Arial"/>
          <w:b w:val="0"/>
          <w:i/>
          <w:sz w:val="16"/>
        </w:rPr>
        <w:t>Segment scorecard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340"/>
        <w:gridCol w:w="2340"/>
        <w:gridCol w:w="2340"/>
        <w:gridCol w:w="23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Segment</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Position</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Cycle now</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Key tension</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Memory (DRAM/NAND/HBM)</w:t>
            </w:r>
          </w:p>
        </w:tc>
        <w:tc>
          <w:tcPr>
            <w:tcW w:type="dxa" w:w="2160"/>
            <w:tcMar>
              <w:top w:w="36" w:type="dxa"/>
              <w:bottom w:w="36" w:type="dxa"/>
              <w:left w:w="96" w:type="dxa"/>
              <w:right w:w="96" w:type="dxa"/>
            </w:tcMar>
          </w:tcPr>
          <w:p>
            <w:pPr>
              <w:spacing w:after="0" w:before="0"/>
              <w:jc w:val="left"/>
            </w:pPr>
            <w:r>
              <w:rPr>
                <w:rFonts w:ascii="Arial" w:hAnsi="Arial"/>
                <w:b w:val="0"/>
                <w:i w:val="0"/>
                <w:sz w:val="16"/>
              </w:rPr>
              <w:t>#1 DRAM/NAND; #3 HBM</w:t>
            </w:r>
          </w:p>
        </w:tc>
        <w:tc>
          <w:tcPr>
            <w:tcW w:type="dxa" w:w="2160"/>
            <w:tcMar>
              <w:top w:w="36" w:type="dxa"/>
              <w:bottom w:w="36" w:type="dxa"/>
              <w:left w:w="96" w:type="dxa"/>
              <w:right w:w="96" w:type="dxa"/>
            </w:tcMar>
          </w:tcPr>
          <w:p>
            <w:pPr>
              <w:spacing w:after="0" w:before="0"/>
              <w:jc w:val="left"/>
            </w:pPr>
            <w:r>
              <w:rPr>
                <w:rFonts w:ascii="Arial" w:hAnsi="Arial"/>
                <w:b w:val="0"/>
                <w:i w:val="0"/>
                <w:sz w:val="16"/>
              </w:rPr>
              <w:t>peak</w:t>
            </w:r>
          </w:p>
        </w:tc>
        <w:tc>
          <w:tcPr>
            <w:tcW w:type="dxa" w:w="2160"/>
            <w:tcMar>
              <w:top w:w="36" w:type="dxa"/>
              <w:bottom w:w="36" w:type="dxa"/>
              <w:left w:w="96" w:type="dxa"/>
              <w:right w:w="96" w:type="dxa"/>
            </w:tcMar>
          </w:tcPr>
          <w:p>
            <w:pPr>
              <w:spacing w:after="0" w:before="0"/>
              <w:jc w:val="left"/>
            </w:pPr>
            <w:r>
              <w:rPr>
                <w:rFonts w:ascii="Arial" w:hAnsi="Arial"/>
                <w:b w:val="0"/>
                <w:i w:val="0"/>
                <w:sz w:val="16"/>
              </w:rPr>
              <w:t>HBM laggard</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System LSI</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#2 sensors; sub-scale SoC</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weak</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Exynos gap</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Foundry</w:t>
            </w:r>
          </w:p>
        </w:tc>
        <w:tc>
          <w:tcPr>
            <w:tcW w:type="dxa" w:w="2160"/>
            <w:tcMar>
              <w:top w:w="36" w:type="dxa"/>
              <w:bottom w:w="36" w:type="dxa"/>
              <w:left w:w="96" w:type="dxa"/>
              <w:right w:w="96" w:type="dxa"/>
            </w:tcMar>
          </w:tcPr>
          <w:p>
            <w:pPr>
              <w:spacing w:after="0" w:before="0"/>
              <w:jc w:val="left"/>
            </w:pPr>
            <w:r>
              <w:rPr>
                <w:rFonts w:ascii="Arial" w:hAnsi="Arial"/>
                <w:b w:val="0"/>
                <w:i w:val="0"/>
                <w:sz w:val="16"/>
              </w:rPr>
              <w:t>distant #2 (~7%)</w:t>
            </w:r>
          </w:p>
        </w:tc>
        <w:tc>
          <w:tcPr>
            <w:tcW w:type="dxa" w:w="2160"/>
            <w:tcMar>
              <w:top w:w="36" w:type="dxa"/>
              <w:bottom w:w="36" w:type="dxa"/>
              <w:left w:w="96" w:type="dxa"/>
              <w:right w:w="96" w:type="dxa"/>
            </w:tcMar>
          </w:tcPr>
          <w:p>
            <w:pPr>
              <w:spacing w:after="0" w:before="0"/>
              <w:jc w:val="left"/>
            </w:pPr>
            <w:r>
              <w:rPr>
                <w:rFonts w:ascii="Arial" w:hAnsi="Arial"/>
                <w:b w:val="0"/>
                <w:i w:val="0"/>
                <w:sz w:val="16"/>
              </w:rPr>
              <w:t>turning</w:t>
            </w:r>
          </w:p>
        </w:tc>
        <w:tc>
          <w:tcPr>
            <w:tcW w:type="dxa" w:w="2160"/>
            <w:tcMar>
              <w:top w:w="36" w:type="dxa"/>
              <w:bottom w:w="36" w:type="dxa"/>
              <w:left w:w="96" w:type="dxa"/>
              <w:right w:w="96" w:type="dxa"/>
            </w:tcMar>
          </w:tcPr>
          <w:p>
            <w:pPr>
              <w:spacing w:after="0" w:before="0"/>
              <w:jc w:val="left"/>
            </w:pPr>
            <w:r>
              <w:rPr>
                <w:rFonts w:ascii="Arial" w:hAnsi="Arial"/>
                <w:b w:val="0"/>
                <w:i w:val="0"/>
                <w:sz w:val="16"/>
              </w:rPr>
              <w:t>yield gap vs TSMC</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Samsung Display</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 small/medium OLED</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solid</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Chinese panel push</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MX + Networks</w:t>
            </w:r>
          </w:p>
        </w:tc>
        <w:tc>
          <w:tcPr>
            <w:tcW w:type="dxa" w:w="2160"/>
            <w:tcMar>
              <w:top w:w="36" w:type="dxa"/>
              <w:bottom w:w="36" w:type="dxa"/>
              <w:left w:w="96" w:type="dxa"/>
              <w:right w:w="96" w:type="dxa"/>
            </w:tcMar>
          </w:tcPr>
          <w:p>
            <w:pPr>
              <w:spacing w:after="0" w:before="0"/>
              <w:jc w:val="left"/>
            </w:pPr>
            <w:r>
              <w:rPr>
                <w:rFonts w:ascii="Arial" w:hAnsi="Arial"/>
                <w:b w:val="0"/>
                <w:i w:val="0"/>
                <w:sz w:val="16"/>
              </w:rPr>
              <w:t>#1/#2 smartphones</w:t>
            </w:r>
          </w:p>
        </w:tc>
        <w:tc>
          <w:tcPr>
            <w:tcW w:type="dxa" w:w="2160"/>
            <w:tcMar>
              <w:top w:w="36" w:type="dxa"/>
              <w:bottom w:w="36" w:type="dxa"/>
              <w:left w:w="96" w:type="dxa"/>
              <w:right w:w="96" w:type="dxa"/>
            </w:tcMar>
          </w:tcPr>
          <w:p>
            <w:pPr>
              <w:spacing w:after="0" w:before="0"/>
              <w:jc w:val="left"/>
            </w:pPr>
            <w:r>
              <w:rPr>
                <w:rFonts w:ascii="Arial" w:hAnsi="Arial"/>
                <w:b w:val="0"/>
                <w:i w:val="0"/>
                <w:sz w:val="16"/>
              </w:rPr>
              <w:t>soft</w:t>
            </w:r>
          </w:p>
        </w:tc>
        <w:tc>
          <w:tcPr>
            <w:tcW w:type="dxa" w:w="2160"/>
            <w:tcMar>
              <w:top w:w="36" w:type="dxa"/>
              <w:bottom w:w="36" w:type="dxa"/>
              <w:left w:w="96" w:type="dxa"/>
              <w:right w:w="96" w:type="dxa"/>
            </w:tcMar>
          </w:tcPr>
          <w:p>
            <w:pPr>
              <w:spacing w:after="0" w:before="0"/>
              <w:jc w:val="left"/>
            </w:pPr>
            <w:r>
              <w:rPr>
                <w:rFonts w:ascii="Arial" w:hAnsi="Arial"/>
                <w:b w:val="0"/>
                <w:i w:val="0"/>
                <w:sz w:val="16"/>
              </w:rPr>
              <w:t>own memory inflates cost</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VD + DA</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 TV brand</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loss-making</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China + tariffs</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Harman</w:t>
            </w:r>
          </w:p>
        </w:tc>
        <w:tc>
          <w:tcPr>
            <w:tcW w:type="dxa" w:w="2160"/>
            <w:tcMar>
              <w:top w:w="36" w:type="dxa"/>
              <w:bottom w:w="36" w:type="dxa"/>
              <w:left w:w="96" w:type="dxa"/>
              <w:right w:w="96" w:type="dxa"/>
            </w:tcMar>
          </w:tcPr>
          <w:p>
            <w:pPr>
              <w:spacing w:after="0" w:before="0"/>
              <w:jc w:val="left"/>
            </w:pPr>
            <w:r>
              <w:rPr>
                <w:rFonts w:ascii="Arial" w:hAnsi="Arial"/>
                <w:b w:val="0"/>
                <w:i w:val="0"/>
                <w:sz w:val="16"/>
              </w:rPr>
              <w:t>auto audio/electronics</w:t>
            </w:r>
          </w:p>
        </w:tc>
        <w:tc>
          <w:tcPr>
            <w:tcW w:type="dxa" w:w="2160"/>
            <w:tcMar>
              <w:top w:w="36" w:type="dxa"/>
              <w:bottom w:w="36" w:type="dxa"/>
              <w:left w:w="96" w:type="dxa"/>
              <w:right w:w="96" w:type="dxa"/>
            </w:tcMar>
          </w:tcPr>
          <w:p>
            <w:pPr>
              <w:spacing w:after="0" w:before="0"/>
              <w:jc w:val="left"/>
            </w:pPr>
            <w:r>
              <w:rPr>
                <w:rFonts w:ascii="Arial" w:hAnsi="Arial"/>
                <w:b w:val="0"/>
                <w:i w:val="0"/>
                <w:sz w:val="16"/>
              </w:rPr>
              <w:t>steady</w:t>
            </w:r>
          </w:p>
        </w:tc>
        <w:tc>
          <w:tcPr>
            <w:tcW w:type="dxa" w:w="2160"/>
            <w:tcMar>
              <w:top w:w="36" w:type="dxa"/>
              <w:bottom w:w="36" w:type="dxa"/>
              <w:left w:w="96" w:type="dxa"/>
              <w:right w:w="96" w:type="dxa"/>
            </w:tcMar>
          </w:tcPr>
          <w:p>
            <w:pPr>
              <w:spacing w:after="0" w:before="0"/>
              <w:jc w:val="left"/>
            </w:pPr>
            <w:r>
              <w:rPr>
                <w:rFonts w:ascii="Arial" w:hAnsi="Arial"/>
                <w:b w:val="0"/>
                <w:i w:val="0"/>
                <w:sz w:val="16"/>
              </w:rPr>
              <w:t>small, auto-cyclical</w:t>
            </w:r>
          </w:p>
        </w:tc>
      </w:tr>
    </w:tbl>
    <w:p>
      <w:pPr>
        <w:spacing w:after="80"/>
      </w:pPr>
    </w:p>
    <w:p>
      <w:pPr>
        <w:spacing w:after="60" w:before="160" w:line="274" w:lineRule="auto"/>
      </w:pPr>
      <w:r>
        <w:rPr>
          <w:rFonts w:ascii="Arial" w:hAnsi="Arial"/>
          <w:b/>
          <w:i w:val="0"/>
          <w:color w:val="1C3A36"/>
          <w:sz w:val="20"/>
        </w:rPr>
        <w:t>Memory — the engine, and the whole question</w:t>
      </w:r>
    </w:p>
    <w:p>
      <w:pPr>
        <w:spacing w:after="120" w:before="0" w:line="274" w:lineRule="auto"/>
        <w:jc w:val="both"/>
      </w:pPr>
      <w:r>
        <w:rPr>
          <w:rFonts w:ascii="Arial" w:hAnsi="Arial"/>
          <w:b/>
          <w:i w:val="0"/>
          <w:sz w:val="16"/>
        </w:rPr>
        <w:t>Macro sector.</w:t>
      </w:r>
      <w:r>
        <w:rPr>
          <w:rFonts w:ascii="Arial" w:hAnsi="Arial"/>
          <w:b w:val="0"/>
          <w:i w:val="0"/>
          <w:sz w:val="16"/>
        </w:rPr>
        <w:t xml:space="preserve"> Memory is a three-player oligopoly: Samsung, SK Hynix and Micron together control more than 95% of DRAM and HBM output. It has historically been one of the most violently cyclical businesses in technology — Samsung's own chip division recorded a roughly KRW 15tn full-year loss in 2023. The AI build-out has introduced a contested "structural reset" thesis in which HBM and AI-server DRAM convert memory from boom-bust commodity into a sustained-premium franchise: HBM capacity is reported sold out through 2026, the HBM market is heading toward a ~$100bn TAM by 2028, and industry HBM margins are said to exceed 50%. The 2026 memory market is forecast to grow ~30% to north of $440bn, and conventional DRAM prices surged from Q4-2025 as capacity was diverted to AI — squeezing PCs, phones and consumer devices.</w:t>
      </w:r>
    </w:p>
    <w:p>
      <w:pPr>
        <w:spacing w:after="120" w:before="0" w:line="274" w:lineRule="auto"/>
        <w:jc w:val="both"/>
      </w:pPr>
      <w:r>
        <w:rPr>
          <w:rFonts w:ascii="Arial" w:hAnsi="Arial"/>
          <w:b/>
          <w:i w:val="0"/>
          <w:sz w:val="16"/>
        </w:rPr>
        <w:t>Company position.</w:t>
      </w:r>
      <w:r>
        <w:rPr>
          <w:rFonts w:ascii="Arial" w:hAnsi="Arial"/>
          <w:b w:val="0"/>
          <w:i w:val="0"/>
          <w:sz w:val="16"/>
        </w:rPr>
        <w:t xml:space="preserve"> Samsung is #1 in conventional DRAM (~38% vs SK Hynix ~29%) and #1 in NAND (~29%) — it dominates the commoditising part of memory. But in HBM, the highest-margin, fastest-growing slice, it is the laggard: ~17‑28% share against SK Hynix's 50‑62%, with Micron at ~20‑21%. SK Hynix has been Nvidia's primary HBM supplier through HBM3E; Micron overtook Samsung on some allocations. That is the central irony: Samsung leads where the economics are commoditising and trails where they are richest.</w:t>
      </w:r>
    </w:p>
    <w:p>
      <w:pPr>
        <w:pStyle w:val="ListBullet"/>
        <w:spacing w:after="120" w:before="0" w:line="274" w:lineRule="auto"/>
      </w:pPr>
      <w:r>
        <w:rPr>
          <w:rFonts w:ascii="Arial" w:hAnsi="Arial"/>
          <w:b/>
          <w:i w:val="0"/>
          <w:sz w:val="16"/>
        </w:rPr>
        <w:t>Strengths:</w:t>
      </w:r>
      <w:r>
        <w:rPr>
          <w:rFonts w:ascii="Arial" w:hAnsi="Arial"/>
          <w:b w:val="0"/>
          <w:i w:val="0"/>
          <w:sz w:val="16"/>
        </w:rPr>
        <w:t xml:space="preserve"> the largest scale and lowest unit cost in DRAM/NAND; full vertical integration (own fabs, own advanced packaging); the capital firepower (~KRW 100tn/yr capex) to out-invest rivals; record memory profit in 2025‑26; and — critically for the bull case — it has reportedly passed Nvidia's HBM4 qualification at the 10‑11.7 Gbps tiers, won AMD's MI455X as primary HBM4 supplier, and is cited as leading Vera-Rubin-specific HBM4. If HBM4 resets the leaderboard, Samsung is positioned to take share back.</w:t>
      </w:r>
    </w:p>
    <w:p>
      <w:pPr>
        <w:pStyle w:val="ListBullet"/>
        <w:spacing w:after="120" w:before="0" w:line="274" w:lineRule="auto"/>
      </w:pPr>
      <w:r>
        <w:rPr>
          <w:rFonts w:ascii="Arial" w:hAnsi="Arial"/>
          <w:b/>
          <w:i w:val="0"/>
          <w:sz w:val="16"/>
        </w:rPr>
        <w:t>Weaknesses:</w:t>
      </w:r>
      <w:r>
        <w:rPr>
          <w:rFonts w:ascii="Arial" w:hAnsi="Arial"/>
          <w:b w:val="0"/>
          <w:i w:val="0"/>
          <w:sz w:val="16"/>
        </w:rPr>
        <w:t xml:space="preserve"> it lost the HBM3E leadership to SK Hynix on yield and qualification timing, the most consequential competitive miss of the cycle; 2026 memory profit is a cyclical peak, not a run-rate; and the very fact that conventional DRAM prices have surged narrows HBM's historical margin premium. Above all the concentration risk is extreme — if memory reverts, ~94% of group profit reverts with it, and there is no second engine to lean on.</w:t>
      </w:r>
    </w:p>
    <w:p>
      <w:pPr>
        <w:spacing w:after="60" w:before="160" w:line="274" w:lineRule="auto"/>
      </w:pPr>
      <w:r>
        <w:rPr>
          <w:rFonts w:ascii="Arial" w:hAnsi="Arial"/>
          <w:b/>
          <w:i w:val="0"/>
          <w:color w:val="1C3A36"/>
          <w:sz w:val="20"/>
        </w:rPr>
        <w:t>System LSI — the perennial under-performer</w:t>
      </w:r>
    </w:p>
    <w:p>
      <w:pPr>
        <w:spacing w:after="120" w:before="0" w:line="274" w:lineRule="auto"/>
        <w:jc w:val="both"/>
      </w:pPr>
      <w:r>
        <w:rPr>
          <w:rFonts w:ascii="Arial" w:hAnsi="Arial"/>
          <w:b/>
          <w:i w:val="0"/>
          <w:sz w:val="16"/>
        </w:rPr>
        <w:t>Macro sector.</w:t>
      </w:r>
      <w:r>
        <w:rPr>
          <w:rFonts w:ascii="Arial" w:hAnsi="Arial"/>
          <w:b w:val="0"/>
          <w:i w:val="0"/>
          <w:sz w:val="16"/>
        </w:rPr>
        <w:t xml:space="preserve"> Logic-chip design (mobile SoCs, image sensors, modems) is design-led, competing with Qualcomm and MediaTek in application processors and Sony in image sensors; scale, software and modem IP decide winners.</w:t>
      </w:r>
    </w:p>
    <w:p>
      <w:pPr>
        <w:spacing w:after="120" w:before="0" w:line="274" w:lineRule="auto"/>
        <w:jc w:val="both"/>
      </w:pPr>
      <w:r>
        <w:rPr>
          <w:rFonts w:ascii="Arial" w:hAnsi="Arial"/>
          <w:b/>
          <w:i w:val="0"/>
          <w:sz w:val="16"/>
        </w:rPr>
        <w:t>Company position &amp; read.</w:t>
      </w:r>
      <w:r>
        <w:rPr>
          <w:rFonts w:ascii="Arial" w:hAnsi="Arial"/>
          <w:b w:val="0"/>
          <w:i w:val="0"/>
          <w:sz w:val="16"/>
        </w:rPr>
        <w:t xml:space="preserve"> Samsung's Exynos SoC has struggled for years to match Qualcomm's Snapdragon in flagship performance, repeatedly ceding even Samsung's own Galaxy flagships to Qualcomm in key markets; its ISOCELL image sensors are a credible #2 behind Sony. Strengths: captive demand from Samsung's own phones and genuine sensor scale. Weaknesses: a persistent flagship-SoC gap, dependence on Samsung Foundry's yields, and small absolute profit — immaterial to the valuation but a drag on the "integrated AI-silicon champion" narrative.</w:t>
      </w:r>
    </w:p>
    <w:p>
      <w:pPr>
        <w:spacing w:after="60" w:before="160" w:line="274" w:lineRule="auto"/>
      </w:pPr>
      <w:r>
        <w:rPr>
          <w:rFonts w:ascii="Arial" w:hAnsi="Arial"/>
          <w:b/>
          <w:i w:val="0"/>
          <w:color w:val="1C3A36"/>
          <w:sz w:val="20"/>
        </w:rPr>
        <w:t>Foundry — the distant second, and the call option</w:t>
      </w:r>
    </w:p>
    <w:p>
      <w:pPr>
        <w:spacing w:after="120" w:before="0" w:line="274" w:lineRule="auto"/>
        <w:jc w:val="both"/>
      </w:pPr>
      <w:r>
        <w:rPr>
          <w:rFonts w:ascii="Arial" w:hAnsi="Arial"/>
          <w:b/>
          <w:i w:val="0"/>
          <w:sz w:val="16"/>
        </w:rPr>
        <w:t>Macro sector.</w:t>
      </w:r>
      <w:r>
        <w:rPr>
          <w:rFonts w:ascii="Arial" w:hAnsi="Arial"/>
          <w:b w:val="0"/>
          <w:i w:val="0"/>
          <w:sz w:val="16"/>
        </w:rPr>
        <w:t xml:space="preserve"> Contract chip-manufacturing is effectively a TSMC monopoly at the leading edge: TSMC holds ~70% of foundry revenue, Samsung ~7%, with Intel Foundry, SMIC and GlobalFoundries trailing. TSMC's lead is self-reinforcing — the most advanced fabless designers (Apple, Nvidia, AMD, Qualcomm, Broadcom) overwhelmingly choose TSMC, compounding yield, volume and trust. Leading-edge 2nm wafers command upward of $30,000 each.</w:t>
      </w:r>
    </w:p>
    <w:p>
      <w:pPr>
        <w:spacing w:after="120" w:before="0" w:line="274" w:lineRule="auto"/>
        <w:jc w:val="both"/>
      </w:pPr>
      <w:r>
        <w:rPr>
          <w:rFonts w:ascii="Arial" w:hAnsi="Arial"/>
          <w:b/>
          <w:i w:val="0"/>
          <w:sz w:val="16"/>
        </w:rPr>
        <w:t>Company position.</w:t>
      </w:r>
      <w:r>
        <w:rPr>
          <w:rFonts w:ascii="Arial" w:hAnsi="Arial"/>
          <w:b w:val="0"/>
          <w:i w:val="0"/>
          <w:sz w:val="16"/>
        </w:rPr>
        <w:t xml:space="preserve"> Samsung is the only credible alternative to TSMC, but a distant one. Its 2nm gate-all-around (GAA) yields are reported ~55‑60% against TSMC's 70‑90% — the core problem, because yield drives cost and customer confidence. The arm returned to profitability in Q4-2025 (~$3.4bn revenue, helped by 2nm products and HBM4 base-die logic) and lifted share to ~7.1%. It targets 20% share and sustained profitability by 2027; its Taylor, Texas fab — reported ~94% complete in late 2025 — is due online in 2026.</w:t>
      </w:r>
    </w:p>
    <w:p>
      <w:pPr>
        <w:pStyle w:val="ListBullet"/>
        <w:spacing w:after="120" w:before="0" w:line="274" w:lineRule="auto"/>
      </w:pPr>
      <w:r>
        <w:rPr>
          <w:rFonts w:ascii="Arial" w:hAnsi="Arial"/>
          <w:b/>
          <w:i w:val="0"/>
          <w:sz w:val="16"/>
        </w:rPr>
        <w:t>Strengths:</w:t>
      </w:r>
      <w:r>
        <w:rPr>
          <w:rFonts w:ascii="Arial" w:hAnsi="Arial"/>
          <w:b w:val="0"/>
          <w:i w:val="0"/>
          <w:sz w:val="16"/>
        </w:rPr>
        <w:t xml:space="preserve"> a "turnkey" pitch unique to Samsung (memory HBM4 + logic foundry + advanced packaging in one house) attractive to AI customers; an early GAA position; a US fab that hedges geopolitics and taps CHIPS-Act support; and deep enough pockets to fund years of losses. Reported interest from Tesla, and exploratory contact with AMD, Google and Nvidia, keeps the option alive.</w:t>
      </w:r>
    </w:p>
    <w:p>
      <w:pPr>
        <w:pStyle w:val="ListBullet"/>
        <w:spacing w:after="120" w:before="0" w:line="274" w:lineRule="auto"/>
      </w:pPr>
      <w:r>
        <w:rPr>
          <w:rFonts w:ascii="Arial" w:hAnsi="Arial"/>
          <w:b/>
          <w:i w:val="0"/>
          <w:sz w:val="16"/>
        </w:rPr>
        <w:t>Weaknesses:</w:t>
      </w:r>
      <w:r>
        <w:rPr>
          <w:rFonts w:ascii="Arial" w:hAnsi="Arial"/>
          <w:b w:val="0"/>
          <w:i w:val="0"/>
          <w:sz w:val="16"/>
        </w:rPr>
        <w:t xml:space="preserve"> the yield gap, a customer-trust deficit (the largest fabless names still default to TSMC), years of accumulated losses, and sub-scale economics mean any meaningful share gain is a 2027‑28 story at the earliest. We carry foundry at zero in the base SOTP and as pure option value in the bull case — a deliberate choice not to pay today for a turnaround promised before.</w:t>
      </w:r>
    </w:p>
    <w:p>
      <w:pPr>
        <w:spacing w:after="60" w:before="160" w:line="274" w:lineRule="auto"/>
      </w:pPr>
      <w:r>
        <w:rPr>
          <w:rFonts w:ascii="Arial" w:hAnsi="Arial"/>
          <w:b/>
          <w:i w:val="0"/>
          <w:color w:val="1C3A36"/>
          <w:sz w:val="20"/>
        </w:rPr>
        <w:t>Samsung Display, mobile, TVs and Harman — the rest of the house</w:t>
      </w:r>
    </w:p>
    <w:p>
      <w:pPr>
        <w:spacing w:after="120" w:before="0" w:line="274" w:lineRule="auto"/>
        <w:jc w:val="both"/>
      </w:pPr>
      <w:r>
        <w:rPr>
          <w:rFonts w:ascii="Arial" w:hAnsi="Arial"/>
          <w:b/>
          <w:i w:val="0"/>
          <w:sz w:val="16"/>
        </w:rPr>
        <w:t>Samsung Display (SDC).</w:t>
      </w:r>
      <w:r>
        <w:rPr>
          <w:rFonts w:ascii="Arial" w:hAnsi="Arial"/>
          <w:b w:val="0"/>
          <w:i w:val="0"/>
          <w:sz w:val="16"/>
        </w:rPr>
        <w:t xml:space="preserve"> #1 in small/medium OLED, panel supplier to its own phones and to Apple; Q4-2025 operating profit of KRW 2.0tn on KRW 9.5tn revenue makes it a solid, cash-generative affiliate. Strength: technology and customer lock-in in premium OLED, plus a QD-OLED lead in monitors. Weakness: Chinese panel makers (notably BOE) are eroding share and price, and large-panel display is already commoditised.</w:t>
      </w:r>
    </w:p>
    <w:p>
      <w:pPr>
        <w:spacing w:after="120" w:before="0" w:line="274" w:lineRule="auto"/>
        <w:jc w:val="both"/>
      </w:pPr>
      <w:r>
        <w:rPr>
          <w:rFonts w:ascii="Arial" w:hAnsi="Arial"/>
          <w:b/>
          <w:i w:val="0"/>
          <w:sz w:val="16"/>
        </w:rPr>
        <w:t>MX (mobile) + Networks.</w:t>
      </w:r>
      <w:r>
        <w:rPr>
          <w:rFonts w:ascii="Arial" w:hAnsi="Arial"/>
          <w:b w:val="0"/>
          <w:i w:val="0"/>
          <w:sz w:val="16"/>
        </w:rPr>
        <w:t xml:space="preserve"> Samsung is the #1/#2 smartphone vendor by volume, with Galaxy S and Z (foldable) flagships and a high-volume A-series; it earned double-digit annual profit in 2025, though Q4 MX+Networks profit of KRW 1.9tn softened as launch effects faded. The Galaxy S26 and "Agentic AI" are the 2026 push. Strengths: scale, brand, foldable leadership, component self-supply. Weaknesses: a mature, slow-growth market; relentless Chinese pressure (Xiaomi, Oppo, Vivo, Transsion) in the mid-range; and — a Samsung-specific irony — the memory price surge enriching the chip division simultaneously raises the component cost of its own phones, squeezing device margins. Networks (vRAN/ORAN) is sub-scale.</w:t>
      </w:r>
    </w:p>
    <w:p>
      <w:pPr>
        <w:spacing w:after="120" w:before="0" w:line="274" w:lineRule="auto"/>
        <w:jc w:val="both"/>
      </w:pPr>
      <w:r>
        <w:rPr>
          <w:rFonts w:ascii="Arial" w:hAnsi="Arial"/>
          <w:b/>
          <w:i w:val="0"/>
          <w:sz w:val="16"/>
        </w:rPr>
        <w:t>VD (TVs) + DA (appliances).</w:t>
      </w:r>
      <w:r>
        <w:rPr>
          <w:rFonts w:ascii="Arial" w:hAnsi="Arial"/>
          <w:b w:val="0"/>
          <w:i w:val="0"/>
          <w:sz w:val="16"/>
        </w:rPr>
        <w:t xml:space="preserve"> Samsung is the #1 global TV brand on a premium Neo QLED/OLED/Micro-RGB mix — yet this division posted a Q4-2025 operating loss of KRW 0.6tn. TVs and appliances are mature and commoditising, under intense Chinese price competition (TCL, Hisense) and directly exposed to tariffs. This is the structurally weakest link: a strong brand attached to a low-to-negative-margin business.</w:t>
      </w:r>
    </w:p>
    <w:p>
      <w:pPr>
        <w:spacing w:after="120" w:before="0" w:line="274" w:lineRule="auto"/>
        <w:jc w:val="both"/>
      </w:pPr>
      <w:r>
        <w:rPr>
          <w:rFonts w:ascii="Arial" w:hAnsi="Arial"/>
          <w:b/>
          <w:i w:val="0"/>
          <w:sz w:val="16"/>
        </w:rPr>
        <w:t>Harman.</w:t>
      </w:r>
      <w:r>
        <w:rPr>
          <w:rFonts w:ascii="Arial" w:hAnsi="Arial"/>
          <w:b w:val="0"/>
          <w:i w:val="0"/>
          <w:sz w:val="16"/>
        </w:rPr>
        <w:t xml:space="preserve"> Connected-car audio and electronics (JBL, Harman Kardon, automotive), acquired in 2017, contributes ~KRW 1.3tn of steady operating profit — a respectable, well-run niche but small and exposed to the auto production cycle.</w:t>
      </w:r>
    </w:p>
    <w:p>
      <w:pPr>
        <w:spacing w:after="140" w:before="280" w:line="274" w:lineRule="auto"/>
        <w:pBdr>
          <w:bottom w:val="single" w:sz="12" w:space="4" w:color="C0A45F"/>
        </w:pBdr>
      </w:pPr>
      <w:r>
        <w:rPr>
          <w:rFonts w:ascii="Arial" w:hAnsi="Arial"/>
          <w:b/>
          <w:i w:val="0"/>
          <w:color w:val="1C3A36"/>
          <w:sz w:val="26"/>
        </w:rPr>
        <w:t>1.7  The memory cycle and HBM — the crux of the valuation</w:t>
      </w:r>
    </w:p>
    <w:p>
      <w:pPr>
        <w:spacing w:after="120" w:before="0" w:line="274" w:lineRule="auto"/>
        <w:jc w:val="both"/>
      </w:pPr>
      <w:r>
        <w:rPr>
          <w:rFonts w:ascii="Arial" w:hAnsi="Arial"/>
          <w:b w:val="0"/>
          <w:i w:val="0"/>
          <w:sz w:val="16"/>
        </w:rPr>
        <w:t>Because memory is ~94% of profit, the entire valuation reduces to two linked questions, and reasonable people disagree on both.</w:t>
      </w:r>
    </w:p>
    <w:p>
      <w:pPr>
        <w:pStyle w:val="ListBullet"/>
        <w:spacing w:after="120" w:before="0" w:line="274" w:lineRule="auto"/>
      </w:pPr>
      <w:r>
        <w:rPr>
          <w:rFonts w:ascii="Arial" w:hAnsi="Arial"/>
          <w:b/>
          <w:i w:val="0"/>
          <w:sz w:val="16"/>
        </w:rPr>
        <w:t>Is the supercycle durable?</w:t>
      </w:r>
      <w:r>
        <w:rPr>
          <w:rFonts w:ascii="Arial" w:hAnsi="Arial"/>
          <w:b w:val="0"/>
          <w:i w:val="0"/>
          <w:sz w:val="16"/>
        </w:rPr>
        <w:t xml:space="preserve"> The bull case (held by Samsung, SK Hynix, much of the sell-side and several research houses) is that AI has structurally reset memory: HBM and AI-server DRAM are sold out, demand is years-long, margins exceed 50%, and Samsung itself warns the shortage persists into 2027. The bear case is that memory has always looked permanently changed at the top of every cycle; the surge in conventional DRAM prices and the wave of capacity additions (Samsung restarting Pyeongtaek P5, ~$73bn of 2026 chip capex) set up a classic 2027‑28 oversupply, after which prices and margins mean-revert hard.</w:t>
      </w:r>
    </w:p>
    <w:p>
      <w:pPr>
        <w:pStyle w:val="ListBullet"/>
        <w:spacing w:after="120" w:before="0" w:line="274" w:lineRule="auto"/>
      </w:pPr>
      <w:r>
        <w:rPr>
          <w:rFonts w:ascii="Arial" w:hAnsi="Arial"/>
          <w:b/>
          <w:i w:val="0"/>
          <w:sz w:val="16"/>
        </w:rPr>
        <w:t>Can Samsung close the HBM gap?</w:t>
      </w:r>
      <w:r>
        <w:rPr>
          <w:rFonts w:ascii="Arial" w:hAnsi="Arial"/>
          <w:b w:val="0"/>
          <w:i w:val="0"/>
          <w:sz w:val="16"/>
        </w:rPr>
        <w:t xml:space="preserve"> Even if the supercycle is durable, the richest profits accrue to the HBM leader — and that is SK Hynix, not Samsung. Samsung's reported HBM4 qualification at Nvidia and its AMD MI455X win are the recovery story; if HBM4 genuinely re-levels the field, Samsung's scale could let it regain share. If SK Hynix holds its lead (it has secured the majority of Nvidia's next-generation HBM4 / Rubin allocation), Samsung remains the value player in the commoditising tier while its rival keeps the cream.</w:t>
      </w:r>
    </w:p>
    <w:p>
      <w:pPr>
        <w:spacing w:after="120" w:before="0" w:line="274" w:lineRule="auto"/>
        <w:jc w:val="both"/>
      </w:pPr>
      <w:r>
        <w:rPr>
          <w:rFonts w:ascii="Arial" w:hAnsi="Arial"/>
          <w:b/>
          <w:i w:val="0"/>
          <w:sz w:val="16"/>
        </w:rPr>
        <w:t>What the price implies.</w:t>
      </w:r>
      <w:r>
        <w:rPr>
          <w:rFonts w:ascii="Arial" w:hAnsi="Arial"/>
          <w:b w:val="0"/>
          <w:i w:val="0"/>
          <w:sz w:val="16"/>
        </w:rPr>
        <w:t xml:space="preserve"> At KRW 339,500 the market answers "yes" to both — durable supercycle and successful HBM catch-up — and prices them as the central case. Our base SOTP answers "largely yes" to durability (memory normalised at KRW 175tn, well above old-cycle levels) and still lands 16% below spot. To justify today's price you must answer "emphatically yes" to both, which is the KRW 410,754 bull case. That is the bet, stated plainly. It may pay — but it is a bet on cycle durability and competitive recovery, not a discounted purchase of today's earnings.</w:t>
      </w:r>
    </w:p>
    <w:p>
      <w:pPr>
        <w:spacing w:after="140" w:before="280" w:line="274" w:lineRule="auto"/>
        <w:pBdr>
          <w:bottom w:val="single" w:sz="12" w:space="4" w:color="C0A45F"/>
        </w:pBdr>
      </w:pPr>
      <w:r>
        <w:rPr>
          <w:rFonts w:ascii="Arial" w:hAnsi="Arial"/>
          <w:b/>
          <w:i w:val="0"/>
          <w:color w:val="1C3A36"/>
          <w:sz w:val="26"/>
        </w:rPr>
        <w:t>1.8  Korea — governance, the value-up re-rating, and the won</w:t>
      </w:r>
    </w:p>
    <w:p>
      <w:pPr>
        <w:spacing w:after="120" w:before="0" w:line="274" w:lineRule="auto"/>
        <w:jc w:val="both"/>
      </w:pPr>
      <w:r>
        <w:rPr>
          <w:rFonts w:ascii="Arial" w:hAnsi="Arial"/>
          <w:b w:val="0"/>
          <w:i w:val="0"/>
          <w:sz w:val="16"/>
        </w:rPr>
        <w:t>A valuation of Samsung that ignores Korea is incomplete, because three Korea-specific forces — the historical "Korea discount", a sweeping governance reform now under way, and the won — bear directly on what multiple the shares deserve and how earnings translate.</w:t>
      </w:r>
    </w:p>
    <w:p>
      <w:pPr>
        <w:spacing w:after="120" w:before="0" w:line="274" w:lineRule="auto"/>
        <w:jc w:val="both"/>
      </w:pPr>
      <w:r>
        <w:rPr>
          <w:rFonts w:ascii="Arial" w:hAnsi="Arial"/>
          <w:b/>
          <w:i w:val="0"/>
          <w:sz w:val="16"/>
        </w:rPr>
        <w:t>The Korea discount and the chaebol structure.</w:t>
      </w:r>
      <w:r>
        <w:rPr>
          <w:rFonts w:ascii="Arial" w:hAnsi="Arial"/>
          <w:b w:val="0"/>
          <w:i w:val="0"/>
          <w:sz w:val="16"/>
        </w:rPr>
        <w:t xml:space="preserve"> Korean equities have long traded below global peers, rooted in the chaebol model: large, family-controlled conglomerates with cross-shareholdings, historically low returns on equity, modest shareholder returns, and recurring conflict between controlling families and minority shareholders. Samsung sits at the centre of this structure — the discount is a governance risk premium the market has demanded for decades.</w:t>
      </w:r>
    </w:p>
    <w:p>
      <w:pPr>
        <w:spacing w:after="120" w:before="0" w:line="274" w:lineRule="auto"/>
        <w:jc w:val="both"/>
      </w:pPr>
      <w:r>
        <w:rPr>
          <w:rFonts w:ascii="Arial" w:hAnsi="Arial"/>
          <w:b/>
          <w:i w:val="0"/>
          <w:sz w:val="16"/>
        </w:rPr>
        <w:t>The value-up reform — the re-rating thesis.</w:t>
      </w:r>
      <w:r>
        <w:rPr>
          <w:rFonts w:ascii="Arial" w:hAnsi="Arial"/>
          <w:b w:val="0"/>
          <w:i w:val="0"/>
          <w:sz w:val="16"/>
        </w:rPr>
        <w:t xml:space="preserve"> Since 2024 Korea has pursued a Japan-style "Corporate Value-Up" programme, and in 2025‑26 it gained real legal teeth. Under President Lee Jae-myung's "KOSPI 5000" agenda, three rounds of Commercial Act reform have, in combination: established directors' fiduciary duty to all shareholders; mandated cancellation of repurchased treasury shares within one year — closing the loophole by which chaebols parked treasury stock to entrench family control; required independent directors to comprise at least one-third of boards (full effect by July 2027); capped a major shareholder's audit-committee voting at 3%; and introduced cumulative voting and dividend-tax reform. The market response has been dramatic: the KOSPI has pushed past 6,600 toward 7,000, and the Korea Value-Up Index has tripled from ~900 to above 3,000.</w:t>
      </w:r>
    </w:p>
    <w:p>
      <w:pPr>
        <w:spacing w:after="120" w:before="0" w:line="274" w:lineRule="auto"/>
        <w:jc w:val="both"/>
      </w:pPr>
      <w:r>
        <w:rPr>
          <w:rFonts w:ascii="Arial" w:hAnsi="Arial"/>
          <w:b/>
          <w:i w:val="0"/>
          <w:sz w:val="16"/>
        </w:rPr>
        <w:t>Samsung is an active participant.</w:t>
      </w:r>
      <w:r>
        <w:rPr>
          <w:rFonts w:ascii="Arial" w:hAnsi="Arial"/>
          <w:b w:val="0"/>
          <w:i w:val="0"/>
          <w:sz w:val="16"/>
        </w:rPr>
        <w:t xml:space="preserve"> It cancelled roughly KRW 14.9tn of treasury shares in 2026 (SK Hynix ~KRW 12.2tn; combined over KRW 27tn) — a concrete, EPS- and book-value-accretive capital-return action of exactly the kind the reforms intend. For a company sitting on ~KRW 120tn of net cash, the agenda raises the probability that more cash is returned rather than hoarded — a genuine, if gradual, re-rating catalyst, reflected in our capital-return Monte-Carlo factor.</w:t>
      </w:r>
    </w:p>
    <w:p>
      <w:pPr>
        <w:pStyle w:val="ListBullet"/>
        <w:spacing w:after="120" w:before="0" w:line="274" w:lineRule="auto"/>
      </w:pPr>
      <w:r>
        <w:rPr>
          <w:rFonts w:ascii="Arial" w:hAnsi="Arial"/>
          <w:b/>
          <w:i w:val="0"/>
          <w:sz w:val="16"/>
        </w:rPr>
        <w:t>The re-rating is real but uneven.</w:t>
      </w:r>
      <w:r>
        <w:rPr>
          <w:rFonts w:ascii="Arial" w:hAnsi="Arial"/>
          <w:b w:val="0"/>
          <w:i w:val="0"/>
          <w:sz w:val="16"/>
        </w:rPr>
        <w:t xml:space="preserve"> The KOSPI's surge has been narrowly concentrated — Samsung and SK Hynix together account for roughly half of the index's entire gain — and more than 60% of Korean firms still earn an ROE below 7%. Much of the governance improvement most relevant to Samsung is therefore already in the price.</w:t>
      </w:r>
    </w:p>
    <w:p>
      <w:pPr>
        <w:pStyle w:val="ListBullet"/>
        <w:spacing w:after="120" w:before="0" w:line="274" w:lineRule="auto"/>
      </w:pPr>
      <w:r>
        <w:rPr>
          <w:rFonts w:ascii="Arial" w:hAnsi="Arial"/>
          <w:b/>
          <w:i w:val="0"/>
          <w:sz w:val="16"/>
        </w:rPr>
        <w:t>The won is a swing factor.</w:t>
      </w:r>
      <w:r>
        <w:rPr>
          <w:rFonts w:ascii="Arial" w:hAnsi="Arial"/>
          <w:b w:val="0"/>
          <w:i w:val="0"/>
          <w:sz w:val="16"/>
        </w:rPr>
        <w:t xml:space="preserve"> Samsung sells chips in US dollars and bears much of its cost in won; a weaker won flatters reported earnings and won strength is a direct headwind. USD/KRW is one of the larger continuous factors in the Monte Carlo for precisely this reason.</w:t>
      </w:r>
    </w:p>
    <w:p>
      <w:pPr>
        <w:pStyle w:val="ListBullet"/>
        <w:spacing w:after="120" w:before="0" w:line="274" w:lineRule="auto"/>
      </w:pPr>
      <w:r>
        <w:rPr>
          <w:rFonts w:ascii="Arial" w:hAnsi="Arial"/>
          <w:b/>
          <w:i w:val="0"/>
          <w:sz w:val="16"/>
        </w:rPr>
        <w:t>Labour is a Korea-specific operating risk.</w:t>
      </w:r>
      <w:r>
        <w:rPr>
          <w:rFonts w:ascii="Arial" w:hAnsi="Arial"/>
          <w:b w:val="0"/>
          <w:i w:val="0"/>
          <w:sz w:val="16"/>
        </w:rPr>
        <w:t xml:space="preserve"> The National Samsung Electronics Union has demanded a 15% profit-share of chip-division operating profit, removal of the 50% bonus cap and a 7% pay rise; Samsung offered a 10% allocation and a 6.2% rise, which the union rejected, with strike action threatened — a cost and operational risk at the worst point in the memory cycle.</w:t>
      </w:r>
    </w:p>
    <w:p>
      <w:pPr>
        <w:spacing w:after="140" w:before="280" w:line="274" w:lineRule="auto"/>
        <w:pBdr>
          <w:bottom w:val="single" w:sz="12" w:space="4" w:color="C0A45F"/>
        </w:pBdr>
      </w:pPr>
      <w:r>
        <w:rPr>
          <w:rFonts w:ascii="Arial" w:hAnsi="Arial"/>
          <w:b/>
          <w:i w:val="0"/>
          <w:color w:val="1C3A36"/>
          <w:sz w:val="26"/>
        </w:rPr>
        <w:t>1.9  DCF sensitivity — how much the cross-check moves</w:t>
      </w:r>
    </w:p>
    <w:p>
      <w:pPr>
        <w:spacing w:after="120" w:before="0" w:line="274" w:lineRule="auto"/>
        <w:jc w:val="both"/>
      </w:pPr>
      <w:r>
        <w:rPr>
          <w:rFonts w:ascii="Arial" w:hAnsi="Arial"/>
          <w:b w:val="0"/>
          <w:i w:val="0"/>
          <w:sz w:val="16"/>
        </w:rPr>
        <w:t>The consolidated DCF lands at KRW 214,800. The grid shows how per-share value moves with the discount rate and terminal growth. Across almost the entire plausible space the DCF stays below the base SOTP — the capex-heavy cash profile, not a single input, is what holds it down.</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560"/>
        <w:gridCol w:w="1560"/>
        <w:gridCol w:w="1560"/>
        <w:gridCol w:w="1560"/>
        <w:gridCol w:w="1560"/>
        <w:gridCol w:w="156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WACC \ g</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1.5%</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2.5%</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3.0%</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3.5%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7.5%</w:t>
            </w:r>
          </w:p>
        </w:tc>
        <w:tc>
          <w:tcPr>
            <w:tcW w:type="dxa" w:w="1325"/>
            <w:tcMar>
              <w:top w:w="36" w:type="dxa"/>
              <w:bottom w:w="36" w:type="dxa"/>
              <w:left w:w="96" w:type="dxa"/>
              <w:right w:w="96" w:type="dxa"/>
            </w:tcMar>
          </w:tcPr>
          <w:p>
            <w:pPr>
              <w:spacing w:after="0" w:before="0"/>
              <w:jc w:val="left"/>
            </w:pPr>
            <w:r>
              <w:rPr>
                <w:rFonts w:ascii="Arial" w:hAnsi="Arial"/>
                <w:b w:val="0"/>
                <w:i w:val="0"/>
                <w:sz w:val="16"/>
              </w:rPr>
              <w:t>222,043</w:t>
            </w:r>
          </w:p>
        </w:tc>
        <w:tc>
          <w:tcPr>
            <w:tcW w:type="dxa" w:w="1325"/>
            <w:tcMar>
              <w:top w:w="36" w:type="dxa"/>
              <w:bottom w:w="36" w:type="dxa"/>
              <w:left w:w="96" w:type="dxa"/>
              <w:right w:w="96" w:type="dxa"/>
            </w:tcMar>
          </w:tcPr>
          <w:p>
            <w:pPr>
              <w:spacing w:after="0" w:before="0"/>
              <w:jc w:val="left"/>
            </w:pPr>
            <w:r>
              <w:rPr>
                <w:rFonts w:ascii="Arial" w:hAnsi="Arial"/>
                <w:b w:val="0"/>
                <w:i w:val="0"/>
                <w:sz w:val="16"/>
              </w:rPr>
              <w:t>235,732</w:t>
            </w:r>
          </w:p>
        </w:tc>
        <w:tc>
          <w:tcPr>
            <w:tcW w:type="dxa" w:w="1325"/>
            <w:tcMar>
              <w:top w:w="36" w:type="dxa"/>
              <w:bottom w:w="36" w:type="dxa"/>
              <w:left w:w="96" w:type="dxa"/>
              <w:right w:w="96" w:type="dxa"/>
            </w:tcMar>
          </w:tcPr>
          <w:p>
            <w:pPr>
              <w:spacing w:after="0" w:before="0"/>
              <w:jc w:val="left"/>
            </w:pPr>
            <w:r>
              <w:rPr>
                <w:rFonts w:ascii="Arial" w:hAnsi="Arial"/>
                <w:b w:val="0"/>
                <w:i w:val="0"/>
                <w:sz w:val="16"/>
              </w:rPr>
              <w:t>252,160</w:t>
            </w:r>
          </w:p>
        </w:tc>
        <w:tc>
          <w:tcPr>
            <w:tcW w:type="dxa" w:w="1325"/>
            <w:tcMar>
              <w:top w:w="36" w:type="dxa"/>
              <w:bottom w:w="36" w:type="dxa"/>
              <w:left w:w="96" w:type="dxa"/>
              <w:right w:w="96" w:type="dxa"/>
            </w:tcMar>
          </w:tcPr>
          <w:p>
            <w:pPr>
              <w:spacing w:after="0" w:before="0"/>
              <w:jc w:val="left"/>
            </w:pPr>
            <w:r>
              <w:rPr>
                <w:rFonts w:ascii="Arial" w:hAnsi="Arial"/>
                <w:b w:val="0"/>
                <w:i w:val="0"/>
                <w:sz w:val="16"/>
              </w:rPr>
              <w:t>272,239</w:t>
            </w:r>
          </w:p>
        </w:tc>
        <w:tc>
          <w:tcPr>
            <w:tcW w:type="dxa" w:w="1325"/>
            <w:tcMar>
              <w:top w:w="36" w:type="dxa"/>
              <w:bottom w:w="36" w:type="dxa"/>
              <w:left w:w="96" w:type="dxa"/>
              <w:right w:w="96" w:type="dxa"/>
            </w:tcMar>
          </w:tcPr>
          <w:p>
            <w:pPr>
              <w:spacing w:after="0" w:before="0"/>
              <w:jc w:val="left"/>
            </w:pPr>
            <w:r>
              <w:rPr>
                <w:rFonts w:ascii="Arial" w:hAnsi="Arial"/>
                <w:b w:val="0"/>
                <w:i w:val="0"/>
                <w:sz w:val="16"/>
              </w:rPr>
              <w:t>297,337</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8.0%</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207,392</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218,762</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232,200</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248,326</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268,035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8.5%</w:t>
            </w:r>
          </w:p>
        </w:tc>
        <w:tc>
          <w:tcPr>
            <w:tcW w:type="dxa" w:w="1325"/>
            <w:tcMar>
              <w:top w:w="36" w:type="dxa"/>
              <w:bottom w:w="36" w:type="dxa"/>
              <w:left w:w="96" w:type="dxa"/>
              <w:right w:w="96" w:type="dxa"/>
            </w:tcMar>
          </w:tcPr>
          <w:p>
            <w:pPr>
              <w:spacing w:after="0" w:before="0"/>
              <w:jc w:val="left"/>
            </w:pPr>
            <w:r>
              <w:rPr>
                <w:rFonts w:ascii="Arial" w:hAnsi="Arial"/>
                <w:b w:val="0"/>
                <w:i w:val="0"/>
                <w:sz w:val="16"/>
              </w:rPr>
              <w:t>194,824</w:t>
            </w:r>
          </w:p>
        </w:tc>
        <w:tc>
          <w:tcPr>
            <w:tcW w:type="dxa" w:w="1325"/>
            <w:tcMar>
              <w:top w:w="36" w:type="dxa"/>
              <w:bottom w:w="36" w:type="dxa"/>
              <w:left w:w="96" w:type="dxa"/>
              <w:right w:w="96" w:type="dxa"/>
            </w:tcMar>
          </w:tcPr>
          <w:p>
            <w:pPr>
              <w:spacing w:after="0" w:before="0"/>
              <w:jc w:val="left"/>
            </w:pPr>
            <w:r>
              <w:rPr>
                <w:rFonts w:ascii="Arial" w:hAnsi="Arial"/>
                <w:b w:val="0"/>
                <w:i w:val="0"/>
                <w:sz w:val="16"/>
              </w:rPr>
              <w:t>204,392</w:t>
            </w:r>
          </w:p>
        </w:tc>
        <w:tc>
          <w:tcPr>
            <w:tcW w:type="dxa" w:w="1325"/>
            <w:tcMar>
              <w:top w:w="36" w:type="dxa"/>
              <w:bottom w:w="36" w:type="dxa"/>
              <w:left w:w="96" w:type="dxa"/>
              <w:right w:w="96" w:type="dxa"/>
            </w:tcMar>
          </w:tcPr>
          <w:p>
            <w:pPr>
              <w:spacing w:after="0" w:before="0"/>
              <w:jc w:val="left"/>
            </w:pPr>
            <w:r>
              <w:rPr>
                <w:rFonts w:ascii="Arial" w:hAnsi="Arial"/>
                <w:b w:val="0"/>
                <w:i w:val="0"/>
                <w:sz w:val="16"/>
              </w:rPr>
              <w:t>215,555</w:t>
            </w:r>
          </w:p>
        </w:tc>
        <w:tc>
          <w:tcPr>
            <w:tcW w:type="dxa" w:w="1325"/>
            <w:tcMar>
              <w:top w:w="36" w:type="dxa"/>
              <w:bottom w:w="36" w:type="dxa"/>
              <w:left w:w="96" w:type="dxa"/>
              <w:right w:w="96" w:type="dxa"/>
            </w:tcMar>
          </w:tcPr>
          <w:p>
            <w:pPr>
              <w:spacing w:after="0" w:before="0"/>
              <w:jc w:val="left"/>
            </w:pPr>
            <w:r>
              <w:rPr>
                <w:rFonts w:ascii="Arial" w:hAnsi="Arial"/>
                <w:b w:val="0"/>
                <w:i w:val="0"/>
                <w:sz w:val="16"/>
              </w:rPr>
              <w:t>228,747</w:t>
            </w:r>
          </w:p>
        </w:tc>
        <w:tc>
          <w:tcPr>
            <w:tcW w:type="dxa" w:w="1325"/>
            <w:tcMar>
              <w:top w:w="36" w:type="dxa"/>
              <w:bottom w:w="36" w:type="dxa"/>
              <w:left w:w="96" w:type="dxa"/>
              <w:right w:w="96" w:type="dxa"/>
            </w:tcMar>
          </w:tcPr>
          <w:p>
            <w:pPr>
              <w:spacing w:after="0" w:before="0"/>
              <w:jc w:val="left"/>
            </w:pPr>
            <w:r>
              <w:rPr>
                <w:rFonts w:ascii="Arial" w:hAnsi="Arial"/>
                <w:b w:val="0"/>
                <w:i w:val="0"/>
                <w:sz w:val="16"/>
              </w:rPr>
              <w:t>244,577</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9.0%</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183,923</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192,065</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201,458</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212,417</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225,369</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9.5%</w:t>
            </w:r>
          </w:p>
        </w:tc>
        <w:tc>
          <w:tcPr>
            <w:tcW w:type="dxa" w:w="1325"/>
            <w:tcMar>
              <w:top w:w="36" w:type="dxa"/>
              <w:bottom w:w="36" w:type="dxa"/>
              <w:left w:w="96" w:type="dxa"/>
              <w:right w:w="96" w:type="dxa"/>
            </w:tcMar>
          </w:tcPr>
          <w:p>
            <w:pPr>
              <w:spacing w:after="0" w:before="0"/>
              <w:jc w:val="left"/>
            </w:pPr>
            <w:r>
              <w:rPr>
                <w:rFonts w:ascii="Arial" w:hAnsi="Arial"/>
                <w:b w:val="0"/>
                <w:i w:val="0"/>
                <w:sz w:val="16"/>
              </w:rPr>
              <w:t>174,377</w:t>
            </w:r>
          </w:p>
        </w:tc>
        <w:tc>
          <w:tcPr>
            <w:tcW w:type="dxa" w:w="1325"/>
            <w:tcMar>
              <w:top w:w="36" w:type="dxa"/>
              <w:bottom w:w="36" w:type="dxa"/>
              <w:left w:w="96" w:type="dxa"/>
              <w:right w:w="96" w:type="dxa"/>
            </w:tcMar>
          </w:tcPr>
          <w:p>
            <w:pPr>
              <w:spacing w:after="0" w:before="0"/>
              <w:jc w:val="left"/>
            </w:pPr>
            <w:r>
              <w:rPr>
                <w:rFonts w:ascii="Arial" w:hAnsi="Arial"/>
                <w:b w:val="0"/>
                <w:i w:val="0"/>
                <w:sz w:val="16"/>
              </w:rPr>
              <w:t>181,372</w:t>
            </w:r>
          </w:p>
        </w:tc>
        <w:tc>
          <w:tcPr>
            <w:tcW w:type="dxa" w:w="1325"/>
            <w:tcMar>
              <w:top w:w="36" w:type="dxa"/>
              <w:bottom w:w="36" w:type="dxa"/>
              <w:left w:w="96" w:type="dxa"/>
              <w:right w:w="96" w:type="dxa"/>
            </w:tcMar>
          </w:tcPr>
          <w:p>
            <w:pPr>
              <w:spacing w:after="0" w:before="0"/>
              <w:jc w:val="left"/>
            </w:pPr>
            <w:r>
              <w:rPr>
                <w:rFonts w:ascii="Arial" w:hAnsi="Arial"/>
                <w:b w:val="0"/>
                <w:i w:val="0"/>
                <w:sz w:val="16"/>
              </w:rPr>
              <w:t>189,365</w:t>
            </w:r>
          </w:p>
        </w:tc>
        <w:tc>
          <w:tcPr>
            <w:tcW w:type="dxa" w:w="1325"/>
            <w:tcMar>
              <w:top w:w="36" w:type="dxa"/>
              <w:bottom w:w="36" w:type="dxa"/>
              <w:left w:w="96" w:type="dxa"/>
              <w:right w:w="96" w:type="dxa"/>
            </w:tcMar>
          </w:tcPr>
          <w:p>
            <w:pPr>
              <w:spacing w:after="0" w:before="0"/>
              <w:jc w:val="left"/>
            </w:pPr>
            <w:r>
              <w:rPr>
                <w:rFonts w:ascii="Arial" w:hAnsi="Arial"/>
                <w:b w:val="0"/>
                <w:i w:val="0"/>
                <w:sz w:val="16"/>
              </w:rPr>
              <w:t>198,588</w:t>
            </w:r>
          </w:p>
        </w:tc>
        <w:tc>
          <w:tcPr>
            <w:tcW w:type="dxa" w:w="1325"/>
            <w:tcMar>
              <w:top w:w="36" w:type="dxa"/>
              <w:bottom w:w="36" w:type="dxa"/>
              <w:left w:w="96" w:type="dxa"/>
              <w:right w:w="96" w:type="dxa"/>
            </w:tcMar>
          </w:tcPr>
          <w:p>
            <w:pPr>
              <w:spacing w:after="0" w:before="0"/>
              <w:jc w:val="left"/>
            </w:pPr>
            <w:r>
              <w:rPr>
                <w:rFonts w:ascii="Arial" w:hAnsi="Arial"/>
                <w:b w:val="0"/>
                <w:i w:val="0"/>
                <w:sz w:val="16"/>
              </w:rPr>
              <w:t>209,348</w:t>
            </w:r>
          </w:p>
        </w:tc>
      </w:tr>
    </w:tbl>
    <w:p>
      <w:pPr>
        <w:spacing w:after="80"/>
      </w:pPr>
    </w:p>
    <w:p>
      <w:pPr>
        <w:spacing w:after="120" w:before="0" w:line="274" w:lineRule="auto"/>
        <w:jc w:val="both"/>
      </w:pPr>
      <w:r>
        <w:rPr>
          <w:rFonts w:ascii="Arial" w:hAnsi="Arial"/>
          <w:b/>
          <w:i w:val="0"/>
          <w:sz w:val="16"/>
        </w:rPr>
        <w:t>Reading the grid.</w:t>
      </w:r>
      <w:r>
        <w:rPr>
          <w:rFonts w:ascii="Arial" w:hAnsi="Arial"/>
          <w:b w:val="0"/>
          <w:i w:val="0"/>
          <w:sz w:val="16"/>
        </w:rPr>
        <w:t xml:space="preserve"> The full sensitivity range runs roughly KRW 162,221 to KRW 324,521 — only the most generous corner (low discount rate, high growth) reaches the lower edge of the SOTP, and the base cell (WACC 8.5%, g 2.5%) sits at KRW 214,800. You have to push the assumptions to their optimistic extremes to make the cash-flow lens agree with the asset-based one, and even then it does not reach spot.</w:t>
      </w:r>
    </w:p>
    <w:p>
      <w:pPr>
        <w:spacing w:after="140" w:before="280" w:line="274" w:lineRule="auto"/>
        <w:pBdr>
          <w:bottom w:val="single" w:sz="12" w:space="4" w:color="C0A45F"/>
        </w:pBdr>
      </w:pPr>
      <w:r>
        <w:rPr>
          <w:rFonts w:ascii="Arial" w:hAnsi="Arial"/>
          <w:b/>
          <w:i w:val="0"/>
          <w:color w:val="1C3A36"/>
          <w:sz w:val="26"/>
        </w:rPr>
        <w:t>2  Technical and price structure</w:t>
      </w:r>
    </w:p>
    <w:p>
      <w:pPr>
        <w:spacing w:after="120" w:before="0" w:line="274" w:lineRule="auto"/>
        <w:jc w:val="both"/>
      </w:pPr>
      <w:r>
        <w:rPr>
          <w:rFonts w:ascii="Arial" w:hAnsi="Arial"/>
          <w:b w:val="0"/>
          <w:i w:val="0"/>
          <w:sz w:val="16"/>
        </w:rPr>
        <w:t>Technicals describe the price, not the value. They matter here for one reason: a stock this far above its own moving averages, with fat-tailed returns, is as capable of a sharp drawdown as of a continued melt-up. The structure is a powerful, extended uptrend.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3120"/>
        <w:gridCol w:w="3120"/>
        <w:gridCol w:w="312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Indicator</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Reading</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Interpretation</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Spot vs all-time high</w:t>
            </w:r>
          </w:p>
        </w:tc>
        <w:tc>
          <w:tcPr>
            <w:tcW w:type="dxa" w:w="2160"/>
            <w:tcMar>
              <w:top w:w="36" w:type="dxa"/>
              <w:bottom w:w="36" w:type="dxa"/>
              <w:left w:w="96" w:type="dxa"/>
              <w:right w:w="96" w:type="dxa"/>
            </w:tcMar>
          </w:tcPr>
          <w:p>
            <w:pPr>
              <w:spacing w:after="0" w:before="0"/>
              <w:jc w:val="left"/>
            </w:pPr>
            <w:r>
              <w:rPr>
                <w:rFonts w:ascii="Arial" w:hAnsi="Arial"/>
                <w:b w:val="0"/>
                <w:i w:val="0"/>
                <w:sz w:val="16"/>
              </w:rPr>
              <w:t>KRW 339,500 / 362,500</w:t>
            </w:r>
          </w:p>
        </w:tc>
        <w:tc>
          <w:tcPr>
            <w:tcW w:type="dxa" w:w="2160"/>
            <w:tcMar>
              <w:top w:w="36" w:type="dxa"/>
              <w:bottom w:w="36" w:type="dxa"/>
              <w:left w:w="96" w:type="dxa"/>
              <w:right w:w="96" w:type="dxa"/>
            </w:tcMar>
          </w:tcPr>
          <w:p>
            <w:pPr>
              <w:spacing w:after="0" w:before="0"/>
              <w:jc w:val="left"/>
            </w:pPr>
            <w:r>
              <w:rPr>
                <w:rFonts w:ascii="Arial" w:hAnsi="Arial"/>
                <w:b w:val="0"/>
                <w:i w:val="0"/>
                <w:sz w:val="16"/>
              </w:rPr>
              <w:t>off ATH -6.3%</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52-week range</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58,000 ‑ 362,500</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+485% off low</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SMA 20 / 50 / 200</w:t>
            </w:r>
          </w:p>
        </w:tc>
        <w:tc>
          <w:tcPr>
            <w:tcW w:type="dxa" w:w="2160"/>
            <w:tcMar>
              <w:top w:w="36" w:type="dxa"/>
              <w:bottom w:w="36" w:type="dxa"/>
              <w:left w:w="96" w:type="dxa"/>
              <w:right w:w="96" w:type="dxa"/>
            </w:tcMar>
          </w:tcPr>
          <w:p>
            <w:pPr>
              <w:spacing w:after="0" w:before="0"/>
              <w:jc w:val="left"/>
            </w:pPr>
            <w:r>
              <w:rPr>
                <w:rFonts w:ascii="Arial" w:hAnsi="Arial"/>
                <w:b w:val="0"/>
                <w:i w:val="0"/>
                <w:sz w:val="16"/>
              </w:rPr>
              <w:t>334,675 / 286,320 / 169,962</w:t>
            </w:r>
          </w:p>
        </w:tc>
        <w:tc>
          <w:tcPr>
            <w:tcW w:type="dxa" w:w="2160"/>
            <w:tcMar>
              <w:top w:w="36" w:type="dxa"/>
              <w:bottom w:w="36" w:type="dxa"/>
              <w:left w:w="96" w:type="dxa"/>
              <w:right w:w="96" w:type="dxa"/>
            </w:tcMar>
          </w:tcPr>
          <w:p>
            <w:pPr>
              <w:spacing w:after="0" w:before="0"/>
              <w:jc w:val="left"/>
            </w:pPr>
            <w:r>
              <w:rPr>
                <w:rFonts w:ascii="Arial" w:hAnsi="Arial"/>
                <w:b w:val="0"/>
                <w:i w:val="0"/>
                <w:sz w:val="16"/>
              </w:rPr>
              <w:t>rising stack (bullish)</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RSI (14)</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55</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neutral, not overbought</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ATR (14)</w:t>
            </w:r>
          </w:p>
        </w:tc>
        <w:tc>
          <w:tcPr>
            <w:tcW w:type="dxa" w:w="2160"/>
            <w:tcMar>
              <w:top w:w="36" w:type="dxa"/>
              <w:bottom w:w="36" w:type="dxa"/>
              <w:left w:w="96" w:type="dxa"/>
              <w:right w:w="96" w:type="dxa"/>
            </w:tcMar>
          </w:tcPr>
          <w:p>
            <w:pPr>
              <w:spacing w:after="0" w:before="0"/>
              <w:jc w:val="left"/>
            </w:pPr>
            <w:r>
              <w:rPr>
                <w:rFonts w:ascii="Arial" w:hAnsi="Arial"/>
                <w:b w:val="0"/>
                <w:i w:val="0"/>
                <w:sz w:val="16"/>
              </w:rPr>
              <w:t>26,214 (7.7%)</w:t>
            </w:r>
          </w:p>
        </w:tc>
        <w:tc>
          <w:tcPr>
            <w:tcW w:type="dxa" w:w="2160"/>
            <w:tcMar>
              <w:top w:w="36" w:type="dxa"/>
              <w:bottom w:w="36" w:type="dxa"/>
              <w:left w:w="96" w:type="dxa"/>
              <w:right w:w="96" w:type="dxa"/>
            </w:tcMar>
          </w:tcPr>
          <w:p>
            <w:pPr>
              <w:spacing w:after="0" w:before="0"/>
              <w:jc w:val="left"/>
            </w:pPr>
            <w:r>
              <w:rPr>
                <w:rFonts w:ascii="Arial" w:hAnsi="Arial"/>
                <w:b w:val="0"/>
                <w:i w:val="0"/>
                <w:sz w:val="16"/>
              </w:rPr>
              <w:t>elevated daily range</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Realized vol 60d / full</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82% / 33%</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recent vol &gt;&gt; long-run</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Skew / excess kurtosis</w:t>
            </w:r>
          </w:p>
        </w:tc>
        <w:tc>
          <w:tcPr>
            <w:tcW w:type="dxa" w:w="2160"/>
            <w:tcMar>
              <w:top w:w="36" w:type="dxa"/>
              <w:bottom w:w="36" w:type="dxa"/>
              <w:left w:w="96" w:type="dxa"/>
              <w:right w:w="96" w:type="dxa"/>
            </w:tcMar>
          </w:tcPr>
          <w:p>
            <w:pPr>
              <w:spacing w:after="0" w:before="0"/>
              <w:jc w:val="left"/>
            </w:pPr>
            <w:r>
              <w:rPr>
                <w:rFonts w:ascii="Arial" w:hAnsi="Arial"/>
                <w:b w:val="0"/>
                <w:i w:val="0"/>
                <w:sz w:val="16"/>
              </w:rPr>
              <w:t>+0.33 / +8.0</w:t>
            </w:r>
          </w:p>
        </w:tc>
        <w:tc>
          <w:tcPr>
            <w:tcW w:type="dxa" w:w="2160"/>
            <w:tcMar>
              <w:top w:w="36" w:type="dxa"/>
              <w:bottom w:w="36" w:type="dxa"/>
              <w:left w:w="96" w:type="dxa"/>
              <w:right w:w="96" w:type="dxa"/>
            </w:tcMar>
          </w:tcPr>
          <w:p>
            <w:pPr>
              <w:spacing w:after="0" w:before="0"/>
              <w:jc w:val="left"/>
            </w:pPr>
            <w:r>
              <w:rPr>
                <w:rFonts w:ascii="Arial" w:hAnsi="Arial"/>
                <w:b w:val="0"/>
                <w:i w:val="0"/>
                <w:sz w:val="16"/>
              </w:rPr>
              <w:t>very fat tails</w:t>
            </w:r>
          </w:p>
        </w:tc>
      </w:tr>
    </w:tbl>
    <w:p>
      <w:pPr>
        <w:spacing w:after="80"/>
      </w:pPr>
    </w:p>
    <w:p>
      <w:pPr>
        <w:spacing w:before="160" w:after="40"/>
        <w:jc w:val="center"/>
      </w:pPr>
      <w:r>
        <w:drawing>
          <wp:inline xmlns:a="http://schemas.openxmlformats.org/drawingml/2006/main" xmlns:pic="http://schemas.openxmlformats.org/drawingml/2006/picture">
            <wp:extent cx="5212080" cy="2876459"/>
            <wp:docPr id="2" name="Picture 2"/>
            <wp:cNvGraphicFramePr>
              <a:graphicFrameLocks noChangeAspect="1"/>
            </wp:cNvGraphicFramePr>
            <a:graphic>
              <a:graphicData uri="http://schemas.openxmlformats.org/drawingml/2006/picture">
                <pic:pic>
                  <pic:nvPicPr>
                    <pic:cNvPr id="0" name="fig2_technical.png"/>
                    <pic:cNvPicPr/>
                  </pic:nvPicPr>
                  <pic:blipFill>
                    <a:blip r:embed="rId12"/>
                    <a:stretch>
                      <a:fillRect/>
                    </a:stretch>
                  </pic:blipFill>
                  <pic:spPr>
                    <a:xfrm>
                      <a:off x="0" y="0"/>
                      <a:ext cx="5212080" cy="2876459"/>
                    </a:xfrm>
                    <a:prstGeom prst="rect"/>
                  </pic:spPr>
                </pic:pic>
              </a:graphicData>
            </a:graphic>
          </wp:inline>
        </w:drawing>
      </w:r>
    </w:p>
    <w:p>
      <w:pPr>
        <w:spacing w:after="200" w:before="0" w:line="274" w:lineRule="auto"/>
        <w:jc w:val="center"/>
      </w:pPr>
      <w:r>
        <w:rPr>
          <w:rFonts w:ascii="Arial" w:hAnsi="Arial"/>
          <w:b w:val="0"/>
          <w:i/>
          <w:color w:val="63706C"/>
          <w:sz w:val="15"/>
        </w:rPr>
        <w:t>Figure 2 · Price with moving-average stack — a rising 20/50/200 structure; spot well above the 200-day.</w:t>
      </w:r>
    </w:p>
    <w:p>
      <w:pPr>
        <w:spacing w:after="120" w:before="0" w:line="274" w:lineRule="auto"/>
        <w:jc w:val="both"/>
      </w:pPr>
      <w:r>
        <w:rPr>
          <w:rFonts w:ascii="Arial" w:hAnsi="Arial"/>
          <w:b/>
          <w:i w:val="0"/>
          <w:sz w:val="16"/>
        </w:rPr>
        <w:t>The honest technical read.</w:t>
      </w:r>
      <w:r>
        <w:rPr>
          <w:rFonts w:ascii="Arial" w:hAnsi="Arial"/>
          <w:b w:val="0"/>
          <w:i w:val="0"/>
          <w:sz w:val="16"/>
        </w:rPr>
        <w:t xml:space="preserve"> The trend is intact and the moving averages are stacked bullishly, with RSI ~55 leaving room before any overbought signal. But realized 60-day volatility near 82% — far above the long-run ~33% — and strongly positive excess kurtosis (+8.0) mean the return distribution has unusually fat tails. The same energy that drove the melt-up can produce violent two-way moves. Nearest meaningful support is the 50-day around KRW 286,320.</w:t>
      </w:r>
    </w:p>
    <w:p>
      <w:pPr>
        <w:spacing w:after="140" w:before="280" w:line="274" w:lineRule="auto"/>
        <w:pBdr>
          <w:bottom w:val="single" w:sz="12" w:space="4" w:color="C0A45F"/>
        </w:pBdr>
      </w:pPr>
      <w:r>
        <w:rPr>
          <w:rFonts w:ascii="Arial" w:hAnsi="Arial"/>
          <w:b/>
          <w:i w:val="0"/>
          <w:color w:val="1C3A36"/>
          <w:sz w:val="26"/>
        </w:rPr>
        <w:t>3  Monte Carlo — a probabilistic price map</w:t>
      </w:r>
    </w:p>
    <w:p>
      <w:pPr>
        <w:spacing w:after="120" w:before="0" w:line="274" w:lineRule="auto"/>
        <w:jc w:val="both"/>
      </w:pPr>
      <w:r>
        <w:rPr>
          <w:rFonts w:ascii="Arial" w:hAnsi="Arial"/>
          <w:b w:val="0"/>
          <w:i w:val="0"/>
          <w:sz w:val="16"/>
        </w:rPr>
        <w:t>This models the price over the next three months, not value. We simulate 50,000 paths (seed 42) from a 16-factor structure — seven continuous drivers and nine discrete event risks — with a Student-t tail to respect the fat-tailedness documented above. It answers "where could the price plausibly be, and with what probability", not "what is Samsung worth".</w:t>
      </w:r>
    </w:p>
    <w:p>
      <w:pPr>
        <w:spacing w:after="120" w:before="0" w:line="274" w:lineRule="auto"/>
        <w:jc w:val="both"/>
      </w:pPr>
      <w:r>
        <w:rPr>
          <w:rFonts w:ascii="Arial" w:hAnsi="Arial"/>
          <w:b w:val="0"/>
          <w:i/>
          <w:sz w:val="16"/>
        </w:rPr>
        <w:t>The 16 factors.</w:t>
      </w:r>
      <w:r>
        <w:rPr>
          <w:rFonts w:ascii="Arial" w:hAnsi="Arial"/>
          <w:b w:val="0"/>
          <w:i w:val="0"/>
          <w:sz w:val="16"/>
        </w:rPr>
        <w:t xml:space="preserve"> </w:t>
      </w:r>
      <w:r>
        <w:rPr>
          <w:rFonts w:ascii="Arial" w:hAnsi="Arial"/>
          <w:b/>
          <w:i w:val="0"/>
          <w:sz w:val="16"/>
        </w:rPr>
        <w:t>Continuous (7):</w:t>
      </w:r>
      <w:r>
        <w:rPr>
          <w:rFonts w:ascii="Arial" w:hAnsi="Arial"/>
          <w:b w:val="0"/>
          <w:i w:val="0"/>
          <w:sz w:val="16"/>
        </w:rPr>
        <w:t xml:space="preserve"> DRAM/NAND average selling prices, HBM share trajectory, USD/KRW, AI/data-centre capex, KOSPI beta, smartphone demand, foundry ramp. </w:t>
      </w:r>
      <w:r>
        <w:rPr>
          <w:rFonts w:ascii="Arial" w:hAnsi="Arial"/>
          <w:b/>
          <w:i w:val="0"/>
          <w:sz w:val="16"/>
        </w:rPr>
        <w:t>Discrete events (9):</w:t>
      </w:r>
      <w:r>
        <w:rPr>
          <w:rFonts w:ascii="Arial" w:hAnsi="Arial"/>
          <w:b w:val="0"/>
          <w:i w:val="0"/>
          <w:sz w:val="16"/>
        </w:rPr>
        <w:t xml:space="preserve"> Nvidia HBM4 qualification (p~0.45, +7%), a memory-oversupply scare (p~0.30, −9%), tariff/Section-232 action (p~0.25, −6%), a capital-return surprise (p~0.50, +4%), governance/value-up progress (p~0.25, +3%), an earnings surprise (p~0.40, +3%), China/geopolitical shock (p~0.20, −7%), a KRW-1,000tn-capex signal (p~0.35, +1%), and a labour/strike disruption (p~0.15, −3%).</w:t>
      </w:r>
    </w:p>
    <w:p>
      <w:pPr>
        <w:spacing w:after="120" w:before="0" w:line="274" w:lineRule="auto"/>
        <w:jc w:val="both"/>
      </w:pPr>
      <w:r>
        <w:rPr>
          <w:rFonts w:ascii="Arial" w:hAnsi="Arial"/>
          <w:b w:val="0"/>
          <w:i w:val="0"/>
          <w:sz w:val="16"/>
        </w:rPr>
        <w:t>Net three-month drift is a modest +5.4%, total three-month volatility ~22.8% (~46% annualised), and the distribution is right-skewed — the positive event set outweighs the negative in expectation, while the downside tail is fatter per event. The drift is anchored to the realized momentum documented in Step 0 (Appendix B) and carried as an explicit, editable factor rather than baked into the distribution.</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560"/>
        <w:gridCol w:w="1560"/>
        <w:gridCol w:w="1560"/>
        <w:gridCol w:w="1560"/>
        <w:gridCol w:w="1560"/>
        <w:gridCol w:w="156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Horizon</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5%</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25%</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Median</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75%</w:t>
            </w:r>
          </w:p>
        </w:tc>
        <w:tc>
          <w:tcPr>
            <w:tcW w:type="dxa" w:w="1325"/>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95%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T + 20 sessions (~1m)</w:t>
            </w:r>
          </w:p>
        </w:tc>
        <w:tc>
          <w:tcPr>
            <w:tcW w:type="dxa" w:w="1325"/>
            <w:tcMar>
              <w:top w:w="36" w:type="dxa"/>
              <w:bottom w:w="36" w:type="dxa"/>
              <w:left w:w="96" w:type="dxa"/>
              <w:right w:w="96" w:type="dxa"/>
            </w:tcMar>
          </w:tcPr>
          <w:p>
            <w:pPr>
              <w:spacing w:after="0" w:before="0"/>
              <w:jc w:val="left"/>
            </w:pPr>
            <w:r>
              <w:rPr>
                <w:rFonts w:ascii="Arial" w:hAnsi="Arial"/>
                <w:b w:val="0"/>
                <w:i w:val="0"/>
                <w:sz w:val="16"/>
              </w:rPr>
              <w:t>277,676</w:t>
            </w:r>
          </w:p>
        </w:tc>
        <w:tc>
          <w:tcPr>
            <w:tcW w:type="dxa" w:w="1325"/>
            <w:tcMar>
              <w:top w:w="36" w:type="dxa"/>
              <w:bottom w:w="36" w:type="dxa"/>
              <w:left w:w="96" w:type="dxa"/>
              <w:right w:w="96" w:type="dxa"/>
            </w:tcMar>
          </w:tcPr>
          <w:p>
            <w:pPr>
              <w:spacing w:after="0" w:before="0"/>
              <w:jc w:val="left"/>
            </w:pPr>
            <w:r>
              <w:rPr>
                <w:rFonts w:ascii="Arial" w:hAnsi="Arial"/>
                <w:b w:val="0"/>
                <w:i w:val="0"/>
                <w:sz w:val="16"/>
              </w:rPr>
              <w:t>316,898</w:t>
            </w:r>
          </w:p>
        </w:tc>
        <w:tc>
          <w:tcPr>
            <w:tcW w:type="dxa" w:w="1325"/>
            <w:tcMar>
              <w:top w:w="36" w:type="dxa"/>
              <w:bottom w:w="36" w:type="dxa"/>
              <w:left w:w="96" w:type="dxa"/>
              <w:right w:w="96" w:type="dxa"/>
            </w:tcMar>
          </w:tcPr>
          <w:p>
            <w:pPr>
              <w:spacing w:after="0" w:before="0"/>
              <w:jc w:val="left"/>
            </w:pPr>
            <w:r>
              <w:rPr>
                <w:rFonts w:ascii="Arial" w:hAnsi="Arial"/>
                <w:b/>
                <w:i w:val="0"/>
                <w:sz w:val="16"/>
              </w:rPr>
              <w:t>346,091</w:t>
            </w:r>
          </w:p>
        </w:tc>
        <w:tc>
          <w:tcPr>
            <w:tcW w:type="dxa" w:w="1325"/>
            <w:tcMar>
              <w:top w:w="36" w:type="dxa"/>
              <w:bottom w:w="36" w:type="dxa"/>
              <w:left w:w="96" w:type="dxa"/>
              <w:right w:w="96" w:type="dxa"/>
            </w:tcMar>
          </w:tcPr>
          <w:p>
            <w:pPr>
              <w:spacing w:after="0" w:before="0"/>
              <w:jc w:val="left"/>
            </w:pPr>
            <w:r>
              <w:rPr>
                <w:rFonts w:ascii="Arial" w:hAnsi="Arial"/>
                <w:b w:val="0"/>
                <w:i w:val="0"/>
                <w:sz w:val="16"/>
              </w:rPr>
              <w:t>378,203</w:t>
            </w:r>
          </w:p>
        </w:tc>
        <w:tc>
          <w:tcPr>
            <w:tcW w:type="dxa" w:w="1325"/>
            <w:tcMar>
              <w:top w:w="36" w:type="dxa"/>
              <w:bottom w:w="36" w:type="dxa"/>
              <w:left w:w="96" w:type="dxa"/>
              <w:right w:w="96" w:type="dxa"/>
            </w:tcMar>
          </w:tcPr>
          <w:p>
            <w:pPr>
              <w:spacing w:after="0" w:before="0"/>
              <w:jc w:val="left"/>
            </w:pPr>
            <w:r>
              <w:rPr>
                <w:rFonts w:ascii="Arial" w:hAnsi="Arial"/>
                <w:b w:val="0"/>
                <w:i w:val="0"/>
                <w:sz w:val="16"/>
              </w:rPr>
              <w:t>430,413</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T + 60 sessions (~3m)</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246,827</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308,298</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i w:val="0"/>
                <w:sz w:val="16"/>
              </w:rPr>
              <w:t>359,482</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418,176</w:t>
            </w:r>
          </w:p>
        </w:tc>
        <w:tc>
          <w:tcPr>
            <w:tcW w:type="dxa" w:w="1325"/>
            <w:tcMar>
              <w:top w:w="36" w:type="dxa"/>
              <w:bottom w:w="36" w:type="dxa"/>
              <w:left w:w="96" w:type="dxa"/>
              <w:right w:w="96" w:type="dxa"/>
            </w:tcMar>
            <w:shd w:val="clear" w:color="auto" w:fill="DCE7E2"/>
          </w:tcPr>
          <w:p>
            <w:pPr>
              <w:spacing w:after="0" w:before="0"/>
              <w:jc w:val="left"/>
            </w:pPr>
            <w:r>
              <w:rPr>
                <w:rFonts w:ascii="Arial" w:hAnsi="Arial"/>
                <w:b w:val="0"/>
                <w:i w:val="0"/>
                <w:sz w:val="16"/>
              </w:rPr>
              <w:t>520,627</w:t>
            </w:r>
          </w:p>
        </w:tc>
      </w:tr>
    </w:tbl>
    <w:p>
      <w:pPr>
        <w:spacing w:after="80"/>
      </w:pPr>
    </w:p>
    <w:p>
      <w:pPr>
        <w:spacing w:before="160" w:after="40"/>
        <w:jc w:val="center"/>
      </w:pPr>
      <w:r>
        <w:drawing>
          <wp:inline xmlns:a="http://schemas.openxmlformats.org/drawingml/2006/main" xmlns:pic="http://schemas.openxmlformats.org/drawingml/2006/picture">
            <wp:extent cx="5212080" cy="2583689"/>
            <wp:docPr id="3" name="Picture 3"/>
            <wp:cNvGraphicFramePr>
              <a:graphicFrameLocks noChangeAspect="1"/>
            </wp:cNvGraphicFramePr>
            <a:graphic>
              <a:graphicData uri="http://schemas.openxmlformats.org/drawingml/2006/picture">
                <pic:pic>
                  <pic:nvPicPr>
                    <pic:cNvPr id="0" name="fig3_cone.png"/>
                    <pic:cNvPicPr/>
                  </pic:nvPicPr>
                  <pic:blipFill>
                    <a:blip r:embed="rId13"/>
                    <a:stretch>
                      <a:fillRect/>
                    </a:stretch>
                  </pic:blipFill>
                  <pic:spPr>
                    <a:xfrm>
                      <a:off x="0" y="0"/>
                      <a:ext cx="5212080" cy="2583689"/>
                    </a:xfrm>
                    <a:prstGeom prst="rect"/>
                  </pic:spPr>
                </pic:pic>
              </a:graphicData>
            </a:graphic>
          </wp:inline>
        </w:drawing>
      </w:r>
    </w:p>
    <w:p>
      <w:pPr>
        <w:spacing w:after="200" w:before="0" w:line="274" w:lineRule="auto"/>
        <w:jc w:val="center"/>
      </w:pPr>
      <w:r>
        <w:rPr>
          <w:rFonts w:ascii="Arial" w:hAnsi="Arial"/>
          <w:b w:val="0"/>
          <w:i/>
          <w:color w:val="63706C"/>
          <w:sz w:val="15"/>
        </w:rPr>
        <w:t>Figure 3 · Three-month fan chart — percentile cone of simulated paths from spot.</w:t>
      </w:r>
    </w:p>
    <w:p>
      <w:pPr>
        <w:spacing w:before="160" w:after="40"/>
        <w:jc w:val="center"/>
      </w:pPr>
      <w:r>
        <w:drawing>
          <wp:inline xmlns:a="http://schemas.openxmlformats.org/drawingml/2006/main" xmlns:pic="http://schemas.openxmlformats.org/drawingml/2006/picture">
            <wp:extent cx="5212080" cy="2333367"/>
            <wp:docPr id="4" name="Picture 4"/>
            <wp:cNvGraphicFramePr>
              <a:graphicFrameLocks noChangeAspect="1"/>
            </wp:cNvGraphicFramePr>
            <a:graphic>
              <a:graphicData uri="http://schemas.openxmlformats.org/drawingml/2006/picture">
                <pic:pic>
                  <pic:nvPicPr>
                    <pic:cNvPr id="0" name="fig4_bell_t20.png"/>
                    <pic:cNvPicPr/>
                  </pic:nvPicPr>
                  <pic:blipFill>
                    <a:blip r:embed="rId14"/>
                    <a:stretch>
                      <a:fillRect/>
                    </a:stretch>
                  </pic:blipFill>
                  <pic:spPr>
                    <a:xfrm>
                      <a:off x="0" y="0"/>
                      <a:ext cx="5212080" cy="2333367"/>
                    </a:xfrm>
                    <a:prstGeom prst="rect"/>
                  </pic:spPr>
                </pic:pic>
              </a:graphicData>
            </a:graphic>
          </wp:inline>
        </w:drawing>
      </w:r>
    </w:p>
    <w:p>
      <w:pPr>
        <w:spacing w:after="200" w:before="0" w:line="274" w:lineRule="auto"/>
        <w:jc w:val="center"/>
      </w:pPr>
      <w:r>
        <w:rPr>
          <w:rFonts w:ascii="Arial" w:hAnsi="Arial"/>
          <w:b w:val="0"/>
          <w:i/>
          <w:color w:val="63706C"/>
          <w:sz w:val="15"/>
        </w:rPr>
        <w:t>Figure 4 · Distribution of the price at T+20 (~1 month).</w:t>
      </w:r>
    </w:p>
    <w:p>
      <w:pPr>
        <w:spacing w:before="160" w:after="40"/>
        <w:jc w:val="center"/>
      </w:pPr>
      <w:r>
        <w:drawing>
          <wp:inline xmlns:a="http://schemas.openxmlformats.org/drawingml/2006/main" xmlns:pic="http://schemas.openxmlformats.org/drawingml/2006/picture">
            <wp:extent cx="5212080" cy="2321421"/>
            <wp:docPr id="5" name="Picture 5"/>
            <wp:cNvGraphicFramePr>
              <a:graphicFrameLocks noChangeAspect="1"/>
            </wp:cNvGraphicFramePr>
            <a:graphic>
              <a:graphicData uri="http://schemas.openxmlformats.org/drawingml/2006/picture">
                <pic:pic>
                  <pic:nvPicPr>
                    <pic:cNvPr id="0" name="fig5_bell_t60.png"/>
                    <pic:cNvPicPr/>
                  </pic:nvPicPr>
                  <pic:blipFill>
                    <a:blip r:embed="rId15"/>
                    <a:stretch>
                      <a:fillRect/>
                    </a:stretch>
                  </pic:blipFill>
                  <pic:spPr>
                    <a:xfrm>
                      <a:off x="0" y="0"/>
                      <a:ext cx="5212080" cy="2321421"/>
                    </a:xfrm>
                    <a:prstGeom prst="rect"/>
                  </pic:spPr>
                </pic:pic>
              </a:graphicData>
            </a:graphic>
          </wp:inline>
        </w:drawing>
      </w:r>
    </w:p>
    <w:p>
      <w:pPr>
        <w:spacing w:after="200" w:before="0" w:line="274" w:lineRule="auto"/>
        <w:jc w:val="center"/>
      </w:pPr>
      <w:r>
        <w:rPr>
          <w:rFonts w:ascii="Arial" w:hAnsi="Arial"/>
          <w:b w:val="0"/>
          <w:i/>
          <w:color w:val="63706C"/>
          <w:sz w:val="15"/>
        </w:rPr>
        <w:t>Figure 5 · Distribution of the price at T+60 (~3 months); note the right skew and fat right tail.</w:t>
      </w:r>
    </w:p>
    <w:p>
      <w:pPr>
        <w:spacing w:after="80" w:before="0" w:line="274" w:lineRule="auto"/>
        <w:jc w:val="both"/>
      </w:pPr>
      <w:r>
        <w:rPr>
          <w:rFonts w:ascii="Arial" w:hAnsi="Arial"/>
          <w:b w:val="0"/>
          <w:i/>
          <w:sz w:val="16"/>
        </w:rPr>
        <w:t>Touch probabilities — chance the price reaches a level at any point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340"/>
        <w:gridCol w:w="2340"/>
        <w:gridCol w:w="2340"/>
        <w:gridCol w:w="23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Level</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by T+20</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by T+60</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Note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KRW 360,000 (near ATH)</w:t>
            </w:r>
          </w:p>
        </w:tc>
        <w:tc>
          <w:tcPr>
            <w:tcW w:type="dxa" w:w="2160"/>
            <w:tcMar>
              <w:top w:w="36" w:type="dxa"/>
              <w:bottom w:w="36" w:type="dxa"/>
              <w:left w:w="96" w:type="dxa"/>
              <w:right w:w="96" w:type="dxa"/>
            </w:tcMar>
          </w:tcPr>
          <w:p>
            <w:pPr>
              <w:spacing w:after="0" w:before="0"/>
              <w:jc w:val="left"/>
            </w:pPr>
            <w:r>
              <w:rPr>
                <w:rFonts w:ascii="Arial" w:hAnsi="Arial"/>
                <w:b w:val="0"/>
                <w:i w:val="0"/>
                <w:sz w:val="16"/>
              </w:rPr>
              <w:t>61%</w:t>
            </w:r>
          </w:p>
        </w:tc>
        <w:tc>
          <w:tcPr>
            <w:tcW w:type="dxa" w:w="2160"/>
            <w:tcMar>
              <w:top w:w="36" w:type="dxa"/>
              <w:bottom w:w="36" w:type="dxa"/>
              <w:left w:w="96" w:type="dxa"/>
              <w:right w:w="96" w:type="dxa"/>
            </w:tcMar>
          </w:tcPr>
          <w:p>
            <w:pPr>
              <w:spacing w:after="0" w:before="0"/>
              <w:jc w:val="left"/>
            </w:pPr>
            <w:r>
              <w:rPr>
                <w:rFonts w:ascii="Arial" w:hAnsi="Arial"/>
                <w:b w:val="0"/>
                <w:i w:val="0"/>
                <w:sz w:val="16"/>
              </w:rPr>
              <w:t>80%</w:t>
            </w:r>
          </w:p>
        </w:tc>
        <w:tc>
          <w:tcPr>
            <w:tcW w:type="dxa" w:w="2160"/>
            <w:tcMar>
              <w:top w:w="36" w:type="dxa"/>
              <w:bottom w:w="36" w:type="dxa"/>
              <w:left w:w="96" w:type="dxa"/>
              <w:right w:w="96" w:type="dxa"/>
            </w:tcMar>
          </w:tcPr>
          <w:p>
            <w:pPr>
              <w:spacing w:after="0" w:before="0"/>
              <w:jc w:val="left"/>
            </w:pPr>
            <w:r>
              <w:rPr>
                <w:rFonts w:ascii="Arial" w:hAnsi="Arial"/>
                <w:b w:val="0"/>
                <w:i w:val="0"/>
                <w:sz w:val="16"/>
              </w:rPr>
              <w:t>retest all-time high</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KRW 400,000</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21%</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51%</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into bull-case zone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KRW 440,000</w:t>
            </w:r>
          </w:p>
        </w:tc>
        <w:tc>
          <w:tcPr>
            <w:tcW w:type="dxa" w:w="2160"/>
            <w:tcMar>
              <w:top w:w="36" w:type="dxa"/>
              <w:bottom w:w="36" w:type="dxa"/>
              <w:left w:w="96" w:type="dxa"/>
              <w:right w:w="96" w:type="dxa"/>
            </w:tcMar>
          </w:tcPr>
          <w:p>
            <w:pPr>
              <w:spacing w:after="0" w:before="0"/>
              <w:jc w:val="left"/>
            </w:pPr>
            <w:r>
              <w:rPr>
                <w:rFonts w:ascii="Arial" w:hAnsi="Arial"/>
                <w:b w:val="0"/>
                <w:i w:val="0"/>
                <w:sz w:val="16"/>
              </w:rPr>
              <w:t>5%</w:t>
            </w:r>
          </w:p>
        </w:tc>
        <w:tc>
          <w:tcPr>
            <w:tcW w:type="dxa" w:w="2160"/>
            <w:tcMar>
              <w:top w:w="36" w:type="dxa"/>
              <w:bottom w:w="36" w:type="dxa"/>
              <w:left w:w="96" w:type="dxa"/>
              <w:right w:w="96" w:type="dxa"/>
            </w:tcMar>
          </w:tcPr>
          <w:p>
            <w:pPr>
              <w:spacing w:after="0" w:before="0"/>
              <w:jc w:val="left"/>
            </w:pPr>
            <w:r>
              <w:rPr>
                <w:rFonts w:ascii="Arial" w:hAnsi="Arial"/>
                <w:b w:val="0"/>
                <w:i w:val="0"/>
                <w:sz w:val="16"/>
              </w:rPr>
              <w:t>30%</w:t>
            </w:r>
          </w:p>
        </w:tc>
        <w:tc>
          <w:tcPr>
            <w:tcW w:type="dxa" w:w="2160"/>
            <w:tcMar>
              <w:top w:w="36" w:type="dxa"/>
              <w:bottom w:w="36" w:type="dxa"/>
              <w:left w:w="96" w:type="dxa"/>
              <w:right w:w="96" w:type="dxa"/>
            </w:tcMar>
          </w:tcPr>
          <w:p>
            <w:pPr>
              <w:spacing w:after="0" w:before="0"/>
              <w:jc w:val="left"/>
            </w:pPr>
            <w:r>
              <w:rPr>
                <w:rFonts w:ascii="Arial" w:hAnsi="Arial"/>
                <w:b w:val="0"/>
                <w:i w:val="0"/>
                <w:sz w:val="16"/>
              </w:rPr>
              <w:t>above consensus</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KRW 286,000 (50-day)</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12%</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33%</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first support</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KRW 250,000</w:t>
            </w:r>
          </w:p>
        </w:tc>
        <w:tc>
          <w:tcPr>
            <w:tcW w:type="dxa" w:w="2160"/>
            <w:tcMar>
              <w:top w:w="36" w:type="dxa"/>
              <w:bottom w:w="36" w:type="dxa"/>
              <w:left w:w="96" w:type="dxa"/>
              <w:right w:w="96" w:type="dxa"/>
            </w:tcMar>
          </w:tcPr>
          <w:p>
            <w:pPr>
              <w:spacing w:after="0" w:before="0"/>
              <w:jc w:val="left"/>
            </w:pPr>
            <w:r>
              <w:rPr>
                <w:rFonts w:ascii="Arial" w:hAnsi="Arial"/>
                <w:b w:val="0"/>
                <w:i w:val="0"/>
                <w:sz w:val="16"/>
              </w:rPr>
              <w:t>1%</w:t>
            </w:r>
          </w:p>
        </w:tc>
        <w:tc>
          <w:tcPr>
            <w:tcW w:type="dxa" w:w="2160"/>
            <w:tcMar>
              <w:top w:w="36" w:type="dxa"/>
              <w:bottom w:w="36" w:type="dxa"/>
              <w:left w:w="96" w:type="dxa"/>
              <w:right w:w="96" w:type="dxa"/>
            </w:tcMar>
          </w:tcPr>
          <w:p>
            <w:pPr>
              <w:spacing w:after="0" w:before="0"/>
              <w:jc w:val="left"/>
            </w:pPr>
            <w:r>
              <w:rPr>
                <w:rFonts w:ascii="Arial" w:hAnsi="Arial"/>
                <w:b w:val="0"/>
                <w:i w:val="0"/>
                <w:sz w:val="16"/>
              </w:rPr>
              <w:t>11%</w:t>
            </w:r>
          </w:p>
        </w:tc>
        <w:tc>
          <w:tcPr>
            <w:tcW w:type="dxa" w:w="2160"/>
            <w:tcMar>
              <w:top w:w="36" w:type="dxa"/>
              <w:bottom w:w="36" w:type="dxa"/>
              <w:left w:w="96" w:type="dxa"/>
              <w:right w:w="96" w:type="dxa"/>
            </w:tcMar>
          </w:tcPr>
          <w:p>
            <w:pPr>
              <w:spacing w:after="0" w:before="0"/>
              <w:jc w:val="left"/>
            </w:pPr>
            <w:r>
              <w:rPr>
                <w:rFonts w:ascii="Arial" w:hAnsi="Arial"/>
                <w:b w:val="0"/>
                <w:i w:val="0"/>
                <w:sz w:val="16"/>
              </w:rPr>
              <w:t>toward base SOTP</w:t>
            </w:r>
          </w:p>
        </w:tc>
      </w:tr>
    </w:tbl>
    <w:p>
      <w:pPr>
        <w:spacing w:after="80"/>
      </w:pPr>
    </w:p>
    <w:p>
      <w:pPr>
        <w:spacing w:before="160" w:after="40"/>
        <w:jc w:val="center"/>
      </w:pPr>
      <w:r>
        <w:drawing>
          <wp:inline xmlns:a="http://schemas.openxmlformats.org/drawingml/2006/main" xmlns:pic="http://schemas.openxmlformats.org/drawingml/2006/picture">
            <wp:extent cx="5212080" cy="2583689"/>
            <wp:docPr id="6" name="Picture 6"/>
            <wp:cNvGraphicFramePr>
              <a:graphicFrameLocks noChangeAspect="1"/>
            </wp:cNvGraphicFramePr>
            <a:graphic>
              <a:graphicData uri="http://schemas.openxmlformats.org/drawingml/2006/picture">
                <pic:pic>
                  <pic:nvPicPr>
                    <pic:cNvPr id="0" name="fig6_touch.png"/>
                    <pic:cNvPicPr/>
                  </pic:nvPicPr>
                  <pic:blipFill>
                    <a:blip r:embed="rId16"/>
                    <a:stretch>
                      <a:fillRect/>
                    </a:stretch>
                  </pic:blipFill>
                  <pic:spPr>
                    <a:xfrm>
                      <a:off x="0" y="0"/>
                      <a:ext cx="5212080" cy="2583689"/>
                    </a:xfrm>
                    <a:prstGeom prst="rect"/>
                  </pic:spPr>
                </pic:pic>
              </a:graphicData>
            </a:graphic>
          </wp:inline>
        </w:drawing>
      </w:r>
    </w:p>
    <w:p>
      <w:pPr>
        <w:spacing w:after="200" w:before="0" w:line="274" w:lineRule="auto"/>
        <w:jc w:val="center"/>
      </w:pPr>
      <w:r>
        <w:rPr>
          <w:rFonts w:ascii="Arial" w:hAnsi="Arial"/>
          <w:b w:val="0"/>
          <w:i/>
          <w:color w:val="63706C"/>
          <w:sz w:val="15"/>
        </w:rPr>
        <w:t>Figure 6 · Upside and downside touch ladders over the three-month window.</w:t>
      </w:r>
    </w:p>
    <w:p>
      <w:pPr>
        <w:spacing w:after="120" w:before="0" w:line="274" w:lineRule="auto"/>
        <w:jc w:val="both"/>
      </w:pPr>
      <w:r>
        <w:rPr>
          <w:rFonts w:ascii="Arial" w:hAnsi="Arial"/>
          <w:b/>
          <w:i w:val="0"/>
          <w:sz w:val="16"/>
        </w:rPr>
        <w:t>What the map says.</w:t>
      </w:r>
      <w:r>
        <w:rPr>
          <w:rFonts w:ascii="Arial" w:hAnsi="Arial"/>
          <w:b w:val="0"/>
          <w:i w:val="0"/>
          <w:sz w:val="16"/>
        </w:rPr>
        <w:t xml:space="preserve"> Over three months a retest of the all-time high near KRW 360,000 is more likely than not (~80%), and a push into the bull-case zone above KRW 400,000 is a realistic ~51% — momentum and catalysts can carry the price higher near term. At the same time a pull-back to the 50-day around KRW 286,000 is a non-trivial ~33%. Crucially, this near-term map and the fundamental finding are not in conflict: price can drift up over three months while value sits below price. The Monte Carlo describes the former; section 1 describes the latter.</w:t>
      </w:r>
    </w:p>
    <w:p>
      <w:pPr>
        <w:spacing w:after="140" w:before="280" w:line="274" w:lineRule="auto"/>
        <w:pBdr>
          <w:bottom w:val="single" w:sz="12" w:space="4" w:color="C0A45F"/>
        </w:pBdr>
      </w:pPr>
      <w:r>
        <w:rPr>
          <w:rFonts w:ascii="Arial" w:hAnsi="Arial"/>
          <w:b/>
          <w:i w:val="0"/>
          <w:color w:val="1C3A36"/>
          <w:sz w:val="26"/>
        </w:rPr>
        <w:t>4  Comparison of the lenses, and a verdict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340"/>
        <w:gridCol w:w="2340"/>
        <w:gridCol w:w="2340"/>
        <w:gridCol w:w="23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Lens</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What it measures</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Output</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vs spot</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SOTP base (primary)</w:t>
            </w:r>
          </w:p>
        </w:tc>
        <w:tc>
          <w:tcPr>
            <w:tcW w:type="dxa" w:w="2160"/>
            <w:tcMar>
              <w:top w:w="36" w:type="dxa"/>
              <w:bottom w:w="36" w:type="dxa"/>
              <w:left w:w="96" w:type="dxa"/>
              <w:right w:w="96" w:type="dxa"/>
            </w:tcMar>
          </w:tcPr>
          <w:p>
            <w:pPr>
              <w:spacing w:after="0" w:before="0"/>
              <w:jc w:val="left"/>
            </w:pPr>
            <w:r>
              <w:rPr>
                <w:rFonts w:ascii="Arial" w:hAnsi="Arial"/>
                <w:b w:val="0"/>
                <w:i w:val="0"/>
                <w:sz w:val="16"/>
              </w:rPr>
              <w:t>normalised segment earnings</w:t>
            </w:r>
          </w:p>
        </w:tc>
        <w:tc>
          <w:tcPr>
            <w:tcW w:type="dxa" w:w="2160"/>
            <w:tcMar>
              <w:top w:w="36" w:type="dxa"/>
              <w:bottom w:w="36" w:type="dxa"/>
              <w:left w:w="96" w:type="dxa"/>
              <w:right w:w="96" w:type="dxa"/>
            </w:tcMar>
          </w:tcPr>
          <w:p>
            <w:pPr>
              <w:spacing w:after="0" w:before="0"/>
              <w:jc w:val="left"/>
            </w:pPr>
            <w:r>
              <w:rPr>
                <w:rFonts w:ascii="Arial" w:hAnsi="Arial"/>
                <w:b w:val="0"/>
                <w:i w:val="0"/>
                <w:sz w:val="16"/>
              </w:rPr>
              <w:t>KRW 283,499</w:t>
            </w:r>
          </w:p>
        </w:tc>
        <w:tc>
          <w:tcPr>
            <w:tcW w:type="dxa" w:w="2160"/>
            <w:tcMar>
              <w:top w:w="36" w:type="dxa"/>
              <w:bottom w:w="36" w:type="dxa"/>
              <w:left w:w="96" w:type="dxa"/>
              <w:right w:w="96" w:type="dxa"/>
            </w:tcMar>
          </w:tcPr>
          <w:p>
            <w:pPr>
              <w:spacing w:after="0" w:before="0"/>
              <w:jc w:val="left"/>
            </w:pPr>
            <w:r>
              <w:rPr>
                <w:rFonts w:ascii="Arial" w:hAnsi="Arial"/>
                <w:b w:val="0"/>
                <w:i w:val="0"/>
                <w:sz w:val="16"/>
              </w:rPr>
              <w:t>-16%</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SOTP bull</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supercycle persists</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KRW 410,754</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+21%</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Consolidated DCF</w:t>
            </w:r>
          </w:p>
        </w:tc>
        <w:tc>
          <w:tcPr>
            <w:tcW w:type="dxa" w:w="2160"/>
            <w:tcMar>
              <w:top w:w="36" w:type="dxa"/>
              <w:bottom w:w="36" w:type="dxa"/>
              <w:left w:w="96" w:type="dxa"/>
              <w:right w:w="96" w:type="dxa"/>
            </w:tcMar>
          </w:tcPr>
          <w:p>
            <w:pPr>
              <w:spacing w:after="0" w:before="0"/>
              <w:jc w:val="left"/>
            </w:pPr>
            <w:r>
              <w:rPr>
                <w:rFonts w:ascii="Arial" w:hAnsi="Arial"/>
                <w:b w:val="0"/>
                <w:i w:val="0"/>
                <w:sz w:val="16"/>
              </w:rPr>
              <w:t>after-capex owner cash flow</w:t>
            </w:r>
          </w:p>
        </w:tc>
        <w:tc>
          <w:tcPr>
            <w:tcW w:type="dxa" w:w="2160"/>
            <w:tcMar>
              <w:top w:w="36" w:type="dxa"/>
              <w:bottom w:w="36" w:type="dxa"/>
              <w:left w:w="96" w:type="dxa"/>
              <w:right w:w="96" w:type="dxa"/>
            </w:tcMar>
          </w:tcPr>
          <w:p>
            <w:pPr>
              <w:spacing w:after="0" w:before="0"/>
              <w:jc w:val="left"/>
            </w:pPr>
            <w:r>
              <w:rPr>
                <w:rFonts w:ascii="Arial" w:hAnsi="Arial"/>
                <w:b w:val="0"/>
                <w:i w:val="0"/>
                <w:sz w:val="16"/>
              </w:rPr>
              <w:t>KRW 214,800</w:t>
            </w:r>
          </w:p>
        </w:tc>
        <w:tc>
          <w:tcPr>
            <w:tcW w:type="dxa" w:w="2160"/>
            <w:tcMar>
              <w:top w:w="36" w:type="dxa"/>
              <w:bottom w:w="36" w:type="dxa"/>
              <w:left w:w="96" w:type="dxa"/>
              <w:right w:w="96" w:type="dxa"/>
            </w:tcMar>
          </w:tcPr>
          <w:p>
            <w:pPr>
              <w:spacing w:after="0" w:before="0"/>
              <w:jc w:val="left"/>
            </w:pPr>
            <w:r>
              <w:rPr>
                <w:rFonts w:ascii="Arial" w:hAnsi="Arial"/>
                <w:b w:val="0"/>
                <w:i w:val="0"/>
                <w:sz w:val="16"/>
              </w:rPr>
              <w:t>-37%</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Relative multiples</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vs global chip peers</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KRW 316,742</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-7%</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Normalized earnings</w:t>
            </w:r>
          </w:p>
        </w:tc>
        <w:tc>
          <w:tcPr>
            <w:tcW w:type="dxa" w:w="2160"/>
            <w:tcMar>
              <w:top w:w="36" w:type="dxa"/>
              <w:bottom w:w="36" w:type="dxa"/>
              <w:left w:w="96" w:type="dxa"/>
              <w:right w:w="96" w:type="dxa"/>
            </w:tcMar>
          </w:tcPr>
          <w:p>
            <w:pPr>
              <w:spacing w:after="0" w:before="0"/>
              <w:jc w:val="left"/>
            </w:pPr>
            <w:r>
              <w:rPr>
                <w:rFonts w:ascii="Arial" w:hAnsi="Arial"/>
                <w:b w:val="0"/>
                <w:i w:val="0"/>
                <w:sz w:val="16"/>
              </w:rPr>
              <w:t>through-cycle profit</w:t>
            </w:r>
          </w:p>
        </w:tc>
        <w:tc>
          <w:tcPr>
            <w:tcW w:type="dxa" w:w="2160"/>
            <w:tcMar>
              <w:top w:w="36" w:type="dxa"/>
              <w:bottom w:w="36" w:type="dxa"/>
              <w:left w:w="96" w:type="dxa"/>
              <w:right w:w="96" w:type="dxa"/>
            </w:tcMar>
          </w:tcPr>
          <w:p>
            <w:pPr>
              <w:spacing w:after="0" w:before="0"/>
              <w:jc w:val="left"/>
            </w:pPr>
            <w:r>
              <w:rPr>
                <w:rFonts w:ascii="Arial" w:hAnsi="Arial"/>
                <w:b w:val="0"/>
                <w:i w:val="0"/>
                <w:sz w:val="16"/>
              </w:rPr>
              <w:t>KRW 253,394</w:t>
            </w:r>
          </w:p>
        </w:tc>
        <w:tc>
          <w:tcPr>
            <w:tcW w:type="dxa" w:w="2160"/>
            <w:tcMar>
              <w:top w:w="36" w:type="dxa"/>
              <w:bottom w:w="36" w:type="dxa"/>
              <w:left w:w="96" w:type="dxa"/>
              <w:right w:w="96" w:type="dxa"/>
            </w:tcMar>
          </w:tcPr>
          <w:p>
            <w:pPr>
              <w:spacing w:after="0" w:before="0"/>
              <w:jc w:val="left"/>
            </w:pPr>
            <w:r>
              <w:rPr>
                <w:rFonts w:ascii="Arial" w:hAnsi="Arial"/>
                <w:b w:val="0"/>
                <w:i w:val="0"/>
                <w:sz w:val="16"/>
              </w:rPr>
              <w:t>-25%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i w:val="0"/>
                <w:sz w:val="16"/>
              </w:rPr>
              <w:t>Weighted central</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triangulated estimate</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KRW 296,502</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i w:val="0"/>
                <w:sz w:val="16"/>
              </w:rPr>
              <w:t>-13%</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Monte Carlo T+60 median</w:t>
            </w:r>
          </w:p>
        </w:tc>
        <w:tc>
          <w:tcPr>
            <w:tcW w:type="dxa" w:w="2160"/>
            <w:tcMar>
              <w:top w:w="36" w:type="dxa"/>
              <w:bottom w:w="36" w:type="dxa"/>
              <w:left w:w="96" w:type="dxa"/>
              <w:right w:w="96" w:type="dxa"/>
            </w:tcMar>
          </w:tcPr>
          <w:p>
            <w:pPr>
              <w:spacing w:after="0" w:before="0"/>
              <w:jc w:val="left"/>
            </w:pPr>
            <w:r>
              <w:rPr>
                <w:rFonts w:ascii="Arial" w:hAnsi="Arial"/>
                <w:b w:val="0"/>
                <w:i w:val="0"/>
                <w:sz w:val="16"/>
              </w:rPr>
              <w:t>likely 3-month price</w:t>
            </w:r>
          </w:p>
        </w:tc>
        <w:tc>
          <w:tcPr>
            <w:tcW w:type="dxa" w:w="2160"/>
            <w:tcMar>
              <w:top w:w="36" w:type="dxa"/>
              <w:bottom w:w="36" w:type="dxa"/>
              <w:left w:w="96" w:type="dxa"/>
              <w:right w:w="96" w:type="dxa"/>
            </w:tcMar>
          </w:tcPr>
          <w:p>
            <w:pPr>
              <w:spacing w:after="0" w:before="0"/>
              <w:jc w:val="left"/>
            </w:pPr>
            <w:r>
              <w:rPr>
                <w:rFonts w:ascii="Arial" w:hAnsi="Arial"/>
                <w:b w:val="0"/>
                <w:i w:val="0"/>
                <w:sz w:val="16"/>
              </w:rPr>
              <w:t>359,482</w:t>
            </w:r>
          </w:p>
        </w:tc>
        <w:tc>
          <w:tcPr>
            <w:tcW w:type="dxa" w:w="2160"/>
            <w:tcMar>
              <w:top w:w="36" w:type="dxa"/>
              <w:bottom w:w="36" w:type="dxa"/>
              <w:left w:w="96" w:type="dxa"/>
              <w:right w:w="96" w:type="dxa"/>
            </w:tcMar>
          </w:tcPr>
          <w:p>
            <w:pPr>
              <w:spacing w:after="0" w:before="0"/>
              <w:jc w:val="left"/>
            </w:pPr>
            <w:r>
              <w:rPr>
                <w:rFonts w:ascii="Arial" w:hAnsi="Arial"/>
                <w:b w:val="0"/>
                <w:i w:val="0"/>
                <w:sz w:val="16"/>
              </w:rPr>
              <w:t>+6%</w:t>
            </w:r>
          </w:p>
        </w:tc>
      </w:tr>
    </w:tbl>
    <w:p>
      <w:pPr>
        <w:spacing w:after="80"/>
      </w:pPr>
    </w:p>
    <w:p>
      <w:pPr>
        <w:spacing w:after="120" w:before="0" w:line="274" w:lineRule="auto"/>
        <w:jc w:val="both"/>
      </w:pPr>
      <w:r>
        <w:rPr>
          <w:rFonts w:ascii="Arial" w:hAnsi="Arial"/>
          <w:b/>
          <w:i w:val="0"/>
          <w:sz w:val="16"/>
        </w:rPr>
        <w:t>Verdict — fundamentally rich; near-term momentum intact; the whole case is a memory-cycle-durability bet.</w:t>
      </w:r>
      <w:r>
        <w:rPr>
          <w:rFonts w:ascii="Arial" w:hAnsi="Arial"/>
          <w:b w:val="0"/>
          <w:i w:val="0"/>
          <w:sz w:val="16"/>
        </w:rPr>
        <w:t xml:space="preserve"> The fundamental lenses agree to an unusual degree that KRW 339,500 is full: the central estimate is KRW 296,502 (-13%), and only the supercycle case reaches the current price. The cash-flow cross-check, charging Samsung for its enormous capex, is the most conservative of all. Set against that, the technical trend is strong and the three-month price map skews modestly higher, with a better-than-even chance of retesting the all-time high. Both are true at once. A buyer at this level is not buying a discount to value — there is none on normalised earnings — but is underwriting two propositions: that the AI-memory supercycle is durable rather than cyclical, and that Samsung closes its HBM gap with SK Hynix. If both hold, the bull case at KRW 410,754 is reachable; if either fails, the downside to the base and bear cases is large and the concentration in memory offers no cushion. This study expresses a valuation, not a trade, and certainly not advice.</w:t>
      </w:r>
    </w:p>
    <w:p>
      <w:pPr>
        <w:spacing w:after="140" w:before="280" w:line="274" w:lineRule="auto"/>
        <w:pBdr>
          <w:bottom w:val="single" w:sz="12" w:space="4" w:color="C0A45F"/>
        </w:pBdr>
      </w:pPr>
      <w:r>
        <w:rPr>
          <w:rFonts w:ascii="Arial" w:hAnsi="Arial"/>
          <w:b/>
          <w:i w:val="0"/>
          <w:color w:val="1C3A36"/>
          <w:sz w:val="26"/>
        </w:rPr>
        <w:t>5  Catalysts to watch</w:t>
      </w:r>
    </w:p>
    <w:p>
      <w:pPr>
        <w:pStyle w:val="ListBullet"/>
        <w:spacing w:after="120" w:before="0" w:line="274" w:lineRule="auto"/>
      </w:pPr>
      <w:r>
        <w:rPr>
          <w:rFonts w:ascii="Arial" w:hAnsi="Arial"/>
          <w:b/>
          <w:i w:val="0"/>
          <w:sz w:val="16"/>
        </w:rPr>
        <w:t>HBM4 qualification &amp; allocation (↑/↓, high impact).</w:t>
      </w:r>
      <w:r>
        <w:rPr>
          <w:rFonts w:ascii="Arial" w:hAnsi="Arial"/>
          <w:b w:val="0"/>
          <w:i w:val="0"/>
          <w:sz w:val="16"/>
        </w:rPr>
        <w:t xml:space="preserve"> Confirmation of Nvidia HBM4 volume and the Vera-Rubin allocation split between Samsung and SK Hynix is the single most important swing factor for the memory-leadership question.</w:t>
      </w:r>
    </w:p>
    <w:p>
      <w:pPr>
        <w:pStyle w:val="ListBullet"/>
        <w:spacing w:after="120" w:before="0" w:line="274" w:lineRule="auto"/>
      </w:pPr>
      <w:r>
        <w:rPr>
          <w:rFonts w:ascii="Arial" w:hAnsi="Arial"/>
          <w:b/>
          <w:i w:val="0"/>
          <w:sz w:val="16"/>
        </w:rPr>
        <w:t>Memory pricing (↑/↓, high impact).</w:t>
      </w:r>
      <w:r>
        <w:rPr>
          <w:rFonts w:ascii="Arial" w:hAnsi="Arial"/>
          <w:b w:val="0"/>
          <w:i w:val="0"/>
          <w:sz w:val="16"/>
        </w:rPr>
        <w:t xml:space="preserve"> DRAM/NAND contract-price direction through H2-2026 — continued tightness supports the supercycle thesis; the first signs of capacity-driven softening would validate the bears.</w:t>
      </w:r>
    </w:p>
    <w:p>
      <w:pPr>
        <w:pStyle w:val="ListBullet"/>
        <w:spacing w:after="120" w:before="0" w:line="274" w:lineRule="auto"/>
      </w:pPr>
      <w:r>
        <w:rPr>
          <w:rFonts w:ascii="Arial" w:hAnsi="Arial"/>
          <w:b/>
          <w:i w:val="0"/>
          <w:sz w:val="16"/>
        </w:rPr>
        <w:t>Quarterly earnings (↑/↓).</w:t>
      </w:r>
      <w:r>
        <w:rPr>
          <w:rFonts w:ascii="Arial" w:hAnsi="Arial"/>
          <w:b w:val="0"/>
          <w:i w:val="0"/>
          <w:sz w:val="16"/>
        </w:rPr>
        <w:t xml:space="preserve"> Whether the Q1-2026 chip-profit run-rate holds, fades or accelerates moves the 2026e denominator the relative lens depends on.</w:t>
      </w:r>
    </w:p>
    <w:p>
      <w:pPr>
        <w:pStyle w:val="ListBullet"/>
        <w:spacing w:after="120" w:before="0" w:line="274" w:lineRule="auto"/>
      </w:pPr>
      <w:r>
        <w:rPr>
          <w:rFonts w:ascii="Arial" w:hAnsi="Arial"/>
          <w:b/>
          <w:i w:val="0"/>
          <w:sz w:val="16"/>
        </w:rPr>
        <w:t>Foundry milestones (↑).</w:t>
      </w:r>
      <w:r>
        <w:rPr>
          <w:rFonts w:ascii="Arial" w:hAnsi="Arial"/>
          <w:b w:val="0"/>
          <w:i w:val="0"/>
          <w:sz w:val="16"/>
        </w:rPr>
        <w:t xml:space="preserve"> 2nm yield improvement, the Taylor (Texas) fab coming online, and any marquee customer win (Apple, AMD, Google, Nvidia) would begin to give the foundry option real value — currently carried at zero.</w:t>
      </w:r>
    </w:p>
    <w:p>
      <w:pPr>
        <w:pStyle w:val="ListBullet"/>
        <w:spacing w:after="120" w:before="0" w:line="274" w:lineRule="auto"/>
      </w:pPr>
      <w:r>
        <w:rPr>
          <w:rFonts w:ascii="Arial" w:hAnsi="Arial"/>
          <w:b/>
          <w:i w:val="0"/>
          <w:sz w:val="16"/>
        </w:rPr>
        <w:t>Capital return &amp; value-up (↑).</w:t>
      </w:r>
      <w:r>
        <w:rPr>
          <w:rFonts w:ascii="Arial" w:hAnsi="Arial"/>
          <w:b w:val="0"/>
          <w:i w:val="0"/>
          <w:sz w:val="16"/>
        </w:rPr>
        <w:t xml:space="preserve"> Further treasury-share cancellation or a dividend step-up, in the spirit of Korea's reforms, would support a governance re-rating of the ~KRW 120tn net-cash pile.</w:t>
      </w:r>
    </w:p>
    <w:p>
      <w:pPr>
        <w:pStyle w:val="ListBullet"/>
        <w:spacing w:after="120" w:before="0" w:line="274" w:lineRule="auto"/>
      </w:pPr>
      <w:r>
        <w:rPr>
          <w:rFonts w:ascii="Arial" w:hAnsi="Arial"/>
          <w:b/>
          <w:i w:val="0"/>
          <w:sz w:val="16"/>
        </w:rPr>
        <w:t>Tariffs / export controls / labour (↓).</w:t>
      </w:r>
      <w:r>
        <w:rPr>
          <w:rFonts w:ascii="Arial" w:hAnsi="Arial"/>
          <w:b w:val="0"/>
          <w:i w:val="0"/>
          <w:sz w:val="16"/>
        </w:rPr>
        <w:t xml:space="preserve"> Section-232 or China-related measures, and the unresolved NSEU union dispute, are the principal near-term downside catalysts.</w:t>
      </w:r>
    </w:p>
    <w:p>
      <w:pPr>
        <w:spacing w:after="140" w:before="280" w:line="274" w:lineRule="auto"/>
        <w:pBdr>
          <w:bottom w:val="single" w:sz="12" w:space="4" w:color="C0A45F"/>
        </w:pBdr>
      </w:pPr>
      <w:r>
        <w:rPr>
          <w:rFonts w:ascii="Arial" w:hAnsi="Arial"/>
          <w:b/>
          <w:i w:val="0"/>
          <w:color w:val="1C3A36"/>
          <w:sz w:val="26"/>
        </w:rPr>
        <w:t>6  Reading the probability zones</w:t>
      </w:r>
    </w:p>
    <w:p>
      <w:pPr>
        <w:spacing w:after="120" w:before="0" w:line="274" w:lineRule="auto"/>
        <w:jc w:val="both"/>
      </w:pPr>
      <w:r>
        <w:rPr>
          <w:rFonts w:ascii="Arial" w:hAnsi="Arial"/>
          <w:b w:val="0"/>
          <w:i w:val="0"/>
          <w:sz w:val="16"/>
        </w:rPr>
        <w:t>Combining the fundamental anchors with the three-month price map gives a set of zones — descriptive, not directive.</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3120"/>
        <w:gridCol w:w="3120"/>
        <w:gridCol w:w="312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Zone</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Range (KRW)</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What it would mean</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Bull / supercycle</w:t>
            </w:r>
          </w:p>
        </w:tc>
        <w:tc>
          <w:tcPr>
            <w:tcW w:type="dxa" w:w="2160"/>
            <w:tcMar>
              <w:top w:w="36" w:type="dxa"/>
              <w:bottom w:w="36" w:type="dxa"/>
              <w:left w:w="96" w:type="dxa"/>
              <w:right w:w="96" w:type="dxa"/>
            </w:tcMar>
          </w:tcPr>
          <w:p>
            <w:pPr>
              <w:spacing w:after="0" w:before="0"/>
              <w:jc w:val="left"/>
            </w:pPr>
            <w:r>
              <w:rPr>
                <w:rFonts w:ascii="Arial" w:hAnsi="Arial"/>
                <w:b w:val="0"/>
                <w:i w:val="0"/>
                <w:sz w:val="16"/>
              </w:rPr>
              <w:t>400,000 ‑ 520,000+</w:t>
            </w:r>
          </w:p>
        </w:tc>
        <w:tc>
          <w:tcPr>
            <w:tcW w:type="dxa" w:w="2160"/>
            <w:tcMar>
              <w:top w:w="36" w:type="dxa"/>
              <w:bottom w:w="36" w:type="dxa"/>
              <w:left w:w="96" w:type="dxa"/>
              <w:right w:w="96" w:type="dxa"/>
            </w:tcMar>
          </w:tcPr>
          <w:p>
            <w:pPr>
              <w:spacing w:after="0" w:before="0"/>
              <w:jc w:val="left"/>
            </w:pPr>
            <w:r>
              <w:rPr>
                <w:rFonts w:ascii="Arial" w:hAnsi="Arial"/>
                <w:b w:val="0"/>
                <w:i w:val="0"/>
                <w:sz w:val="16"/>
              </w:rPr>
              <w:t>durable boom + HBM win, priced in full</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ATH retest</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360,000 ‑ 400,000</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momentum continuation</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Current / fair-to-rich</w:t>
            </w:r>
          </w:p>
        </w:tc>
        <w:tc>
          <w:tcPr>
            <w:tcW w:type="dxa" w:w="2160"/>
            <w:tcMar>
              <w:top w:w="36" w:type="dxa"/>
              <w:bottom w:w="36" w:type="dxa"/>
              <w:left w:w="96" w:type="dxa"/>
              <w:right w:w="96" w:type="dxa"/>
            </w:tcMar>
          </w:tcPr>
          <w:p>
            <w:pPr>
              <w:spacing w:after="0" w:before="0"/>
              <w:jc w:val="left"/>
            </w:pPr>
            <w:r>
              <w:rPr>
                <w:rFonts w:ascii="Arial" w:hAnsi="Arial"/>
                <w:b w:val="0"/>
                <w:i w:val="0"/>
                <w:sz w:val="16"/>
              </w:rPr>
              <w:t>300,000 ‑ 360,000</w:t>
            </w:r>
          </w:p>
        </w:tc>
        <w:tc>
          <w:tcPr>
            <w:tcW w:type="dxa" w:w="2160"/>
            <w:tcMar>
              <w:top w:w="36" w:type="dxa"/>
              <w:bottom w:w="36" w:type="dxa"/>
              <w:left w:w="96" w:type="dxa"/>
              <w:right w:w="96" w:type="dxa"/>
            </w:tcMar>
          </w:tcPr>
          <w:p>
            <w:pPr>
              <w:spacing w:after="0" w:before="0"/>
              <w:jc w:val="left"/>
            </w:pPr>
            <w:r>
              <w:rPr>
                <w:rFonts w:ascii="Arial" w:hAnsi="Arial"/>
                <w:b w:val="0"/>
                <w:i w:val="0"/>
                <w:sz w:val="16"/>
              </w:rPr>
              <w:t>where spot and consensus sit</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Central fundamental</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250,000 ‑ 300,000</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base SOTP / normalised earnings</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Cycle-reversion</w:t>
            </w:r>
          </w:p>
        </w:tc>
        <w:tc>
          <w:tcPr>
            <w:tcW w:type="dxa" w:w="2160"/>
            <w:tcMar>
              <w:top w:w="36" w:type="dxa"/>
              <w:bottom w:w="36" w:type="dxa"/>
              <w:left w:w="96" w:type="dxa"/>
              <w:right w:w="96" w:type="dxa"/>
            </w:tcMar>
          </w:tcPr>
          <w:p>
            <w:pPr>
              <w:spacing w:after="0" w:before="0"/>
              <w:jc w:val="left"/>
            </w:pPr>
            <w:r>
              <w:rPr>
                <w:rFonts w:ascii="Arial" w:hAnsi="Arial"/>
                <w:b w:val="0"/>
                <w:i w:val="0"/>
                <w:sz w:val="16"/>
              </w:rPr>
              <w:t>&lt; 215,000</w:t>
            </w:r>
          </w:p>
        </w:tc>
        <w:tc>
          <w:tcPr>
            <w:tcW w:type="dxa" w:w="2160"/>
            <w:tcMar>
              <w:top w:w="36" w:type="dxa"/>
              <w:bottom w:w="36" w:type="dxa"/>
              <w:left w:w="96" w:type="dxa"/>
              <w:right w:w="96" w:type="dxa"/>
            </w:tcMar>
          </w:tcPr>
          <w:p>
            <w:pPr>
              <w:spacing w:after="0" w:before="0"/>
              <w:jc w:val="left"/>
            </w:pPr>
            <w:r>
              <w:rPr>
                <w:rFonts w:ascii="Arial" w:hAnsi="Arial"/>
                <w:b w:val="0"/>
                <w:i w:val="0"/>
                <w:sz w:val="16"/>
              </w:rPr>
              <w:t>memory de-rates; DCF / bear zone</w:t>
            </w:r>
          </w:p>
        </w:tc>
      </w:tr>
    </w:tbl>
    <w:p>
      <w:pPr>
        <w:spacing w:after="80"/>
      </w:pPr>
    </w:p>
    <w:p>
      <w:pPr>
        <w:spacing w:after="140" w:before="280" w:line="274" w:lineRule="auto"/>
        <w:pBdr>
          <w:bottom w:val="single" w:sz="12" w:space="4" w:color="C0A45F"/>
        </w:pBdr>
      </w:pPr>
      <w:r>
        <w:rPr>
          <w:rFonts w:ascii="Arial" w:hAnsi="Arial"/>
          <w:b/>
          <w:i w:val="0"/>
          <w:color w:val="1C3A36"/>
          <w:sz w:val="26"/>
        </w:rPr>
        <w:t>7  Caveats and what would change our mind</w:t>
      </w:r>
    </w:p>
    <w:p>
      <w:pPr>
        <w:pStyle w:val="ListBullet"/>
        <w:spacing w:after="120" w:before="0" w:line="274" w:lineRule="auto"/>
      </w:pPr>
      <w:r>
        <w:rPr>
          <w:rFonts w:ascii="Arial" w:hAnsi="Arial"/>
          <w:b/>
          <w:i w:val="0"/>
          <w:sz w:val="16"/>
        </w:rPr>
        <w:t>We may be too conservative on the supercycle.</w:t>
      </w:r>
      <w:r>
        <w:rPr>
          <w:rFonts w:ascii="Arial" w:hAnsi="Arial"/>
          <w:b w:val="0"/>
          <w:i w:val="0"/>
          <w:sz w:val="16"/>
        </w:rPr>
        <w:t xml:space="preserve"> If AI demand has genuinely reset memory to a permanently higher plateau, our base-case memory normalisation (KRW 175tn) is too low and fair value migrates toward the bull case. The single biggest risk to this study is under-crediting a structural change that is, in fact, structural.</w:t>
      </w:r>
    </w:p>
    <w:p>
      <w:pPr>
        <w:pStyle w:val="ListBullet"/>
        <w:spacing w:after="120" w:before="0" w:line="274" w:lineRule="auto"/>
      </w:pPr>
      <w:r>
        <w:rPr>
          <w:rFonts w:ascii="Arial" w:hAnsi="Arial"/>
          <w:b/>
          <w:i w:val="0"/>
          <w:sz w:val="16"/>
        </w:rPr>
        <w:t>The stakes and net cash are conservatively struck.</w:t>
      </w:r>
      <w:r>
        <w:rPr>
          <w:rFonts w:ascii="Arial" w:hAnsi="Arial"/>
          <w:b w:val="0"/>
          <w:i w:val="0"/>
          <w:sz w:val="16"/>
        </w:rPr>
        <w:t xml:space="preserve"> We carry listed affiliate stakes at ~KRW 25tn; fully marking Samsung's holdings in Samsung Biologics, SDS, SDI and Electro-Mechanics could add materially. This biases our estimate low, not high.</w:t>
      </w:r>
    </w:p>
    <w:p>
      <w:pPr>
        <w:pStyle w:val="ListBullet"/>
        <w:spacing w:after="120" w:before="0" w:line="274" w:lineRule="auto"/>
      </w:pPr>
      <w:r>
        <w:rPr>
          <w:rFonts w:ascii="Arial" w:hAnsi="Arial"/>
          <w:b/>
          <w:i w:val="0"/>
          <w:sz w:val="16"/>
        </w:rPr>
        <w:t>Forward inputs are judgments.</w:t>
      </w:r>
      <w:r>
        <w:rPr>
          <w:rFonts w:ascii="Arial" w:hAnsi="Arial"/>
          <w:b w:val="0"/>
          <w:i w:val="0"/>
          <w:sz w:val="16"/>
        </w:rPr>
        <w:t xml:space="preserve"> The 2026e‑30e projections, the DCF assumptions and the segment multiples are ours, not the company's. Reasonable analysts will choose differently; the Excel companion lets you change every one.</w:t>
      </w:r>
    </w:p>
    <w:p>
      <w:pPr>
        <w:pStyle w:val="ListBullet"/>
        <w:spacing w:after="120" w:before="0" w:line="274" w:lineRule="auto"/>
      </w:pPr>
      <w:r>
        <w:rPr>
          <w:rFonts w:ascii="Arial" w:hAnsi="Arial"/>
          <w:b/>
          <w:i w:val="0"/>
          <w:sz w:val="16"/>
        </w:rPr>
        <w:t>The Monte Carlo is a price model, not a forecast.</w:t>
      </w:r>
      <w:r>
        <w:rPr>
          <w:rFonts w:ascii="Arial" w:hAnsi="Arial"/>
          <w:b w:val="0"/>
          <w:i w:val="0"/>
          <w:sz w:val="16"/>
        </w:rPr>
        <w:t xml:space="preserve"> It encodes our probability estimates for events that have not happened. The factor probabilities are inputs, not facts, and the model says nothing about value.</w:t>
      </w:r>
    </w:p>
    <w:p>
      <w:pPr>
        <w:pStyle w:val="ListBullet"/>
        <w:spacing w:after="120" w:before="0" w:line="274" w:lineRule="auto"/>
      </w:pPr>
      <w:r>
        <w:rPr>
          <w:rFonts w:ascii="Arial" w:hAnsi="Arial"/>
          <w:b/>
          <w:i w:val="0"/>
          <w:sz w:val="16"/>
        </w:rPr>
        <w:t>RSI / momentum reminder.</w:t>
      </w:r>
      <w:r>
        <w:rPr>
          <w:rFonts w:ascii="Arial" w:hAnsi="Arial"/>
          <w:b w:val="0"/>
          <w:i w:val="0"/>
          <w:sz w:val="16"/>
        </w:rPr>
        <w:t xml:space="preserve"> RSI ~55 is neutral, but a stock ~485% off its low with realized vol near 82% can reverse sharply. Do not mistake a strong trend for a margin of safety.</w:t>
      </w:r>
    </w:p>
    <w:p>
      <w:pPr>
        <w:spacing w:after="140" w:before="280" w:line="274" w:lineRule="auto"/>
        <w:pBdr>
          <w:bottom w:val="single" w:sz="12" w:space="4" w:color="C0A45F"/>
        </w:pBdr>
      </w:pPr>
      <w:r>
        <w:rPr>
          <w:rFonts w:ascii="Arial" w:hAnsi="Arial"/>
          <w:b/>
          <w:i w:val="0"/>
          <w:color w:val="1C3A36"/>
          <w:sz w:val="26"/>
        </w:rPr>
        <w:t>Appendix A  Financial statements (KRW tn)</w:t>
      </w:r>
    </w:p>
    <w:p>
      <w:pPr>
        <w:spacing w:after="120" w:before="0" w:line="274" w:lineRule="auto"/>
        <w:jc w:val="both"/>
      </w:pPr>
      <w:r>
        <w:rPr>
          <w:rFonts w:ascii="Arial" w:hAnsi="Arial"/>
          <w:b w:val="0"/>
          <w:i w:val="0"/>
          <w:sz w:val="16"/>
        </w:rPr>
        <w:t>Actuals (FY2023‑FY2025) are Samsung's consolidated disclosure under K-IFRS. Forecast columns (2026e‑2030e) are the preparer's illustrative operating build: the supercycle peaks in 2026‑27, then memory normalises. These are judgments to drive the valuation, not guidance, and tie to the Excel companion.</w:t>
      </w:r>
    </w:p>
    <w:p>
      <w:pPr>
        <w:spacing w:after="80" w:before="0" w:line="274" w:lineRule="auto"/>
        <w:jc w:val="both"/>
      </w:pPr>
      <w:r>
        <w:rPr>
          <w:rFonts w:ascii="Arial" w:hAnsi="Arial"/>
          <w:b w:val="0"/>
          <w:i/>
          <w:sz w:val="16"/>
        </w:rPr>
        <w:t>A.1  Consolidated income statement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040"/>
        <w:gridCol w:w="1040"/>
        <w:gridCol w:w="1040"/>
        <w:gridCol w:w="1040"/>
        <w:gridCol w:w="1040"/>
        <w:gridCol w:w="1040"/>
        <w:gridCol w:w="1040"/>
        <w:gridCol w:w="1040"/>
        <w:gridCol w:w="10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Income statement</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2023a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2024a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2025a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2026e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2027e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2028e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2029e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2030e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Revenue</w:t>
            </w:r>
          </w:p>
        </w:tc>
        <w:tc>
          <w:tcPr>
            <w:tcW w:type="dxa" w:w="828"/>
            <w:tcMar>
              <w:top w:w="36" w:type="dxa"/>
              <w:bottom w:w="36" w:type="dxa"/>
              <w:left w:w="96" w:type="dxa"/>
              <w:right w:w="96" w:type="dxa"/>
            </w:tcMar>
          </w:tcPr>
          <w:p>
            <w:pPr>
              <w:spacing w:after="0" w:before="0"/>
              <w:jc w:val="left"/>
            </w:pPr>
            <w:r>
              <w:rPr>
                <w:rFonts w:ascii="Arial" w:hAnsi="Arial"/>
                <w:b w:val="0"/>
                <w:i w:val="0"/>
                <w:sz w:val="16"/>
              </w:rPr>
              <w:t>258.9</w:t>
            </w:r>
          </w:p>
        </w:tc>
        <w:tc>
          <w:tcPr>
            <w:tcW w:type="dxa" w:w="828"/>
            <w:tcMar>
              <w:top w:w="36" w:type="dxa"/>
              <w:bottom w:w="36" w:type="dxa"/>
              <w:left w:w="96" w:type="dxa"/>
              <w:right w:w="96" w:type="dxa"/>
            </w:tcMar>
          </w:tcPr>
          <w:p>
            <w:pPr>
              <w:spacing w:after="0" w:before="0"/>
              <w:jc w:val="left"/>
            </w:pPr>
            <w:r>
              <w:rPr>
                <w:rFonts w:ascii="Arial" w:hAnsi="Arial"/>
                <w:b w:val="0"/>
                <w:i w:val="0"/>
                <w:sz w:val="16"/>
              </w:rPr>
              <w:t>300.9</w:t>
            </w:r>
          </w:p>
        </w:tc>
        <w:tc>
          <w:tcPr>
            <w:tcW w:type="dxa" w:w="828"/>
            <w:tcMar>
              <w:top w:w="36" w:type="dxa"/>
              <w:bottom w:w="36" w:type="dxa"/>
              <w:left w:w="96" w:type="dxa"/>
              <w:right w:w="96" w:type="dxa"/>
            </w:tcMar>
          </w:tcPr>
          <w:p>
            <w:pPr>
              <w:spacing w:after="0" w:before="0"/>
              <w:jc w:val="left"/>
            </w:pPr>
            <w:r>
              <w:rPr>
                <w:rFonts w:ascii="Arial" w:hAnsi="Arial"/>
                <w:b w:val="0"/>
                <w:i w:val="0"/>
                <w:sz w:val="16"/>
              </w:rPr>
              <w:t>333.6</w:t>
            </w:r>
          </w:p>
        </w:tc>
        <w:tc>
          <w:tcPr>
            <w:tcW w:type="dxa" w:w="828"/>
            <w:tcMar>
              <w:top w:w="36" w:type="dxa"/>
              <w:bottom w:w="36" w:type="dxa"/>
              <w:left w:w="96" w:type="dxa"/>
              <w:right w:w="96" w:type="dxa"/>
            </w:tcMar>
          </w:tcPr>
          <w:p>
            <w:pPr>
              <w:spacing w:after="0" w:before="0"/>
              <w:jc w:val="left"/>
            </w:pPr>
            <w:r>
              <w:rPr>
                <w:rFonts w:ascii="Arial" w:hAnsi="Arial"/>
                <w:b w:val="0"/>
                <w:i w:val="0"/>
                <w:sz w:val="16"/>
              </w:rPr>
              <w:t>530</w:t>
            </w:r>
          </w:p>
        </w:tc>
        <w:tc>
          <w:tcPr>
            <w:tcW w:type="dxa" w:w="828"/>
            <w:tcMar>
              <w:top w:w="36" w:type="dxa"/>
              <w:bottom w:w="36" w:type="dxa"/>
              <w:left w:w="96" w:type="dxa"/>
              <w:right w:w="96" w:type="dxa"/>
            </w:tcMar>
          </w:tcPr>
          <w:p>
            <w:pPr>
              <w:spacing w:after="0" w:before="0"/>
              <w:jc w:val="left"/>
            </w:pPr>
            <w:r>
              <w:rPr>
                <w:rFonts w:ascii="Arial" w:hAnsi="Arial"/>
                <w:b w:val="0"/>
                <w:i w:val="0"/>
                <w:sz w:val="16"/>
              </w:rPr>
              <w:t>520</w:t>
            </w:r>
          </w:p>
        </w:tc>
        <w:tc>
          <w:tcPr>
            <w:tcW w:type="dxa" w:w="828"/>
            <w:tcMar>
              <w:top w:w="36" w:type="dxa"/>
              <w:bottom w:w="36" w:type="dxa"/>
              <w:left w:w="96" w:type="dxa"/>
              <w:right w:w="96" w:type="dxa"/>
            </w:tcMar>
          </w:tcPr>
          <w:p>
            <w:pPr>
              <w:spacing w:after="0" w:before="0"/>
              <w:jc w:val="left"/>
            </w:pPr>
            <w:r>
              <w:rPr>
                <w:rFonts w:ascii="Arial" w:hAnsi="Arial"/>
                <w:b w:val="0"/>
                <w:i w:val="0"/>
                <w:sz w:val="16"/>
              </w:rPr>
              <w:t>455</w:t>
            </w:r>
          </w:p>
        </w:tc>
        <w:tc>
          <w:tcPr>
            <w:tcW w:type="dxa" w:w="828"/>
            <w:tcMar>
              <w:top w:w="36" w:type="dxa"/>
              <w:bottom w:w="36" w:type="dxa"/>
              <w:left w:w="96" w:type="dxa"/>
              <w:right w:w="96" w:type="dxa"/>
            </w:tcMar>
          </w:tcPr>
          <w:p>
            <w:pPr>
              <w:spacing w:after="0" w:before="0"/>
              <w:jc w:val="left"/>
            </w:pPr>
            <w:r>
              <w:rPr>
                <w:rFonts w:ascii="Arial" w:hAnsi="Arial"/>
                <w:b w:val="0"/>
                <w:i w:val="0"/>
                <w:sz w:val="16"/>
              </w:rPr>
              <w:t>475</w:t>
            </w:r>
          </w:p>
        </w:tc>
        <w:tc>
          <w:tcPr>
            <w:tcW w:type="dxa" w:w="828"/>
            <w:tcMar>
              <w:top w:w="36" w:type="dxa"/>
              <w:bottom w:w="36" w:type="dxa"/>
              <w:left w:w="96" w:type="dxa"/>
              <w:right w:w="96" w:type="dxa"/>
            </w:tcMar>
          </w:tcPr>
          <w:p>
            <w:pPr>
              <w:spacing w:after="0" w:before="0"/>
              <w:jc w:val="left"/>
            </w:pPr>
            <w:r>
              <w:rPr>
                <w:rFonts w:ascii="Arial" w:hAnsi="Arial"/>
                <w:b w:val="0"/>
                <w:i w:val="0"/>
                <w:sz w:val="16"/>
              </w:rPr>
              <w:t>495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 xml:space="preserve">  growth YoY</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16%</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59%</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4%</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4%</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Operating profit</w:t>
            </w:r>
          </w:p>
        </w:tc>
        <w:tc>
          <w:tcPr>
            <w:tcW w:type="dxa" w:w="828"/>
            <w:tcMar>
              <w:top w:w="36" w:type="dxa"/>
              <w:bottom w:w="36" w:type="dxa"/>
              <w:left w:w="96" w:type="dxa"/>
              <w:right w:w="96" w:type="dxa"/>
            </w:tcMar>
          </w:tcPr>
          <w:p>
            <w:pPr>
              <w:spacing w:after="0" w:before="0"/>
              <w:jc w:val="left"/>
            </w:pPr>
            <w:r>
              <w:rPr>
                <w:rFonts w:ascii="Arial" w:hAnsi="Arial"/>
                <w:b w:val="0"/>
                <w:i w:val="0"/>
                <w:sz w:val="16"/>
              </w:rPr>
              <w:t>6.6</w:t>
            </w:r>
          </w:p>
        </w:tc>
        <w:tc>
          <w:tcPr>
            <w:tcW w:type="dxa" w:w="828"/>
            <w:tcMar>
              <w:top w:w="36" w:type="dxa"/>
              <w:bottom w:w="36" w:type="dxa"/>
              <w:left w:w="96" w:type="dxa"/>
              <w:right w:w="96" w:type="dxa"/>
            </w:tcMar>
          </w:tcPr>
          <w:p>
            <w:pPr>
              <w:spacing w:after="0" w:before="0"/>
              <w:jc w:val="left"/>
            </w:pPr>
            <w:r>
              <w:rPr>
                <w:rFonts w:ascii="Arial" w:hAnsi="Arial"/>
                <w:b w:val="0"/>
                <w:i w:val="0"/>
                <w:sz w:val="16"/>
              </w:rPr>
              <w:t>32.7</w:t>
            </w:r>
          </w:p>
        </w:tc>
        <w:tc>
          <w:tcPr>
            <w:tcW w:type="dxa" w:w="828"/>
            <w:tcMar>
              <w:top w:w="36" w:type="dxa"/>
              <w:bottom w:w="36" w:type="dxa"/>
              <w:left w:w="96" w:type="dxa"/>
              <w:right w:w="96" w:type="dxa"/>
            </w:tcMar>
          </w:tcPr>
          <w:p>
            <w:pPr>
              <w:spacing w:after="0" w:before="0"/>
              <w:jc w:val="left"/>
            </w:pPr>
            <w:r>
              <w:rPr>
                <w:rFonts w:ascii="Arial" w:hAnsi="Arial"/>
                <w:b w:val="0"/>
                <w:i w:val="0"/>
                <w:sz w:val="16"/>
              </w:rPr>
              <w:t>43.6</w:t>
            </w:r>
          </w:p>
        </w:tc>
        <w:tc>
          <w:tcPr>
            <w:tcW w:type="dxa" w:w="828"/>
            <w:tcMar>
              <w:top w:w="36" w:type="dxa"/>
              <w:bottom w:w="36" w:type="dxa"/>
              <w:left w:w="96" w:type="dxa"/>
              <w:right w:w="96" w:type="dxa"/>
            </w:tcMar>
          </w:tcPr>
          <w:p>
            <w:pPr>
              <w:spacing w:after="0" w:before="0"/>
              <w:jc w:val="left"/>
            </w:pPr>
            <w:r>
              <w:rPr>
                <w:rFonts w:ascii="Arial" w:hAnsi="Arial"/>
                <w:b w:val="0"/>
                <w:i w:val="0"/>
                <w:sz w:val="16"/>
              </w:rPr>
              <w:t>215</w:t>
            </w:r>
          </w:p>
        </w:tc>
        <w:tc>
          <w:tcPr>
            <w:tcW w:type="dxa" w:w="828"/>
            <w:tcMar>
              <w:top w:w="36" w:type="dxa"/>
              <w:bottom w:w="36" w:type="dxa"/>
              <w:left w:w="96" w:type="dxa"/>
              <w:right w:w="96" w:type="dxa"/>
            </w:tcMar>
          </w:tcPr>
          <w:p>
            <w:pPr>
              <w:spacing w:after="0" w:before="0"/>
              <w:jc w:val="left"/>
            </w:pPr>
            <w:r>
              <w:rPr>
                <w:rFonts w:ascii="Arial" w:hAnsi="Arial"/>
                <w:b w:val="0"/>
                <w:i w:val="0"/>
                <w:sz w:val="16"/>
              </w:rPr>
              <w:t>190</w:t>
            </w:r>
          </w:p>
        </w:tc>
        <w:tc>
          <w:tcPr>
            <w:tcW w:type="dxa" w:w="828"/>
            <w:tcMar>
              <w:top w:w="36" w:type="dxa"/>
              <w:bottom w:w="36" w:type="dxa"/>
              <w:left w:w="96" w:type="dxa"/>
              <w:right w:w="96" w:type="dxa"/>
            </w:tcMar>
          </w:tcPr>
          <w:p>
            <w:pPr>
              <w:spacing w:after="0" w:before="0"/>
              <w:jc w:val="left"/>
            </w:pPr>
            <w:r>
              <w:rPr>
                <w:rFonts w:ascii="Arial" w:hAnsi="Arial"/>
                <w:b w:val="0"/>
                <w:i w:val="0"/>
                <w:sz w:val="16"/>
              </w:rPr>
              <w:t>120</w:t>
            </w:r>
          </w:p>
        </w:tc>
        <w:tc>
          <w:tcPr>
            <w:tcW w:type="dxa" w:w="828"/>
            <w:tcMar>
              <w:top w:w="36" w:type="dxa"/>
              <w:bottom w:w="36" w:type="dxa"/>
              <w:left w:w="96" w:type="dxa"/>
              <w:right w:w="96" w:type="dxa"/>
            </w:tcMar>
          </w:tcPr>
          <w:p>
            <w:pPr>
              <w:spacing w:after="0" w:before="0"/>
              <w:jc w:val="left"/>
            </w:pPr>
            <w:r>
              <w:rPr>
                <w:rFonts w:ascii="Arial" w:hAnsi="Arial"/>
                <w:b w:val="0"/>
                <w:i w:val="0"/>
                <w:sz w:val="16"/>
              </w:rPr>
              <w:t>132</w:t>
            </w:r>
          </w:p>
        </w:tc>
        <w:tc>
          <w:tcPr>
            <w:tcW w:type="dxa" w:w="828"/>
            <w:tcMar>
              <w:top w:w="36" w:type="dxa"/>
              <w:bottom w:w="36" w:type="dxa"/>
              <w:left w:w="96" w:type="dxa"/>
              <w:right w:w="96" w:type="dxa"/>
            </w:tcMar>
          </w:tcPr>
          <w:p>
            <w:pPr>
              <w:spacing w:after="0" w:before="0"/>
              <w:jc w:val="left"/>
            </w:pPr>
            <w:r>
              <w:rPr>
                <w:rFonts w:ascii="Arial" w:hAnsi="Arial"/>
                <w:b w:val="0"/>
                <w:i w:val="0"/>
                <w:sz w:val="16"/>
              </w:rPr>
              <w:t>145</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 xml:space="preserve">  OP margin</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13%</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41%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36%</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26%</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28%</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29%</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Net profit</w:t>
            </w:r>
          </w:p>
        </w:tc>
        <w:tc>
          <w:tcPr>
            <w:tcW w:type="dxa" w:w="828"/>
            <w:tcMar>
              <w:top w:w="36" w:type="dxa"/>
              <w:bottom w:w="36" w:type="dxa"/>
              <w:left w:w="96" w:type="dxa"/>
              <w:right w:w="96" w:type="dxa"/>
            </w:tcMar>
          </w:tcPr>
          <w:p>
            <w:pPr>
              <w:spacing w:after="0" w:before="0"/>
              <w:jc w:val="left"/>
            </w:pPr>
            <w:r>
              <w:rPr>
                <w:rFonts w:ascii="Arial" w:hAnsi="Arial"/>
                <w:b w:val="0"/>
                <w:i w:val="0"/>
                <w:sz w:val="16"/>
              </w:rPr>
              <w:t>15.5</w:t>
            </w:r>
          </w:p>
        </w:tc>
        <w:tc>
          <w:tcPr>
            <w:tcW w:type="dxa" w:w="828"/>
            <w:tcMar>
              <w:top w:w="36" w:type="dxa"/>
              <w:bottom w:w="36" w:type="dxa"/>
              <w:left w:w="96" w:type="dxa"/>
              <w:right w:w="96" w:type="dxa"/>
            </w:tcMar>
          </w:tcPr>
          <w:p>
            <w:pPr>
              <w:spacing w:after="0" w:before="0"/>
              <w:jc w:val="left"/>
            </w:pPr>
            <w:r>
              <w:rPr>
                <w:rFonts w:ascii="Arial" w:hAnsi="Arial"/>
                <w:b w:val="0"/>
                <w:i w:val="0"/>
                <w:sz w:val="16"/>
              </w:rPr>
              <w:t>34.5</w:t>
            </w:r>
          </w:p>
        </w:tc>
        <w:tc>
          <w:tcPr>
            <w:tcW w:type="dxa" w:w="828"/>
            <w:tcMar>
              <w:top w:w="36" w:type="dxa"/>
              <w:bottom w:w="36" w:type="dxa"/>
              <w:left w:w="96" w:type="dxa"/>
              <w:right w:w="96" w:type="dxa"/>
            </w:tcMar>
          </w:tcPr>
          <w:p>
            <w:pPr>
              <w:spacing w:after="0" w:before="0"/>
              <w:jc w:val="left"/>
            </w:pPr>
            <w:r>
              <w:rPr>
                <w:rFonts w:ascii="Arial" w:hAnsi="Arial"/>
                <w:b w:val="0"/>
                <w:i w:val="0"/>
                <w:sz w:val="16"/>
              </w:rPr>
              <w:t>45.2</w:t>
            </w:r>
          </w:p>
        </w:tc>
        <w:tc>
          <w:tcPr>
            <w:tcW w:type="dxa" w:w="828"/>
            <w:tcMar>
              <w:top w:w="36" w:type="dxa"/>
              <w:bottom w:w="36" w:type="dxa"/>
              <w:left w:w="96" w:type="dxa"/>
              <w:right w:w="96" w:type="dxa"/>
            </w:tcMar>
          </w:tcPr>
          <w:p>
            <w:pPr>
              <w:spacing w:after="0" w:before="0"/>
              <w:jc w:val="left"/>
            </w:pPr>
            <w:r>
              <w:rPr>
                <w:rFonts w:ascii="Arial" w:hAnsi="Arial"/>
                <w:b w:val="0"/>
                <w:i w:val="0"/>
                <w:sz w:val="16"/>
              </w:rPr>
              <w:t>200</w:t>
            </w:r>
          </w:p>
        </w:tc>
        <w:tc>
          <w:tcPr>
            <w:tcW w:type="dxa" w:w="828"/>
            <w:tcMar>
              <w:top w:w="36" w:type="dxa"/>
              <w:bottom w:w="36" w:type="dxa"/>
              <w:left w:w="96" w:type="dxa"/>
              <w:right w:w="96" w:type="dxa"/>
            </w:tcMar>
          </w:tcPr>
          <w:p>
            <w:pPr>
              <w:spacing w:after="0" w:before="0"/>
              <w:jc w:val="left"/>
            </w:pPr>
            <w:r>
              <w:rPr>
                <w:rFonts w:ascii="Arial" w:hAnsi="Arial"/>
                <w:b w:val="0"/>
                <w:i w:val="0"/>
                <w:sz w:val="16"/>
              </w:rPr>
              <w:t>180</w:t>
            </w:r>
          </w:p>
        </w:tc>
        <w:tc>
          <w:tcPr>
            <w:tcW w:type="dxa" w:w="828"/>
            <w:tcMar>
              <w:top w:w="36" w:type="dxa"/>
              <w:bottom w:w="36" w:type="dxa"/>
              <w:left w:w="96" w:type="dxa"/>
              <w:right w:w="96" w:type="dxa"/>
            </w:tcMar>
          </w:tcPr>
          <w:p>
            <w:pPr>
              <w:spacing w:after="0" w:before="0"/>
              <w:jc w:val="left"/>
            </w:pPr>
            <w:r>
              <w:rPr>
                <w:rFonts w:ascii="Arial" w:hAnsi="Arial"/>
                <w:b w:val="0"/>
                <w:i w:val="0"/>
                <w:sz w:val="16"/>
              </w:rPr>
              <w:t>105</w:t>
            </w:r>
          </w:p>
        </w:tc>
        <w:tc>
          <w:tcPr>
            <w:tcW w:type="dxa" w:w="828"/>
            <w:tcMar>
              <w:top w:w="36" w:type="dxa"/>
              <w:bottom w:w="36" w:type="dxa"/>
              <w:left w:w="96" w:type="dxa"/>
              <w:right w:w="96" w:type="dxa"/>
            </w:tcMar>
          </w:tcPr>
          <w:p>
            <w:pPr>
              <w:spacing w:after="0" w:before="0"/>
              <w:jc w:val="left"/>
            </w:pPr>
            <w:r>
              <w:rPr>
                <w:rFonts w:ascii="Arial" w:hAnsi="Arial"/>
                <w:b w:val="0"/>
                <w:i w:val="0"/>
                <w:sz w:val="16"/>
              </w:rPr>
              <w:t>116</w:t>
            </w:r>
          </w:p>
        </w:tc>
        <w:tc>
          <w:tcPr>
            <w:tcW w:type="dxa" w:w="828"/>
            <w:tcMar>
              <w:top w:w="36" w:type="dxa"/>
              <w:bottom w:w="36" w:type="dxa"/>
              <w:left w:w="96" w:type="dxa"/>
              <w:right w:w="96" w:type="dxa"/>
            </w:tcMar>
          </w:tcPr>
          <w:p>
            <w:pPr>
              <w:spacing w:after="0" w:before="0"/>
              <w:jc w:val="left"/>
            </w:pPr>
            <w:r>
              <w:rPr>
                <w:rFonts w:ascii="Arial" w:hAnsi="Arial"/>
                <w:b w:val="0"/>
                <w:i w:val="0"/>
                <w:sz w:val="16"/>
              </w:rPr>
              <w:t>128</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 xml:space="preserve">  net margin</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6%</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14%</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38%</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35%</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23%</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24%</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26%</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EPS (KRW)</w:t>
            </w:r>
          </w:p>
        </w:tc>
        <w:tc>
          <w:tcPr>
            <w:tcW w:type="dxa" w:w="828"/>
            <w:tcMar>
              <w:top w:w="36" w:type="dxa"/>
              <w:bottom w:w="36" w:type="dxa"/>
              <w:left w:w="96" w:type="dxa"/>
              <w:right w:w="96" w:type="dxa"/>
            </w:tcMar>
          </w:tcPr>
          <w:p>
            <w:pPr>
              <w:spacing w:after="0" w:before="0"/>
              <w:jc w:val="left"/>
            </w:pPr>
            <w:r>
              <w:rPr>
                <w:rFonts w:ascii="Arial" w:hAnsi="Arial"/>
                <w:b w:val="0"/>
                <w:i w:val="0"/>
                <w:sz w:val="16"/>
              </w:rPr>
              <w:t>2,336</w:t>
            </w:r>
          </w:p>
        </w:tc>
        <w:tc>
          <w:tcPr>
            <w:tcW w:type="dxa" w:w="828"/>
            <w:tcMar>
              <w:top w:w="36" w:type="dxa"/>
              <w:bottom w:w="36" w:type="dxa"/>
              <w:left w:w="96" w:type="dxa"/>
              <w:right w:w="96" w:type="dxa"/>
            </w:tcMar>
          </w:tcPr>
          <w:p>
            <w:pPr>
              <w:spacing w:after="0" w:before="0"/>
              <w:jc w:val="left"/>
            </w:pPr>
            <w:r>
              <w:rPr>
                <w:rFonts w:ascii="Arial" w:hAnsi="Arial"/>
                <w:b w:val="0"/>
                <w:i w:val="0"/>
                <w:sz w:val="16"/>
              </w:rPr>
              <w:t>5,196</w:t>
            </w:r>
          </w:p>
        </w:tc>
        <w:tc>
          <w:tcPr>
            <w:tcW w:type="dxa" w:w="828"/>
            <w:tcMar>
              <w:top w:w="36" w:type="dxa"/>
              <w:bottom w:w="36" w:type="dxa"/>
              <w:left w:w="96" w:type="dxa"/>
              <w:right w:w="96" w:type="dxa"/>
            </w:tcMar>
          </w:tcPr>
          <w:p>
            <w:pPr>
              <w:spacing w:after="0" w:before="0"/>
              <w:jc w:val="left"/>
            </w:pPr>
            <w:r>
              <w:rPr>
                <w:rFonts w:ascii="Arial" w:hAnsi="Arial"/>
                <w:b w:val="0"/>
                <w:i w:val="0"/>
                <w:sz w:val="16"/>
              </w:rPr>
              <w:t>6,819</w:t>
            </w:r>
          </w:p>
        </w:tc>
        <w:tc>
          <w:tcPr>
            <w:tcW w:type="dxa" w:w="828"/>
            <w:tcMar>
              <w:top w:w="36" w:type="dxa"/>
              <w:bottom w:w="36" w:type="dxa"/>
              <w:left w:w="96" w:type="dxa"/>
              <w:right w:w="96" w:type="dxa"/>
            </w:tcMar>
          </w:tcPr>
          <w:p>
            <w:pPr>
              <w:spacing w:after="0" w:before="0"/>
              <w:jc w:val="left"/>
            </w:pPr>
            <w:r>
              <w:rPr>
                <w:rFonts w:ascii="Arial" w:hAnsi="Arial"/>
                <w:b w:val="0"/>
                <w:i w:val="0"/>
                <w:sz w:val="16"/>
              </w:rPr>
              <w:t>30,166</w:t>
            </w:r>
          </w:p>
        </w:tc>
        <w:tc>
          <w:tcPr>
            <w:tcW w:type="dxa" w:w="828"/>
            <w:tcMar>
              <w:top w:w="36" w:type="dxa"/>
              <w:bottom w:w="36" w:type="dxa"/>
              <w:left w:w="96" w:type="dxa"/>
              <w:right w:w="96" w:type="dxa"/>
            </w:tcMar>
          </w:tcPr>
          <w:p>
            <w:pPr>
              <w:spacing w:after="0" w:before="0"/>
              <w:jc w:val="left"/>
            </w:pPr>
            <w:r>
              <w:rPr>
                <w:rFonts w:ascii="Arial" w:hAnsi="Arial"/>
                <w:b w:val="0"/>
                <w:i w:val="0"/>
                <w:sz w:val="16"/>
              </w:rPr>
              <w:t>27,149</w:t>
            </w:r>
          </w:p>
        </w:tc>
        <w:tc>
          <w:tcPr>
            <w:tcW w:type="dxa" w:w="828"/>
            <w:tcMar>
              <w:top w:w="36" w:type="dxa"/>
              <w:bottom w:w="36" w:type="dxa"/>
              <w:left w:w="96" w:type="dxa"/>
              <w:right w:w="96" w:type="dxa"/>
            </w:tcMar>
          </w:tcPr>
          <w:p>
            <w:pPr>
              <w:spacing w:after="0" w:before="0"/>
              <w:jc w:val="left"/>
            </w:pPr>
            <w:r>
              <w:rPr>
                <w:rFonts w:ascii="Arial" w:hAnsi="Arial"/>
                <w:b w:val="0"/>
                <w:i w:val="0"/>
                <w:sz w:val="16"/>
              </w:rPr>
              <w:t>15,837</w:t>
            </w:r>
          </w:p>
        </w:tc>
        <w:tc>
          <w:tcPr>
            <w:tcW w:type="dxa" w:w="828"/>
            <w:tcMar>
              <w:top w:w="36" w:type="dxa"/>
              <w:bottom w:w="36" w:type="dxa"/>
              <w:left w:w="96" w:type="dxa"/>
              <w:right w:w="96" w:type="dxa"/>
            </w:tcMar>
          </w:tcPr>
          <w:p>
            <w:pPr>
              <w:spacing w:after="0" w:before="0"/>
              <w:jc w:val="left"/>
            </w:pPr>
            <w:r>
              <w:rPr>
                <w:rFonts w:ascii="Arial" w:hAnsi="Arial"/>
                <w:b w:val="0"/>
                <w:i w:val="0"/>
                <w:sz w:val="16"/>
              </w:rPr>
              <w:t>17,496</w:t>
            </w:r>
          </w:p>
        </w:tc>
        <w:tc>
          <w:tcPr>
            <w:tcW w:type="dxa" w:w="828"/>
            <w:tcMar>
              <w:top w:w="36" w:type="dxa"/>
              <w:bottom w:w="36" w:type="dxa"/>
              <w:left w:w="96" w:type="dxa"/>
              <w:right w:w="96" w:type="dxa"/>
            </w:tcMar>
          </w:tcPr>
          <w:p>
            <w:pPr>
              <w:spacing w:after="0" w:before="0"/>
              <w:jc w:val="left"/>
            </w:pPr>
            <w:r>
              <w:rPr>
                <w:rFonts w:ascii="Arial" w:hAnsi="Arial"/>
                <w:b w:val="0"/>
                <w:i w:val="0"/>
                <w:sz w:val="16"/>
              </w:rPr>
              <w:t>19,306</w:t>
            </w:r>
          </w:p>
        </w:tc>
      </w:tr>
    </w:tbl>
    <w:p>
      <w:pPr>
        <w:spacing w:after="80"/>
      </w:pPr>
    </w:p>
    <w:p>
      <w:pPr>
        <w:spacing w:after="120" w:before="0" w:line="274" w:lineRule="auto"/>
        <w:jc w:val="both"/>
      </w:pPr>
      <w:r>
        <w:rPr>
          <w:rFonts w:ascii="Arial" w:hAnsi="Arial"/>
          <w:b w:val="0"/>
          <w:i/>
          <w:sz w:val="16"/>
        </w:rPr>
        <w:t>Note. FY2023 is the memory trough — the chip division recorded a roughly KRW 15tn full-year loss, yet group net profit stayed positive on financial income and equity-method gains. Q1-2026 alone produced KRW 57.2tn of operating profit (DS KRW 53.7tn). The forecast deliberately rolls memory off its 2026‑27 peak; a durable-supercycle path would hold the later years far higher.</w:t>
      </w:r>
    </w:p>
    <w:p>
      <w:pPr>
        <w:spacing w:after="80" w:before="0" w:line="274" w:lineRule="auto"/>
        <w:jc w:val="both"/>
      </w:pPr>
      <w:r>
        <w:rPr>
          <w:rFonts w:ascii="Arial" w:hAnsi="Arial"/>
          <w:b w:val="0"/>
          <w:i/>
          <w:sz w:val="16"/>
        </w:rPr>
        <w:t>A.2  Consolidated balance sheet (simplified)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040"/>
        <w:gridCol w:w="1040"/>
        <w:gridCol w:w="1040"/>
        <w:gridCol w:w="1040"/>
        <w:gridCol w:w="1040"/>
        <w:gridCol w:w="1040"/>
        <w:gridCol w:w="1040"/>
        <w:gridCol w:w="1040"/>
        <w:gridCol w:w="10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Balance sheet</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2023a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2024a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2025a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2026e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2027e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2028e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2029e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2030e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Cash &amp; fin. investments</w:t>
            </w:r>
          </w:p>
        </w:tc>
        <w:tc>
          <w:tcPr>
            <w:tcW w:type="dxa" w:w="828"/>
            <w:tcMar>
              <w:top w:w="36" w:type="dxa"/>
              <w:bottom w:w="36" w:type="dxa"/>
              <w:left w:w="96" w:type="dxa"/>
              <w:right w:w="96" w:type="dxa"/>
            </w:tcMar>
          </w:tcPr>
          <w:p>
            <w:pPr>
              <w:spacing w:after="0" w:before="0"/>
              <w:jc w:val="left"/>
            </w:pPr>
            <w:r>
              <w:rPr>
                <w:rFonts w:ascii="Arial" w:hAnsi="Arial"/>
                <w:b w:val="0"/>
                <w:i w:val="0"/>
                <w:sz w:val="16"/>
              </w:rPr>
              <w:t>74</w:t>
            </w:r>
          </w:p>
        </w:tc>
        <w:tc>
          <w:tcPr>
            <w:tcW w:type="dxa" w:w="828"/>
            <w:tcMar>
              <w:top w:w="36" w:type="dxa"/>
              <w:bottom w:w="36" w:type="dxa"/>
              <w:left w:w="96" w:type="dxa"/>
              <w:right w:w="96" w:type="dxa"/>
            </w:tcMar>
          </w:tcPr>
          <w:p>
            <w:pPr>
              <w:spacing w:after="0" w:before="0"/>
              <w:jc w:val="left"/>
            </w:pPr>
            <w:r>
              <w:rPr>
                <w:rFonts w:ascii="Arial" w:hAnsi="Arial"/>
                <w:b w:val="0"/>
                <w:i w:val="0"/>
                <w:sz w:val="16"/>
              </w:rPr>
              <w:t>92</w:t>
            </w:r>
          </w:p>
        </w:tc>
        <w:tc>
          <w:tcPr>
            <w:tcW w:type="dxa" w:w="828"/>
            <w:tcMar>
              <w:top w:w="36" w:type="dxa"/>
              <w:bottom w:w="36" w:type="dxa"/>
              <w:left w:w="96" w:type="dxa"/>
              <w:right w:w="96" w:type="dxa"/>
            </w:tcMar>
          </w:tcPr>
          <w:p>
            <w:pPr>
              <w:spacing w:after="0" w:before="0"/>
              <w:jc w:val="left"/>
            </w:pPr>
            <w:r>
              <w:rPr>
                <w:rFonts w:ascii="Arial" w:hAnsi="Arial"/>
                <w:b w:val="0"/>
                <w:i w:val="0"/>
                <w:sz w:val="16"/>
              </w:rPr>
              <w:t>101</w:t>
            </w:r>
          </w:p>
        </w:tc>
        <w:tc>
          <w:tcPr>
            <w:tcW w:type="dxa" w:w="828"/>
            <w:tcMar>
              <w:top w:w="36" w:type="dxa"/>
              <w:bottom w:w="36" w:type="dxa"/>
              <w:left w:w="96" w:type="dxa"/>
              <w:right w:w="96" w:type="dxa"/>
            </w:tcMar>
          </w:tcPr>
          <w:p>
            <w:pPr>
              <w:spacing w:after="0" w:before="0"/>
              <w:jc w:val="left"/>
            </w:pPr>
            <w:r>
              <w:rPr>
                <w:rFonts w:ascii="Arial" w:hAnsi="Arial"/>
                <w:b w:val="0"/>
                <w:i w:val="0"/>
                <w:sz w:val="16"/>
              </w:rPr>
              <w:t>161</w:t>
            </w:r>
          </w:p>
        </w:tc>
        <w:tc>
          <w:tcPr>
            <w:tcW w:type="dxa" w:w="828"/>
            <w:tcMar>
              <w:top w:w="36" w:type="dxa"/>
              <w:bottom w:w="36" w:type="dxa"/>
              <w:left w:w="96" w:type="dxa"/>
              <w:right w:w="96" w:type="dxa"/>
            </w:tcMar>
          </w:tcPr>
          <w:p>
            <w:pPr>
              <w:spacing w:after="0" w:before="0"/>
              <w:jc w:val="left"/>
            </w:pPr>
            <w:r>
              <w:rPr>
                <w:rFonts w:ascii="Arial" w:hAnsi="Arial"/>
                <w:b w:val="0"/>
                <w:i w:val="0"/>
                <w:sz w:val="16"/>
              </w:rPr>
              <w:t>222</w:t>
            </w:r>
          </w:p>
        </w:tc>
        <w:tc>
          <w:tcPr>
            <w:tcW w:type="dxa" w:w="828"/>
            <w:tcMar>
              <w:top w:w="36" w:type="dxa"/>
              <w:bottom w:w="36" w:type="dxa"/>
              <w:left w:w="96" w:type="dxa"/>
              <w:right w:w="96" w:type="dxa"/>
            </w:tcMar>
          </w:tcPr>
          <w:p>
            <w:pPr>
              <w:spacing w:after="0" w:before="0"/>
              <w:jc w:val="left"/>
            </w:pPr>
            <w:r>
              <w:rPr>
                <w:rFonts w:ascii="Arial" w:hAnsi="Arial"/>
                <w:b w:val="0"/>
                <w:i w:val="0"/>
                <w:sz w:val="16"/>
              </w:rPr>
              <w:t>258</w:t>
            </w:r>
          </w:p>
        </w:tc>
        <w:tc>
          <w:tcPr>
            <w:tcW w:type="dxa" w:w="828"/>
            <w:tcMar>
              <w:top w:w="36" w:type="dxa"/>
              <w:bottom w:w="36" w:type="dxa"/>
              <w:left w:w="96" w:type="dxa"/>
              <w:right w:w="96" w:type="dxa"/>
            </w:tcMar>
          </w:tcPr>
          <w:p>
            <w:pPr>
              <w:spacing w:after="0" w:before="0"/>
              <w:jc w:val="left"/>
            </w:pPr>
            <w:r>
              <w:rPr>
                <w:rFonts w:ascii="Arial" w:hAnsi="Arial"/>
                <w:b w:val="0"/>
                <w:i w:val="0"/>
                <w:sz w:val="16"/>
              </w:rPr>
              <w:t>296.6</w:t>
            </w:r>
          </w:p>
        </w:tc>
        <w:tc>
          <w:tcPr>
            <w:tcW w:type="dxa" w:w="828"/>
            <w:tcMar>
              <w:top w:w="36" w:type="dxa"/>
              <w:bottom w:w="36" w:type="dxa"/>
              <w:left w:w="96" w:type="dxa"/>
              <w:right w:w="96" w:type="dxa"/>
            </w:tcMar>
          </w:tcPr>
          <w:p>
            <w:pPr>
              <w:spacing w:after="0" w:before="0"/>
              <w:jc w:val="left"/>
            </w:pPr>
            <w:r>
              <w:rPr>
                <w:rFonts w:ascii="Arial" w:hAnsi="Arial"/>
                <w:b w:val="0"/>
                <w:i w:val="0"/>
                <w:sz w:val="16"/>
              </w:rPr>
              <w:t>344.4</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PP&amp;E (net)</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188</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205</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220</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268</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312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344</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371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396</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Total assets</w:t>
            </w:r>
          </w:p>
        </w:tc>
        <w:tc>
          <w:tcPr>
            <w:tcW w:type="dxa" w:w="828"/>
            <w:tcMar>
              <w:top w:w="36" w:type="dxa"/>
              <w:bottom w:w="36" w:type="dxa"/>
              <w:left w:w="96" w:type="dxa"/>
              <w:right w:w="96" w:type="dxa"/>
            </w:tcMar>
          </w:tcPr>
          <w:p>
            <w:pPr>
              <w:spacing w:after="0" w:before="0"/>
              <w:jc w:val="left"/>
            </w:pPr>
            <w:r>
              <w:rPr>
                <w:rFonts w:ascii="Arial" w:hAnsi="Arial"/>
                <w:b w:val="0"/>
                <w:i w:val="0"/>
                <w:sz w:val="16"/>
              </w:rPr>
              <w:t>456</w:t>
            </w:r>
          </w:p>
        </w:tc>
        <w:tc>
          <w:tcPr>
            <w:tcW w:type="dxa" w:w="828"/>
            <w:tcMar>
              <w:top w:w="36" w:type="dxa"/>
              <w:bottom w:w="36" w:type="dxa"/>
              <w:left w:w="96" w:type="dxa"/>
              <w:right w:w="96" w:type="dxa"/>
            </w:tcMar>
          </w:tcPr>
          <w:p>
            <w:pPr>
              <w:spacing w:after="0" w:before="0"/>
              <w:jc w:val="left"/>
            </w:pPr>
            <w:r>
              <w:rPr>
                <w:rFonts w:ascii="Arial" w:hAnsi="Arial"/>
                <w:b w:val="0"/>
                <w:i w:val="0"/>
                <w:sz w:val="16"/>
              </w:rPr>
              <w:t>505</w:t>
            </w:r>
          </w:p>
        </w:tc>
        <w:tc>
          <w:tcPr>
            <w:tcW w:type="dxa" w:w="828"/>
            <w:tcMar>
              <w:top w:w="36" w:type="dxa"/>
              <w:bottom w:w="36" w:type="dxa"/>
              <w:left w:w="96" w:type="dxa"/>
              <w:right w:w="96" w:type="dxa"/>
            </w:tcMar>
          </w:tcPr>
          <w:p>
            <w:pPr>
              <w:spacing w:after="0" w:before="0"/>
              <w:jc w:val="left"/>
            </w:pPr>
            <w:r>
              <w:rPr>
                <w:rFonts w:ascii="Arial" w:hAnsi="Arial"/>
                <w:b w:val="0"/>
                <w:i w:val="0"/>
                <w:sz w:val="16"/>
              </w:rPr>
              <w:t>544</w:t>
            </w:r>
          </w:p>
        </w:tc>
        <w:tc>
          <w:tcPr>
            <w:tcW w:type="dxa" w:w="828"/>
            <w:tcMar>
              <w:top w:w="36" w:type="dxa"/>
              <w:bottom w:w="36" w:type="dxa"/>
              <w:left w:w="96" w:type="dxa"/>
              <w:right w:w="96" w:type="dxa"/>
            </w:tcMar>
          </w:tcPr>
          <w:p>
            <w:pPr>
              <w:spacing w:after="0" w:before="0"/>
              <w:jc w:val="left"/>
            </w:pPr>
            <w:r>
              <w:rPr>
                <w:rFonts w:ascii="Arial" w:hAnsi="Arial"/>
                <w:b w:val="0"/>
                <w:i w:val="0"/>
                <w:sz w:val="16"/>
              </w:rPr>
              <w:t>652</w:t>
            </w:r>
          </w:p>
        </w:tc>
        <w:tc>
          <w:tcPr>
            <w:tcW w:type="dxa" w:w="828"/>
            <w:tcMar>
              <w:top w:w="36" w:type="dxa"/>
              <w:bottom w:w="36" w:type="dxa"/>
              <w:left w:w="96" w:type="dxa"/>
              <w:right w:w="96" w:type="dxa"/>
            </w:tcMar>
          </w:tcPr>
          <w:p>
            <w:pPr>
              <w:spacing w:after="0" w:before="0"/>
              <w:jc w:val="left"/>
            </w:pPr>
            <w:r>
              <w:rPr>
                <w:rFonts w:ascii="Arial" w:hAnsi="Arial"/>
                <w:b w:val="0"/>
                <w:i w:val="0"/>
                <w:sz w:val="16"/>
              </w:rPr>
              <w:t>757</w:t>
            </w:r>
          </w:p>
        </w:tc>
        <w:tc>
          <w:tcPr>
            <w:tcW w:type="dxa" w:w="828"/>
            <w:tcMar>
              <w:top w:w="36" w:type="dxa"/>
              <w:bottom w:w="36" w:type="dxa"/>
              <w:left w:w="96" w:type="dxa"/>
              <w:right w:w="96" w:type="dxa"/>
            </w:tcMar>
          </w:tcPr>
          <w:p>
            <w:pPr>
              <w:spacing w:after="0" w:before="0"/>
              <w:jc w:val="left"/>
            </w:pPr>
            <w:r>
              <w:rPr>
                <w:rFonts w:ascii="Arial" w:hAnsi="Arial"/>
                <w:b w:val="0"/>
                <w:i w:val="0"/>
                <w:sz w:val="16"/>
              </w:rPr>
              <w:t>825</w:t>
            </w:r>
          </w:p>
        </w:tc>
        <w:tc>
          <w:tcPr>
            <w:tcW w:type="dxa" w:w="828"/>
            <w:tcMar>
              <w:top w:w="36" w:type="dxa"/>
              <w:bottom w:w="36" w:type="dxa"/>
              <w:left w:w="96" w:type="dxa"/>
              <w:right w:w="96" w:type="dxa"/>
            </w:tcMar>
          </w:tcPr>
          <w:p>
            <w:pPr>
              <w:spacing w:after="0" w:before="0"/>
              <w:jc w:val="left"/>
            </w:pPr>
            <w:r>
              <w:rPr>
                <w:rFonts w:ascii="Arial" w:hAnsi="Arial"/>
                <w:b w:val="0"/>
                <w:i w:val="0"/>
                <w:sz w:val="16"/>
              </w:rPr>
              <w:t>890.6</w:t>
            </w:r>
          </w:p>
        </w:tc>
        <w:tc>
          <w:tcPr>
            <w:tcW w:type="dxa" w:w="828"/>
            <w:tcMar>
              <w:top w:w="36" w:type="dxa"/>
              <w:bottom w:w="36" w:type="dxa"/>
              <w:left w:w="96" w:type="dxa"/>
              <w:right w:w="96" w:type="dxa"/>
            </w:tcMar>
          </w:tcPr>
          <w:p>
            <w:pPr>
              <w:spacing w:after="0" w:before="0"/>
              <w:jc w:val="left"/>
            </w:pPr>
            <w:r>
              <w:rPr>
                <w:rFonts w:ascii="Arial" w:hAnsi="Arial"/>
                <w:b w:val="0"/>
                <w:i w:val="0"/>
                <w:sz w:val="16"/>
              </w:rPr>
              <w:t>963.4</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Total equity</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364</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373</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424</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544</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652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715</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784.6</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861.4</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Net cash (cash − debt)</w:t>
            </w:r>
          </w:p>
        </w:tc>
        <w:tc>
          <w:tcPr>
            <w:tcW w:type="dxa" w:w="828"/>
            <w:tcMar>
              <w:top w:w="36" w:type="dxa"/>
              <w:bottom w:w="36" w:type="dxa"/>
              <w:left w:w="96" w:type="dxa"/>
              <w:right w:w="96" w:type="dxa"/>
            </w:tcMar>
          </w:tcPr>
          <w:p>
            <w:pPr>
              <w:spacing w:after="0" w:before="0"/>
              <w:jc w:val="left"/>
            </w:pPr>
            <w:r>
              <w:rPr>
                <w:rFonts w:ascii="Arial" w:hAnsi="Arial"/>
                <w:b w:val="0"/>
                <w:i w:val="0"/>
                <w:sz w:val="16"/>
              </w:rPr>
              <w:t>64</w:t>
            </w:r>
          </w:p>
        </w:tc>
        <w:tc>
          <w:tcPr>
            <w:tcW w:type="dxa" w:w="828"/>
            <w:tcMar>
              <w:top w:w="36" w:type="dxa"/>
              <w:bottom w:w="36" w:type="dxa"/>
              <w:left w:w="96" w:type="dxa"/>
              <w:right w:w="96" w:type="dxa"/>
            </w:tcMar>
          </w:tcPr>
          <w:p>
            <w:pPr>
              <w:spacing w:after="0" w:before="0"/>
              <w:jc w:val="left"/>
            </w:pPr>
            <w:r>
              <w:rPr>
                <w:rFonts w:ascii="Arial" w:hAnsi="Arial"/>
                <w:b w:val="0"/>
                <w:i w:val="0"/>
                <w:sz w:val="16"/>
              </w:rPr>
              <w:t>82</w:t>
            </w:r>
          </w:p>
        </w:tc>
        <w:tc>
          <w:tcPr>
            <w:tcW w:type="dxa" w:w="828"/>
            <w:tcMar>
              <w:top w:w="36" w:type="dxa"/>
              <w:bottom w:w="36" w:type="dxa"/>
              <w:left w:w="96" w:type="dxa"/>
              <w:right w:w="96" w:type="dxa"/>
            </w:tcMar>
          </w:tcPr>
          <w:p>
            <w:pPr>
              <w:spacing w:after="0" w:before="0"/>
              <w:jc w:val="left"/>
            </w:pPr>
            <w:r>
              <w:rPr>
                <w:rFonts w:ascii="Arial" w:hAnsi="Arial"/>
                <w:b w:val="0"/>
                <w:i w:val="0"/>
                <w:sz w:val="16"/>
              </w:rPr>
              <w:t>91</w:t>
            </w:r>
          </w:p>
        </w:tc>
        <w:tc>
          <w:tcPr>
            <w:tcW w:type="dxa" w:w="828"/>
            <w:tcMar>
              <w:top w:w="36" w:type="dxa"/>
              <w:bottom w:w="36" w:type="dxa"/>
              <w:left w:w="96" w:type="dxa"/>
              <w:right w:w="96" w:type="dxa"/>
            </w:tcMar>
          </w:tcPr>
          <w:p>
            <w:pPr>
              <w:spacing w:after="0" w:before="0"/>
              <w:jc w:val="left"/>
            </w:pPr>
            <w:r>
              <w:rPr>
                <w:rFonts w:ascii="Arial" w:hAnsi="Arial"/>
                <w:b w:val="0"/>
                <w:i w:val="0"/>
                <w:sz w:val="16"/>
              </w:rPr>
              <w:t>151</w:t>
            </w:r>
          </w:p>
        </w:tc>
        <w:tc>
          <w:tcPr>
            <w:tcW w:type="dxa" w:w="828"/>
            <w:tcMar>
              <w:top w:w="36" w:type="dxa"/>
              <w:bottom w:w="36" w:type="dxa"/>
              <w:left w:w="96" w:type="dxa"/>
              <w:right w:w="96" w:type="dxa"/>
            </w:tcMar>
          </w:tcPr>
          <w:p>
            <w:pPr>
              <w:spacing w:after="0" w:before="0"/>
              <w:jc w:val="left"/>
            </w:pPr>
            <w:r>
              <w:rPr>
                <w:rFonts w:ascii="Arial" w:hAnsi="Arial"/>
                <w:b w:val="0"/>
                <w:i w:val="0"/>
                <w:sz w:val="16"/>
              </w:rPr>
              <w:t>212</w:t>
            </w:r>
          </w:p>
        </w:tc>
        <w:tc>
          <w:tcPr>
            <w:tcW w:type="dxa" w:w="828"/>
            <w:tcMar>
              <w:top w:w="36" w:type="dxa"/>
              <w:bottom w:w="36" w:type="dxa"/>
              <w:left w:w="96" w:type="dxa"/>
              <w:right w:w="96" w:type="dxa"/>
            </w:tcMar>
          </w:tcPr>
          <w:p>
            <w:pPr>
              <w:spacing w:after="0" w:before="0"/>
              <w:jc w:val="left"/>
            </w:pPr>
            <w:r>
              <w:rPr>
                <w:rFonts w:ascii="Arial" w:hAnsi="Arial"/>
                <w:b w:val="0"/>
                <w:i w:val="0"/>
                <w:sz w:val="16"/>
              </w:rPr>
              <w:t>248</w:t>
            </w:r>
          </w:p>
        </w:tc>
        <w:tc>
          <w:tcPr>
            <w:tcW w:type="dxa" w:w="828"/>
            <w:tcMar>
              <w:top w:w="36" w:type="dxa"/>
              <w:bottom w:w="36" w:type="dxa"/>
              <w:left w:w="96" w:type="dxa"/>
              <w:right w:w="96" w:type="dxa"/>
            </w:tcMar>
          </w:tcPr>
          <w:p>
            <w:pPr>
              <w:spacing w:after="0" w:before="0"/>
              <w:jc w:val="left"/>
            </w:pPr>
            <w:r>
              <w:rPr>
                <w:rFonts w:ascii="Arial" w:hAnsi="Arial"/>
                <w:b w:val="0"/>
                <w:i w:val="0"/>
                <w:sz w:val="16"/>
              </w:rPr>
              <w:t>286.6</w:t>
            </w:r>
          </w:p>
        </w:tc>
        <w:tc>
          <w:tcPr>
            <w:tcW w:type="dxa" w:w="828"/>
            <w:tcMar>
              <w:top w:w="36" w:type="dxa"/>
              <w:bottom w:w="36" w:type="dxa"/>
              <w:left w:w="96" w:type="dxa"/>
              <w:right w:w="96" w:type="dxa"/>
            </w:tcMar>
          </w:tcPr>
          <w:p>
            <w:pPr>
              <w:spacing w:after="0" w:before="0"/>
              <w:jc w:val="left"/>
            </w:pPr>
            <w:r>
              <w:rPr>
                <w:rFonts w:ascii="Arial" w:hAnsi="Arial"/>
                <w:b w:val="0"/>
                <w:i w:val="0"/>
                <w:sz w:val="16"/>
              </w:rPr>
              <w:t>334.4</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BVPS (KRW)</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54,902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56,259</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63,952</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82,051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98,341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107,843</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118,341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129,925</w:t>
            </w:r>
          </w:p>
        </w:tc>
      </w:tr>
    </w:tbl>
    <w:p>
      <w:pPr>
        <w:spacing w:after="80"/>
      </w:pPr>
    </w:p>
    <w:p>
      <w:pPr>
        <w:spacing w:after="120" w:before="0" w:line="274" w:lineRule="auto"/>
        <w:jc w:val="both"/>
      </w:pPr>
      <w:r>
        <w:rPr>
          <w:rFonts w:ascii="Arial" w:hAnsi="Arial"/>
          <w:b w:val="0"/>
          <w:i/>
          <w:sz w:val="16"/>
        </w:rPr>
        <w:t>Note. A fortress balance sheet: minimal debt and ~KRW 120tn of net cash. The forecast holds working-capital lines flat and rolls equity at ~60% earnings retention (the remainder to dividends, buybacks and the treasury-share cancellations in 1.8). It will not tie line-by-line to the reported balance sheet and is not intended to.</w:t>
      </w:r>
    </w:p>
    <w:p>
      <w:pPr>
        <w:spacing w:after="80" w:before="0" w:line="274" w:lineRule="auto"/>
        <w:jc w:val="both"/>
      </w:pPr>
      <w:r>
        <w:rPr>
          <w:rFonts w:ascii="Arial" w:hAnsi="Arial"/>
          <w:b w:val="0"/>
          <w:i/>
          <w:sz w:val="16"/>
        </w:rPr>
        <w:t>A.3  Consolidated cash flow (simplified)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040"/>
        <w:gridCol w:w="1040"/>
        <w:gridCol w:w="1040"/>
        <w:gridCol w:w="1040"/>
        <w:gridCol w:w="1040"/>
        <w:gridCol w:w="1040"/>
        <w:gridCol w:w="1040"/>
        <w:gridCol w:w="1040"/>
        <w:gridCol w:w="10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Cash flow</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2023a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2024a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2025a</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2026e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2027e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2028e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2029e</w:t>
            </w:r>
          </w:p>
        </w:tc>
        <w:tc>
          <w:tcPr>
            <w:tcW w:type="dxa" w:w="828"/>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2030e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Operating cash flow</w:t>
            </w:r>
          </w:p>
        </w:tc>
        <w:tc>
          <w:tcPr>
            <w:tcW w:type="dxa" w:w="828"/>
            <w:tcMar>
              <w:top w:w="36" w:type="dxa"/>
              <w:bottom w:w="36" w:type="dxa"/>
              <w:left w:w="96" w:type="dxa"/>
              <w:right w:w="96" w:type="dxa"/>
            </w:tcMar>
          </w:tcPr>
          <w:p>
            <w:pPr>
              <w:spacing w:after="0" w:before="0"/>
              <w:jc w:val="left"/>
            </w:pPr>
            <w:r>
              <w:rPr>
                <w:rFonts w:ascii="Arial" w:hAnsi="Arial"/>
                <w:b w:val="0"/>
                <w:i w:val="0"/>
                <w:sz w:val="16"/>
              </w:rPr>
              <w:t>44.1</w:t>
            </w:r>
          </w:p>
        </w:tc>
        <w:tc>
          <w:tcPr>
            <w:tcW w:type="dxa" w:w="828"/>
            <w:tcMar>
              <w:top w:w="36" w:type="dxa"/>
              <w:bottom w:w="36" w:type="dxa"/>
              <w:left w:w="96" w:type="dxa"/>
              <w:right w:w="96" w:type="dxa"/>
            </w:tcMar>
          </w:tcPr>
          <w:p>
            <w:pPr>
              <w:spacing w:after="0" w:before="0"/>
              <w:jc w:val="left"/>
            </w:pPr>
            <w:r>
              <w:rPr>
                <w:rFonts w:ascii="Arial" w:hAnsi="Arial"/>
                <w:b w:val="0"/>
                <w:i w:val="0"/>
                <w:sz w:val="16"/>
              </w:rPr>
              <w:t>75</w:t>
            </w:r>
          </w:p>
        </w:tc>
        <w:tc>
          <w:tcPr>
            <w:tcW w:type="dxa" w:w="828"/>
            <w:tcMar>
              <w:top w:w="36" w:type="dxa"/>
              <w:bottom w:w="36" w:type="dxa"/>
              <w:left w:w="96" w:type="dxa"/>
              <w:right w:w="96" w:type="dxa"/>
            </w:tcMar>
          </w:tcPr>
          <w:p>
            <w:pPr>
              <w:spacing w:after="0" w:before="0"/>
              <w:jc w:val="left"/>
            </w:pPr>
            <w:r>
              <w:rPr>
                <w:rFonts w:ascii="Arial" w:hAnsi="Arial"/>
                <w:b w:val="0"/>
                <w:i w:val="0"/>
                <w:sz w:val="16"/>
              </w:rPr>
              <w:t>90</w:t>
            </w:r>
          </w:p>
        </w:tc>
        <w:tc>
          <w:tcPr>
            <w:tcW w:type="dxa" w:w="828"/>
            <w:tcMar>
              <w:top w:w="36" w:type="dxa"/>
              <w:bottom w:w="36" w:type="dxa"/>
              <w:left w:w="96" w:type="dxa"/>
              <w:right w:w="96" w:type="dxa"/>
            </w:tcMar>
          </w:tcPr>
          <w:p>
            <w:pPr>
              <w:spacing w:after="0" w:before="0"/>
              <w:jc w:val="left"/>
            </w:pPr>
            <w:r>
              <w:rPr>
                <w:rFonts w:ascii="Arial" w:hAnsi="Arial"/>
                <w:b w:val="0"/>
                <w:i w:val="0"/>
                <w:sz w:val="16"/>
              </w:rPr>
              <w:t>240</w:t>
            </w:r>
          </w:p>
        </w:tc>
        <w:tc>
          <w:tcPr>
            <w:tcW w:type="dxa" w:w="828"/>
            <w:tcMar>
              <w:top w:w="36" w:type="dxa"/>
              <w:bottom w:w="36" w:type="dxa"/>
              <w:left w:w="96" w:type="dxa"/>
              <w:right w:w="96" w:type="dxa"/>
            </w:tcMar>
          </w:tcPr>
          <w:p>
            <w:pPr>
              <w:spacing w:after="0" w:before="0"/>
              <w:jc w:val="left"/>
            </w:pPr>
            <w:r>
              <w:rPr>
                <w:rFonts w:ascii="Arial" w:hAnsi="Arial"/>
                <w:b w:val="0"/>
                <w:i w:val="0"/>
                <w:sz w:val="16"/>
              </w:rPr>
              <w:t>231</w:t>
            </w:r>
          </w:p>
        </w:tc>
        <w:tc>
          <w:tcPr>
            <w:tcW w:type="dxa" w:w="828"/>
            <w:tcMar>
              <w:top w:w="36" w:type="dxa"/>
              <w:bottom w:w="36" w:type="dxa"/>
              <w:left w:w="96" w:type="dxa"/>
              <w:right w:w="96" w:type="dxa"/>
            </w:tcMar>
          </w:tcPr>
          <w:p>
            <w:pPr>
              <w:spacing w:after="0" w:before="0"/>
              <w:jc w:val="left"/>
            </w:pPr>
            <w:r>
              <w:rPr>
                <w:rFonts w:ascii="Arial" w:hAnsi="Arial"/>
                <w:b w:val="0"/>
                <w:i w:val="0"/>
                <w:sz w:val="16"/>
              </w:rPr>
              <w:t>166</w:t>
            </w:r>
          </w:p>
        </w:tc>
        <w:tc>
          <w:tcPr>
            <w:tcW w:type="dxa" w:w="828"/>
            <w:tcMar>
              <w:top w:w="36" w:type="dxa"/>
              <w:bottom w:w="36" w:type="dxa"/>
              <w:left w:w="96" w:type="dxa"/>
              <w:right w:w="96" w:type="dxa"/>
            </w:tcMar>
          </w:tcPr>
          <w:p>
            <w:pPr>
              <w:spacing w:after="0" w:before="0"/>
              <w:jc w:val="left"/>
            </w:pPr>
            <w:r>
              <w:rPr>
                <w:rFonts w:ascii="Arial" w:hAnsi="Arial"/>
                <w:b w:val="0"/>
                <w:i w:val="0"/>
                <w:sz w:val="16"/>
              </w:rPr>
              <w:t>170</w:t>
            </w:r>
          </w:p>
        </w:tc>
        <w:tc>
          <w:tcPr>
            <w:tcW w:type="dxa" w:w="828"/>
            <w:tcMar>
              <w:top w:w="36" w:type="dxa"/>
              <w:bottom w:w="36" w:type="dxa"/>
              <w:left w:w="96" w:type="dxa"/>
              <w:right w:w="96" w:type="dxa"/>
            </w:tcMar>
          </w:tcPr>
          <w:p>
            <w:pPr>
              <w:spacing w:after="0" w:before="0"/>
              <w:jc w:val="left"/>
            </w:pPr>
            <w:r>
              <w:rPr>
                <w:rFonts w:ascii="Arial" w:hAnsi="Arial"/>
                <w:b w:val="0"/>
                <w:i w:val="0"/>
                <w:sz w:val="16"/>
              </w:rPr>
              <w:t>184</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Capex (investing)</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-53.1</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-49</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-55</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-100</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-98</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-88</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-85</w:t>
            </w:r>
          </w:p>
        </w:tc>
        <w:tc>
          <w:tcPr>
            <w:tcW w:type="dxa" w:w="828"/>
            <w:tcMar>
              <w:top w:w="36" w:type="dxa"/>
              <w:bottom w:w="36" w:type="dxa"/>
              <w:left w:w="96" w:type="dxa"/>
              <w:right w:w="96" w:type="dxa"/>
            </w:tcMar>
            <w:shd w:val="clear" w:color="auto" w:fill="DCE7E2"/>
          </w:tcPr>
          <w:p>
            <w:pPr>
              <w:spacing w:after="0" w:before="0"/>
              <w:jc w:val="left"/>
            </w:pPr>
            <w:r>
              <w:rPr>
                <w:rFonts w:ascii="Arial" w:hAnsi="Arial"/>
                <w:b w:val="0"/>
                <w:i w:val="0"/>
                <w:sz w:val="16"/>
              </w:rPr>
              <w:t>-85</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Free cash flow</w:t>
            </w:r>
          </w:p>
        </w:tc>
        <w:tc>
          <w:tcPr>
            <w:tcW w:type="dxa" w:w="828"/>
            <w:tcMar>
              <w:top w:w="36" w:type="dxa"/>
              <w:bottom w:w="36" w:type="dxa"/>
              <w:left w:w="96" w:type="dxa"/>
              <w:right w:w="96" w:type="dxa"/>
            </w:tcMar>
          </w:tcPr>
          <w:p>
            <w:pPr>
              <w:spacing w:after="0" w:before="0"/>
              <w:jc w:val="left"/>
            </w:pPr>
            <w:r>
              <w:rPr>
                <w:rFonts w:ascii="Arial" w:hAnsi="Arial"/>
                <w:b w:val="0"/>
                <w:i w:val="0"/>
                <w:sz w:val="16"/>
              </w:rPr>
              <w:t>-9</w:t>
            </w:r>
          </w:p>
        </w:tc>
        <w:tc>
          <w:tcPr>
            <w:tcW w:type="dxa" w:w="828"/>
            <w:tcMar>
              <w:top w:w="36" w:type="dxa"/>
              <w:bottom w:w="36" w:type="dxa"/>
              <w:left w:w="96" w:type="dxa"/>
              <w:right w:w="96" w:type="dxa"/>
            </w:tcMar>
          </w:tcPr>
          <w:p>
            <w:pPr>
              <w:spacing w:after="0" w:before="0"/>
              <w:jc w:val="left"/>
            </w:pPr>
            <w:r>
              <w:rPr>
                <w:rFonts w:ascii="Arial" w:hAnsi="Arial"/>
                <w:b w:val="0"/>
                <w:i w:val="0"/>
                <w:sz w:val="16"/>
              </w:rPr>
              <w:t>26</w:t>
            </w:r>
          </w:p>
        </w:tc>
        <w:tc>
          <w:tcPr>
            <w:tcW w:type="dxa" w:w="828"/>
            <w:tcMar>
              <w:top w:w="36" w:type="dxa"/>
              <w:bottom w:w="36" w:type="dxa"/>
              <w:left w:w="96" w:type="dxa"/>
              <w:right w:w="96" w:type="dxa"/>
            </w:tcMar>
          </w:tcPr>
          <w:p>
            <w:pPr>
              <w:spacing w:after="0" w:before="0"/>
              <w:jc w:val="left"/>
            </w:pPr>
            <w:r>
              <w:rPr>
                <w:rFonts w:ascii="Arial" w:hAnsi="Arial"/>
                <w:b w:val="0"/>
                <w:i w:val="0"/>
                <w:sz w:val="16"/>
              </w:rPr>
              <w:t>35</w:t>
            </w:r>
          </w:p>
        </w:tc>
        <w:tc>
          <w:tcPr>
            <w:tcW w:type="dxa" w:w="828"/>
            <w:tcMar>
              <w:top w:w="36" w:type="dxa"/>
              <w:bottom w:w="36" w:type="dxa"/>
              <w:left w:w="96" w:type="dxa"/>
              <w:right w:w="96" w:type="dxa"/>
            </w:tcMar>
          </w:tcPr>
          <w:p>
            <w:pPr>
              <w:spacing w:after="0" w:before="0"/>
              <w:jc w:val="left"/>
            </w:pPr>
            <w:r>
              <w:rPr>
                <w:rFonts w:ascii="Arial" w:hAnsi="Arial"/>
                <w:b w:val="0"/>
                <w:i w:val="0"/>
                <w:sz w:val="16"/>
              </w:rPr>
              <w:t>140</w:t>
            </w:r>
          </w:p>
        </w:tc>
        <w:tc>
          <w:tcPr>
            <w:tcW w:type="dxa" w:w="828"/>
            <w:tcMar>
              <w:top w:w="36" w:type="dxa"/>
              <w:bottom w:w="36" w:type="dxa"/>
              <w:left w:w="96" w:type="dxa"/>
              <w:right w:w="96" w:type="dxa"/>
            </w:tcMar>
          </w:tcPr>
          <w:p>
            <w:pPr>
              <w:spacing w:after="0" w:before="0"/>
              <w:jc w:val="left"/>
            </w:pPr>
            <w:r>
              <w:rPr>
                <w:rFonts w:ascii="Arial" w:hAnsi="Arial"/>
                <w:b w:val="0"/>
                <w:i w:val="0"/>
                <w:sz w:val="16"/>
              </w:rPr>
              <w:t>133</w:t>
            </w:r>
          </w:p>
        </w:tc>
        <w:tc>
          <w:tcPr>
            <w:tcW w:type="dxa" w:w="828"/>
            <w:tcMar>
              <w:top w:w="36" w:type="dxa"/>
              <w:bottom w:w="36" w:type="dxa"/>
              <w:left w:w="96" w:type="dxa"/>
              <w:right w:w="96" w:type="dxa"/>
            </w:tcMar>
          </w:tcPr>
          <w:p>
            <w:pPr>
              <w:spacing w:after="0" w:before="0"/>
              <w:jc w:val="left"/>
            </w:pPr>
            <w:r>
              <w:rPr>
                <w:rFonts w:ascii="Arial" w:hAnsi="Arial"/>
                <w:b w:val="0"/>
                <w:i w:val="0"/>
                <w:sz w:val="16"/>
              </w:rPr>
              <w:t>78</w:t>
            </w:r>
          </w:p>
        </w:tc>
        <w:tc>
          <w:tcPr>
            <w:tcW w:type="dxa" w:w="828"/>
            <w:tcMar>
              <w:top w:w="36" w:type="dxa"/>
              <w:bottom w:w="36" w:type="dxa"/>
              <w:left w:w="96" w:type="dxa"/>
              <w:right w:w="96" w:type="dxa"/>
            </w:tcMar>
          </w:tcPr>
          <w:p>
            <w:pPr>
              <w:spacing w:after="0" w:before="0"/>
              <w:jc w:val="left"/>
            </w:pPr>
            <w:r>
              <w:rPr>
                <w:rFonts w:ascii="Arial" w:hAnsi="Arial"/>
                <w:b w:val="0"/>
                <w:i w:val="0"/>
                <w:sz w:val="16"/>
              </w:rPr>
              <w:t>85</w:t>
            </w:r>
          </w:p>
        </w:tc>
        <w:tc>
          <w:tcPr>
            <w:tcW w:type="dxa" w:w="828"/>
            <w:tcMar>
              <w:top w:w="36" w:type="dxa"/>
              <w:bottom w:w="36" w:type="dxa"/>
              <w:left w:w="96" w:type="dxa"/>
              <w:right w:w="96" w:type="dxa"/>
            </w:tcMar>
          </w:tcPr>
          <w:p>
            <w:pPr>
              <w:spacing w:after="0" w:before="0"/>
              <w:jc w:val="left"/>
            </w:pPr>
            <w:r>
              <w:rPr>
                <w:rFonts w:ascii="Arial" w:hAnsi="Arial"/>
                <w:b w:val="0"/>
                <w:i w:val="0"/>
                <w:sz w:val="16"/>
              </w:rPr>
              <w:t>99</w:t>
            </w:r>
          </w:p>
        </w:tc>
      </w:tr>
    </w:tbl>
    <w:p>
      <w:pPr>
        <w:spacing w:after="80"/>
      </w:pPr>
    </w:p>
    <w:p>
      <w:pPr>
        <w:spacing w:after="120" w:before="0" w:line="274" w:lineRule="auto"/>
        <w:jc w:val="both"/>
      </w:pPr>
      <w:r>
        <w:rPr>
          <w:rFonts w:ascii="Arial" w:hAnsi="Arial"/>
          <w:b w:val="0"/>
          <w:i/>
          <w:sz w:val="16"/>
        </w:rPr>
        <w:t>The point of A.3 for the valuation. Samsung is a cash machine even mid-cycle, but capex (~KRW 100tn/yr) consumes roughly half of operating cash flow, so free cash flow is far below net income. That gap is precisely why the consolidated DCF in 1.2 lands below the asset-based SOTP — the supercycle generates enormous earnings, but much of the cash is reinvested in the next generation of capacity rather than returned.</w:t>
      </w:r>
    </w:p>
    <w:p>
      <w:pPr>
        <w:spacing w:after="140" w:before="280" w:line="274" w:lineRule="auto"/>
        <w:pBdr>
          <w:bottom w:val="single" w:sz="12" w:space="4" w:color="C0A45F"/>
        </w:pBdr>
      </w:pPr>
      <w:r>
        <w:rPr>
          <w:rFonts w:ascii="Arial" w:hAnsi="Arial"/>
          <w:b/>
          <w:i w:val="0"/>
          <w:color w:val="1C3A36"/>
          <w:sz w:val="26"/>
        </w:rPr>
        <w:t>Appendix B  Step 0 — calibration backtest</w:t>
      </w:r>
    </w:p>
    <w:p>
      <w:pPr>
        <w:spacing w:after="120" w:before="0" w:line="274" w:lineRule="auto"/>
        <w:jc w:val="both"/>
      </w:pPr>
      <w:r>
        <w:rPr>
          <w:rFonts w:ascii="Arial" w:hAnsi="Arial"/>
          <w:b w:val="0"/>
          <w:i w:val="0"/>
          <w:sz w:val="16"/>
        </w:rPr>
        <w:t>Before publishing any probabilistic price map we test the engine against Samsung's own five-year history: does a lognormal three-month price model, fed with realized volatility, produce calibrated intervals?</w:t>
      </w:r>
    </w:p>
    <w:p>
      <w:pPr>
        <w:spacing w:after="120" w:before="0" w:line="274" w:lineRule="auto"/>
        <w:jc w:val="both"/>
      </w:pPr>
      <w:r>
        <w:rPr>
          <w:rFonts w:ascii="Arial" w:hAnsi="Arial"/>
          <w:b/>
          <w:i w:val="0"/>
          <w:sz w:val="16"/>
        </w:rPr>
        <w:t>Result.</w:t>
      </w:r>
      <w:r>
        <w:rPr>
          <w:rFonts w:ascii="Arial" w:hAnsi="Arial"/>
          <w:b w:val="0"/>
          <w:i w:val="0"/>
          <w:sz w:val="16"/>
        </w:rPr>
        <w:t xml:space="preserve"> On the raw history the probability-integral-transform (PIT) mean is ~0.60 rather than 0.50 — realized prices have systematically landed above the forecast median. That is not a flaw in the distribution; it is the footprint of a powerful secular bull market (the shares rose ~5x over the window). We handle it by carrying momentum as an explicit, editable drift factor rather than hiding it in the distribution. Anchoring to the realized three-month window volatility (~21.6%, ~43% annualised) with a Student-t(6) tail, the 80% interval covers at 80%, the 90% interval at ~85‑87%, the PIT mean is 0.46, and the Kolmogorov‑Smirnov test does not reject calibration. The engine passes.</w:t>
      </w:r>
    </w:p>
    <w:p>
      <w:pPr>
        <w:spacing w:before="160" w:after="40"/>
        <w:jc w:val="center"/>
      </w:pPr>
      <w:r>
        <w:drawing>
          <wp:inline xmlns:a="http://schemas.openxmlformats.org/drawingml/2006/main" xmlns:pic="http://schemas.openxmlformats.org/drawingml/2006/picture">
            <wp:extent cx="4572000" cy="2764004"/>
            <wp:docPr id="7" name="Picture 7"/>
            <wp:cNvGraphicFramePr>
              <a:graphicFrameLocks noChangeAspect="1"/>
            </wp:cNvGraphicFramePr>
            <a:graphic>
              <a:graphicData uri="http://schemas.openxmlformats.org/drawingml/2006/picture">
                <pic:pic>
                  <pic:nvPicPr>
                    <pic:cNvPr id="0" name="step0_pit_histogram.png"/>
                    <pic:cNvPicPr/>
                  </pic:nvPicPr>
                  <pic:blipFill>
                    <a:blip r:embed="rId17"/>
                    <a:stretch>
                      <a:fillRect/>
                    </a:stretch>
                  </pic:blipFill>
                  <pic:spPr>
                    <a:xfrm>
                      <a:off x="0" y="0"/>
                      <a:ext cx="4572000" cy="2764004"/>
                    </a:xfrm>
                    <a:prstGeom prst="rect"/>
                  </pic:spPr>
                </pic:pic>
              </a:graphicData>
            </a:graphic>
          </wp:inline>
        </w:drawing>
      </w:r>
    </w:p>
    <w:p>
      <w:pPr>
        <w:spacing w:after="200" w:before="0" w:line="274" w:lineRule="auto"/>
        <w:jc w:val="center"/>
      </w:pPr>
      <w:r>
        <w:rPr>
          <w:rFonts w:ascii="Arial" w:hAnsi="Arial"/>
          <w:b w:val="0"/>
          <w:i/>
          <w:color w:val="63706C"/>
          <w:sz w:val="15"/>
        </w:rPr>
        <w:t>Figure B1 · PIT histogram — deviation from uniform reflects secular drift, handled as an explicit factor.</w:t>
      </w:r>
    </w:p>
    <w:p>
      <w:pPr>
        <w:spacing w:before="160" w:after="40"/>
        <w:jc w:val="center"/>
      </w:pPr>
      <w:r>
        <w:drawing>
          <wp:inline xmlns:a="http://schemas.openxmlformats.org/drawingml/2006/main" xmlns:pic="http://schemas.openxmlformats.org/drawingml/2006/picture">
            <wp:extent cx="4572000" cy="2246501"/>
            <wp:docPr id="8" name="Picture 8"/>
            <wp:cNvGraphicFramePr>
              <a:graphicFrameLocks noChangeAspect="1"/>
            </wp:cNvGraphicFramePr>
            <a:graphic>
              <a:graphicData uri="http://schemas.openxmlformats.org/drawingml/2006/picture">
                <pic:pic>
                  <pic:nvPicPr>
                    <pic:cNvPr id="0" name="step0_coverage.png"/>
                    <pic:cNvPicPr/>
                  </pic:nvPicPr>
                  <pic:blipFill>
                    <a:blip r:embed="rId18"/>
                    <a:stretch>
                      <a:fillRect/>
                    </a:stretch>
                  </pic:blipFill>
                  <pic:spPr>
                    <a:xfrm>
                      <a:off x="0" y="0"/>
                      <a:ext cx="4572000" cy="2246501"/>
                    </a:xfrm>
                    <a:prstGeom prst="rect"/>
                  </pic:spPr>
                </pic:pic>
              </a:graphicData>
            </a:graphic>
          </wp:inline>
        </w:drawing>
      </w:r>
    </w:p>
    <w:p>
      <w:pPr>
        <w:spacing w:after="200" w:before="0" w:line="274" w:lineRule="auto"/>
        <w:jc w:val="center"/>
      </w:pPr>
      <w:r>
        <w:rPr>
          <w:rFonts w:ascii="Arial" w:hAnsi="Arial"/>
          <w:b w:val="0"/>
          <w:i/>
          <w:color w:val="63706C"/>
          <w:sz w:val="15"/>
        </w:rPr>
        <w:t>Figure B2 · Interval coverage — stated vs realized, close to the 45-degree line after volatility anchoring.</w:t>
      </w:r>
    </w:p>
    <w:p>
      <w:pPr>
        <w:spacing w:after="140" w:before="280" w:line="274" w:lineRule="auto"/>
        <w:pBdr>
          <w:bottom w:val="single" w:sz="12" w:space="4" w:color="C0A45F"/>
        </w:pBdr>
      </w:pPr>
      <w:r>
        <w:rPr>
          <w:rFonts w:ascii="Arial" w:hAnsi="Arial"/>
          <w:b/>
          <w:i w:val="0"/>
          <w:color w:val="1C3A36"/>
          <w:sz w:val="26"/>
        </w:rPr>
        <w:t>Appendix C  Peer set, sector structure, and risks</w:t>
      </w:r>
    </w:p>
    <w:p>
      <w:pPr>
        <w:spacing w:after="80" w:before="0" w:line="274" w:lineRule="auto"/>
        <w:jc w:val="both"/>
      </w:pPr>
      <w:r>
        <w:rPr>
          <w:rFonts w:ascii="Arial" w:hAnsi="Arial"/>
          <w:b w:val="0"/>
          <w:i/>
          <w:sz w:val="16"/>
        </w:rPr>
        <w:t>C.1  The competitive map</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340"/>
        <w:gridCol w:w="2340"/>
        <w:gridCol w:w="2340"/>
        <w:gridCol w:w="2340"/>
      </w:tblGrid>
      <w:tr>
        <w:tc>
          <w:tcPr>
            <w:tcW w:type="dxa" w:w="288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Arena</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Leader</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Samsung</w:t>
            </w:r>
          </w:p>
        </w:tc>
        <w:tc>
          <w:tcPr>
            <w:tcW w:type="dxa" w:w="2160"/>
            <w:shd w:val="clear" w:color="auto" w:fill="1C3A36"/>
            <w:tcMar>
              <w:top w:w="36" w:type="dxa"/>
              <w:bottom w:w="36" w:type="dxa"/>
              <w:left w:w="96" w:type="dxa"/>
              <w:right w:w="96" w:type="dxa"/>
            </w:tcMar>
          </w:tcPr>
          <w:p>
            <w:pPr>
              <w:spacing w:after="0" w:before="0"/>
              <w:jc w:val="left"/>
            </w:pPr>
            <w:r>
              <w:rPr>
                <w:rFonts w:ascii="Arial" w:hAnsi="Arial"/>
                <w:b/>
                <w:i w:val="0"/>
                <w:color w:val="FFFFFF"/>
                <w:sz w:val="16"/>
              </w:rPr>
              <w:t>Note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Conventional DRAM</w:t>
            </w:r>
          </w:p>
        </w:tc>
        <w:tc>
          <w:tcPr>
            <w:tcW w:type="dxa" w:w="2160"/>
            <w:tcMar>
              <w:top w:w="36" w:type="dxa"/>
              <w:bottom w:w="36" w:type="dxa"/>
              <w:left w:w="96" w:type="dxa"/>
              <w:right w:w="96" w:type="dxa"/>
            </w:tcMar>
          </w:tcPr>
          <w:p>
            <w:pPr>
              <w:spacing w:after="0" w:before="0"/>
              <w:jc w:val="left"/>
            </w:pPr>
            <w:r>
              <w:rPr>
                <w:rFonts w:ascii="Arial" w:hAnsi="Arial"/>
                <w:b w:val="0"/>
                <w:i w:val="0"/>
                <w:sz w:val="16"/>
              </w:rPr>
              <w:t>Samsung ~38%</w:t>
            </w:r>
          </w:p>
        </w:tc>
        <w:tc>
          <w:tcPr>
            <w:tcW w:type="dxa" w:w="2160"/>
            <w:tcMar>
              <w:top w:w="36" w:type="dxa"/>
              <w:bottom w:w="36" w:type="dxa"/>
              <w:left w:w="96" w:type="dxa"/>
              <w:right w:w="96" w:type="dxa"/>
            </w:tcMar>
          </w:tcPr>
          <w:p>
            <w:pPr>
              <w:spacing w:after="0" w:before="0"/>
              <w:jc w:val="left"/>
            </w:pPr>
            <w:r>
              <w:rPr>
                <w:rFonts w:ascii="Arial" w:hAnsi="Arial"/>
                <w:b w:val="0"/>
                <w:i w:val="0"/>
                <w:sz w:val="16"/>
              </w:rPr>
              <w:t>#1</w:t>
            </w:r>
          </w:p>
        </w:tc>
        <w:tc>
          <w:tcPr>
            <w:tcW w:type="dxa" w:w="2160"/>
            <w:tcMar>
              <w:top w:w="36" w:type="dxa"/>
              <w:bottom w:w="36" w:type="dxa"/>
              <w:left w:w="96" w:type="dxa"/>
              <w:right w:w="96" w:type="dxa"/>
            </w:tcMar>
          </w:tcPr>
          <w:p>
            <w:pPr>
              <w:spacing w:after="0" w:before="0"/>
              <w:jc w:val="left"/>
            </w:pPr>
            <w:r>
              <w:rPr>
                <w:rFonts w:ascii="Arial" w:hAnsi="Arial"/>
                <w:b w:val="0"/>
                <w:i w:val="0"/>
                <w:sz w:val="16"/>
              </w:rPr>
              <w:t>SK Hynix ~29%</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NAND flash</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Samsung ~29%</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fragmented field</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HBM</w:t>
            </w:r>
          </w:p>
        </w:tc>
        <w:tc>
          <w:tcPr>
            <w:tcW w:type="dxa" w:w="2160"/>
            <w:tcMar>
              <w:top w:w="36" w:type="dxa"/>
              <w:bottom w:w="36" w:type="dxa"/>
              <w:left w:w="96" w:type="dxa"/>
              <w:right w:w="96" w:type="dxa"/>
            </w:tcMar>
          </w:tcPr>
          <w:p>
            <w:pPr>
              <w:spacing w:after="0" w:before="0"/>
              <w:jc w:val="left"/>
            </w:pPr>
            <w:r>
              <w:rPr>
                <w:rFonts w:ascii="Arial" w:hAnsi="Arial"/>
                <w:b w:val="0"/>
                <w:i w:val="0"/>
                <w:sz w:val="16"/>
              </w:rPr>
              <w:t>SK Hynix ~50‑62%</w:t>
            </w:r>
          </w:p>
        </w:tc>
        <w:tc>
          <w:tcPr>
            <w:tcW w:type="dxa" w:w="2160"/>
            <w:tcMar>
              <w:top w:w="36" w:type="dxa"/>
              <w:bottom w:w="36" w:type="dxa"/>
              <w:left w:w="96" w:type="dxa"/>
              <w:right w:w="96" w:type="dxa"/>
            </w:tcMar>
          </w:tcPr>
          <w:p>
            <w:pPr>
              <w:spacing w:after="0" w:before="0"/>
              <w:jc w:val="left"/>
            </w:pPr>
            <w:r>
              <w:rPr>
                <w:rFonts w:ascii="Arial" w:hAnsi="Arial"/>
                <w:b w:val="0"/>
                <w:i w:val="0"/>
                <w:sz w:val="16"/>
              </w:rPr>
              <w:t>~17‑28%</w:t>
            </w:r>
          </w:p>
        </w:tc>
        <w:tc>
          <w:tcPr>
            <w:tcW w:type="dxa" w:w="2160"/>
            <w:tcMar>
              <w:top w:w="36" w:type="dxa"/>
              <w:bottom w:w="36" w:type="dxa"/>
              <w:left w:w="96" w:type="dxa"/>
              <w:right w:w="96" w:type="dxa"/>
            </w:tcMar>
          </w:tcPr>
          <w:p>
            <w:pPr>
              <w:spacing w:after="0" w:before="0"/>
              <w:jc w:val="left"/>
            </w:pPr>
            <w:r>
              <w:rPr>
                <w:rFonts w:ascii="Arial" w:hAnsi="Arial"/>
                <w:b w:val="0"/>
                <w:i w:val="0"/>
                <w:sz w:val="16"/>
              </w:rPr>
              <w:t>Micron ~20%</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Foundry</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TSMC ~70%</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~7%</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yield gap is the issue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Small/medium OLED</w:t>
            </w:r>
          </w:p>
        </w:tc>
        <w:tc>
          <w:tcPr>
            <w:tcW w:type="dxa" w:w="2160"/>
            <w:tcMar>
              <w:top w:w="36" w:type="dxa"/>
              <w:bottom w:w="36" w:type="dxa"/>
              <w:left w:w="96" w:type="dxa"/>
              <w:right w:w="96" w:type="dxa"/>
            </w:tcMar>
          </w:tcPr>
          <w:p>
            <w:pPr>
              <w:spacing w:after="0" w:before="0"/>
              <w:jc w:val="left"/>
            </w:pPr>
            <w:r>
              <w:rPr>
                <w:rFonts w:ascii="Arial" w:hAnsi="Arial"/>
                <w:b w:val="0"/>
                <w:i w:val="0"/>
                <w:sz w:val="16"/>
              </w:rPr>
              <w:t>Samsung Display</w:t>
            </w:r>
          </w:p>
        </w:tc>
        <w:tc>
          <w:tcPr>
            <w:tcW w:type="dxa" w:w="2160"/>
            <w:tcMar>
              <w:top w:w="36" w:type="dxa"/>
              <w:bottom w:w="36" w:type="dxa"/>
              <w:left w:w="96" w:type="dxa"/>
              <w:right w:w="96" w:type="dxa"/>
            </w:tcMar>
          </w:tcPr>
          <w:p>
            <w:pPr>
              <w:spacing w:after="0" w:before="0"/>
              <w:jc w:val="left"/>
            </w:pPr>
            <w:r>
              <w:rPr>
                <w:rFonts w:ascii="Arial" w:hAnsi="Arial"/>
                <w:b w:val="0"/>
                <w:i w:val="0"/>
                <w:sz w:val="16"/>
              </w:rPr>
              <w:t>#1</w:t>
            </w:r>
          </w:p>
        </w:tc>
        <w:tc>
          <w:tcPr>
            <w:tcW w:type="dxa" w:w="2160"/>
            <w:tcMar>
              <w:top w:w="36" w:type="dxa"/>
              <w:bottom w:w="36" w:type="dxa"/>
              <w:left w:w="96" w:type="dxa"/>
              <w:right w:w="96" w:type="dxa"/>
            </w:tcMar>
          </w:tcPr>
          <w:p>
            <w:pPr>
              <w:spacing w:after="0" w:before="0"/>
              <w:jc w:val="left"/>
            </w:pPr>
            <w:r>
              <w:rPr>
                <w:rFonts w:ascii="Arial" w:hAnsi="Arial"/>
                <w:b w:val="0"/>
                <w:i w:val="0"/>
                <w:sz w:val="16"/>
              </w:rPr>
              <w:t>BOE rising</w:t>
            </w:r>
          </w:p>
        </w:tc>
      </w:tr>
      <w:tr>
        <w:tc>
          <w:tcPr>
            <w:tcW w:type="dxa" w:w="2880"/>
            <w:tcMar>
              <w:top w:w="36" w:type="dxa"/>
              <w:bottom w:w="36" w:type="dxa"/>
              <w:left w:w="96" w:type="dxa"/>
              <w:right w:w="96" w:type="dxa"/>
            </w:tcMar>
            <w:shd w:val="clear" w:color="auto" w:fill="DCE7E2"/>
          </w:tcPr>
          <w:p>
            <w:pPr>
              <w:spacing w:after="0" w:before="0"/>
              <w:jc w:val="left"/>
            </w:pPr>
            <w:r>
              <w:rPr>
                <w:rFonts w:ascii="Arial" w:hAnsi="Arial"/>
                <w:b w:val="0"/>
                <w:i w:val="0"/>
                <w:sz w:val="16"/>
              </w:rPr>
              <w:t>Smartphones (volume)</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Samsung / Apple</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#1/#2</w:t>
            </w:r>
          </w:p>
        </w:tc>
        <w:tc>
          <w:tcPr>
            <w:tcW w:type="dxa" w:w="2160"/>
            <w:tcMar>
              <w:top w:w="36" w:type="dxa"/>
              <w:bottom w:w="36" w:type="dxa"/>
              <w:left w:w="96" w:type="dxa"/>
              <w:right w:w="96" w:type="dxa"/>
            </w:tcMar>
            <w:shd w:val="clear" w:color="auto" w:fill="DCE7E2"/>
          </w:tcPr>
          <w:p>
            <w:pPr>
              <w:spacing w:after="0" w:before="0"/>
              <w:jc w:val="left"/>
            </w:pPr>
            <w:r>
              <w:rPr>
                <w:rFonts w:ascii="Arial" w:hAnsi="Arial"/>
                <w:b w:val="0"/>
                <w:i w:val="0"/>
                <w:sz w:val="16"/>
              </w:rPr>
              <w:t>Chinese OEMs in mid-range</w:t>
            </w:r>
          </w:p>
        </w:tc>
      </w:tr>
      <w:tr>
        <w:tc>
          <w:tcPr>
            <w:tcW w:type="dxa" w:w="2880"/>
            <w:tcMar>
              <w:top w:w="36" w:type="dxa"/>
              <w:bottom w:w="36" w:type="dxa"/>
              <w:left w:w="96" w:type="dxa"/>
              <w:right w:w="96" w:type="dxa"/>
            </w:tcMar>
          </w:tcPr>
          <w:p>
            <w:pPr>
              <w:spacing w:after="0" w:before="0"/>
              <w:jc w:val="left"/>
            </w:pPr>
            <w:r>
              <w:rPr>
                <w:rFonts w:ascii="Arial" w:hAnsi="Arial"/>
                <w:b w:val="0"/>
                <w:i w:val="0"/>
                <w:sz w:val="16"/>
              </w:rPr>
              <w:t>Televisions</w:t>
            </w:r>
          </w:p>
        </w:tc>
        <w:tc>
          <w:tcPr>
            <w:tcW w:type="dxa" w:w="2160"/>
            <w:tcMar>
              <w:top w:w="36" w:type="dxa"/>
              <w:bottom w:w="36" w:type="dxa"/>
              <w:left w:w="96" w:type="dxa"/>
              <w:right w:w="96" w:type="dxa"/>
            </w:tcMar>
          </w:tcPr>
          <w:p>
            <w:pPr>
              <w:spacing w:after="0" w:before="0"/>
              <w:jc w:val="left"/>
            </w:pPr>
            <w:r>
              <w:rPr>
                <w:rFonts w:ascii="Arial" w:hAnsi="Arial"/>
                <w:b w:val="0"/>
                <w:i w:val="0"/>
                <w:sz w:val="16"/>
              </w:rPr>
              <w:t>Samsung</w:t>
            </w:r>
          </w:p>
        </w:tc>
        <w:tc>
          <w:tcPr>
            <w:tcW w:type="dxa" w:w="2160"/>
            <w:tcMar>
              <w:top w:w="36" w:type="dxa"/>
              <w:bottom w:w="36" w:type="dxa"/>
              <w:left w:w="96" w:type="dxa"/>
              <w:right w:w="96" w:type="dxa"/>
            </w:tcMar>
          </w:tcPr>
          <w:p>
            <w:pPr>
              <w:spacing w:after="0" w:before="0"/>
              <w:jc w:val="left"/>
            </w:pPr>
            <w:r>
              <w:rPr>
                <w:rFonts w:ascii="Arial" w:hAnsi="Arial"/>
                <w:b w:val="0"/>
                <w:i w:val="0"/>
                <w:sz w:val="16"/>
              </w:rPr>
              <w:t>#1 brand</w:t>
            </w:r>
          </w:p>
        </w:tc>
        <w:tc>
          <w:tcPr>
            <w:tcW w:type="dxa" w:w="2160"/>
            <w:tcMar>
              <w:top w:w="36" w:type="dxa"/>
              <w:bottom w:w="36" w:type="dxa"/>
              <w:left w:w="96" w:type="dxa"/>
              <w:right w:w="96" w:type="dxa"/>
            </w:tcMar>
          </w:tcPr>
          <w:p>
            <w:pPr>
              <w:spacing w:after="0" w:before="0"/>
              <w:jc w:val="left"/>
            </w:pPr>
            <w:r>
              <w:rPr>
                <w:rFonts w:ascii="Arial" w:hAnsi="Arial"/>
                <w:b w:val="0"/>
                <w:i w:val="0"/>
                <w:sz w:val="16"/>
              </w:rPr>
              <w:t>but loss-making in Q4-25</w:t>
            </w:r>
          </w:p>
        </w:tc>
      </w:tr>
    </w:tbl>
    <w:p>
      <w:pPr>
        <w:spacing w:after="80"/>
      </w:pPr>
    </w:p>
    <w:p>
      <w:pPr>
        <w:spacing w:after="80" w:before="0" w:line="274" w:lineRule="auto"/>
        <w:jc w:val="both"/>
      </w:pPr>
      <w:r>
        <w:rPr>
          <w:rFonts w:ascii="Arial" w:hAnsi="Arial"/>
          <w:b w:val="0"/>
          <w:i/>
          <w:sz w:val="16"/>
        </w:rPr>
        <w:t>C.2  Principal risks</w:t>
      </w:r>
    </w:p>
    <w:p>
      <w:pPr>
        <w:pStyle w:val="ListBullet"/>
        <w:spacing w:after="120" w:before="0" w:line="274" w:lineRule="auto"/>
      </w:pPr>
      <w:r>
        <w:rPr>
          <w:rFonts w:ascii="Arial" w:hAnsi="Arial"/>
          <w:b/>
          <w:i w:val="0"/>
          <w:sz w:val="16"/>
        </w:rPr>
        <w:t>Memory-cycle reversion</w:t>
      </w:r>
      <w:r>
        <w:rPr>
          <w:rFonts w:ascii="Arial" w:hAnsi="Arial"/>
          <w:b w:val="0"/>
          <w:i w:val="0"/>
          <w:sz w:val="16"/>
        </w:rPr>
        <w:t xml:space="preserve"> — the dominant risk; ~94% profit concentration means a memory downturn has no offset elsewhere.</w:t>
      </w:r>
    </w:p>
    <w:p>
      <w:pPr>
        <w:pStyle w:val="ListBullet"/>
        <w:spacing w:after="120" w:before="0" w:line="274" w:lineRule="auto"/>
      </w:pPr>
      <w:r>
        <w:rPr>
          <w:rFonts w:ascii="Arial" w:hAnsi="Arial"/>
          <w:b/>
          <w:i w:val="0"/>
          <w:sz w:val="16"/>
        </w:rPr>
        <w:t>HBM competitive loss</w:t>
      </w:r>
      <w:r>
        <w:rPr>
          <w:rFonts w:ascii="Arial" w:hAnsi="Arial"/>
          <w:b w:val="0"/>
          <w:i w:val="0"/>
          <w:sz w:val="16"/>
        </w:rPr>
        <w:t xml:space="preserve"> — failure to close the gap with SK Hynix leaves Samsung the value player while the rival keeps the highest-margin demand.</w:t>
      </w:r>
    </w:p>
    <w:p>
      <w:pPr>
        <w:pStyle w:val="ListBullet"/>
        <w:spacing w:after="120" w:before="0" w:line="274" w:lineRule="auto"/>
      </w:pPr>
      <w:r>
        <w:rPr>
          <w:rFonts w:ascii="Arial" w:hAnsi="Arial"/>
          <w:b/>
          <w:i w:val="0"/>
          <w:sz w:val="16"/>
        </w:rPr>
        <w:t>Capex intensity</w:t>
      </w:r>
      <w:r>
        <w:rPr>
          <w:rFonts w:ascii="Arial" w:hAnsi="Arial"/>
          <w:b w:val="0"/>
          <w:i w:val="0"/>
          <w:sz w:val="16"/>
        </w:rPr>
        <w:t xml:space="preserve"> — ~KRW 100tn/yr depresses free cash flow and, in a downturn, becomes a heavy fixed commitment.</w:t>
      </w:r>
    </w:p>
    <w:p>
      <w:pPr>
        <w:pStyle w:val="ListBullet"/>
        <w:spacing w:after="120" w:before="0" w:line="274" w:lineRule="auto"/>
      </w:pPr>
      <w:r>
        <w:rPr>
          <w:rFonts w:ascii="Arial" w:hAnsi="Arial"/>
          <w:b/>
          <w:i w:val="0"/>
          <w:sz w:val="16"/>
        </w:rPr>
        <w:t>Geopolitics &amp; trade</w:t>
      </w:r>
      <w:r>
        <w:rPr>
          <w:rFonts w:ascii="Arial" w:hAnsi="Arial"/>
          <w:b w:val="0"/>
          <w:i w:val="0"/>
          <w:sz w:val="16"/>
        </w:rPr>
        <w:t xml:space="preserve"> — US export controls, Section-232/tariff actions and China exposure can disrupt both demand and supply.</w:t>
      </w:r>
    </w:p>
    <w:p>
      <w:pPr>
        <w:pStyle w:val="ListBullet"/>
        <w:spacing w:after="120" w:before="0" w:line="274" w:lineRule="auto"/>
      </w:pPr>
      <w:r>
        <w:rPr>
          <w:rFonts w:ascii="Arial" w:hAnsi="Arial"/>
          <w:b/>
          <w:i w:val="0"/>
          <w:sz w:val="16"/>
        </w:rPr>
        <w:t>Korea-specific</w:t>
      </w:r>
      <w:r>
        <w:rPr>
          <w:rFonts w:ascii="Arial" w:hAnsi="Arial"/>
          <w:b w:val="0"/>
          <w:i w:val="0"/>
          <w:sz w:val="16"/>
        </w:rPr>
        <w:t xml:space="preserve"> — the won (USD/KRW translation), the unresolved union dispute and the governance/value-up agenda cut both ways.</w:t>
      </w:r>
    </w:p>
    <w:p>
      <w:pPr>
        <w:pStyle w:val="ListBullet"/>
        <w:spacing w:after="120" w:before="0" w:line="274" w:lineRule="auto"/>
      </w:pPr>
      <w:r>
        <w:rPr>
          <w:rFonts w:ascii="Arial" w:hAnsi="Arial"/>
          <w:b/>
          <w:i w:val="0"/>
          <w:sz w:val="16"/>
        </w:rPr>
        <w:t>Valuation / sentiment</w:t>
      </w:r>
      <w:r>
        <w:rPr>
          <w:rFonts w:ascii="Arial" w:hAnsi="Arial"/>
          <w:b w:val="0"/>
          <w:i w:val="0"/>
          <w:sz w:val="16"/>
        </w:rPr>
        <w:t xml:space="preserve"> — priced for the bull case; a shift in AI-capex sentiment could de-rate the multiple quickly.</w:t>
      </w:r>
    </w:p>
    <w:p>
      <w:pPr>
        <w:spacing w:after="140" w:before="280" w:line="274" w:lineRule="auto"/>
        <w:pBdr>
          <w:bottom w:val="single" w:sz="12" w:space="4" w:color="C0A45F"/>
        </w:pBdr>
      </w:pPr>
      <w:r>
        <w:rPr>
          <w:rFonts w:ascii="Arial" w:hAnsi="Arial"/>
          <w:b/>
          <w:i w:val="0"/>
          <w:color w:val="1C3A36"/>
          <w:sz w:val="26"/>
        </w:rPr>
        <w:t>About this series</w:t>
      </w:r>
    </w:p>
    <w:p>
      <w:pPr>
        <w:spacing w:after="120" w:before="0" w:line="274" w:lineRule="auto"/>
        <w:jc w:val="both"/>
      </w:pPr>
      <w:r>
        <w:rPr>
          <w:rFonts w:ascii="Arial" w:hAnsi="Arial"/>
          <w:b w:val="0"/>
          <w:i w:val="0"/>
          <w:sz w:val="16"/>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after="140" w:before="280" w:line="274" w:lineRule="auto"/>
        <w:pBdr>
          <w:bottom w:val="single" w:sz="12" w:space="4" w:color="C0A45F"/>
        </w:pBdr>
      </w:pPr>
      <w:r>
        <w:rPr>
          <w:rFonts w:ascii="Arial" w:hAnsi="Arial"/>
          <w:b/>
          <w:i w:val="0"/>
          <w:color w:val="1C3A36"/>
          <w:sz w:val="26"/>
        </w:rPr>
        <w:t>Disclosure &amp; Disclaimer</w:t>
      </w:r>
    </w:p>
    <w:p>
      <w:pPr>
        <w:spacing w:after="100" w:line="254" w:lineRule="auto"/>
      </w:pPr>
      <w:r>
        <w:rPr>
          <w:rFonts w:ascii="Arial" w:hAnsi="Arial"/>
          <w:b/>
          <w:sz w:val="16"/>
        </w:rPr>
        <w:t xml:space="preserve">*Not investment advice.* </w:t>
      </w:r>
      <w:r>
        <w:rPr>
          <w:rFonts w:ascii="Arial" w:hAnsi="Arial"/>
          <w:sz w:val="16"/>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line="254" w:lineRule="auto"/>
      </w:pPr>
      <w:r>
        <w:rPr>
          <w:rFonts w:ascii="Arial" w:hAnsi="Arial"/>
          <w:b/>
          <w:sz w:val="16"/>
        </w:rPr>
        <w:t xml:space="preserve">*No licence; no advisory relationship.* </w:t>
      </w:r>
      <w:r>
        <w:rPr>
          <w:rFonts w:ascii="Arial" w:hAnsi="Arial"/>
          <w:sz w:val="16"/>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00" w:line="254" w:lineRule="auto"/>
      </w:pPr>
      <w:r>
        <w:rPr>
          <w:rFonts w:ascii="Arial" w:hAnsi="Arial"/>
          <w:b/>
          <w:sz w:val="16"/>
        </w:rPr>
        <w:t xml:space="preserve">*Holdings disclosure.* </w:t>
      </w:r>
      <w:r>
        <w:rPr>
          <w:rFonts w:ascii="Arial" w:hAnsi="Arial"/>
          <w:sz w:val="16"/>
        </w:rPr>
        <w:t>The preparer may hold, and may in the future take or dispose of, a position in the security discussed in this report, and may transact at any time without notice. This is a potential conflict of interest you should weigh.</w:t>
      </w:r>
    </w:p>
    <w:p>
      <w:pPr>
        <w:spacing w:after="100" w:line="254" w:lineRule="auto"/>
      </w:pPr>
      <w:r>
        <w:rPr>
          <w:rFonts w:ascii="Arial" w:hAnsi="Arial"/>
          <w:b/>
          <w:sz w:val="16"/>
        </w:rPr>
        <w:t xml:space="preserve">*Sources &amp; accuracy.* </w:t>
      </w:r>
      <w:r>
        <w:rPr>
          <w:rFonts w:ascii="Arial" w:hAnsi="Arial"/>
          <w:sz w:val="16"/>
        </w:rPr>
        <w:t>Reported financial and operating figures are drawn from Samsung's public disclosure and other public sources believed reliable but not independently verified; they may contain errors or be superseded. Forward-looking inputs — projections, normalisation, multiples, the DCF and Monte-Carlo factor probabilities — are the preparer's own judgments and are inherently uncertain.</w:t>
      </w:r>
    </w:p>
    <w:p>
      <w:pPr>
        <w:spacing w:after="100" w:line="254" w:lineRule="auto"/>
      </w:pPr>
      <w:r>
        <w:rPr>
          <w:rFonts w:ascii="Arial" w:hAnsi="Arial"/>
          <w:b/>
          <w:sz w:val="16"/>
        </w:rPr>
        <w:t xml:space="preserve">*Forward-looking statements.* </w:t>
      </w:r>
      <w:r>
        <w:rPr>
          <w:rFonts w:ascii="Arial" w:hAnsi="Arial"/>
          <w:sz w:val="16"/>
        </w:rPr>
        <w:t>Any statements about the future are estimates subject to risks and uncertainties; actual results may differ materially. The Monte Carlo models price, not value, and encodes subjective probabilities for events that have not occurred.</w:t>
      </w:r>
    </w:p>
    <w:p>
      <w:pPr>
        <w:spacing w:after="100" w:line="254" w:lineRule="auto"/>
      </w:pPr>
      <w:r>
        <w:rPr>
          <w:rFonts w:ascii="Arial" w:hAnsi="Arial"/>
          <w:b/>
          <w:sz w:val="16"/>
        </w:rPr>
        <w:t xml:space="preserve">*No reliance; your responsibility.* </w:t>
      </w:r>
      <w:r>
        <w:rPr>
          <w:rFonts w:ascii="Arial" w:hAnsi="Arial"/>
          <w:sz w:val="16"/>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line="254" w:lineRule="auto"/>
      </w:pPr>
      <w:r>
        <w:rPr>
          <w:rFonts w:ascii="Arial" w:hAnsi="Arial"/>
          <w:b/>
          <w:sz w:val="16"/>
        </w:rPr>
        <w:t xml:space="preserve">*Currency &amp; figures.* </w:t>
      </w:r>
      <w:r>
        <w:rPr>
          <w:rFonts w:ascii="Arial" w:hAnsi="Arial"/>
          <w:sz w:val="16"/>
        </w:rPr>
        <w:t>All figures are in Korean won (KRW) unless stated; tn denotes trillion. Rounding may cause totals to differ slightly. Spot price and market data are as of 26 June 2026 and change continuously.</w:t>
      </w:r>
    </w:p>
    <w:p>
      <w:pPr>
        <w:spacing w:after="120" w:before="160" w:line="274" w:lineRule="auto"/>
      </w:pPr>
      <w:r>
        <w:rPr>
          <w:rFonts w:ascii="Arial" w:hAnsi="Arial"/>
          <w:b w:val="0"/>
          <w:i/>
          <w:sz w:val="16"/>
        </w:rPr>
        <w:t>TESTAHIL · Independent Valuation Study · Educational Analysis · Samsung Electronics (KRX: 005930) · edition 27-06-2026 · reporting currency KRW</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3120"/>
      <w:gridCol w:w="3120"/>
      <w:gridCol w:w="3120"/>
    </w:tblGrid>
    <w:tr>
      <w:tc>
        <w:tcPr>
          <w:tcW w:type="dxa" w:w="1872"/>
          <w:tcBorders>
            <w:top w:val="single" w:sz="8" w:space="4" w:color="DCE0DF"/>
          </w:tcBorders>
          <w:tcMar>
            <w:top w:w="26" w:type="dxa"/>
            <w:bottom w:w="0" w:type="dxa"/>
            <w:left w:w="0" w:type="dxa"/>
            <w:right w:w="0" w:type="dxa"/>
          </w:tcMar>
        </w:tcPr>
        <w:p>
          <w:pPr>
            <w:spacing w:after="0"/>
            <w:jc w:val="left"/>
          </w:pPr>
          <w:r>
            <w:rPr>
              <w:rFonts w:ascii="Arial" w:hAnsi="Arial"/>
              <w:b w:val="0"/>
              <w:i w:val="0"/>
              <w:color w:val="63706C"/>
              <w:sz w:val="14"/>
            </w:rPr>
            <w:t>testahil.com</w:t>
          </w:r>
        </w:p>
      </w:tc>
      <w:tc>
        <w:tcPr>
          <w:tcW w:type="dxa" w:w="5616"/>
          <w:tcBorders>
            <w:top w:val="single" w:sz="8" w:space="4" w:color="DCE0DF"/>
          </w:tcBorders>
          <w:tcMar>
            <w:top w:w="26" w:type="dxa"/>
            <w:bottom w:w="0" w:type="dxa"/>
            <w:left w:w="0" w:type="dxa"/>
            <w:right w:w="0" w:type="dxa"/>
          </w:tcMar>
        </w:tcPr>
        <w:p>
          <w:pPr>
            <w:spacing w:after="0"/>
            <w:jc w:val="center"/>
          </w:pPr>
          <w:r>
            <w:rPr>
              <w:rFonts w:ascii="Arial" w:hAnsi="Arial"/>
              <w:b w:val="0"/>
              <w:i w:val="0"/>
              <w:color w:val="63706C"/>
              <w:sz w:val="14"/>
            </w:rPr>
            <w:t>Samsung Electronics (KRX: 005930) — Independent Valuation Study</w:t>
          </w:r>
        </w:p>
      </w:tc>
      <w:tc>
        <w:tcPr>
          <w:tcW w:type="dxa" w:w="1872"/>
          <w:tcBorders>
            <w:top w:val="single" w:sz="8" w:space="4" w:color="DCE0DF"/>
          </w:tcBorders>
          <w:tcMar>
            <w:top w:w="26" w:type="dxa"/>
            <w:bottom w:w="0" w:type="dxa"/>
            <w:left w:w="0" w:type="dxa"/>
            <w:right w:w="0" w:type="dxa"/>
          </w:tcMar>
        </w:tcPr>
        <w:p>
          <w:pPr>
            <w:spacing w:after="0"/>
            <w:jc w:val="right"/>
          </w:pPr>
          <w:r>
            <w:rPr>
              <w:rFonts w:ascii="Arial" w:hAnsi="Arial"/>
              <w:color w:val="63706C"/>
              <w:sz w:val="14"/>
            </w:rPr>
            <w:t xml:space="preserve">Page </w:t>
          </w:r>
          <w:fldSimple w:instr=" PAGE ">
            <w:r>
              <w:rPr>
                <w:rFonts w:ascii="Arial" w:hAnsi="Arial"/>
                <w:sz w:val="14"/>
                <w:color w:val="63706C"/>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6768"/>
          <w:tcBorders>
            <w:bottom w:val="single" w:sz="8" w:space="4" w:color="C0A45F"/>
          </w:tcBorders>
          <w:tcMar>
            <w:top w:w="0" w:type="dxa"/>
            <w:bottom w:w="26" w:type="dxa"/>
            <w:left w:w="0" w:type="dxa"/>
            <w:right w:w="0" w:type="dxa"/>
          </w:tcMar>
        </w:tcPr>
        <w:p>
          <w:pPr>
            <w:spacing w:after="0"/>
            <w:jc w:val="left"/>
          </w:pPr>
          <w:r>
            <w:rPr>
              <w:rFonts w:ascii="Arial" w:hAnsi="Arial"/>
              <w:b/>
              <w:i w:val="0"/>
              <w:color w:val="63706C"/>
              <w:sz w:val="14"/>
            </w:rPr>
            <w:t>Testahil</w:t>
          </w:r>
          <w:r>
            <w:rPr>
              <w:rFonts w:ascii="Arial" w:hAnsi="Arial"/>
              <w:b w:val="0"/>
              <w:i w:val="0"/>
              <w:color w:val="63706C"/>
              <w:sz w:val="14"/>
            </w:rPr>
            <w:t xml:space="preserve">  ·  Independent Valuation Study — Educational Analysis</w:t>
          </w:r>
        </w:p>
      </w:tc>
      <w:tc>
        <w:tcPr>
          <w:tcW w:type="dxa" w:w="2592"/>
          <w:tcBorders>
            <w:bottom w:val="single" w:sz="8" w:space="4" w:color="C0A45F"/>
          </w:tcBorders>
          <w:tcMar>
            <w:top w:w="0" w:type="dxa"/>
            <w:bottom w:w="26" w:type="dxa"/>
            <w:left w:w="0" w:type="dxa"/>
            <w:right w:w="0" w:type="dxa"/>
          </w:tcMar>
        </w:tcPr>
        <w:p>
          <w:pPr>
            <w:spacing w:after="0"/>
            <w:jc w:val="right"/>
          </w:pPr>
          <w:r>
            <w:rPr>
              <w:rFonts w:ascii="Arial" w:hAnsi="Arial"/>
              <w:b w:val="0"/>
              <w:i/>
              <w:color w:val="63706C"/>
              <w:sz w:val="14"/>
            </w:rPr>
            <w:t>Not investment advice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222222"/>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