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5398"/>
        <w:tblBorders>
          <w:top w:val="none" w:color="FFFFFF" w:sz="0"/>
          <w:left w:val="none" w:color="FFFFFF" w:sz="0"/>
          <w:bottom w:val="none" w:color="FFFFFF" w:sz="0"/>
          <w:right w:val="none" w:color="FFFFFF" w:sz="0"/>
          <w:insideH w:val="none" w:color="FFFFFF" w:sz="0"/>
          <w:insideV w:val="none" w:color="FFFFFF" w:sz="0"/>
        </w:tblBorders>
      </w:tblPr>
      <w:tblGrid>
        <w:gridCol w:w="11198"/>
        <w:gridCol w:w="4200"/>
      </w:tblGrid>
      <w:tr>
        <w:tc>
          <w:tcPr>
            <w:tcW w:type="dxa" w:w="11198"/>
            <w:tcMar>
              <w:top w:type="dxa" w:w="0"/>
              <w:left w:type="dxa" w:w="0"/>
              <w:bottom w:type="dxa" w:w="0"/>
              <w:right w:type="dxa" w:w="240"/>
            </w:tcMar>
            <w:vAlign w:val="bottom"/>
          </w:tcPr>
          <w:p>
            <w:pPr>
              <w:spacing w:after="70" w:before="0" w:line="250"/>
            </w:pPr>
            <w:r>
              <w:rPr>
                <w:rFonts w:ascii="Consolas" w:cs="Consolas" w:eastAsia="Consolas" w:hAnsi="Consolas"/>
                <w:b w:val="false"/>
                <w:bCs w:val="false"/>
                <w:i w:val="false"/>
                <w:iCs w:val="false"/>
                <w:caps/>
                <w:color w:val="697687"/>
                <w:spacing w:val="16"/>
                <w:sz w:val="15"/>
                <w:szCs w:val="15"/>
              </w:rPr>
              <w:t xml:space="preserve">Operating card · nine subagents</w:t>
            </w:r>
          </w:p>
          <w:p>
            <w:pPr>
              <w:spacing w:after="70" w:before="0" w:line="250"/>
            </w:pPr>
            <w:r>
              <w:rPr>
                <w:rFonts w:ascii="Georgia" w:cs="Georgia" w:eastAsia="Georgia" w:hAnsi="Georgia"/>
                <w:b/>
                <w:bCs/>
                <w:i w:val="false"/>
                <w:iCs w:val="false"/>
                <w:caps w:val="false"/>
                <w:color w:val="141C26"/>
                <w:sz w:val="34"/>
                <w:szCs w:val="34"/>
              </w:rPr>
              <w:t xml:space="preserve">TESTAHIL Agent Card</w:t>
            </w:r>
          </w:p>
          <w:p>
            <w:pPr>
              <w:spacing w:after="0" w:before="0" w:line="250"/>
            </w:pPr>
            <w:r>
              <w:rPr>
                <w:rFonts w:ascii="Calibri" w:cs="Calibri" w:eastAsia="Calibri" w:hAnsi="Calibri"/>
                <w:b w:val="false"/>
                <w:bCs w:val="false"/>
                <w:i w:val="false"/>
                <w:iCs w:val="false"/>
                <w:caps w:val="false"/>
                <w:color w:val="3D4855"/>
                <w:sz w:val="18"/>
                <w:szCs w:val="18"/>
              </w:rPr>
              <w:t xml:space="preserve">Say the task in plain words; the main session routes it to the agent whose description matches, the agent works alone in a fresh context, and its report comes back to you. Name the agent only where a request reads two ways.</w:t>
            </w:r>
          </w:p>
        </w:tc>
        <w:tc>
          <w:tcPr>
            <w:tcW w:type="dxa" w:w="4200"/>
            <w:tcMar>
              <w:top w:type="dxa" w:w="0"/>
              <w:left w:type="dxa" w:w="0"/>
              <w:bottom w:type="dxa" w:w="0"/>
              <w:right w:type="dxa" w:w="0"/>
            </w:tcMar>
            <w:vAlign w:val="bottom"/>
          </w:tcPr>
          <w:p>
            <w:pPr>
              <w:spacing w:after="30" w:before="0" w:line="250"/>
              <w:jc w:val="right"/>
            </w:pPr>
            <w:r>
              <w:rPr>
                <w:rFonts w:ascii="Consolas" w:cs="Consolas" w:eastAsia="Consolas" w:hAnsi="Consolas"/>
                <w:b w:val="false"/>
                <w:bCs w:val="false"/>
                <w:i w:val="false"/>
                <w:iCs w:val="false"/>
                <w:caps w:val="false"/>
                <w:color w:val="697687"/>
                <w:sz w:val="16"/>
                <w:szCs w:val="16"/>
              </w:rPr>
              <w:t xml:space="preserve">stored in </w:t>
            </w:r>
            <w:r>
              <w:rPr>
                <w:rFonts w:ascii="Consolas" w:cs="Consolas" w:eastAsia="Consolas" w:hAnsi="Consolas"/>
                <w:b/>
                <w:bCs/>
                <w:i w:val="false"/>
                <w:iCs w:val="false"/>
                <w:caps w:val="false"/>
                <w:color w:val="141C26"/>
                <w:sz w:val="16"/>
                <w:szCs w:val="16"/>
              </w:rPr>
              <w:t xml:space="preserve">.claude/agents/</w:t>
            </w:r>
          </w:p>
          <w:p>
            <w:pPr>
              <w:spacing w:after="30" w:before="0" w:line="250"/>
              <w:jc w:val="right"/>
            </w:pPr>
            <w:r>
              <w:rPr>
                <w:rFonts w:ascii="Consolas" w:cs="Consolas" w:eastAsia="Consolas" w:hAnsi="Consolas"/>
                <w:b w:val="false"/>
                <w:bCs w:val="false"/>
                <w:i w:val="false"/>
                <w:iCs w:val="false"/>
                <w:caps w:val="false"/>
                <w:color w:val="697687"/>
                <w:sz w:val="16"/>
                <w:szCs w:val="16"/>
              </w:rPr>
              <w:t xml:space="preserve">loaded from </w:t>
            </w:r>
            <w:r>
              <w:rPr>
                <w:rFonts w:ascii="Consolas" w:cs="Consolas" w:eastAsia="Consolas" w:hAnsi="Consolas"/>
                <w:b/>
                <w:bCs/>
                <w:i w:val="false"/>
                <w:iCs w:val="false"/>
                <w:caps w:val="false"/>
                <w:color w:val="141C26"/>
                <w:sz w:val="16"/>
                <w:szCs w:val="16"/>
              </w:rPr>
              <w:t xml:space="preserve">main</w:t>
            </w:r>
            <w:r>
              <w:rPr>
                <w:rFonts w:ascii="Consolas" w:cs="Consolas" w:eastAsia="Consolas" w:hAnsi="Consolas"/>
                <w:b w:val="false"/>
                <w:bCs w:val="false"/>
                <w:i w:val="false"/>
                <w:iCs w:val="false"/>
                <w:caps w:val="false"/>
                <w:color w:val="697687"/>
                <w:sz w:val="16"/>
                <w:szCs w:val="16"/>
              </w:rPr>
              <w:t xml:space="preserve"> at session start</w:t>
            </w:r>
          </w:p>
          <w:p>
            <w:pPr>
              <w:spacing w:after="0" w:before="0" w:line="250"/>
              <w:jc w:val="right"/>
            </w:pPr>
            <w:r>
              <w:rPr>
                <w:rFonts w:ascii="Consolas" w:cs="Consolas" w:eastAsia="Consolas" w:hAnsi="Consolas"/>
                <w:b w:val="false"/>
                <w:bCs w:val="false"/>
                <w:i w:val="false"/>
                <w:iCs w:val="false"/>
                <w:caps w:val="false"/>
                <w:color w:val="697687"/>
                <w:sz w:val="16"/>
                <w:szCs w:val="16"/>
              </w:rPr>
              <w:t xml:space="preserve">inspect or edit with </w:t>
            </w:r>
            <w:r>
              <w:rPr>
                <w:rFonts w:ascii="Consolas" w:cs="Consolas" w:eastAsia="Consolas" w:hAnsi="Consolas"/>
                <w:b/>
                <w:bCs/>
                <w:i w:val="false"/>
                <w:iCs w:val="false"/>
                <w:caps w:val="false"/>
                <w:color w:val="141C26"/>
                <w:sz w:val="16"/>
                <w:szCs w:val="16"/>
              </w:rPr>
              <w:t xml:space="preserve">/agents</w:t>
            </w:r>
          </w:p>
        </w:tc>
      </w:tr>
    </w:tbl>
    <w:p>
      <w:pPr>
        <w:pBdr>
          <w:bottom w:val="single" w:color="D8DDE5" w:sz="4"/>
        </w:pBdr>
        <w:spacing w:after="0" w:before="0" w:line="120"/>
      </w:pPr>
      <w:r>
        <w:rPr>
          <w:rFonts w:ascii="Calibri" w:cs="Calibri" w:eastAsia="Calibri" w:hAnsi="Calibri"/>
          <w:b w:val="false"/>
          <w:bCs w:val="false"/>
          <w:i w:val="false"/>
          <w:iCs w:val="false"/>
          <w:caps w:val="false"/>
          <w:color w:val="141C26"/>
          <w:sz w:val="18"/>
          <w:szCs w:val="18"/>
        </w:rPr>
        <w:t xml:space="preserve"/>
      </w:r>
    </w:p>
    <w:p>
      <w:pPr>
        <w:keepNext/>
        <w:spacing w:after="70" w:before="80" w:line="250"/>
      </w:pPr>
      <w:r>
        <w:rPr>
          <w:rFonts w:ascii="Georgia" w:cs="Georgia" w:eastAsia="Georgia" w:hAnsi="Georgia"/>
          <w:b/>
          <w:bCs/>
          <w:i w:val="false"/>
          <w:iCs w:val="false"/>
          <w:caps w:val="false"/>
          <w:color w:val="141C26"/>
          <w:sz w:val="28"/>
          <w:szCs w:val="28"/>
        </w:rPr>
        <w:t xml:space="preserve">What to say</w:t>
      </w:r>
      <w:r>
        <w:rPr>
          <w:rFonts w:ascii="Calibri" w:cs="Calibri" w:eastAsia="Calibri" w:hAnsi="Calibri"/>
          <w:b w:val="false"/>
          <w:bCs w:val="false"/>
          <w:i w:val="false"/>
          <w:iCs w:val="false"/>
          <w:caps w:val="false"/>
          <w:color w:val="697687"/>
          <w:sz w:val="17"/>
          <w:szCs w:val="17"/>
        </w:rPr>
        <w:t xml:space="preserve">     the words in the middle column are what the router matches on</w:t>
      </w:r>
    </w:p>
    <w:tbl>
      <w:tblPr>
        <w:tblW w:type="dxa" w:w="15398"/>
        <w:tblBorders>
          <w:top w:val="single" w:color="D8DDE5" w:sz="4"/>
          <w:left w:val="single" w:color="D8DDE5" w:sz="4"/>
          <w:bottom w:val="single" w:color="D8DDE5" w:sz="4"/>
          <w:right w:val="single" w:color="D8DDE5" w:sz="4"/>
          <w:insideH w:val="single" w:color="EBEEF3" w:sz="4"/>
          <w:insideV w:val="none" w:color="FFFFFF" w:sz="0"/>
        </w:tblBorders>
      </w:tblPr>
      <w:tblGrid>
        <w:gridCol w:w="1750"/>
        <w:gridCol w:w="4150"/>
        <w:gridCol w:w="3500"/>
        <w:gridCol w:w="5998"/>
      </w:tblGrid>
      <w:tr>
        <w:trPr>
          <w:tblHeader/>
        </w:trPr>
        <w:tc>
          <w:tcPr>
            <w:tcW w:type="dxa" w:w="1750"/>
            <w:tcBorders>
              <w:top w:val="none" w:color="FFFFFF" w:sz="0"/>
              <w:left w:val="none" w:color="FFFFFF" w:sz="0"/>
              <w:bottom w:val="none" w:color="FFFFFF" w:sz="0"/>
              <w:right w:val="none" w:color="FFFFFF" w:sz="0"/>
            </w:tcBorders>
            <w:shd w:fill="E8EBF0" w:color="auto" w:val="clear"/>
            <w:tcMar>
              <w:top w:type="dxa" w:w="55"/>
              <w:left w:type="dxa" w:w="118"/>
              <w:bottom w:type="dxa" w:w="55"/>
              <w:right w:type="dxa" w:w="118"/>
            </w:tcMar>
          </w:tcPr>
          <w:p>
            <w:pPr>
              <w:spacing w:after="0" w:before="0" w:line="250"/>
            </w:pPr>
            <w:r>
              <w:rPr>
                <w:rFonts w:ascii="Consolas" w:cs="Consolas" w:eastAsia="Consolas" w:hAnsi="Consolas"/>
                <w:b w:val="false"/>
                <w:bCs w:val="false"/>
                <w:i w:val="false"/>
                <w:iCs w:val="false"/>
                <w:caps/>
                <w:color w:val="697687"/>
                <w:spacing w:val="14"/>
                <w:sz w:val="15"/>
                <w:szCs w:val="15"/>
              </w:rPr>
              <w:t xml:space="preserve">Task</w:t>
            </w:r>
          </w:p>
        </w:tc>
        <w:tc>
          <w:tcPr>
            <w:tcW w:type="dxa" w:w="4150"/>
            <w:tcBorders>
              <w:top w:val="none" w:color="FFFFFF" w:sz="0"/>
              <w:left w:val="none" w:color="FFFFFF" w:sz="0"/>
              <w:bottom w:val="none" w:color="FFFFFF" w:sz="0"/>
              <w:right w:val="none" w:color="FFFFFF" w:sz="0"/>
            </w:tcBorders>
            <w:shd w:fill="E8EBF0" w:color="auto" w:val="clear"/>
            <w:tcMar>
              <w:top w:type="dxa" w:w="55"/>
              <w:left w:type="dxa" w:w="118"/>
              <w:bottom w:type="dxa" w:w="55"/>
              <w:right w:type="dxa" w:w="118"/>
            </w:tcMar>
          </w:tcPr>
          <w:p>
            <w:pPr>
              <w:spacing w:after="0" w:before="0" w:line="250"/>
            </w:pPr>
            <w:r>
              <w:rPr>
                <w:rFonts w:ascii="Consolas" w:cs="Consolas" w:eastAsia="Consolas" w:hAnsi="Consolas"/>
                <w:b w:val="false"/>
                <w:bCs w:val="false"/>
                <w:i w:val="false"/>
                <w:iCs w:val="false"/>
                <w:caps/>
                <w:color w:val="697687"/>
                <w:spacing w:val="14"/>
                <w:sz w:val="15"/>
                <w:szCs w:val="15"/>
              </w:rPr>
              <w:t xml:space="preserve">Say this</w:t>
            </w:r>
          </w:p>
        </w:tc>
        <w:tc>
          <w:tcPr>
            <w:tcW w:type="dxa" w:w="3500"/>
            <w:tcBorders>
              <w:top w:val="none" w:color="FFFFFF" w:sz="0"/>
              <w:left w:val="none" w:color="FFFFFF" w:sz="0"/>
              <w:bottom w:val="none" w:color="FFFFFF" w:sz="0"/>
              <w:right w:val="none" w:color="FFFFFF" w:sz="0"/>
            </w:tcBorders>
            <w:shd w:fill="E8EBF0" w:color="auto" w:val="clear"/>
            <w:tcMar>
              <w:top w:type="dxa" w:w="55"/>
              <w:left w:type="dxa" w:w="118"/>
              <w:bottom w:type="dxa" w:w="55"/>
              <w:right w:type="dxa" w:w="118"/>
            </w:tcMar>
          </w:tcPr>
          <w:p>
            <w:pPr>
              <w:spacing w:after="0" w:before="0" w:line="250"/>
            </w:pPr>
            <w:r>
              <w:rPr>
                <w:rFonts w:ascii="Consolas" w:cs="Consolas" w:eastAsia="Consolas" w:hAnsi="Consolas"/>
                <w:b w:val="false"/>
                <w:bCs w:val="false"/>
                <w:i w:val="false"/>
                <w:iCs w:val="false"/>
                <w:caps/>
                <w:color w:val="697687"/>
                <w:spacing w:val="14"/>
                <w:sz w:val="15"/>
                <w:szCs w:val="15"/>
              </w:rPr>
              <w:t xml:space="preserve">Agent</w:t>
            </w:r>
          </w:p>
        </w:tc>
        <w:tc>
          <w:tcPr>
            <w:tcW w:type="dxa" w:w="5998"/>
            <w:tcBorders>
              <w:top w:val="none" w:color="FFFFFF" w:sz="0"/>
              <w:left w:val="none" w:color="FFFFFF" w:sz="0"/>
              <w:bottom w:val="none" w:color="FFFFFF" w:sz="0"/>
              <w:right w:val="none" w:color="FFFFFF" w:sz="0"/>
            </w:tcBorders>
            <w:shd w:fill="E8EBF0" w:color="auto" w:val="clear"/>
            <w:tcMar>
              <w:top w:type="dxa" w:w="55"/>
              <w:left w:type="dxa" w:w="118"/>
              <w:bottom w:type="dxa" w:w="55"/>
              <w:right w:type="dxa" w:w="118"/>
            </w:tcMar>
          </w:tcPr>
          <w:p>
            <w:pPr>
              <w:spacing w:after="0" w:before="0" w:line="250"/>
            </w:pPr>
            <w:r>
              <w:rPr>
                <w:rFonts w:ascii="Consolas" w:cs="Consolas" w:eastAsia="Consolas" w:hAnsi="Consolas"/>
                <w:b w:val="false"/>
                <w:bCs w:val="false"/>
                <w:i w:val="false"/>
                <w:iCs w:val="false"/>
                <w:caps/>
                <w:color w:val="697687"/>
                <w:spacing w:val="14"/>
                <w:sz w:val="15"/>
                <w:szCs w:val="15"/>
              </w:rPr>
              <w:t xml:space="preserve">What comes back · where it stops</w:t>
            </w:r>
          </w:p>
        </w:tc>
      </w:tr>
      <w:tr>
        <w:trPr>
          <w:cantSplit/>
        </w:trPr>
        <w:tc>
          <w:tcPr>
            <w:tcW w:type="dxa" w:w="1750"/>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0" w:before="0" w:line="250"/>
            </w:pPr>
            <w:r>
              <w:rPr>
                <w:rFonts w:ascii="Calibri" w:cs="Calibri" w:eastAsia="Calibri" w:hAnsi="Calibri"/>
                <w:b/>
                <w:bCs/>
                <w:i w:val="false"/>
                <w:iCs w:val="false"/>
                <w:caps w:val="false"/>
                <w:color w:val="141C26"/>
                <w:sz w:val="18"/>
                <w:szCs w:val="18"/>
              </w:rPr>
              <w:t xml:space="preserve">Is the repo clean?</w:t>
            </w:r>
          </w:p>
        </w:tc>
        <w:tc>
          <w:tcPr>
            <w:tcW w:type="dxa" w:w="4150"/>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40" w:before="0" w:line="250"/>
            </w:pPr>
            <w:r>
              <w:rPr>
                <w:rFonts w:ascii="Consolas" w:cs="Consolas" w:eastAsia="Consolas" w:hAnsi="Consolas"/>
                <w:b w:val="false"/>
                <w:bCs w:val="false"/>
                <w:i w:val="false"/>
                <w:iCs w:val="false"/>
                <w:caps w:val="false"/>
                <w:color w:val="697687"/>
                <w:sz w:val="15"/>
                <w:szCs w:val="15"/>
              </w:rPr>
              <w:t xml:space="preserve">› </w:t>
            </w:r>
            <w:r>
              <w:rPr>
                <w:rFonts w:ascii="Consolas" w:cs="Consolas" w:eastAsia="Consolas" w:hAnsi="Consolas"/>
                <w:b w:val="false"/>
                <w:bCs w:val="false"/>
                <w:i w:val="false"/>
                <w:iCs w:val="false"/>
                <w:caps w:val="false"/>
                <w:color w:val="141C26"/>
                <w:sz w:val="15"/>
                <w:szCs w:val="15"/>
              </w:rPr>
              <w:t xml:space="preserve">Run the gates before I commit</w:t>
            </w:r>
          </w:p>
          <w:p>
            <w:pPr>
              <w:spacing w:after="0" w:before="0" w:line="250"/>
            </w:pPr>
            <w:r>
              <w:rPr>
                <w:rFonts w:ascii="Consolas" w:cs="Consolas" w:eastAsia="Consolas" w:hAnsi="Consolas"/>
                <w:b w:val="false"/>
                <w:bCs w:val="false"/>
                <w:i w:val="false"/>
                <w:iCs w:val="false"/>
                <w:caps w:val="false"/>
                <w:color w:val="697687"/>
                <w:sz w:val="15"/>
                <w:szCs w:val="15"/>
              </w:rPr>
              <w:t xml:space="preserve">› </w:t>
            </w:r>
            <w:r>
              <w:rPr>
                <w:rFonts w:ascii="Consolas" w:cs="Consolas" w:eastAsia="Consolas" w:hAnsi="Consolas"/>
                <w:b w:val="false"/>
                <w:bCs w:val="false"/>
                <w:i w:val="false"/>
                <w:iCs w:val="false"/>
                <w:caps w:val="false"/>
                <w:color w:val="141C26"/>
                <w:sz w:val="15"/>
                <w:szCs w:val="15"/>
              </w:rPr>
              <w:t xml:space="preserve">Is the repo clean?</w:t>
            </w:r>
          </w:p>
        </w:tc>
        <w:tc>
          <w:tcPr>
            <w:tcW w:type="dxa" w:w="3500"/>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26" w:before="0" w:line="250"/>
            </w:pPr>
            <w:r>
              <w:rPr>
                <w:rFonts w:ascii="Consolas" w:cs="Consolas" w:eastAsia="Consolas" w:hAnsi="Consolas"/>
                <w:b/>
                <w:bCs/>
                <w:i w:val="false"/>
                <w:iCs w:val="false"/>
                <w:caps w:val="false"/>
                <w:color w:val="0E6B5E"/>
                <w:sz w:val="15"/>
                <w:szCs w:val="15"/>
              </w:rPr>
              <w:t xml:space="preserve">testahil-gate-runner</w:t>
            </w:r>
          </w:p>
          <w:p>
            <w:pPr>
              <w:spacing w:after="0" w:before="0" w:line="250"/>
            </w:pPr>
            <w:r>
              <w:rPr>
                <w:rFonts w:ascii="Consolas" w:cs="Consolas" w:eastAsia="Consolas" w:hAnsi="Consolas"/>
                <w:b w:val="false"/>
                <w:bCs w:val="false"/>
                <w:i w:val="false"/>
                <w:iCs w:val="false"/>
                <w:caps w:val="false"/>
                <w:color w:val="697687"/>
                <w:sz w:val="14"/>
                <w:szCs w:val="14"/>
              </w:rPr>
              <w:t xml:space="preserve">R-ENF-04 · mirrors CI</w:t>
            </w:r>
          </w:p>
        </w:tc>
        <w:tc>
          <w:tcPr>
            <w:tcW w:type="dxa" w:w="5998"/>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34" w:before="0" w:line="250"/>
            </w:pPr>
            <w:r>
              <w:rPr>
                <w:rFonts w:ascii="Calibri" w:cs="Calibri" w:eastAsia="Calibri" w:hAnsi="Calibri"/>
                <w:b w:val="false"/>
                <w:bCs w:val="false"/>
                <w:i w:val="false"/>
                <w:iCs w:val="false"/>
                <w:caps w:val="false"/>
                <w:color w:val="3D4855"/>
                <w:sz w:val="16"/>
                <w:szCs w:val="16"/>
              </w:rPr>
              <w:t xml:space="preserve">One table: gate · population examined · PASS / FAIL / UNRUNNABLE · the command’s own output.</w:t>
            </w:r>
          </w:p>
          <w:p>
            <w:pPr>
              <w:spacing w:after="0" w:before="0" w:line="250"/>
            </w:pPr>
            <w:r>
              <w:rPr>
                <w:rFonts w:ascii="Calibri" w:cs="Calibri" w:eastAsia="Calibri" w:hAnsi="Calibri"/>
                <w:b/>
                <w:bCs/>
                <w:i w:val="false"/>
                <w:iCs w:val="false"/>
                <w:caps w:val="false"/>
                <w:color w:val="0E6B5E"/>
                <w:sz w:val="16"/>
                <w:szCs w:val="16"/>
                <w:shd w:fill="E3F0ED" w:color="auto" w:val="clear"/>
              </w:rPr>
              <w:t xml:space="preserve"> read-only, never fixes </w:t>
            </w:r>
          </w:p>
        </w:tc>
      </w:tr>
      <w:tr>
        <w:trPr>
          <w:cantSplit/>
        </w:trPr>
        <w:tc>
          <w:tcPr>
            <w:tcW w:type="dxa" w:w="1750"/>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0" w:before="0" w:line="250"/>
            </w:pPr>
            <w:r>
              <w:rPr>
                <w:rFonts w:ascii="Calibri" w:cs="Calibri" w:eastAsia="Calibri" w:hAnsi="Calibri"/>
                <w:b/>
                <w:bCs/>
                <w:i w:val="false"/>
                <w:iCs w:val="false"/>
                <w:caps w:val="false"/>
                <w:color w:val="141C26"/>
                <w:sz w:val="18"/>
                <w:szCs w:val="18"/>
              </w:rPr>
              <w:t xml:space="preserve">Is a study deliverable?</w:t>
            </w:r>
          </w:p>
        </w:tc>
        <w:tc>
          <w:tcPr>
            <w:tcW w:type="dxa" w:w="4150"/>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40" w:before="0" w:line="250"/>
            </w:pPr>
            <w:r>
              <w:rPr>
                <w:rFonts w:ascii="Consolas" w:cs="Consolas" w:eastAsia="Consolas" w:hAnsi="Consolas"/>
                <w:b w:val="false"/>
                <w:bCs w:val="false"/>
                <w:i w:val="false"/>
                <w:iCs w:val="false"/>
                <w:caps w:val="false"/>
                <w:color w:val="697687"/>
                <w:sz w:val="15"/>
                <w:szCs w:val="15"/>
              </w:rPr>
              <w:t xml:space="preserve">› </w:t>
            </w:r>
            <w:r>
              <w:rPr>
                <w:rFonts w:ascii="Consolas" w:cs="Consolas" w:eastAsia="Consolas" w:hAnsi="Consolas"/>
                <w:b w:val="false"/>
                <w:bCs w:val="false"/>
                <w:i w:val="false"/>
                <w:iCs w:val="false"/>
                <w:caps w:val="false"/>
                <w:color w:val="141C26"/>
                <w:sz w:val="15"/>
                <w:szCs w:val="15"/>
              </w:rPr>
              <w:t xml:space="preserve">Audit the PHDC study</w:t>
            </w:r>
          </w:p>
          <w:p>
            <w:pPr>
              <w:spacing w:after="0" w:before="0" w:line="250"/>
            </w:pPr>
            <w:r>
              <w:rPr>
                <w:rFonts w:ascii="Consolas" w:cs="Consolas" w:eastAsia="Consolas" w:hAnsi="Consolas"/>
                <w:b w:val="false"/>
                <w:bCs w:val="false"/>
                <w:i w:val="false"/>
                <w:iCs w:val="false"/>
                <w:caps w:val="false"/>
                <w:color w:val="697687"/>
                <w:sz w:val="15"/>
                <w:szCs w:val="15"/>
              </w:rPr>
              <w:t xml:space="preserve">› </w:t>
            </w:r>
            <w:r>
              <w:rPr>
                <w:rFonts w:ascii="Consolas" w:cs="Consolas" w:eastAsia="Consolas" w:hAnsi="Consolas"/>
                <w:b w:val="false"/>
                <w:bCs w:val="false"/>
                <w:i w:val="false"/>
                <w:iCs w:val="false"/>
                <w:caps w:val="false"/>
                <w:color w:val="141C26"/>
                <w:sz w:val="15"/>
                <w:szCs w:val="15"/>
              </w:rPr>
              <w:t xml:space="preserve">Is the AMOC study deliverable?</w:t>
            </w:r>
          </w:p>
        </w:tc>
        <w:tc>
          <w:tcPr>
            <w:tcW w:type="dxa" w:w="3500"/>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26" w:before="0" w:line="250"/>
            </w:pPr>
            <w:r>
              <w:rPr>
                <w:rFonts w:ascii="Consolas" w:cs="Consolas" w:eastAsia="Consolas" w:hAnsi="Consolas"/>
                <w:b/>
                <w:bCs/>
                <w:i w:val="false"/>
                <w:iCs w:val="false"/>
                <w:caps w:val="false"/>
                <w:color w:val="0E6B5E"/>
                <w:sz w:val="15"/>
                <w:szCs w:val="15"/>
              </w:rPr>
              <w:t xml:space="preserve">testahil-qc-auditor</w:t>
            </w:r>
          </w:p>
          <w:p>
            <w:pPr>
              <w:spacing w:after="0" w:before="0" w:line="250"/>
            </w:pPr>
            <w:r>
              <w:rPr>
                <w:rFonts w:ascii="Consolas" w:cs="Consolas" w:eastAsia="Consolas" w:hAnsi="Consolas"/>
                <w:b w:val="false"/>
                <w:bCs w:val="false"/>
                <w:i w:val="false"/>
                <w:iCs w:val="false"/>
                <w:caps w:val="false"/>
                <w:color w:val="697687"/>
                <w:sz w:val="14"/>
                <w:szCs w:val="14"/>
              </w:rPr>
              <w:t xml:space="preserve">R-ENF-02 · R-GAP-01 · depth bar</w:t>
            </w:r>
          </w:p>
        </w:tc>
        <w:tc>
          <w:tcPr>
            <w:tcW w:type="dxa" w:w="5998"/>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34" w:before="0" w:line="250"/>
            </w:pPr>
            <w:r>
              <w:rPr>
                <w:rFonts w:ascii="Calibri" w:cs="Calibri" w:eastAsia="Calibri" w:hAnsi="Calibri"/>
                <w:b w:val="false"/>
                <w:bCs w:val="false"/>
                <w:i w:val="false"/>
                <w:iCs w:val="false"/>
                <w:caps w:val="false"/>
                <w:color w:val="3D4855"/>
                <w:sz w:val="16"/>
                <w:szCs w:val="16"/>
              </w:rPr>
              <w:t xml:space="preserve">The filled QC table as QC_GATE_{date}.md, every row naming its artefact, plus one row about the answer against the price.</w:t>
            </w:r>
          </w:p>
          <w:p>
            <w:pPr>
              <w:spacing w:after="0" w:before="0" w:line="250"/>
            </w:pPr>
            <w:r>
              <w:rPr>
                <w:rFonts w:ascii="Calibri" w:cs="Calibri" w:eastAsia="Calibri" w:hAnsi="Calibri"/>
                <w:b/>
                <w:bCs/>
                <w:i w:val="false"/>
                <w:iCs w:val="false"/>
                <w:caps w:val="false"/>
                <w:color w:val="0E6B5E"/>
                <w:sz w:val="16"/>
                <w:szCs w:val="16"/>
                <w:shd w:fill="E3F0ED" w:color="auto" w:val="clear"/>
              </w:rPr>
              <w:t xml:space="preserve"> writes nothing else </w:t>
            </w:r>
          </w:p>
        </w:tc>
      </w:tr>
      <w:tr>
        <w:trPr>
          <w:cantSplit/>
        </w:trPr>
        <w:tc>
          <w:tcPr>
            <w:tcW w:type="dxa" w:w="1750"/>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0" w:before="0" w:line="250"/>
            </w:pPr>
            <w:r>
              <w:rPr>
                <w:rFonts w:ascii="Calibri" w:cs="Calibri" w:eastAsia="Calibri" w:hAnsi="Calibri"/>
                <w:b/>
                <w:bCs/>
                <w:i w:val="false"/>
                <w:iCs w:val="false"/>
                <w:caps w:val="false"/>
                <w:color w:val="141C26"/>
                <w:sz w:val="18"/>
                <w:szCs w:val="18"/>
              </w:rPr>
              <w:t xml:space="preserve">The answer looks wrong</w:t>
            </w:r>
          </w:p>
        </w:tc>
        <w:tc>
          <w:tcPr>
            <w:tcW w:type="dxa" w:w="4150"/>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40" w:before="0" w:line="250"/>
            </w:pPr>
            <w:r>
              <w:rPr>
                <w:rFonts w:ascii="Consolas" w:cs="Consolas" w:eastAsia="Consolas" w:hAnsi="Consolas"/>
                <w:b w:val="false"/>
                <w:bCs w:val="false"/>
                <w:i w:val="false"/>
                <w:iCs w:val="false"/>
                <w:caps w:val="false"/>
                <w:color w:val="697687"/>
                <w:sz w:val="15"/>
                <w:szCs w:val="15"/>
              </w:rPr>
              <w:t xml:space="preserve">› </w:t>
            </w:r>
            <w:r>
              <w:rPr>
                <w:rFonts w:ascii="Consolas" w:cs="Consolas" w:eastAsia="Consolas" w:hAnsi="Consolas"/>
                <w:b w:val="false"/>
                <w:bCs w:val="false"/>
                <w:i w:val="false"/>
                <w:iCs w:val="false"/>
                <w:caps w:val="false"/>
                <w:color w:val="141C26"/>
                <w:sz w:val="15"/>
                <w:szCs w:val="15"/>
              </w:rPr>
              <w:t xml:space="preserve">How come ARCC’s fair value is half what it trades at?</w:t>
            </w:r>
          </w:p>
          <w:p>
            <w:pPr>
              <w:spacing w:after="0" w:before="0" w:line="250"/>
            </w:pPr>
            <w:r>
              <w:rPr>
                <w:rFonts w:ascii="Consolas" w:cs="Consolas" w:eastAsia="Consolas" w:hAnsi="Consolas"/>
                <w:b w:val="false"/>
                <w:bCs w:val="false"/>
                <w:i w:val="false"/>
                <w:iCs w:val="false"/>
                <w:caps w:val="false"/>
                <w:color w:val="697687"/>
                <w:sz w:val="15"/>
                <w:szCs w:val="15"/>
              </w:rPr>
              <w:t xml:space="preserve">› </w:t>
            </w:r>
            <w:r>
              <w:rPr>
                <w:rFonts w:ascii="Consolas" w:cs="Consolas" w:eastAsia="Consolas" w:hAnsi="Consolas"/>
                <w:b w:val="false"/>
                <w:bCs w:val="false"/>
                <w:i w:val="false"/>
                <w:iCs w:val="false"/>
                <w:caps w:val="false"/>
                <w:color w:val="141C26"/>
                <w:sz w:val="15"/>
                <w:szCs w:val="15"/>
              </w:rPr>
              <w:t xml:space="preserve">Challenge the ARCC answer</w:t>
            </w:r>
          </w:p>
        </w:tc>
        <w:tc>
          <w:tcPr>
            <w:tcW w:type="dxa" w:w="3500"/>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26" w:before="0" w:line="250"/>
            </w:pPr>
            <w:r>
              <w:rPr>
                <w:rFonts w:ascii="Consolas" w:cs="Consolas" w:eastAsia="Consolas" w:hAnsi="Consolas"/>
                <w:b/>
                <w:bCs/>
                <w:i w:val="false"/>
                <w:iCs w:val="false"/>
                <w:caps w:val="false"/>
                <w:color w:val="0E6B5E"/>
                <w:sz w:val="15"/>
                <w:szCs w:val="15"/>
              </w:rPr>
              <w:t xml:space="preserve">testahil-answer-challenger</w:t>
            </w:r>
          </w:p>
          <w:p>
            <w:pPr>
              <w:spacing w:after="0" w:before="0" w:line="250"/>
            </w:pPr>
            <w:r>
              <w:rPr>
                <w:rFonts w:ascii="Consolas" w:cs="Consolas" w:eastAsia="Consolas" w:hAnsi="Consolas"/>
                <w:b w:val="false"/>
                <w:bCs w:val="false"/>
                <w:i w:val="false"/>
                <w:iCs w:val="false"/>
                <w:caps w:val="false"/>
                <w:color w:val="697687"/>
                <w:sz w:val="14"/>
                <w:szCs w:val="14"/>
              </w:rPr>
              <w:t xml:space="preserve">R-GAP-01 · R-GAP-02</w:t>
            </w:r>
          </w:p>
        </w:tc>
        <w:tc>
          <w:tcPr>
            <w:tcW w:type="dxa" w:w="5998"/>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34" w:before="0" w:line="250"/>
            </w:pPr>
            <w:r>
              <w:rPr>
                <w:rFonts w:ascii="Calibri" w:cs="Calibri" w:eastAsia="Calibri" w:hAnsi="Calibri"/>
                <w:b w:val="false"/>
                <w:bCs w:val="false"/>
                <w:i w:val="false"/>
                <w:iCs w:val="false"/>
                <w:caps w:val="false"/>
                <w:color w:val="3D4855"/>
                <w:sz w:val="16"/>
                <w:szCs w:val="16"/>
              </w:rPr>
              <w:t xml:space="preserve">Every candidate defect priced as a number, ours hunted before the market’s — the terminal reinvestment identity, capex against the volume it buys.</w:t>
            </w:r>
          </w:p>
          <w:p>
            <w:pPr>
              <w:spacing w:after="0" w:before="0" w:line="250"/>
            </w:pPr>
            <w:r>
              <w:rPr>
                <w:rFonts w:ascii="Calibri" w:cs="Calibri" w:eastAsia="Calibri" w:hAnsi="Calibri"/>
                <w:b/>
                <w:bCs/>
                <w:i w:val="false"/>
                <w:iCs w:val="false"/>
                <w:caps w:val="false"/>
                <w:color w:val="0E6B5E"/>
                <w:sz w:val="16"/>
                <w:szCs w:val="16"/>
                <w:shd w:fill="E3F0ED" w:color="auto" w:val="clear"/>
              </w:rPr>
              <w:t xml:space="preserve"> never edits the study </w:t>
            </w:r>
          </w:p>
        </w:tc>
      </w:tr>
      <w:tr>
        <w:trPr>
          <w:cantSplit/>
        </w:trPr>
        <w:tc>
          <w:tcPr>
            <w:tcW w:type="dxa" w:w="1750"/>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0" w:before="0" w:line="250"/>
            </w:pPr>
            <w:r>
              <w:rPr>
                <w:rFonts w:ascii="Calibri" w:cs="Calibri" w:eastAsia="Calibri" w:hAnsi="Calibri"/>
                <w:b/>
                <w:bCs/>
                <w:i w:val="false"/>
                <w:iCs w:val="false"/>
                <w:caps w:val="false"/>
                <w:color w:val="141C26"/>
                <w:sz w:val="18"/>
                <w:szCs w:val="18"/>
              </w:rPr>
              <w:t xml:space="preserve">Sources before drivers</w:t>
            </w:r>
          </w:p>
        </w:tc>
        <w:tc>
          <w:tcPr>
            <w:tcW w:type="dxa" w:w="4150"/>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40" w:before="0" w:line="250"/>
            </w:pPr>
            <w:r>
              <w:rPr>
                <w:rFonts w:ascii="Consolas" w:cs="Consolas" w:eastAsia="Consolas" w:hAnsi="Consolas"/>
                <w:b w:val="false"/>
                <w:bCs w:val="false"/>
                <w:i w:val="false"/>
                <w:iCs w:val="false"/>
                <w:caps w:val="false"/>
                <w:color w:val="697687"/>
                <w:sz w:val="15"/>
                <w:szCs w:val="15"/>
              </w:rPr>
              <w:t xml:space="preserve">› </w:t>
            </w:r>
            <w:r>
              <w:rPr>
                <w:rFonts w:ascii="Consolas" w:cs="Consolas" w:eastAsia="Consolas" w:hAnsi="Consolas"/>
                <w:b w:val="false"/>
                <w:bCs w:val="false"/>
                <w:i w:val="false"/>
                <w:iCs w:val="false"/>
                <w:caps w:val="false"/>
                <w:color w:val="141C26"/>
                <w:sz w:val="15"/>
                <w:szCs w:val="15"/>
              </w:rPr>
              <w:t xml:space="preserve">Run the sweep for ELEC</w:t>
            </w:r>
          </w:p>
          <w:p>
            <w:pPr>
              <w:spacing w:after="0" w:before="0" w:line="250"/>
            </w:pPr>
            <w:r>
              <w:rPr>
                <w:rFonts w:ascii="Consolas" w:cs="Consolas" w:eastAsia="Consolas" w:hAnsi="Consolas"/>
                <w:b w:val="false"/>
                <w:bCs w:val="false"/>
                <w:i w:val="false"/>
                <w:iCs w:val="false"/>
                <w:caps w:val="false"/>
                <w:color w:val="697687"/>
                <w:sz w:val="15"/>
                <w:szCs w:val="15"/>
              </w:rPr>
              <w:t xml:space="preserve">› </w:t>
            </w:r>
            <w:r>
              <w:rPr>
                <w:rFonts w:ascii="Consolas" w:cs="Consolas" w:eastAsia="Consolas" w:hAnsi="Consolas"/>
                <w:b w:val="false"/>
                <w:bCs w:val="false"/>
                <w:i w:val="false"/>
                <w:iCs w:val="false"/>
                <w:caps w:val="false"/>
                <w:color w:val="141C26"/>
                <w:sz w:val="15"/>
                <w:szCs w:val="15"/>
              </w:rPr>
              <w:t xml:space="preserve">Start the information sweep on ELEC</w:t>
            </w:r>
          </w:p>
        </w:tc>
        <w:tc>
          <w:tcPr>
            <w:tcW w:type="dxa" w:w="3500"/>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26" w:before="0" w:line="250"/>
            </w:pPr>
            <w:r>
              <w:rPr>
                <w:rFonts w:ascii="Consolas" w:cs="Consolas" w:eastAsia="Consolas" w:hAnsi="Consolas"/>
                <w:b/>
                <w:bCs/>
                <w:i w:val="false"/>
                <w:iCs w:val="false"/>
                <w:caps w:val="false"/>
                <w:color w:val="0E6B5E"/>
                <w:sz w:val="15"/>
                <w:szCs w:val="15"/>
              </w:rPr>
              <w:t xml:space="preserve">testahil-sweep-researcher</w:t>
            </w:r>
          </w:p>
          <w:p>
            <w:pPr>
              <w:spacing w:after="0" w:before="0" w:line="250"/>
            </w:pPr>
            <w:r>
              <w:rPr>
                <w:rFonts w:ascii="Consolas" w:cs="Consolas" w:eastAsia="Consolas" w:hAnsi="Consolas"/>
                <w:b w:val="false"/>
                <w:bCs w:val="false"/>
                <w:i w:val="false"/>
                <w:iCs w:val="false"/>
                <w:caps w:val="false"/>
                <w:color w:val="697687"/>
                <w:sz w:val="14"/>
                <w:szCs w:val="14"/>
              </w:rPr>
              <w:t xml:space="preserve">Step 2A · four rings</w:t>
            </w:r>
          </w:p>
        </w:tc>
        <w:tc>
          <w:tcPr>
            <w:tcW w:type="dxa" w:w="5998"/>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34" w:before="0" w:line="250"/>
            </w:pPr>
            <w:r>
              <w:rPr>
                <w:rFonts w:ascii="Calibri" w:cs="Calibri" w:eastAsia="Calibri" w:hAnsi="Calibri"/>
                <w:b w:val="false"/>
                <w:bCs w:val="false"/>
                <w:i w:val="false"/>
                <w:iCs w:val="false"/>
                <w:caps w:val="false"/>
                <w:color w:val="3D4855"/>
                <w:sz w:val="16"/>
                <w:szCs w:val="16"/>
              </w:rPr>
              <w:t xml:space="preserve">The study’s sweep.py and sweep_register.json, the company IR attempt logged either way.</w:t>
            </w:r>
          </w:p>
          <w:p>
            <w:pPr>
              <w:spacing w:after="0" w:before="0" w:line="250"/>
            </w:pPr>
            <w:r>
              <w:rPr>
                <w:rFonts w:ascii="Calibri" w:cs="Calibri" w:eastAsia="Calibri" w:hAnsi="Calibri"/>
                <w:b/>
                <w:bCs/>
                <w:i w:val="false"/>
                <w:iCs w:val="false"/>
                <w:caps w:val="false"/>
                <w:color w:val="A4552F"/>
                <w:sz w:val="16"/>
                <w:szCs w:val="16"/>
                <w:shd w:fill="F6E9E1" w:color="auto" w:val="clear"/>
              </w:rPr>
              <w:t xml:space="preserve"> stops and asks if official statements cannot be obtained </w:t>
            </w:r>
          </w:p>
        </w:tc>
      </w:tr>
      <w:tr>
        <w:trPr>
          <w:cantSplit/>
        </w:trPr>
        <w:tc>
          <w:tcPr>
            <w:tcW w:type="dxa" w:w="1750"/>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0" w:before="0" w:line="250"/>
            </w:pPr>
            <w:r>
              <w:rPr>
                <w:rFonts w:ascii="Calibri" w:cs="Calibri" w:eastAsia="Calibri" w:hAnsi="Calibri"/>
                <w:b/>
                <w:bCs/>
                <w:i w:val="false"/>
                <w:iCs w:val="false"/>
                <w:caps w:val="false"/>
                <w:color w:val="141C26"/>
                <w:sz w:val="18"/>
                <w:szCs w:val="18"/>
              </w:rPr>
              <w:t xml:space="preserve">Fresh prices, covered name</w:t>
            </w:r>
          </w:p>
        </w:tc>
        <w:tc>
          <w:tcPr>
            <w:tcW w:type="dxa" w:w="4150"/>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40" w:before="0" w:line="250"/>
            </w:pPr>
            <w:r>
              <w:rPr>
                <w:rFonts w:ascii="Consolas" w:cs="Consolas" w:eastAsia="Consolas" w:hAnsi="Consolas"/>
                <w:b w:val="false"/>
                <w:bCs w:val="false"/>
                <w:i w:val="false"/>
                <w:iCs w:val="false"/>
                <w:caps w:val="false"/>
                <w:color w:val="697687"/>
                <w:sz w:val="15"/>
                <w:szCs w:val="15"/>
              </w:rPr>
              <w:t xml:space="preserve">› </w:t>
            </w:r>
            <w:r>
              <w:rPr>
                <w:rFonts w:ascii="Consolas" w:cs="Consolas" w:eastAsia="Consolas" w:hAnsi="Consolas"/>
                <w:b w:val="false"/>
                <w:bCs w:val="false"/>
                <w:i w:val="false"/>
                <w:iCs w:val="false"/>
                <w:caps w:val="false"/>
                <w:color w:val="141C26"/>
                <w:sz w:val="15"/>
                <w:szCs w:val="15"/>
              </w:rPr>
              <w:t xml:space="preserve">Roll forward COMI  (attach the export)</w:t>
            </w:r>
          </w:p>
          <w:p>
            <w:pPr>
              <w:spacing w:after="0" w:before="0" w:line="250"/>
            </w:pPr>
            <w:r>
              <w:rPr>
                <w:rFonts w:ascii="Consolas" w:cs="Consolas" w:eastAsia="Consolas" w:hAnsi="Consolas"/>
                <w:b w:val="false"/>
                <w:bCs w:val="false"/>
                <w:i w:val="false"/>
                <w:iCs w:val="false"/>
                <w:caps w:val="false"/>
                <w:color w:val="697687"/>
                <w:sz w:val="15"/>
                <w:szCs w:val="15"/>
              </w:rPr>
              <w:t xml:space="preserve">› </w:t>
            </w:r>
            <w:r>
              <w:rPr>
                <w:rFonts w:ascii="Consolas" w:cs="Consolas" w:eastAsia="Consolas" w:hAnsi="Consolas"/>
                <w:b w:val="false"/>
                <w:bCs w:val="false"/>
                <w:i w:val="false"/>
                <w:iCs w:val="false"/>
                <w:caps w:val="false"/>
                <w:color w:val="141C26"/>
                <w:sz w:val="15"/>
                <w:szCs w:val="15"/>
              </w:rPr>
              <w:t xml:space="preserve">Recalibrate and forecast COMI</w:t>
            </w:r>
          </w:p>
        </w:tc>
        <w:tc>
          <w:tcPr>
            <w:tcW w:type="dxa" w:w="3500"/>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26" w:before="0" w:line="250"/>
            </w:pPr>
            <w:r>
              <w:rPr>
                <w:rFonts w:ascii="Consolas" w:cs="Consolas" w:eastAsia="Consolas" w:hAnsi="Consolas"/>
                <w:b/>
                <w:bCs/>
                <w:i w:val="false"/>
                <w:iCs w:val="false"/>
                <w:caps w:val="false"/>
                <w:color w:val="0E6B5E"/>
                <w:sz w:val="15"/>
                <w:szCs w:val="15"/>
              </w:rPr>
              <w:t xml:space="preserve">testahil-rollforward-operator</w:t>
            </w:r>
          </w:p>
          <w:p>
            <w:pPr>
              <w:spacing w:after="0" w:before="0" w:line="250"/>
            </w:pPr>
            <w:r>
              <w:rPr>
                <w:rFonts w:ascii="Consolas" w:cs="Consolas" w:eastAsia="Consolas" w:hAnsi="Consolas"/>
                <w:b w:val="false"/>
                <w:bCs w:val="false"/>
                <w:i w:val="false"/>
                <w:iCs w:val="false"/>
                <w:caps w:val="false"/>
                <w:color w:val="697687"/>
                <w:sz w:val="14"/>
                <w:szCs w:val="14"/>
              </w:rPr>
              <w:t xml:space="preserve">trigger (b) · R-GRADE-01</w:t>
            </w:r>
          </w:p>
        </w:tc>
        <w:tc>
          <w:tcPr>
            <w:tcW w:type="dxa" w:w="5998"/>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34" w:before="0" w:line="250"/>
            </w:pPr>
            <w:r>
              <w:rPr>
                <w:rFonts w:ascii="Calibri" w:cs="Calibri" w:eastAsia="Calibri" w:hAnsi="Calibri"/>
                <w:b w:val="false"/>
                <w:bCs w:val="false"/>
                <w:i w:val="false"/>
                <w:iCs w:val="false"/>
                <w:caps w:val="false"/>
                <w:color w:val="3D4855"/>
                <w:sz w:val="16"/>
                <w:szCs w:val="16"/>
              </w:rPr>
              <w:t xml:space="preserve">Updated page, ledger, technical read, chart and per-name record; the lifecycle invariant asserted.</w:t>
            </w:r>
          </w:p>
          <w:p>
            <w:pPr>
              <w:spacing w:after="0" w:before="0" w:line="250"/>
            </w:pPr>
            <w:r>
              <w:rPr>
                <w:rFonts w:ascii="Calibri" w:cs="Calibri" w:eastAsia="Calibri" w:hAnsi="Calibri"/>
                <w:b/>
                <w:bCs/>
                <w:i w:val="false"/>
                <w:iCs w:val="false"/>
                <w:caps w:val="false"/>
                <w:color w:val="0E6B5E"/>
                <w:sz w:val="16"/>
                <w:szCs w:val="16"/>
                <w:shd w:fill="E3F0ED" w:color="auto" w:val="clear"/>
              </w:rPr>
              <w:t xml:space="preserve"> never publishes · fair{} untouched </w:t>
            </w:r>
          </w:p>
        </w:tc>
      </w:tr>
      <w:tr>
        <w:trPr>
          <w:cantSplit/>
        </w:trPr>
        <w:tc>
          <w:tcPr>
            <w:tcW w:type="dxa" w:w="1750"/>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0" w:before="0" w:line="250"/>
            </w:pPr>
            <w:r>
              <w:rPr>
                <w:rFonts w:ascii="Calibri" w:cs="Calibri" w:eastAsia="Calibri" w:hAnsi="Calibri"/>
                <w:b/>
                <w:bCs/>
                <w:i w:val="false"/>
                <w:iCs w:val="false"/>
                <w:caps w:val="false"/>
                <w:color w:val="141C26"/>
                <w:sz w:val="18"/>
                <w:szCs w:val="18"/>
              </w:rPr>
              <w:t xml:space="preserve">Campaign name</w:t>
            </w:r>
          </w:p>
        </w:tc>
        <w:tc>
          <w:tcPr>
            <w:tcW w:type="dxa" w:w="4150"/>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40" w:before="0" w:line="250"/>
            </w:pPr>
            <w:r>
              <w:rPr>
                <w:rFonts w:ascii="Consolas" w:cs="Consolas" w:eastAsia="Consolas" w:hAnsi="Consolas"/>
                <w:b w:val="false"/>
                <w:bCs w:val="false"/>
                <w:i w:val="false"/>
                <w:iCs w:val="false"/>
                <w:caps w:val="false"/>
                <w:color w:val="697687"/>
                <w:sz w:val="15"/>
                <w:szCs w:val="15"/>
              </w:rPr>
              <w:t xml:space="preserve">› </w:t>
            </w:r>
            <w:r>
              <w:rPr>
                <w:rFonts w:ascii="Consolas" w:cs="Consolas" w:eastAsia="Consolas" w:hAnsi="Consolas"/>
                <w:b w:val="false"/>
                <w:bCs w:val="false"/>
                <w:i w:val="false"/>
                <w:iCs w:val="false"/>
                <w:caps w:val="false"/>
                <w:color w:val="141C26"/>
                <w:sz w:val="15"/>
                <w:szCs w:val="15"/>
              </w:rPr>
              <w:t xml:space="preserve">Run the fundamental walk-forward on AMOC</w:t>
            </w:r>
          </w:p>
          <w:p>
            <w:pPr>
              <w:spacing w:after="0" w:before="0" w:line="250"/>
            </w:pPr>
            <w:r>
              <w:rPr>
                <w:rFonts w:ascii="Consolas" w:cs="Consolas" w:eastAsia="Consolas" w:hAnsi="Consolas"/>
                <w:b w:val="false"/>
                <w:bCs w:val="false"/>
                <w:i w:val="false"/>
                <w:iCs w:val="false"/>
                <w:caps w:val="false"/>
                <w:color w:val="697687"/>
                <w:sz w:val="15"/>
                <w:szCs w:val="15"/>
              </w:rPr>
              <w:t xml:space="preserve">› </w:t>
            </w:r>
            <w:r>
              <w:rPr>
                <w:rFonts w:ascii="Consolas" w:cs="Consolas" w:eastAsia="Consolas" w:hAnsi="Consolas"/>
                <w:b w:val="false"/>
                <w:bCs w:val="false"/>
                <w:i w:val="false"/>
                <w:iCs w:val="false"/>
                <w:caps w:val="false"/>
                <w:color w:val="141C26"/>
                <w:sz w:val="15"/>
                <w:szCs w:val="15"/>
              </w:rPr>
              <w:t xml:space="preserve">Next name in the campaign</w:t>
            </w:r>
          </w:p>
        </w:tc>
        <w:tc>
          <w:tcPr>
            <w:tcW w:type="dxa" w:w="3500"/>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26" w:before="0" w:line="250"/>
            </w:pPr>
            <w:r>
              <w:rPr>
                <w:rFonts w:ascii="Consolas" w:cs="Consolas" w:eastAsia="Consolas" w:hAnsi="Consolas"/>
                <w:b/>
                <w:bCs/>
                <w:i w:val="false"/>
                <w:iCs w:val="false"/>
                <w:caps w:val="false"/>
                <w:color w:val="0E6B5E"/>
                <w:sz w:val="15"/>
                <w:szCs w:val="15"/>
              </w:rPr>
              <w:t xml:space="preserve">testahil-walkforward-runner</w:t>
            </w:r>
          </w:p>
          <w:p>
            <w:pPr>
              <w:spacing w:after="0" w:before="0" w:line="250"/>
            </w:pPr>
            <w:r>
              <w:rPr>
                <w:rFonts w:ascii="Consolas" w:cs="Consolas" w:eastAsia="Consolas" w:hAnsi="Consolas"/>
                <w:b w:val="false"/>
                <w:bCs w:val="false"/>
                <w:i w:val="false"/>
                <w:iCs w:val="false"/>
                <w:caps w:val="false"/>
                <w:color w:val="697687"/>
                <w:sz w:val="14"/>
                <w:szCs w:val="14"/>
              </w:rPr>
              <w:t xml:space="preserve">R-FCAL-01 · R-GAP-01 · R-MERGE-01</w:t>
            </w:r>
          </w:p>
        </w:tc>
        <w:tc>
          <w:tcPr>
            <w:tcW w:type="dxa" w:w="5998"/>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34" w:before="0" w:line="250"/>
            </w:pPr>
            <w:r>
              <w:rPr>
                <w:rFonts w:ascii="Calibri" w:cs="Calibri" w:eastAsia="Calibri" w:hAnsi="Calibri"/>
                <w:b w:val="false"/>
                <w:bCs w:val="false"/>
                <w:i w:val="false"/>
                <w:iCs w:val="false"/>
                <w:caps w:val="false"/>
                <w:color w:val="3D4855"/>
                <w:sz w:val="16"/>
                <w:szCs w:val="16"/>
              </w:rPr>
              <w:t xml:space="preserve">Training record, rebuilt study, lesson drafts — then the close: PR, merge on green, the gap reported only past 10%.</w:t>
            </w:r>
          </w:p>
          <w:p>
            <w:pPr>
              <w:spacing w:after="0" w:before="0" w:line="250"/>
            </w:pPr>
            <w:r>
              <w:rPr>
                <w:rFonts w:ascii="Calibri" w:cs="Calibri" w:eastAsia="Calibri" w:hAnsi="Calibri"/>
                <w:b/>
                <w:bCs/>
                <w:i w:val="false"/>
                <w:iCs w:val="false"/>
                <w:caps w:val="false"/>
                <w:color w:val="A4552F"/>
                <w:sz w:val="16"/>
                <w:szCs w:val="16"/>
                <w:shd w:fill="F6E9E1" w:color="auto" w:val="clear"/>
              </w:rPr>
              <w:t xml:space="preserve"> stops before lessons_add.py for your scope ruling </w:t>
            </w:r>
          </w:p>
        </w:tc>
      </w:tr>
      <w:tr>
        <w:trPr>
          <w:cantSplit/>
        </w:trPr>
        <w:tc>
          <w:tcPr>
            <w:tcW w:type="dxa" w:w="1750"/>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0" w:before="0" w:line="250"/>
            </w:pPr>
            <w:r>
              <w:rPr>
                <w:rFonts w:ascii="Calibri" w:cs="Calibri" w:eastAsia="Calibri" w:hAnsi="Calibri"/>
                <w:b/>
                <w:bCs/>
                <w:i w:val="false"/>
                <w:iCs w:val="false"/>
                <w:caps w:val="false"/>
                <w:color w:val="141C26"/>
                <w:sz w:val="18"/>
                <w:szCs w:val="18"/>
              </w:rPr>
              <w:t xml:space="preserve">A rule changes</w:t>
            </w:r>
          </w:p>
        </w:tc>
        <w:tc>
          <w:tcPr>
            <w:tcW w:type="dxa" w:w="4150"/>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40" w:before="0" w:line="250"/>
            </w:pPr>
            <w:r>
              <w:rPr>
                <w:rFonts w:ascii="Consolas" w:cs="Consolas" w:eastAsia="Consolas" w:hAnsi="Consolas"/>
                <w:b w:val="false"/>
                <w:bCs w:val="false"/>
                <w:i w:val="false"/>
                <w:iCs w:val="false"/>
                <w:caps w:val="false"/>
                <w:color w:val="697687"/>
                <w:sz w:val="15"/>
                <w:szCs w:val="15"/>
              </w:rPr>
              <w:t xml:space="preserve">› </w:t>
            </w:r>
            <w:r>
              <w:rPr>
                <w:rFonts w:ascii="Consolas" w:cs="Consolas" w:eastAsia="Consolas" w:hAnsi="Consolas"/>
                <w:b w:val="false"/>
                <w:bCs w:val="false"/>
                <w:i w:val="false"/>
                <w:iCs w:val="false"/>
                <w:caps w:val="false"/>
                <w:color w:val="141C26"/>
                <w:sz w:val="15"/>
                <w:szCs w:val="15"/>
              </w:rPr>
              <w:t xml:space="preserve">Add this rule to the project instructions: …</w:t>
            </w:r>
          </w:p>
          <w:p>
            <w:pPr>
              <w:spacing w:after="0" w:before="0" w:line="250"/>
            </w:pPr>
            <w:r>
              <w:rPr>
                <w:rFonts w:ascii="Consolas" w:cs="Consolas" w:eastAsia="Consolas" w:hAnsi="Consolas"/>
                <w:b w:val="false"/>
                <w:bCs w:val="false"/>
                <w:i w:val="false"/>
                <w:iCs w:val="false"/>
                <w:caps w:val="false"/>
                <w:color w:val="697687"/>
                <w:sz w:val="15"/>
                <w:szCs w:val="15"/>
              </w:rPr>
              <w:t xml:space="preserve">› </w:t>
            </w:r>
            <w:r>
              <w:rPr>
                <w:rFonts w:ascii="Consolas" w:cs="Consolas" w:eastAsia="Consolas" w:hAnsi="Consolas"/>
                <w:b w:val="false"/>
                <w:bCs w:val="false"/>
                <w:i w:val="false"/>
                <w:iCs w:val="false"/>
                <w:caps w:val="false"/>
                <w:color w:val="141C26"/>
                <w:sz w:val="15"/>
                <w:szCs w:val="15"/>
              </w:rPr>
              <w:t xml:space="preserve">Amend [R-CAL-02]: …</w:t>
            </w:r>
          </w:p>
        </w:tc>
        <w:tc>
          <w:tcPr>
            <w:tcW w:type="dxa" w:w="3500"/>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26" w:before="0" w:line="250"/>
            </w:pPr>
            <w:r>
              <w:rPr>
                <w:rFonts w:ascii="Consolas" w:cs="Consolas" w:eastAsia="Consolas" w:hAnsi="Consolas"/>
                <w:b/>
                <w:bCs/>
                <w:i w:val="false"/>
                <w:iCs w:val="false"/>
                <w:caps w:val="false"/>
                <w:color w:val="0E6B5E"/>
                <w:sz w:val="15"/>
                <w:szCs w:val="15"/>
              </w:rPr>
              <w:t xml:space="preserve">testahil-protocol-scribe</w:t>
            </w:r>
          </w:p>
          <w:p>
            <w:pPr>
              <w:spacing w:after="0" w:before="0" w:line="250"/>
            </w:pPr>
            <w:r>
              <w:rPr>
                <w:rFonts w:ascii="Consolas" w:cs="Consolas" w:eastAsia="Consolas" w:hAnsi="Consolas"/>
                <w:b w:val="false"/>
                <w:bCs w:val="false"/>
                <w:i w:val="false"/>
                <w:iCs w:val="false"/>
                <w:caps w:val="false"/>
                <w:color w:val="697687"/>
                <w:sz w:val="14"/>
                <w:szCs w:val="14"/>
              </w:rPr>
              <w:t xml:space="preserve">R-DOC-01 · R-DOC-02</w:t>
            </w:r>
          </w:p>
        </w:tc>
        <w:tc>
          <w:tcPr>
            <w:tcW w:type="dxa" w:w="5998"/>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34" w:before="0" w:line="250"/>
            </w:pPr>
            <w:r>
              <w:rPr>
                <w:rFonts w:ascii="Calibri" w:cs="Calibri" w:eastAsia="Calibri" w:hAnsi="Calibri"/>
                <w:b w:val="false"/>
                <w:bCs w:val="false"/>
                <w:i w:val="false"/>
                <w:iCs w:val="false"/>
                <w:caps w:val="false"/>
                <w:color w:val="3D4855"/>
                <w:sz w:val="16"/>
                <w:szCs w:val="16"/>
              </w:rPr>
              <w:t xml:space="preserve">Both governing documents amended in one commit, the identifier assigned, both stamps bumped, the gates green.</w:t>
            </w:r>
          </w:p>
          <w:p>
            <w:pPr>
              <w:spacing w:after="0" w:before="0" w:line="250"/>
            </w:pPr>
            <w:r>
              <w:rPr>
                <w:rFonts w:ascii="Calibri" w:cs="Calibri" w:eastAsia="Calibri" w:hAnsi="Calibri"/>
                <w:b/>
                <w:bCs/>
                <w:i w:val="false"/>
                <w:iCs w:val="false"/>
                <w:caps w:val="false"/>
                <w:color w:val="A4552F"/>
                <w:sz w:val="16"/>
                <w:szCs w:val="16"/>
                <w:shd w:fill="F6E9E1" w:color="auto" w:val="clear"/>
              </w:rPr>
              <w:t xml:space="preserve"> hands you the full digest text to paste </w:t>
            </w:r>
          </w:p>
        </w:tc>
      </w:tr>
      <w:tr>
        <w:trPr>
          <w:cantSplit/>
        </w:trPr>
        <w:tc>
          <w:tcPr>
            <w:tcW w:type="dxa" w:w="1750"/>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0" w:before="0" w:line="250"/>
            </w:pPr>
            <w:r>
              <w:rPr>
                <w:rFonts w:ascii="Calibri" w:cs="Calibri" w:eastAsia="Calibri" w:hAnsi="Calibri"/>
                <w:b/>
                <w:bCs/>
                <w:i w:val="false"/>
                <w:iCs w:val="false"/>
                <w:caps w:val="false"/>
                <w:color w:val="141C26"/>
                <w:sz w:val="18"/>
                <w:szCs w:val="18"/>
              </w:rPr>
              <w:t xml:space="preserve">A critique arrives</w:t>
            </w:r>
          </w:p>
        </w:tc>
        <w:tc>
          <w:tcPr>
            <w:tcW w:type="dxa" w:w="4150"/>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40" w:before="0" w:line="250"/>
            </w:pPr>
            <w:r>
              <w:rPr>
                <w:rFonts w:ascii="Consolas" w:cs="Consolas" w:eastAsia="Consolas" w:hAnsi="Consolas"/>
                <w:b w:val="false"/>
                <w:bCs w:val="false"/>
                <w:i w:val="false"/>
                <w:iCs w:val="false"/>
                <w:caps w:val="false"/>
                <w:color w:val="697687"/>
                <w:sz w:val="15"/>
                <w:szCs w:val="15"/>
              </w:rPr>
              <w:t xml:space="preserve">› </w:t>
            </w:r>
            <w:r>
              <w:rPr>
                <w:rFonts w:ascii="Consolas" w:cs="Consolas" w:eastAsia="Consolas" w:hAnsi="Consolas"/>
                <w:b w:val="false"/>
                <w:bCs w:val="false"/>
                <w:i w:val="false"/>
                <w:iCs w:val="false"/>
                <w:caps w:val="false"/>
                <w:color w:val="141C26"/>
                <w:sz w:val="15"/>
                <w:szCs w:val="15"/>
              </w:rPr>
              <w:t xml:space="preserve">Here is a critique of the ADNOCLS study — respond</w:t>
            </w:r>
          </w:p>
          <w:p>
            <w:pPr>
              <w:spacing w:after="0" w:before="0" w:line="250"/>
            </w:pPr>
            <w:r>
              <w:rPr>
                <w:rFonts w:ascii="Consolas" w:cs="Consolas" w:eastAsia="Consolas" w:hAnsi="Consolas"/>
                <w:b w:val="false"/>
                <w:bCs w:val="false"/>
                <w:i w:val="false"/>
                <w:iCs w:val="false"/>
                <w:caps w:val="false"/>
                <w:color w:val="697687"/>
                <w:sz w:val="15"/>
                <w:szCs w:val="15"/>
              </w:rPr>
              <w:t xml:space="preserve">› </w:t>
            </w:r>
            <w:r>
              <w:rPr>
                <w:rFonts w:ascii="Consolas" w:cs="Consolas" w:eastAsia="Consolas" w:hAnsi="Consolas"/>
                <w:b w:val="false"/>
                <w:bCs w:val="false"/>
                <w:i w:val="false"/>
                <w:iCs w:val="false"/>
                <w:caps w:val="false"/>
                <w:color w:val="141C26"/>
                <w:sz w:val="15"/>
                <w:szCs w:val="15"/>
              </w:rPr>
              <w:t xml:space="preserve">Approved: implement rows CC-5, CW-20</w:t>
            </w:r>
          </w:p>
        </w:tc>
        <w:tc>
          <w:tcPr>
            <w:tcW w:type="dxa" w:w="3500"/>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26" w:before="0" w:line="250"/>
            </w:pPr>
            <w:r>
              <w:rPr>
                <w:rFonts w:ascii="Consolas" w:cs="Consolas" w:eastAsia="Consolas" w:hAnsi="Consolas"/>
                <w:b/>
                <w:bCs/>
                <w:i w:val="false"/>
                <w:iCs w:val="false"/>
                <w:caps w:val="false"/>
                <w:color w:val="0E6B5E"/>
                <w:sz w:val="15"/>
                <w:szCs w:val="15"/>
              </w:rPr>
              <w:t xml:space="preserve">testahil-critique-responder</w:t>
            </w:r>
          </w:p>
          <w:p>
            <w:pPr>
              <w:spacing w:after="0" w:before="0" w:line="250"/>
            </w:pPr>
            <w:r>
              <w:rPr>
                <w:rFonts w:ascii="Consolas" w:cs="Consolas" w:eastAsia="Consolas" w:hAnsi="Consolas"/>
                <w:b w:val="false"/>
                <w:bCs w:val="false"/>
                <w:i w:val="false"/>
                <w:iCs w:val="false"/>
                <w:caps w:val="false"/>
                <w:color w:val="697687"/>
                <w:sz w:val="14"/>
                <w:szCs w:val="14"/>
              </w:rPr>
              <w:t xml:space="preserve">Critique_Response v2 · R-GAP-01</w:t>
            </w:r>
          </w:p>
        </w:tc>
        <w:tc>
          <w:tcPr>
            <w:tcW w:type="dxa" w:w="5998"/>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34" w:before="0" w:line="250"/>
            </w:pPr>
            <w:r>
              <w:rPr>
                <w:rFonts w:ascii="Calibri" w:cs="Calibri" w:eastAsia="Calibri" w:hAnsi="Calibri"/>
                <w:b w:val="false"/>
                <w:bCs w:val="false"/>
                <w:i w:val="false"/>
                <w:iCs w:val="false"/>
                <w:caps w:val="false"/>
                <w:color w:val="3D4855"/>
                <w:sz w:val="16"/>
                <w:szCs w:val="16"/>
              </w:rPr>
              <w:t xml:space="preserve">Every finding on its own row, priced before it is judged, receipts on every rejection.</w:t>
            </w:r>
          </w:p>
          <w:p>
            <w:pPr>
              <w:spacing w:after="0" w:before="0" w:line="250"/>
            </w:pPr>
            <w:r>
              <w:rPr>
                <w:rFonts w:ascii="Calibri" w:cs="Calibri" w:eastAsia="Calibri" w:hAnsi="Calibri"/>
                <w:b/>
                <w:bCs/>
                <w:i w:val="false"/>
                <w:iCs w:val="false"/>
                <w:caps w:val="false"/>
                <w:color w:val="A4552F"/>
                <w:sz w:val="16"/>
                <w:szCs w:val="16"/>
                <w:shd w:fill="F6E9E1" w:color="auto" w:val="clear"/>
              </w:rPr>
              <w:t xml:space="preserve"> stops at the report; implements only on your approval </w:t>
            </w:r>
          </w:p>
        </w:tc>
      </w:tr>
      <w:tr>
        <w:trPr>
          <w:cantSplit/>
        </w:trPr>
        <w:tc>
          <w:tcPr>
            <w:tcW w:type="dxa" w:w="1750"/>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0" w:before="0" w:line="250"/>
            </w:pPr>
            <w:r>
              <w:rPr>
                <w:rFonts w:ascii="Calibri" w:cs="Calibri" w:eastAsia="Calibri" w:hAnsi="Calibri"/>
                <w:b/>
                <w:bCs/>
                <w:i w:val="false"/>
                <w:iCs w:val="false"/>
                <w:caps w:val="false"/>
                <w:color w:val="141C26"/>
                <w:sz w:val="18"/>
                <w:szCs w:val="18"/>
              </w:rPr>
              <w:t xml:space="preserve">Composite-beta backlog</w:t>
            </w:r>
          </w:p>
        </w:tc>
        <w:tc>
          <w:tcPr>
            <w:tcW w:type="dxa" w:w="4150"/>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40" w:before="0" w:line="250"/>
            </w:pPr>
            <w:r>
              <w:rPr>
                <w:rFonts w:ascii="Consolas" w:cs="Consolas" w:eastAsia="Consolas" w:hAnsi="Consolas"/>
                <w:b w:val="false"/>
                <w:bCs w:val="false"/>
                <w:i w:val="false"/>
                <w:iCs w:val="false"/>
                <w:caps w:val="false"/>
                <w:color w:val="697687"/>
                <w:sz w:val="15"/>
                <w:szCs w:val="15"/>
              </w:rPr>
              <w:t xml:space="preserve">› </w:t>
            </w:r>
            <w:r>
              <w:rPr>
                <w:rFonts w:ascii="Consolas" w:cs="Consolas" w:eastAsia="Consolas" w:hAnsi="Consolas"/>
                <w:b w:val="false"/>
                <w:bCs w:val="false"/>
                <w:i w:val="false"/>
                <w:iCs w:val="false"/>
                <w:caps w:val="false"/>
                <w:color w:val="141C26"/>
                <w:sz w:val="15"/>
                <w:szCs w:val="15"/>
              </w:rPr>
              <w:t xml:space="preserve">Re-issue the beta on SCEM</w:t>
            </w:r>
          </w:p>
          <w:p>
            <w:pPr>
              <w:spacing w:after="0" w:before="0" w:line="250"/>
            </w:pPr>
            <w:r>
              <w:rPr>
                <w:rFonts w:ascii="Consolas" w:cs="Consolas" w:eastAsia="Consolas" w:hAnsi="Consolas"/>
                <w:b w:val="false"/>
                <w:bCs w:val="false"/>
                <w:i w:val="false"/>
                <w:iCs w:val="false"/>
                <w:caps w:val="false"/>
                <w:color w:val="697687"/>
                <w:sz w:val="15"/>
                <w:szCs w:val="15"/>
              </w:rPr>
              <w:t xml:space="preserve">› </w:t>
            </w:r>
            <w:r>
              <w:rPr>
                <w:rFonts w:ascii="Consolas" w:cs="Consolas" w:eastAsia="Consolas" w:hAnsi="Consolas"/>
                <w:b w:val="false"/>
                <w:bCs w:val="false"/>
                <w:i w:val="false"/>
                <w:iCs w:val="false"/>
                <w:caps w:val="false"/>
                <w:color w:val="141C26"/>
                <w:sz w:val="15"/>
                <w:szCs w:val="15"/>
              </w:rPr>
              <w:t xml:space="preserve">Clear the next name in the beta backlog</w:t>
            </w:r>
          </w:p>
        </w:tc>
        <w:tc>
          <w:tcPr>
            <w:tcW w:type="dxa" w:w="3500"/>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26" w:before="0" w:line="250"/>
            </w:pPr>
            <w:r>
              <w:rPr>
                <w:rFonts w:ascii="Consolas" w:cs="Consolas" w:eastAsia="Consolas" w:hAnsi="Consolas"/>
                <w:b/>
                <w:bCs/>
                <w:i w:val="false"/>
                <w:iCs w:val="false"/>
                <w:caps w:val="false"/>
                <w:color w:val="0E6B5E"/>
                <w:sz w:val="15"/>
                <w:szCs w:val="15"/>
              </w:rPr>
              <w:t xml:space="preserve">testahil-beta-reissuer</w:t>
            </w:r>
          </w:p>
          <w:p>
            <w:pPr>
              <w:spacing w:after="0" w:before="0" w:line="250"/>
            </w:pPr>
            <w:r>
              <w:rPr>
                <w:rFonts w:ascii="Consolas" w:cs="Consolas" w:eastAsia="Consolas" w:hAnsi="Consolas"/>
                <w:b w:val="false"/>
                <w:bCs w:val="false"/>
                <w:i w:val="false"/>
                <w:iCs w:val="false"/>
                <w:caps w:val="false"/>
                <w:color w:val="697687"/>
                <w:sz w:val="14"/>
                <w:szCs w:val="14"/>
              </w:rPr>
              <w:t xml:space="preserve">R-BETA-04 · R-IDX-01 · R-GAP-01</w:t>
            </w:r>
          </w:p>
        </w:tc>
        <w:tc>
          <w:tcPr>
            <w:tcW w:type="dxa" w:w="5998"/>
            <w:tcBorders>
              <w:top w:val="none" w:color="FFFFFF" w:sz="0"/>
              <w:left w:val="none" w:color="FFFFFF" w:sz="0"/>
              <w:bottom w:val="none" w:color="FFFFFF" w:sz="0"/>
              <w:right w:val="none" w:color="FFFFFF" w:sz="0"/>
            </w:tcBorders>
            <w:tcMar>
              <w:top w:type="dxa" w:w="20"/>
              <w:left w:type="dxa" w:w="118"/>
              <w:bottom w:type="dxa" w:w="20"/>
              <w:right w:type="dxa" w:w="118"/>
            </w:tcMar>
          </w:tcPr>
          <w:p>
            <w:pPr>
              <w:spacing w:after="34" w:before="0" w:line="250"/>
            </w:pPr>
            <w:r>
              <w:rPr>
                <w:rFonts w:ascii="Calibri" w:cs="Calibri" w:eastAsia="Calibri" w:hAnsi="Calibri"/>
                <w:b w:val="false"/>
                <w:bCs w:val="false"/>
                <w:i w:val="false"/>
                <w:iCs w:val="false"/>
                <w:caps w:val="false"/>
                <w:color w:val="3D4855"/>
                <w:sz w:val="16"/>
                <w:szCs w:val="16"/>
              </w:rPr>
              <w:t xml:space="preserve">Before and after: regressor, beta, R², tier, Ke, WACC, each lens, the weighted centre.</w:t>
            </w:r>
          </w:p>
          <w:p>
            <w:pPr>
              <w:spacing w:after="0" w:before="0" w:line="250"/>
            </w:pPr>
            <w:r>
              <w:rPr>
                <w:rFonts w:ascii="Calibri" w:cs="Calibri" w:eastAsia="Calibri" w:hAnsi="Calibri"/>
                <w:b/>
                <w:bCs/>
                <w:i w:val="false"/>
                <w:iCs w:val="false"/>
                <w:caps w:val="false"/>
                <w:color w:val="A4552F"/>
                <w:sz w:val="16"/>
                <w:szCs w:val="16"/>
                <w:shd w:fill="F6E9E1" w:color="auto" w:val="clear"/>
              </w:rPr>
              <w:t xml:space="preserve"> stops if v2 sovereign inputs can’t be sourced live </w:t>
            </w:r>
          </w:p>
        </w:tc>
      </w:tr>
    </w:tbl>
    <w:p>
      <w:pPr>
        <w:keepNext/>
        <w:pageBreakBefore/>
        <w:spacing w:after="130" w:before="0" w:line="250"/>
      </w:pPr>
      <w:r>
        <w:rPr>
          <w:rFonts w:ascii="Georgia" w:cs="Georgia" w:eastAsia="Georgia" w:hAnsi="Georgia"/>
          <w:b/>
          <w:bCs/>
          <w:i w:val="false"/>
          <w:iCs w:val="false"/>
          <w:caps w:val="false"/>
          <w:color w:val="141C26"/>
          <w:sz w:val="28"/>
          <w:szCs w:val="28"/>
        </w:rPr>
        <w:t xml:space="preserve">How a prompt travels, and where each agent sits</w:t>
      </w:r>
    </w:p>
    <w:tbl>
      <w:tblPr>
        <w:tblW w:type="dxa" w:w="15398"/>
        <w:tblBorders>
          <w:top w:val="single" w:color="D8DDE5" w:sz="4"/>
          <w:left w:val="single" w:color="D8DDE5" w:sz="4"/>
          <w:bottom w:val="single" w:color="D8DDE5" w:sz="4"/>
          <w:right w:val="single" w:color="D8DDE5" w:sz="4"/>
          <w:insideH w:val="none" w:color="FFFFFF" w:sz="0"/>
          <w:insideV w:val="none" w:color="FFFFFF" w:sz="0"/>
        </w:tblBorders>
      </w:tblPr>
      <w:tblGrid>
        <w:gridCol w:w="15398"/>
      </w:tblGrid>
      <w:tr>
        <w:tc>
          <w:tcPr>
            <w:tcW w:type="dxa" w:w="15398"/>
            <w:tcMar>
              <w:top w:type="dxa" w:w="110"/>
              <w:left w:type="dxa" w:w="140"/>
              <w:bottom w:type="dxa" w:w="110"/>
              <w:right w:type="dxa" w:w="140"/>
            </w:tcMar>
          </w:tcPr>
          <w:p>
            <w:pPr>
              <w:spacing w:after="0"/>
              <w:jc w:val="center"/>
            </w:pPr>
            <w:r>
              <w:drawing>
                <wp:inline distT="0" distB="0" distL="0" distR="0">
                  <wp:extent cx="742950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429500" cy="4914900"/>
                          </a:xfrm>
                          <a:prstGeom prst="rect">
                            <a:avLst/>
                          </a:prstGeom>
                        </pic:spPr>
                      </pic:pic>
                    </a:graphicData>
                  </a:graphic>
                </wp:inline>
              </w:drawing>
            </w:r>
          </w:p>
        </w:tc>
      </w:tr>
    </w:tbl>
    <w:p>
      <w:pPr>
        <w:spacing w:after="0" w:before="120" w:line="250"/>
      </w:pPr>
      <w:r>
        <w:rPr>
          <w:rFonts w:ascii="Calibri" w:cs="Calibri" w:eastAsia="Calibri" w:hAnsi="Calibri"/>
          <w:b w:val="false"/>
          <w:bCs w:val="false"/>
          <w:i w:val="false"/>
          <w:iCs w:val="false"/>
          <w:caps w:val="false"/>
          <w:color w:val="3D4855"/>
          <w:sz w:val="17"/>
          <w:szCs w:val="17"/>
        </w:rPr>
        <w:t xml:space="preserve">Every prompt goes through the main session to one agent, which works alone and hands back evidence. The seven lanes show what each agent passes to the next step, and the three diamonds mark the points only you can pass: ruling on a lesson’s scope, approving a critique response, and pasting the digest into your own project files.</w:t>
      </w:r>
    </w:p>
    <w:p>
      <w:pPr>
        <w:pBdr>
          <w:top w:val="single" w:color="0E6B5E" w:sz="12"/>
        </w:pBdr>
        <w:spacing w:after="30" w:before="90" w:line="250"/>
      </w:pPr>
      <w:r>
        <w:rPr>
          <w:rFonts w:ascii="Calibri" w:cs="Calibri" w:eastAsia="Calibri" w:hAnsi="Calibri"/>
          <w:b/>
          <w:bCs/>
          <w:i w:val="false"/>
          <w:iCs w:val="false"/>
          <w:caps w:val="false"/>
          <w:color w:val="141C26"/>
          <w:sz w:val="16"/>
          <w:szCs w:val="16"/>
        </w:rPr>
        <w:t xml:space="preserve">Name the agent when a request could read two ways.</w:t>
      </w:r>
      <w:r>
        <w:rPr>
          <w:rFonts w:ascii="Calibri" w:cs="Calibri" w:eastAsia="Calibri" w:hAnsi="Calibri"/>
          <w:b w:val="false"/>
          <w:bCs w:val="false"/>
          <w:i w:val="false"/>
          <w:iCs w:val="false"/>
          <w:caps w:val="false"/>
          <w:color w:val="3D4855"/>
          <w:sz w:val="16"/>
          <w:szCs w:val="16"/>
        </w:rPr>
        <w:t xml:space="preserve"> Fresh OHLC for a ticker has the same input shape as a new study — say “roll forward”. “Check the study” splits two ways: repo gates is gate-runner, a delivered study is qc-auditor.</w:t>
      </w:r>
    </w:p>
    <w:p>
      <w:pPr>
        <w:spacing w:after="30" w:before="0" w:line="250"/>
      </w:pPr>
      <w:r>
        <w:rPr>
          <w:rFonts w:ascii="Calibri" w:cs="Calibri" w:eastAsia="Calibri" w:hAnsi="Calibri"/>
          <w:b/>
          <w:bCs/>
          <w:i w:val="false"/>
          <w:iCs w:val="false"/>
          <w:caps w:val="false"/>
          <w:color w:val="141C26"/>
          <w:sz w:val="16"/>
          <w:szCs w:val="16"/>
        </w:rPr>
        <w:t xml:space="preserve">Three routes.</w:t>
      </w:r>
      <w:r>
        <w:rPr>
          <w:rFonts w:ascii="Calibri" w:cs="Calibri" w:eastAsia="Calibri" w:hAnsi="Calibri"/>
          <w:b w:val="false"/>
          <w:bCs w:val="false"/>
          <w:i w:val="false"/>
          <w:iCs w:val="false"/>
          <w:caps w:val="false"/>
          <w:color w:val="3D4855"/>
          <w:sz w:val="16"/>
          <w:szCs w:val="16"/>
        </w:rPr>
        <w:t xml:space="preserve"> Plain ask is the default and the description does the routing; name the agent when it could go two ways; /agents lists, inspects or edits a definition, and never runs one.</w:t>
      </w:r>
    </w:p>
    <w:p>
      <w:pPr>
        <w:spacing w:after="0" w:before="0" w:line="250"/>
      </w:pPr>
      <w:r>
        <w:rPr>
          <w:rFonts w:ascii="Calibri" w:cs="Calibri" w:eastAsia="Calibri" w:hAnsi="Calibri"/>
          <w:b/>
          <w:bCs/>
          <w:i w:val="false"/>
          <w:iCs w:val="false"/>
          <w:caps w:val="false"/>
          <w:color w:val="141C26"/>
          <w:sz w:val="16"/>
          <w:szCs w:val="16"/>
        </w:rPr>
        <w:t xml:space="preserve">What all nine share.</w:t>
      </w:r>
      <w:r>
        <w:rPr>
          <w:rFonts w:ascii="Calibri" w:cs="Calibri" w:eastAsia="Calibri" w:hAnsi="Calibri"/>
          <w:b w:val="false"/>
          <w:bCs w:val="false"/>
          <w:i w:val="false"/>
          <w:iCs w:val="false"/>
          <w:caps w:val="false"/>
          <w:color w:val="3D4855"/>
          <w:sz w:val="16"/>
          <w:szCs w:val="16"/>
        </w:rPr>
        <w:t xml:space="preserve"> They read the live state rather than a remembered number, declare what they examined, report evidence rather than verdicts, and never publish on their own.</w:t>
      </w:r>
    </w:p>
    <w:sectPr>
      <w:pgSz w:w="16838" w:h="11906" w:orient="landscape"/>
      <w:pgMar w:top="7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C26"/>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278e127bdafbfe7ec7496e474674a5f2e159d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TESTAHIL Agent Card</dc:title>
  <dc:creator>TESTAHIL</dc:creator>
  <dc:description>What to say to activate each of the nine TESTAHIL subagents, and where each one sits.</dc:description>
  <cp:lastModifiedBy>Un-named</cp:lastModifiedBy>
  <cp:revision>1</cp:revision>
  <dcterms:created xsi:type="dcterms:W3CDTF">2026-09-06T17:33:23.033Z</dcterms:created>
  <dcterms:modified xsi:type="dcterms:W3CDTF">2026-09-06T17:33:23.034Z</dcterms:modified>
</cp:coreProperties>
</file>

<file path=docProps/custom.xml><?xml version="1.0" encoding="utf-8"?>
<Properties xmlns="http://schemas.openxmlformats.org/officeDocument/2006/custom-properties" xmlns:vt="http://schemas.openxmlformats.org/officeDocument/2006/docPropsVTypes"/>
</file>