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120"/>
      </w:pPr>
      <w:r>
        <w:rPr>
          <w:b/>
          <w:i w:val="0"/>
          <w:color w:val="1C3A36"/>
          <w:sz w:val="42"/>
        </w:rPr>
        <w:t>Tenth of Ramadan Pharmaceuticals (Rameda)</w:t>
      </w:r>
    </w:p>
    <w:p>
      <w:pPr>
        <w:spacing w:after="160" w:before="0"/>
      </w:pPr>
      <w:r>
        <w:rPr>
          <w:b w:val="0"/>
          <w:i w:val="0"/>
          <w:color w:val="6E7B77"/>
          <w:sz w:val="22"/>
        </w:rPr>
        <w:t>EGX: RMDA · Independent valuation study · 13 July 2026 · spot EGP 5.00 (12-Jul-2026 close)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An educational valuation study: fair-value ranges and probability distributions, not tips. It contains no rating, no price target, and no buy/sell/hold language. Three separate clocks are kept apart throughout: the fundamental fair-value range is a ~12-month risk-adjusted anchor at the sourced Egyptian cost of capital; the Monte Carlo T+20/T+60 percentiles are the only genuinely 3-month figures; and any rate-normalisation upside is a multi-year path, never a near-term forecast.</w:t>
            </w:r>
          </w:p>
          <w:p>
            <w:pPr>
              <w:spacing w:after="100"/>
            </w:pPr>
            <w:r>
              <w:rPr>
                <w:b/>
                <w:color w:val="1C3A36"/>
                <w:sz w:val="19"/>
              </w:rPr>
              <w:t xml:space="preserve">The one-line finding. </w:t>
            </w:r>
            <w:r>
              <w:rPr>
                <w:color w:val="1C3A36"/>
                <w:sz w:val="19"/>
              </w:rPr>
              <w:t>Rameda’s operating engine is genuinely strong — revenue +48% and EBITDA +45% in FY25, +23% and +16% again in 1Q26 — but at today’s sourced 22.55% EGP risk-free the fundamental lenses split: the discounted-cash-flow lens sits far below the market price, while the earnings-power and own-multiple lenses sit near it. The gap is a rate-path bet, and this study prices it explicitly instead of blending it away.</w:t>
            </w:r>
          </w:p>
          <w:p>
            <w:pPr>
              <w:spacing w:after="100"/>
            </w:pPr>
            <w:r>
              <w:rPr>
                <w:b/>
                <w:color w:val="1C3A36"/>
                <w:sz w:val="19"/>
              </w:rPr>
              <w:t xml:space="preserve">Where the numbers come from. </w:t>
            </w:r>
            <w:r>
              <w:rPr>
                <w:color w:val="1C3A36"/>
                <w:sz w:val="19"/>
              </w:rPr>
              <w:t>Every historical figure ties to Rameda’s audited consolidated financial statements (FY2023–FY2025, EY member-firm audited) and official IR earnings releases through 1Q26; every forward driver is stated with its source ring in the driver table; the engine outputs are reproducible (mc_v3, 50,000 paths, seed 42, live Egypt market fit).</w:t>
            </w:r>
          </w:p>
        </w:tc>
      </w:tr>
    </w:tbl>
    <w:p>
      <w:pPr>
        <w:spacing w:after="40"/>
      </w:pPr>
    </w:p>
    <w:p>
      <w:pPr>
        <w:spacing w:after="120" w:before="0"/>
      </w:pPr>
      <w:r>
        <w:rPr>
          <w:b w:val="0"/>
          <w:i w:val="0"/>
          <w:color w:val="1C3A36"/>
          <w:sz w:val="21"/>
        </w:rPr>
        <w:t>The company. Rameda — formally Tenth of Ramadan for Pharmaceutical Industries and Diagnostic Reagents — is an Egyptian branded-generics drugmaker founded in 1986 and listed on the EGX since November 2019. From three plants in Sixth of October City it develops, manufactures and sells generic pharmaceuticals, nutraceuticals, food supplements and veterinary products, making money four ways: prescription-driven private-market sales through distributors to pharmacies (74% of FY25 revenue), selective government tenders through Egypt’s Unified Procurement Authority (13%), exports to Iraq, Libya, Yemen, Sudan and newer markets (6%), and toll manufacturing that monetises spare plant capacity for other drugmakers (7%). Its moat is a broad registered portfolio across high-recurrence therapeutic areas — alimentary/metabolism and anti-infectives above all — deepened by a disciplined habit of buying proven product portfolios outright (EGP 595mn of product acquisitions in 2025 alone) rather than betting on discovery. It is a mid-tier player by revenue in a fragmented market, but one of Egypt’s fastest-growing: revenue has more than doubled in two years to EGP 4.1bn, and the constraint on shareholder profit today is not the factory floor — it is the EGP ~2.1bn of working-capital debt being carried at Egyptian interest rates.</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developed below — what the business is worth (fundamental), what the tape is doing (technical), where price could travel over three months (Monte Carlo), and how three independent expert methods land. Every row is developed in the sections and appendices that follow.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952"/>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232"/>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2952"/>
            <w:shd w:val="clear" w:color="auto" w:fill="F6F1E6"/>
          </w:tcPr>
          <w:p>
            <w:pPr>
              <w:spacing w:after="20"/>
            </w:pPr>
            <w:r>
              <w:rPr>
                <w:b/>
                <w:color w:val="1C3A36"/>
                <w:sz w:val="17"/>
              </w:rPr>
              <w:t>FUNDAMENTAL — what the business is worth (the ~12-month anchor)</w:t>
            </w:r>
          </w:p>
        </w:tc>
        <w:tc>
          <w:tcPr>
            <w:tcW w:type="dxa" w:w="3384"/>
            <w:shd w:val="clear" w:color="auto" w:fill="F6F1E6"/>
          </w:tcPr>
          <w:p>
            <w:pPr>
              <w:spacing w:after="20"/>
              <w:jc w:val="right"/>
            </w:pPr>
            <w:r>
              <w:rPr>
                <w:b/>
                <w:color w:val="1C3A36"/>
                <w:sz w:val="17"/>
              </w:rPr>
            </w:r>
          </w:p>
        </w:tc>
        <w:tc>
          <w:tcPr>
            <w:tcW w:type="dxa" w:w="2232"/>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FCFF DCF (discipline lens)</w:t>
            </w:r>
          </w:p>
        </w:tc>
        <w:tc>
          <w:tcPr>
            <w:tcW w:type="dxa" w:w="3384"/>
          </w:tcPr>
          <w:p>
            <w:pPr>
              <w:spacing w:after="20"/>
              <w:jc w:val="right"/>
            </w:pPr>
            <w:r>
              <w:rPr>
                <w:color w:val="1C3A36"/>
                <w:sz w:val="17"/>
              </w:rPr>
              <w:t>Five-year FCFF + terminal, at the sourced 22.55% rf</w:t>
            </w:r>
          </w:p>
        </w:tc>
        <w:tc>
          <w:tcPr>
            <w:tcW w:type="dxa" w:w="2232"/>
          </w:tcPr>
          <w:p>
            <w:pPr>
              <w:spacing w:after="20"/>
              <w:jc w:val="right"/>
            </w:pPr>
            <w:r>
              <w:rPr>
                <w:color w:val="1C3A36"/>
                <w:sz w:val="17"/>
              </w:rPr>
              <w:t>EGP 1.73</w:t>
            </w:r>
          </w:p>
        </w:tc>
        <w:tc>
          <w:tcPr>
            <w:tcW w:type="dxa" w:w="1656"/>
          </w:tcPr>
          <w:p>
            <w:pPr>
              <w:spacing w:after="20"/>
              <w:jc w:val="right"/>
            </w:pPr>
            <w:r>
              <w:rPr>
                <w:color w:val="1C3A36"/>
                <w:sz w:val="17"/>
              </w:rPr>
              <w:t>-65% vs spot — the rate discipline bites</w:t>
            </w:r>
          </w:p>
        </w:tc>
      </w:tr>
      <w:tr>
        <w:tc>
          <w:tcPr>
            <w:tcW w:type="dxa" w:w="2952"/>
          </w:tcPr>
          <w:p>
            <w:pPr>
              <w:spacing w:after="20"/>
            </w:pPr>
            <w:r>
              <w:rPr>
                <w:color w:val="1C3A36"/>
                <w:sz w:val="17"/>
              </w:rPr>
              <w:t>Dividend discount (policy lens)</w:t>
            </w:r>
          </w:p>
        </w:tc>
        <w:tc>
          <w:tcPr>
            <w:tcW w:type="dxa" w:w="3384"/>
          </w:tcPr>
          <w:p>
            <w:pPr>
              <w:spacing w:after="20"/>
              <w:jc w:val="right"/>
            </w:pPr>
            <w:r>
              <w:rPr>
                <w:color w:val="1C3A36"/>
                <w:sz w:val="17"/>
              </w:rPr>
              <w:t>EGP 120mn/yr ramping to a 40% payout, at Ke</w:t>
            </w:r>
          </w:p>
        </w:tc>
        <w:tc>
          <w:tcPr>
            <w:tcW w:type="dxa" w:w="2232"/>
          </w:tcPr>
          <w:p>
            <w:pPr>
              <w:spacing w:after="20"/>
              <w:jc w:val="right"/>
            </w:pPr>
            <w:r>
              <w:rPr>
                <w:color w:val="1C3A36"/>
                <w:sz w:val="17"/>
              </w:rPr>
              <w:t>EGP 1.00</w:t>
            </w:r>
          </w:p>
        </w:tc>
        <w:tc>
          <w:tcPr>
            <w:tcW w:type="dxa" w:w="1656"/>
          </w:tcPr>
          <w:p>
            <w:pPr>
              <w:spacing w:after="20"/>
              <w:jc w:val="right"/>
            </w:pPr>
            <w:r>
              <w:rPr>
                <w:color w:val="1C3A36"/>
                <w:sz w:val="17"/>
              </w:rPr>
              <w:t>-80% — payout too young to carry value</w:t>
            </w:r>
          </w:p>
        </w:tc>
      </w:tr>
      <w:tr>
        <w:tc>
          <w:tcPr>
            <w:tcW w:type="dxa" w:w="2952"/>
          </w:tcPr>
          <w:p>
            <w:pPr>
              <w:spacing w:after="20"/>
            </w:pPr>
            <w:r>
              <w:rPr>
                <w:color w:val="1C3A36"/>
                <w:sz w:val="17"/>
              </w:rPr>
              <w:t>Relative (own EV/EBITDA band)</w:t>
            </w:r>
          </w:p>
        </w:tc>
        <w:tc>
          <w:tcPr>
            <w:tcW w:type="dxa" w:w="3384"/>
          </w:tcPr>
          <w:p>
            <w:pPr>
              <w:spacing w:after="20"/>
              <w:jc w:val="right"/>
            </w:pPr>
            <w:r>
              <w:rPr>
                <w:color w:val="1C3A36"/>
                <w:sz w:val="17"/>
              </w:rPr>
              <w:t>FY26E EBITDA × 6.5–9.5×, bridged to equity</w:t>
            </w:r>
          </w:p>
        </w:tc>
        <w:tc>
          <w:tcPr>
            <w:tcW w:type="dxa" w:w="2232"/>
          </w:tcPr>
          <w:p>
            <w:pPr>
              <w:spacing w:after="20"/>
              <w:jc w:val="right"/>
            </w:pPr>
            <w:r>
              <w:rPr>
                <w:color w:val="1C3A36"/>
                <w:sz w:val="17"/>
              </w:rPr>
              <w:t>EGP 4.40</w:t>
            </w:r>
          </w:p>
        </w:tc>
        <w:tc>
          <w:tcPr>
            <w:tcW w:type="dxa" w:w="1656"/>
          </w:tcPr>
          <w:p>
            <w:pPr>
              <w:spacing w:after="20"/>
              <w:jc w:val="right"/>
            </w:pPr>
            <w:r>
              <w:rPr>
                <w:color w:val="1C3A36"/>
                <w:sz w:val="17"/>
              </w:rPr>
              <w:t>-12%</w:t>
            </w:r>
          </w:p>
        </w:tc>
      </w:tr>
      <w:tr>
        <w:tc>
          <w:tcPr>
            <w:tcW w:type="dxa" w:w="2952"/>
          </w:tcPr>
          <w:p>
            <w:pPr>
              <w:spacing w:after="20"/>
            </w:pPr>
            <w:r>
              <w:rPr>
                <w:color w:val="1C3A36"/>
                <w:sz w:val="17"/>
              </w:rPr>
              <w:t>Normalized earnings power</w:t>
            </w:r>
          </w:p>
        </w:tc>
        <w:tc>
          <w:tcPr>
            <w:tcW w:type="dxa" w:w="3384"/>
          </w:tcPr>
          <w:p>
            <w:pPr>
              <w:spacing w:after="20"/>
              <w:jc w:val="right"/>
            </w:pPr>
            <w:r>
              <w:rPr>
                <w:color w:val="1C3A36"/>
                <w:sz w:val="17"/>
              </w:rPr>
              <w:t>FY26E attributable EPS × through-cycle P/E</w:t>
            </w:r>
          </w:p>
        </w:tc>
        <w:tc>
          <w:tcPr>
            <w:tcW w:type="dxa" w:w="2232"/>
          </w:tcPr>
          <w:p>
            <w:pPr>
              <w:spacing w:after="20"/>
              <w:jc w:val="right"/>
            </w:pPr>
            <w:r>
              <w:rPr>
                <w:color w:val="1C3A36"/>
                <w:sz w:val="17"/>
              </w:rPr>
              <w:t>EGP 3.65</w:t>
            </w:r>
          </w:p>
        </w:tc>
        <w:tc>
          <w:tcPr>
            <w:tcW w:type="dxa" w:w="1656"/>
          </w:tcPr>
          <w:p>
            <w:pPr>
              <w:spacing w:after="20"/>
              <w:jc w:val="right"/>
            </w:pPr>
            <w:r>
              <w:rPr>
                <w:color w:val="1C3A36"/>
                <w:sz w:val="17"/>
              </w:rPr>
              <w:t>-27%</w:t>
            </w:r>
          </w:p>
        </w:tc>
      </w:tr>
      <w:tr>
        <w:tc>
          <w:tcPr>
            <w:tcW w:type="dxa" w:w="2952"/>
          </w:tcPr>
          <w:p>
            <w:pPr>
              <w:spacing w:after="20"/>
            </w:pPr>
            <w:r>
              <w:rPr>
                <w:color w:val="1C3A36"/>
                <w:sz w:val="17"/>
              </w:rPr>
              <w:t>Weighted central</w:t>
            </w:r>
          </w:p>
        </w:tc>
        <w:tc>
          <w:tcPr>
            <w:tcW w:type="dxa" w:w="3384"/>
          </w:tcPr>
          <w:p>
            <w:pPr>
              <w:spacing w:after="20"/>
              <w:jc w:val="right"/>
            </w:pPr>
            <w:r>
              <w:rPr>
                <w:color w:val="1C3A36"/>
                <w:sz w:val="17"/>
              </w:rPr>
              <w:t>Blend 35 / 15 / 25 / 25</w:t>
            </w:r>
          </w:p>
        </w:tc>
        <w:tc>
          <w:tcPr>
            <w:tcW w:type="dxa" w:w="2232"/>
          </w:tcPr>
          <w:p>
            <w:pPr>
              <w:spacing w:after="20"/>
              <w:jc w:val="right"/>
            </w:pPr>
            <w:r>
              <w:rPr>
                <w:color w:val="1C3A36"/>
                <w:sz w:val="17"/>
              </w:rPr>
              <w:t>EGP 2.77 [2.11–3.48]</w:t>
            </w:r>
          </w:p>
        </w:tc>
        <w:tc>
          <w:tcPr>
            <w:tcW w:type="dxa" w:w="1656"/>
          </w:tcPr>
          <w:p>
            <w:pPr>
              <w:spacing w:after="20"/>
              <w:jc w:val="right"/>
            </w:pPr>
            <w:r>
              <w:rPr>
                <w:color w:val="1C3A36"/>
                <w:sz w:val="17"/>
              </w:rPr>
              <w:t>-45% vs EGP 5.00 — divergence disclosed, not blended</w:t>
            </w:r>
          </w:p>
        </w:tc>
      </w:tr>
      <w:tr>
        <w:tc>
          <w:tcPr>
            <w:tcW w:type="dxa" w:w="2952"/>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232"/>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Trend</w:t>
            </w:r>
          </w:p>
        </w:tc>
        <w:tc>
          <w:tcPr>
            <w:tcW w:type="dxa" w:w="3384"/>
          </w:tcPr>
          <w:p>
            <w:pPr>
              <w:spacing w:after="20"/>
              <w:jc w:val="right"/>
            </w:pPr>
            <w:r>
              <w:rPr>
                <w:color w:val="1C3A36"/>
                <w:sz w:val="17"/>
              </w:rPr>
              <w:t>Price vs 20/50/100/200-day averages</w:t>
            </w:r>
          </w:p>
        </w:tc>
        <w:tc>
          <w:tcPr>
            <w:tcW w:type="dxa" w:w="2232"/>
          </w:tcPr>
          <w:p>
            <w:pPr>
              <w:spacing w:after="20"/>
              <w:jc w:val="right"/>
            </w:pPr>
            <w:r>
              <w:rPr>
                <w:color w:val="1C3A36"/>
                <w:sz w:val="17"/>
              </w:rPr>
              <w:t>Above 3 of 4; a whisker under SMA20 (SMA200 3.92)</w:t>
            </w:r>
          </w:p>
        </w:tc>
        <w:tc>
          <w:tcPr>
            <w:tcW w:type="dxa" w:w="1656"/>
          </w:tcPr>
          <w:p>
            <w:pPr>
              <w:spacing w:after="20"/>
              <w:jc w:val="right"/>
            </w:pPr>
            <w:r>
              <w:rPr>
                <w:color w:val="1C3A36"/>
                <w:sz w:val="17"/>
              </w:rPr>
              <w:t>Uptrend intact, consolidating</w:t>
            </w:r>
          </w:p>
        </w:tc>
      </w:tr>
      <w:tr>
        <w:tc>
          <w:tcPr>
            <w:tcW w:type="dxa" w:w="2952"/>
          </w:tcPr>
          <w:p>
            <w:pPr>
              <w:spacing w:after="20"/>
            </w:pPr>
            <w:r>
              <w:rPr>
                <w:color w:val="1C3A36"/>
                <w:sz w:val="17"/>
              </w:rPr>
              <w:t>Momentum / range</w:t>
            </w:r>
          </w:p>
        </w:tc>
        <w:tc>
          <w:tcPr>
            <w:tcW w:type="dxa" w:w="3384"/>
          </w:tcPr>
          <w:p>
            <w:pPr>
              <w:spacing w:after="20"/>
              <w:jc w:val="right"/>
            </w:pPr>
            <w:r>
              <w:rPr>
                <w:color w:val="1C3A36"/>
                <w:sz w:val="17"/>
              </w:rPr>
              <w:t>RSI · MACD · 52-week range</w:t>
            </w:r>
          </w:p>
        </w:tc>
        <w:tc>
          <w:tcPr>
            <w:tcW w:type="dxa" w:w="2232"/>
          </w:tcPr>
          <w:p>
            <w:pPr>
              <w:spacing w:after="20"/>
              <w:jc w:val="right"/>
            </w:pPr>
            <w:r>
              <w:rPr>
                <w:color w:val="1C3A36"/>
                <w:sz w:val="17"/>
              </w:rPr>
              <w:t>RSI 50 · MACD -0.009 · 3.02–5.38</w:t>
            </w:r>
          </w:p>
        </w:tc>
        <w:tc>
          <w:tcPr>
            <w:tcW w:type="dxa" w:w="1656"/>
          </w:tcPr>
          <w:p>
            <w:pPr>
              <w:spacing w:after="20"/>
              <w:jc w:val="right"/>
            </w:pPr>
            <w:r>
              <w:rPr>
                <w:color w:val="1C3A36"/>
                <w:sz w:val="17"/>
              </w:rPr>
              <w:t>Neutral after the June high</w:t>
            </w:r>
          </w:p>
        </w:tc>
      </w:tr>
      <w:tr>
        <w:tc>
          <w:tcPr>
            <w:tcW w:type="dxa" w:w="2952"/>
            <w:shd w:val="clear" w:color="auto" w:fill="F6F1E6"/>
          </w:tcPr>
          <w:p>
            <w:pPr>
              <w:spacing w:after="20"/>
            </w:pPr>
            <w:r>
              <w:rPr>
                <w:b/>
                <w:color w:val="1C3A36"/>
                <w:sz w:val="17"/>
              </w:rPr>
              <w:t>MONTE CARLO — where price could go in 3 months (paths from spot)</w:t>
            </w:r>
          </w:p>
        </w:tc>
        <w:tc>
          <w:tcPr>
            <w:tcW w:type="dxa" w:w="3384"/>
            <w:shd w:val="clear" w:color="auto" w:fill="F6F1E6"/>
          </w:tcPr>
          <w:p>
            <w:pPr>
              <w:spacing w:after="20"/>
              <w:jc w:val="right"/>
            </w:pPr>
            <w:r>
              <w:rPr>
                <w:b/>
                <w:color w:val="1C3A36"/>
                <w:sz w:val="17"/>
              </w:rPr>
            </w:r>
          </w:p>
        </w:tc>
        <w:tc>
          <w:tcPr>
            <w:tcW w:type="dxa" w:w="2232"/>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T+20 sessions</w:t>
            </w:r>
          </w:p>
        </w:tc>
        <w:tc>
          <w:tcPr>
            <w:tcW w:type="dxa" w:w="3384"/>
          </w:tcPr>
          <w:p>
            <w:pPr>
              <w:spacing w:after="20"/>
              <w:jc w:val="right"/>
            </w:pPr>
            <w:r>
              <w:rPr>
                <w:color w:val="1C3A36"/>
                <w:sz w:val="17"/>
              </w:rPr>
              <w:t>50,000 paths · carry-anchored · t(ν=4)</w:t>
            </w:r>
          </w:p>
        </w:tc>
        <w:tc>
          <w:tcPr>
            <w:tcW w:type="dxa" w:w="2232"/>
          </w:tcPr>
          <w:p>
            <w:pPr>
              <w:spacing w:after="20"/>
              <w:jc w:val="right"/>
            </w:pPr>
            <w:r>
              <w:rPr>
                <w:color w:val="1C3A36"/>
                <w:sz w:val="17"/>
              </w:rPr>
              <w:t>p5 4.32 · p50 5.07 · p95 5.95</w:t>
            </w:r>
          </w:p>
        </w:tc>
        <w:tc>
          <w:tcPr>
            <w:tcW w:type="dxa" w:w="1656"/>
          </w:tcPr>
          <w:p>
            <w:pPr>
              <w:spacing w:after="20"/>
              <w:jc w:val="right"/>
            </w:pPr>
            <w:r>
              <w:rPr>
                <w:color w:val="1C3A36"/>
                <w:sz w:val="17"/>
              </w:rPr>
              <w:t>Median ≈ spot + carry</w:t>
            </w:r>
          </w:p>
        </w:tc>
      </w:tr>
      <w:tr>
        <w:tc>
          <w:tcPr>
            <w:tcW w:type="dxa" w:w="2952"/>
          </w:tcPr>
          <w:p>
            <w:pPr>
              <w:spacing w:after="20"/>
            </w:pPr>
            <w:r>
              <w:rPr>
                <w:color w:val="1C3A36"/>
                <w:sz w:val="17"/>
              </w:rPr>
              <w:t>T+60 sessions</w:t>
            </w:r>
          </w:p>
        </w:tc>
        <w:tc>
          <w:tcPr>
            <w:tcW w:type="dxa" w:w="3384"/>
          </w:tcPr>
          <w:p>
            <w:pPr>
              <w:spacing w:after="20"/>
              <w:jc w:val="right"/>
            </w:pPr>
            <w:r>
              <w:rPr>
                <w:color w:val="1C3A36"/>
                <w:sz w:val="17"/>
              </w:rPr>
              <w:t>same engine, longer horizon</w:t>
            </w:r>
          </w:p>
        </w:tc>
        <w:tc>
          <w:tcPr>
            <w:tcW w:type="dxa" w:w="2232"/>
          </w:tcPr>
          <w:p>
            <w:pPr>
              <w:spacing w:after="20"/>
              <w:jc w:val="right"/>
            </w:pPr>
            <w:r>
              <w:rPr>
                <w:color w:val="1C3A36"/>
                <w:sz w:val="17"/>
              </w:rPr>
              <w:t>p5 3.95 · p50 5.20 · p95 6.84</w:t>
            </w:r>
          </w:p>
        </w:tc>
        <w:tc>
          <w:tcPr>
            <w:tcW w:type="dxa" w:w="1656"/>
          </w:tcPr>
          <w:p>
            <w:pPr>
              <w:spacing w:after="20"/>
              <w:jc w:val="right"/>
            </w:pPr>
            <w:r>
              <w:rPr>
                <w:color w:val="1C3A36"/>
                <w:sz w:val="17"/>
              </w:rPr>
              <w:t>P(above spot) 62%</w:t>
            </w:r>
          </w:p>
        </w:tc>
      </w:tr>
      <w:tr>
        <w:tc>
          <w:tcPr>
            <w:tcW w:type="dxa" w:w="2952"/>
            <w:shd w:val="clear" w:color="auto" w:fill="F6F1E6"/>
          </w:tcPr>
          <w:p>
            <w:pPr>
              <w:spacing w:after="20"/>
            </w:pPr>
            <w:r>
              <w:rPr>
                <w:b/>
                <w:color w:val="1C3A36"/>
                <w:sz w:val="17"/>
              </w:rPr>
              <w:t>EXPERT PANEL — three independent methods (Appendix C)</w:t>
            </w:r>
          </w:p>
        </w:tc>
        <w:tc>
          <w:tcPr>
            <w:tcW w:type="dxa" w:w="3384"/>
            <w:shd w:val="clear" w:color="auto" w:fill="F6F1E6"/>
          </w:tcPr>
          <w:p>
            <w:pPr>
              <w:spacing w:after="20"/>
              <w:jc w:val="right"/>
            </w:pPr>
            <w:r>
              <w:rPr>
                <w:b/>
                <w:color w:val="1C3A36"/>
                <w:sz w:val="17"/>
              </w:rPr>
            </w:r>
          </w:p>
        </w:tc>
        <w:tc>
          <w:tcPr>
            <w:tcW w:type="dxa" w:w="2232"/>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Expert 1 — cash returns / economic profit</w:t>
            </w:r>
          </w:p>
        </w:tc>
        <w:tc>
          <w:tcPr>
            <w:tcW w:type="dxa" w:w="3384"/>
          </w:tcPr>
          <w:p>
            <w:pPr>
              <w:spacing w:after="20"/>
              <w:jc w:val="right"/>
            </w:pPr>
            <w:r>
              <w:rPr>
                <w:color w:val="1C3A36"/>
                <w:sz w:val="17"/>
              </w:rPr>
              <w:t>EP on the forecast path; zero terminal value creation</w:t>
            </w:r>
          </w:p>
        </w:tc>
        <w:tc>
          <w:tcPr>
            <w:tcW w:type="dxa" w:w="2232"/>
          </w:tcPr>
          <w:p>
            <w:pPr>
              <w:spacing w:after="20"/>
              <w:jc w:val="right"/>
            </w:pPr>
            <w:r>
              <w:rPr>
                <w:color w:val="1C3A36"/>
                <w:sz w:val="17"/>
              </w:rPr>
              <w:t>EGP 0.97</w:t>
            </w:r>
          </w:p>
        </w:tc>
        <w:tc>
          <w:tcPr>
            <w:tcW w:type="dxa" w:w="1656"/>
          </w:tcPr>
          <w:p>
            <w:pPr>
              <w:spacing w:after="20"/>
              <w:jc w:val="right"/>
            </w:pPr>
            <w:r>
              <w:rPr>
                <w:color w:val="1C3A36"/>
                <w:sz w:val="17"/>
              </w:rPr>
              <w:t>Most conservative — charges for every negative-spread year</w:t>
            </w:r>
          </w:p>
        </w:tc>
      </w:tr>
      <w:tr>
        <w:tc>
          <w:tcPr>
            <w:tcW w:type="dxa" w:w="2952"/>
          </w:tcPr>
          <w:p>
            <w:pPr>
              <w:spacing w:after="20"/>
            </w:pPr>
            <w:r>
              <w:rPr>
                <w:color w:val="1C3A36"/>
                <w:sz w:val="17"/>
              </w:rPr>
              <w:t>Expert 2 — normalized earnings power</w:t>
            </w:r>
          </w:p>
        </w:tc>
        <w:tc>
          <w:tcPr>
            <w:tcW w:type="dxa" w:w="3384"/>
          </w:tcPr>
          <w:p>
            <w:pPr>
              <w:spacing w:after="20"/>
              <w:jc w:val="right"/>
            </w:pPr>
            <w:r>
              <w:rPr>
                <w:color w:val="1C3A36"/>
                <w:sz w:val="17"/>
              </w:rPr>
              <w:t>FY26E EPS × multiple bands</w:t>
            </w:r>
          </w:p>
        </w:tc>
        <w:tc>
          <w:tcPr>
            <w:tcW w:type="dxa" w:w="2232"/>
          </w:tcPr>
          <w:p>
            <w:pPr>
              <w:spacing w:after="20"/>
              <w:jc w:val="right"/>
            </w:pPr>
            <w:r>
              <w:rPr>
                <w:color w:val="1C3A36"/>
                <w:sz w:val="17"/>
              </w:rPr>
              <w:t>EGP 3.65</w:t>
            </w:r>
          </w:p>
        </w:tc>
        <w:tc>
          <w:tcPr>
            <w:tcW w:type="dxa" w:w="1656"/>
          </w:tcPr>
          <w:p>
            <w:pPr>
              <w:spacing w:after="20"/>
              <w:jc w:val="right"/>
            </w:pPr>
            <w:r>
              <w:rPr>
                <w:color w:val="1C3A36"/>
                <w:sz w:val="17"/>
              </w:rPr>
              <w:t>The earnings anchor</w:t>
            </w:r>
          </w:p>
        </w:tc>
      </w:tr>
      <w:tr>
        <w:tc>
          <w:tcPr>
            <w:tcW w:type="dxa" w:w="2952"/>
          </w:tcPr>
          <w:p>
            <w:pPr>
              <w:spacing w:after="20"/>
            </w:pPr>
            <w:r>
              <w:rPr>
                <w:color w:val="1C3A36"/>
                <w:sz w:val="17"/>
              </w:rPr>
              <w:t>Expert 3 — macro-policy scenario tree</w:t>
            </w:r>
          </w:p>
        </w:tc>
        <w:tc>
          <w:tcPr>
            <w:tcW w:type="dxa" w:w="3384"/>
          </w:tcPr>
          <w:p>
            <w:pPr>
              <w:spacing w:after="20"/>
              <w:jc w:val="right"/>
            </w:pPr>
            <w:r>
              <w:rPr>
                <w:color w:val="1C3A36"/>
                <w:sz w:val="17"/>
              </w:rPr>
              <w:t>CBE rate paths into the DCF</w:t>
            </w:r>
          </w:p>
        </w:tc>
        <w:tc>
          <w:tcPr>
            <w:tcW w:type="dxa" w:w="2232"/>
          </w:tcPr>
          <w:p>
            <w:pPr>
              <w:spacing w:after="20"/>
              <w:jc w:val="right"/>
            </w:pPr>
            <w:r>
              <w:rPr>
                <w:color w:val="1C3A36"/>
                <w:sz w:val="17"/>
              </w:rPr>
              <w:t>EGP 1.97</w:t>
            </w:r>
          </w:p>
        </w:tc>
        <w:tc>
          <w:tcPr>
            <w:tcW w:type="dxa" w:w="1656"/>
          </w:tcPr>
          <w:p>
            <w:pPr>
              <w:spacing w:after="20"/>
              <w:jc w:val="right"/>
            </w:pPr>
            <w:r>
              <w:rPr>
                <w:color w:val="1C3A36"/>
                <w:sz w:val="17"/>
              </w:rPr>
              <w:t>Prices the easing cycle</w:t>
            </w:r>
          </w:p>
        </w:tc>
      </w:tr>
      <w:tr>
        <w:tc>
          <w:tcPr>
            <w:tcW w:type="dxa" w:w="2952"/>
          </w:tcPr>
          <w:p>
            <w:pPr>
              <w:spacing w:after="20"/>
            </w:pPr>
            <w:r>
              <w:rPr>
                <w:color w:val="1C3A36"/>
                <w:sz w:val="17"/>
              </w:rPr>
              <w:t>Panel range</w:t>
            </w:r>
          </w:p>
        </w:tc>
        <w:tc>
          <w:tcPr>
            <w:tcW w:type="dxa" w:w="3384"/>
          </w:tcPr>
          <w:p>
            <w:pPr>
              <w:spacing w:after="20"/>
              <w:jc w:val="right"/>
            </w:pPr>
            <w:r>
              <w:rPr>
                <w:color w:val="1C3A36"/>
                <w:sz w:val="17"/>
              </w:rPr>
              <w:t>Spread = the cost-of-capital question itself</w:t>
            </w:r>
          </w:p>
        </w:tc>
        <w:tc>
          <w:tcPr>
            <w:tcW w:type="dxa" w:w="2232"/>
          </w:tcPr>
          <w:p>
            <w:pPr>
              <w:spacing w:after="20"/>
              <w:jc w:val="right"/>
            </w:pPr>
            <w:r>
              <w:rPr>
                <w:color w:val="1C3A36"/>
                <w:sz w:val="17"/>
              </w:rPr>
              <w:t>EGP 0.97–3.65</w:t>
            </w:r>
          </w:p>
        </w:tc>
        <w:tc>
          <w:tcPr>
            <w:tcW w:type="dxa" w:w="1656"/>
          </w:tcPr>
          <w:p>
            <w:pPr>
              <w:spacing w:after="20"/>
              <w:jc w:val="right"/>
            </w:pPr>
            <w:r>
              <w:rPr>
                <w:color w:val="1C3A36"/>
                <w:sz w:val="17"/>
              </w:rPr>
              <w:t>Wide by design — it measures the rate question</w:t>
            </w:r>
          </w:p>
        </w:tc>
      </w:tr>
    </w:tbl>
    <w:p>
      <w:pPr>
        <w:spacing w:after="40"/>
      </w:pPr>
    </w:p>
    <w:p>
      <w:pPr>
        <w:spacing w:after="160" w:before="0"/>
      </w:pPr>
      <w:r>
        <w:rPr>
          <w:b/>
          <w:i w:val="0"/>
          <w:color w:val="1C3A36"/>
          <w:sz w:val="19"/>
        </w:rPr>
        <w:t xml:space="preserve">Bottom line. </w:t>
      </w:r>
      <w:r>
        <w:rPr>
          <w:b w:val="0"/>
          <w:i w:val="0"/>
          <w:color w:val="1C3A36"/>
          <w:sz w:val="19"/>
        </w:rPr>
        <w:t>The weighted fundamental central of EGP 2.77 sits 45% below the EGP 5.00 spot — but the honest headline is the spread, not the point: the DCF at the sourced Egyptian cost of capital says 1.73, while the earnings and own-multiple lenses say 3.65–4.40. A price of 5.00 is the market asserting that Egyptian discount rates normalise and the balance sheet deleverages — both plausible, neither yet in the sourced numbers. Over three months the carry-anchored engine, which PASSES its calibration gate on this name, centres the price at 5.20 with a 50% band of 4.73–5.73: the near-term tape and the long-term rate question are different bets, and this study refuses to let one impersonate the other.</w:t>
      </w:r>
    </w:p>
    <w:p>
      <w:pPr>
        <w:spacing w:after="80" w:before="200"/>
      </w:pPr>
      <w:r>
        <w:rPr>
          <w:b/>
          <w:i w:val="0"/>
          <w:color w:val="1C3A36"/>
          <w:sz w:val="24"/>
        </w:rPr>
        <w:t>Company overview — Rameda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448"/>
            <w:shd w:val="clear" w:color="auto" w:fill="EAF0EE"/>
          </w:tcPr>
          <w:p>
            <w:pPr>
              <w:spacing w:after="20"/>
            </w:pPr>
            <w:r>
              <w:rPr>
                <w:b/>
                <w:color w:val="1C3A36"/>
                <w:sz w:val="18"/>
              </w:rPr>
              <w:t>Item</w:t>
            </w:r>
          </w:p>
        </w:tc>
        <w:tc>
          <w:tcPr>
            <w:tcW w:type="dxa" w:w="7776"/>
            <w:shd w:val="clear" w:color="auto" w:fill="EAF0EE"/>
          </w:tcPr>
          <w:p>
            <w:pPr>
              <w:spacing w:after="20"/>
            </w:pPr>
            <w:r>
              <w:rPr>
                <w:b/>
                <w:color w:val="1C3A36"/>
                <w:sz w:val="18"/>
              </w:rPr>
              <w:t>Value</w:t>
            </w:r>
          </w:p>
        </w:tc>
      </w:tr>
      <w:tr>
        <w:tc>
          <w:tcPr>
            <w:tcW w:type="dxa" w:w="2448"/>
          </w:tcPr>
          <w:p>
            <w:pPr>
              <w:spacing w:after="20"/>
            </w:pPr>
            <w:r>
              <w:rPr>
                <w:b/>
                <w:color w:val="1C3A36"/>
                <w:sz w:val="18"/>
              </w:rPr>
              <w:t>Listed entity</w:t>
            </w:r>
          </w:p>
        </w:tc>
        <w:tc>
          <w:tcPr>
            <w:tcW w:type="dxa" w:w="7776"/>
          </w:tcPr>
          <w:p>
            <w:pPr>
              <w:spacing w:after="20"/>
              <w:jc w:val="right"/>
            </w:pPr>
            <w:r>
              <w:rPr>
                <w:color w:val="1C3A36"/>
                <w:sz w:val="18"/>
              </w:rPr>
              <w:t>Tenth of Ramadan for Pharmaceutical Industries and Diagnostic Reagents (Rameda) S.A.E, EGX: RMDA (listed 26-Nov-2019)</w:t>
            </w:r>
          </w:p>
        </w:tc>
      </w:tr>
      <w:tr>
        <w:tc>
          <w:tcPr>
            <w:tcW w:type="dxa" w:w="2448"/>
          </w:tcPr>
          <w:p>
            <w:pPr>
              <w:spacing w:after="20"/>
            </w:pPr>
            <w:r>
              <w:rPr>
                <w:b/>
                <w:color w:val="1C3A36"/>
                <w:sz w:val="18"/>
              </w:rPr>
              <w:t>What it is</w:t>
            </w:r>
          </w:p>
        </w:tc>
        <w:tc>
          <w:tcPr>
            <w:tcW w:type="dxa" w:w="7776"/>
          </w:tcPr>
          <w:p>
            <w:pPr>
              <w:spacing w:after="20"/>
              <w:jc w:val="right"/>
            </w:pPr>
            <w:r>
              <w:rPr>
                <w:color w:val="1C3A36"/>
                <w:sz w:val="18"/>
              </w:rPr>
              <w:t>Egyptian branded-generics pharmaceutical manufacturer: private-market prescription sales, UPA tenders, exports, toll manufacturing; three plants in Sixth of October City</w:t>
            </w:r>
          </w:p>
        </w:tc>
      </w:tr>
      <w:tr>
        <w:tc>
          <w:tcPr>
            <w:tcW w:type="dxa" w:w="2448"/>
          </w:tcPr>
          <w:p>
            <w:pPr>
              <w:spacing w:after="20"/>
            </w:pPr>
            <w:r>
              <w:rPr>
                <w:b/>
                <w:color w:val="1C3A36"/>
                <w:sz w:val="18"/>
              </w:rPr>
              <w:t>Spot / date</w:t>
            </w:r>
          </w:p>
        </w:tc>
        <w:tc>
          <w:tcPr>
            <w:tcW w:type="dxa" w:w="7776"/>
          </w:tcPr>
          <w:p>
            <w:pPr>
              <w:spacing w:after="20"/>
              <w:jc w:val="right"/>
            </w:pPr>
            <w:r>
              <w:rPr>
                <w:color w:val="1C3A36"/>
                <w:sz w:val="18"/>
              </w:rPr>
              <w:t>EGP 5.00 · 12-Jul-2026 close · 52-week range 3.02–5.38</w:t>
            </w:r>
          </w:p>
        </w:tc>
      </w:tr>
      <w:tr>
        <w:tc>
          <w:tcPr>
            <w:tcW w:type="dxa" w:w="2448"/>
          </w:tcPr>
          <w:p>
            <w:pPr>
              <w:spacing w:after="20"/>
            </w:pPr>
            <w:r>
              <w:rPr>
                <w:b/>
                <w:color w:val="1C3A36"/>
                <w:sz w:val="18"/>
              </w:rPr>
              <w:t>Shares · market cap</w:t>
            </w:r>
          </w:p>
        </w:tc>
        <w:tc>
          <w:tcPr>
            <w:tcW w:type="dxa" w:w="7776"/>
          </w:tcPr>
          <w:p>
            <w:pPr>
              <w:spacing w:after="20"/>
              <w:jc w:val="right"/>
            </w:pPr>
            <w:r>
              <w:rPr>
                <w:color w:val="1C3A36"/>
                <w:sz w:val="18"/>
              </w:rPr>
              <w:t>2,000.0mn shares (post 0.3236 bonus issue, Nov-2025; FY25 FS Note 17) · EGP 10.0bn</w:t>
            </w:r>
          </w:p>
        </w:tc>
      </w:tr>
      <w:tr>
        <w:tc>
          <w:tcPr>
            <w:tcW w:type="dxa" w:w="2448"/>
          </w:tcPr>
          <w:p>
            <w:pPr>
              <w:spacing w:after="20"/>
            </w:pPr>
            <w:r>
              <w:rPr>
                <w:b/>
                <w:color w:val="1C3A36"/>
                <w:sz w:val="18"/>
              </w:rPr>
              <w:t>FY2025 revenue / EBITDA / net income</w:t>
            </w:r>
          </w:p>
        </w:tc>
        <w:tc>
          <w:tcPr>
            <w:tcW w:type="dxa" w:w="7776"/>
          </w:tcPr>
          <w:p>
            <w:pPr>
              <w:spacing w:after="20"/>
              <w:jc w:val="right"/>
            </w:pPr>
            <w:r>
              <w:rPr>
                <w:color w:val="1C3A36"/>
                <w:sz w:val="18"/>
              </w:rPr>
              <w:t>EGP 4,096mn (+48%) · EGP 1,166mn company-adjusted, 28.5% margin (EBIT+D&amp;A build: 1,164) · EGP 313mn reported (−22%), 404mn recurring (+13%)</w:t>
            </w:r>
          </w:p>
        </w:tc>
      </w:tr>
      <w:tr>
        <w:tc>
          <w:tcPr>
            <w:tcW w:type="dxa" w:w="2448"/>
          </w:tcPr>
          <w:p>
            <w:pPr>
              <w:spacing w:after="20"/>
            </w:pPr>
            <w:r>
              <w:rPr>
                <w:b/>
                <w:color w:val="1C3A36"/>
                <w:sz w:val="18"/>
              </w:rPr>
              <w:t>1Q2026</w:t>
            </w:r>
          </w:p>
        </w:tc>
        <w:tc>
          <w:tcPr>
            <w:tcW w:type="dxa" w:w="7776"/>
          </w:tcPr>
          <w:p>
            <w:pPr>
              <w:spacing w:after="20"/>
              <w:jc w:val="right"/>
            </w:pPr>
            <w:r>
              <w:rPr>
                <w:color w:val="1C3A36"/>
                <w:sz w:val="18"/>
              </w:rPr>
              <w:t>Revenue EGP 1,067mn (+23%) · EBITDA 303mn (28.4%) · net income 103mn (+20%) · operating cash inflow +99mn</w:t>
            </w:r>
          </w:p>
        </w:tc>
      </w:tr>
      <w:tr>
        <w:tc>
          <w:tcPr>
            <w:tcW w:type="dxa" w:w="2448"/>
          </w:tcPr>
          <w:p>
            <w:pPr>
              <w:spacing w:after="20"/>
            </w:pPr>
            <w:r>
              <w:rPr>
                <w:b/>
                <w:color w:val="1C3A36"/>
                <w:sz w:val="18"/>
              </w:rPr>
              <w:t>Channel split (FY25)</w:t>
            </w:r>
          </w:p>
        </w:tc>
        <w:tc>
          <w:tcPr>
            <w:tcW w:type="dxa" w:w="7776"/>
          </w:tcPr>
          <w:p>
            <w:pPr>
              <w:spacing w:after="20"/>
              <w:jc w:val="right"/>
            </w:pPr>
            <w:r>
              <w:rPr>
                <w:color w:val="1C3A36"/>
                <w:sz w:val="18"/>
              </w:rPr>
              <w:t>Private 3,023 (74%) · tenders 545 (13%) · exports 243 (6%) · toll 285 (7%); therapeutic mix led by alimentary/metabolism 36% and anti-infectives 28%</w:t>
            </w:r>
          </w:p>
        </w:tc>
      </w:tr>
      <w:tr>
        <w:tc>
          <w:tcPr>
            <w:tcW w:type="dxa" w:w="2448"/>
          </w:tcPr>
          <w:p>
            <w:pPr>
              <w:spacing w:after="20"/>
            </w:pPr>
            <w:r>
              <w:rPr>
                <w:b/>
                <w:color w:val="1C3A36"/>
                <w:sz w:val="18"/>
              </w:rPr>
              <w:t>Balance sheet</w:t>
            </w:r>
          </w:p>
        </w:tc>
        <w:tc>
          <w:tcPr>
            <w:tcW w:type="dxa" w:w="7776"/>
          </w:tcPr>
          <w:p>
            <w:pPr>
              <w:spacing w:after="20"/>
              <w:jc w:val="right"/>
            </w:pPr>
            <w:r>
              <w:rPr>
                <w:color w:val="1C3A36"/>
                <w:sz w:val="18"/>
              </w:rPr>
              <w:t>Net debt EGP 2,225mn ex-lease / 2,307mn incl. leases at FY25 (dual framing); 1Q26 net debt EGP 2,111mn (−5% YTD); facility rates 15–25.27%; ND/EBITDA ~1.9× vs a 1.0–1.5× internal guide</w:t>
            </w:r>
          </w:p>
        </w:tc>
      </w:tr>
      <w:tr>
        <w:tc>
          <w:tcPr>
            <w:tcW w:type="dxa" w:w="2448"/>
          </w:tcPr>
          <w:p>
            <w:pPr>
              <w:spacing w:after="20"/>
            </w:pPr>
            <w:r>
              <w:rPr>
                <w:b/>
                <w:color w:val="1C3A36"/>
                <w:sz w:val="18"/>
              </w:rPr>
              <w:t>2025 portfolio acquisitions</w:t>
            </w:r>
          </w:p>
        </w:tc>
        <w:tc>
          <w:tcPr>
            <w:tcW w:type="dxa" w:w="7776"/>
          </w:tcPr>
          <w:p>
            <w:pPr>
              <w:spacing w:after="20"/>
              <w:jc w:val="right"/>
            </w:pPr>
            <w:r>
              <w:rPr>
                <w:color w:val="1C3A36"/>
                <w:sz w:val="18"/>
              </w:rPr>
              <w:t>EGP 595mn of intangible additions (product portfolios incl. a CNS/pain pair, addressable market &gt;EGP 1.3bn, 3-yr CAGR &gt;25%); funded from facilities</w:t>
            </w:r>
          </w:p>
        </w:tc>
      </w:tr>
      <w:tr>
        <w:tc>
          <w:tcPr>
            <w:tcW w:type="dxa" w:w="2448"/>
          </w:tcPr>
          <w:p>
            <w:pPr>
              <w:spacing w:after="20"/>
            </w:pPr>
            <w:r>
              <w:rPr>
                <w:b/>
                <w:color w:val="1C3A36"/>
                <w:sz w:val="18"/>
              </w:rPr>
              <w:t>Dividend</w:t>
            </w:r>
          </w:p>
        </w:tc>
        <w:tc>
          <w:tcPr>
            <w:tcW w:type="dxa" w:w="7776"/>
          </w:tcPr>
          <w:p>
            <w:pPr>
              <w:spacing w:after="20"/>
              <w:jc w:val="right"/>
            </w:pPr>
            <w:r>
              <w:rPr>
                <w:color w:val="1C3A36"/>
                <w:sz w:val="18"/>
              </w:rPr>
              <w:t>EGP 120mn for 2026 in two equal EGP 60mn tranches (H1/H2); target payout ~40% — yield ~1.2% while deleveraging</w:t>
            </w:r>
          </w:p>
        </w:tc>
      </w:tr>
      <w:tr>
        <w:tc>
          <w:tcPr>
            <w:tcW w:type="dxa" w:w="2448"/>
          </w:tcPr>
          <w:p>
            <w:pPr>
              <w:spacing w:after="20"/>
            </w:pPr>
            <w:r>
              <w:rPr>
                <w:b/>
                <w:color w:val="1C3A36"/>
                <w:sz w:val="18"/>
              </w:rPr>
              <w:t>One-off (FY25)</w:t>
            </w:r>
          </w:p>
        </w:tc>
        <w:tc>
          <w:tcPr>
            <w:tcW w:type="dxa" w:w="7776"/>
          </w:tcPr>
          <w:p>
            <w:pPr>
              <w:spacing w:after="20"/>
              <w:jc w:val="right"/>
            </w:pPr>
            <w:r>
              <w:rPr>
                <w:color w:val="1C3A36"/>
                <w:sz w:val="18"/>
              </w:rPr>
              <w:t>UCP/MEC distributor collapse: ~EGP 460mn exposure, ~360mn recovered/offset, remaining EGP 99mn fully provisioned; recovery efforts continue (upside if collected)</w:t>
            </w:r>
          </w:p>
        </w:tc>
      </w:tr>
      <w:tr>
        <w:tc>
          <w:tcPr>
            <w:tcW w:type="dxa" w:w="2448"/>
          </w:tcPr>
          <w:p>
            <w:pPr>
              <w:spacing w:after="20"/>
            </w:pPr>
            <w:r>
              <w:rPr>
                <w:b/>
                <w:color w:val="1C3A36"/>
                <w:sz w:val="18"/>
              </w:rPr>
              <w:t>Accounting estimate change</w:t>
            </w:r>
          </w:p>
        </w:tc>
        <w:tc>
          <w:tcPr>
            <w:tcW w:type="dxa" w:w="7776"/>
          </w:tcPr>
          <w:p>
            <w:pPr>
              <w:spacing w:after="20"/>
              <w:jc w:val="right"/>
            </w:pPr>
            <w:r>
              <w:rPr>
                <w:color w:val="1C3A36"/>
                <w:sz w:val="18"/>
              </w:rPr>
              <w:t>Brand useful lives re-estimated 20y → 35–40y in FY25, cutting annual amortisation ~EGP 25.8mn — flagged as material by the company; a quality-of-earnings item</w:t>
            </w:r>
          </w:p>
        </w:tc>
      </w:tr>
      <w:tr>
        <w:tc>
          <w:tcPr>
            <w:tcW w:type="dxa" w:w="2448"/>
          </w:tcPr>
          <w:p>
            <w:pPr>
              <w:spacing w:after="20"/>
            </w:pPr>
            <w:r>
              <w:rPr>
                <w:b/>
                <w:color w:val="1C3A36"/>
                <w:sz w:val="18"/>
              </w:rPr>
              <w:t>Ownership (colour)</w:t>
            </w:r>
          </w:p>
        </w:tc>
        <w:tc>
          <w:tcPr>
            <w:tcW w:type="dxa" w:w="7776"/>
          </w:tcPr>
          <w:p>
            <w:pPr>
              <w:spacing w:after="20"/>
              <w:jc w:val="right"/>
            </w:pPr>
            <w:r>
              <w:rPr>
                <w:color w:val="1C3A36"/>
                <w:sz w:val="18"/>
              </w:rPr>
              <w:t>Main shareholder block 40.7% (FS); aggregator registers Aquinox Pharma ~19%, Saudi Seventh Investment ~11%, Kuwait Investment Co ~10%; free float ~59% of listed shares</w:t>
            </w:r>
          </w:p>
        </w:tc>
      </w:tr>
      <w:tr>
        <w:tc>
          <w:tcPr>
            <w:tcW w:type="dxa" w:w="2448"/>
          </w:tcPr>
          <w:p>
            <w:pPr>
              <w:spacing w:after="20"/>
            </w:pPr>
            <w:r>
              <w:rPr>
                <w:b/>
                <w:color w:val="1C3A36"/>
                <w:sz w:val="18"/>
              </w:rPr>
              <w:t>Corporate events</w:t>
            </w:r>
          </w:p>
        </w:tc>
        <w:tc>
          <w:tcPr>
            <w:tcW w:type="dxa" w:w="7776"/>
          </w:tcPr>
          <w:p>
            <w:pPr>
              <w:spacing w:after="20"/>
              <w:jc w:val="right"/>
            </w:pPr>
            <w:r>
              <w:rPr>
                <w:color w:val="1C3A36"/>
                <w:sz w:val="18"/>
              </w:rPr>
              <w:t>2Q26 results due ~mid-Aug-2026 · CBE MPC 20-Aug / 24-Sep / 29-Oct / 17-Dec-2026 (official calendar; held 9-Jul) · LVP Pharma at 31.5% vs the 33.33% MTO line · SAP go-live May-2026 → FY26 · continued acquisition pipeline (management, 1Q26 ER)</w:t>
            </w:r>
          </w:p>
        </w:tc>
      </w:tr>
    </w:tbl>
    <w:p>
      <w:pPr>
        <w:spacing w:after="40"/>
      </w:pPr>
    </w:p>
    <w:p>
      <w:pPr>
        <w:spacing w:after="200" w:before="0"/>
      </w:pPr>
      <w:r>
        <w:rPr>
          <w:b w:val="0"/>
          <w:i/>
          <w:color w:val="6E7B77"/>
          <w:sz w:val="17"/>
        </w:rPr>
        <w:t>Source: Rameda audited consolidated FS FY2023–FY2025 and official IR earnings releases through 1Q26 (ramedapharma-ir.com); uploaded EGX price history. Values in EGP mn unless stated; rounding applies.</w:t>
      </w:r>
    </w:p>
    <w:p>
      <w:pPr>
        <w:spacing w:after="120" w:before="280"/>
      </w:pPr>
      <w:r>
        <w:rPr>
          <w:b/>
          <w:i w:val="0"/>
          <w:color w:val="1C3A36"/>
          <w:sz w:val="30"/>
        </w:rPr>
        <w:t>1  Fundamental valuation</w:t>
      </w:r>
    </w:p>
    <w:p>
      <w:pPr>
        <w:spacing w:after="120" w:before="0"/>
      </w:pPr>
      <w:r>
        <w:rPr>
          <w:b w:val="0"/>
          <w:i w:val="0"/>
          <w:color w:val="1C3A36"/>
          <w:sz w:val="19"/>
        </w:rPr>
        <w:t>Lens by class: Rameda is a single integrated generics operating company — its "segments" are sales channels of one business, not separable legs — so the primary lens is a single-entity five-year FCFF DCF (the EAND operating-co pattern), cross-checked by a dividend-discount policy lens, the name’s own traded multiple, and normalized earnings power. The 2025 product-portfolio acquisitions are a base-changer folded into the operating base, not a separate leg.</w:t>
      </w:r>
    </w:p>
    <w:p>
      <w:pPr>
        <w:spacing w:after="80" w:before="200"/>
      </w:pPr>
      <w:r>
        <w:rPr>
          <w:b/>
          <w:i w:val="0"/>
          <w:color w:val="1C3A36"/>
          <w:sz w:val="24"/>
        </w:rPr>
        <w:t>1.1  The FCFF DCF — the primary lens</w:t>
      </w:r>
    </w:p>
    <w:p>
      <w:pPr>
        <w:spacing w:after="120" w:before="0"/>
      </w:pPr>
      <w:r>
        <w:rPr>
          <w:b w:val="0"/>
          <w:i w:val="0"/>
          <w:color w:val="1C3A36"/>
          <w:sz w:val="19"/>
        </w:rPr>
        <w:t>The five-year explicit forecast is driven top-down (the data-discipline guard: unit volumes and ASPs by product are not separately disclosed, so channel growth × normalized margins is the honest build). The full waterfall — every input linking to the model’s Assumptions sheet —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808"/>
            <w:shd w:val="clear" w:color="auto" w:fill="EAF0EE"/>
          </w:tcPr>
          <w:p>
            <w:pPr>
              <w:spacing w:after="20"/>
            </w:pPr>
            <w:r>
              <w:rPr>
                <w:b/>
                <w:color w:val="1C3A36"/>
                <w:sz w:val="18"/>
              </w:rPr>
              <w:t>EGP mn</w:t>
            </w:r>
          </w:p>
        </w:tc>
        <w:tc>
          <w:tcPr>
            <w:tcW w:type="dxa" w:w="1440"/>
            <w:shd w:val="clear" w:color="auto" w:fill="EAF0EE"/>
          </w:tcPr>
          <w:p>
            <w:pPr>
              <w:spacing w:after="20"/>
            </w:pPr>
            <w:r>
              <w:rPr>
                <w:b/>
                <w:color w:val="1C3A36"/>
                <w:sz w:val="18"/>
              </w:rPr>
              <w:t>FY26E</w:t>
            </w:r>
          </w:p>
        </w:tc>
        <w:tc>
          <w:tcPr>
            <w:tcW w:type="dxa" w:w="1440"/>
            <w:shd w:val="clear" w:color="auto" w:fill="EAF0EE"/>
          </w:tcPr>
          <w:p>
            <w:pPr>
              <w:spacing w:after="20"/>
            </w:pPr>
            <w:r>
              <w:rPr>
                <w:b/>
                <w:color w:val="1C3A36"/>
                <w:sz w:val="18"/>
              </w:rPr>
              <w:t>FY27E</w:t>
            </w:r>
          </w:p>
        </w:tc>
        <w:tc>
          <w:tcPr>
            <w:tcW w:type="dxa" w:w="1440"/>
            <w:shd w:val="clear" w:color="auto" w:fill="EAF0EE"/>
          </w:tcPr>
          <w:p>
            <w:pPr>
              <w:spacing w:after="20"/>
            </w:pPr>
            <w:r>
              <w:rPr>
                <w:b/>
                <w:color w:val="1C3A36"/>
                <w:sz w:val="18"/>
              </w:rPr>
              <w:t>FY28E</w:t>
            </w:r>
          </w:p>
        </w:tc>
        <w:tc>
          <w:tcPr>
            <w:tcW w:type="dxa" w:w="1440"/>
            <w:shd w:val="clear" w:color="auto" w:fill="EAF0EE"/>
          </w:tcPr>
          <w:p>
            <w:pPr>
              <w:spacing w:after="20"/>
            </w:pPr>
            <w:r>
              <w:rPr>
                <w:b/>
                <w:color w:val="1C3A36"/>
                <w:sz w:val="18"/>
              </w:rPr>
              <w:t>FY29E</w:t>
            </w:r>
          </w:p>
        </w:tc>
        <w:tc>
          <w:tcPr>
            <w:tcW w:type="dxa" w:w="1440"/>
            <w:shd w:val="clear" w:color="auto" w:fill="EAF0EE"/>
          </w:tcPr>
          <w:p>
            <w:pPr>
              <w:spacing w:after="20"/>
            </w:pPr>
            <w:r>
              <w:rPr>
                <w:b/>
                <w:color w:val="1C3A36"/>
                <w:sz w:val="18"/>
              </w:rPr>
              <w:t>FY30E</w:t>
            </w:r>
          </w:p>
        </w:tc>
      </w:tr>
      <w:tr>
        <w:tc>
          <w:tcPr>
            <w:tcW w:type="dxa" w:w="2808"/>
          </w:tcPr>
          <w:p>
            <w:pPr>
              <w:spacing w:after="20"/>
            </w:pPr>
            <w:r>
              <w:rPr>
                <w:b/>
                <w:color w:val="1C3A36"/>
                <w:sz w:val="18"/>
              </w:rPr>
              <w:t>Revenue</w:t>
            </w:r>
          </w:p>
        </w:tc>
        <w:tc>
          <w:tcPr>
            <w:tcW w:type="dxa" w:w="1440"/>
          </w:tcPr>
          <w:p>
            <w:pPr>
              <w:spacing w:after="20"/>
              <w:jc w:val="right"/>
            </w:pPr>
            <w:r>
              <w:rPr>
                <w:color w:val="1C3A36"/>
                <w:sz w:val="18"/>
              </w:rPr>
              <w:t>4,859</w:t>
            </w:r>
          </w:p>
        </w:tc>
        <w:tc>
          <w:tcPr>
            <w:tcW w:type="dxa" w:w="1440"/>
          </w:tcPr>
          <w:p>
            <w:pPr>
              <w:spacing w:after="20"/>
              <w:jc w:val="right"/>
            </w:pPr>
            <w:r>
              <w:rPr>
                <w:color w:val="1C3A36"/>
                <w:sz w:val="18"/>
              </w:rPr>
              <w:t>5,462</w:t>
            </w:r>
          </w:p>
        </w:tc>
        <w:tc>
          <w:tcPr>
            <w:tcW w:type="dxa" w:w="1440"/>
          </w:tcPr>
          <w:p>
            <w:pPr>
              <w:spacing w:after="20"/>
              <w:jc w:val="right"/>
            </w:pPr>
            <w:r>
              <w:rPr>
                <w:color w:val="1C3A36"/>
                <w:sz w:val="18"/>
              </w:rPr>
              <w:t>6,043</w:t>
            </w:r>
          </w:p>
        </w:tc>
        <w:tc>
          <w:tcPr>
            <w:tcW w:type="dxa" w:w="1440"/>
          </w:tcPr>
          <w:p>
            <w:pPr>
              <w:spacing w:after="20"/>
              <w:jc w:val="right"/>
            </w:pPr>
            <w:r>
              <w:rPr>
                <w:color w:val="1C3A36"/>
                <w:sz w:val="18"/>
              </w:rPr>
              <w:t>6,609</w:t>
            </w:r>
          </w:p>
        </w:tc>
        <w:tc>
          <w:tcPr>
            <w:tcW w:type="dxa" w:w="1440"/>
          </w:tcPr>
          <w:p>
            <w:pPr>
              <w:spacing w:after="20"/>
              <w:jc w:val="right"/>
            </w:pPr>
            <w:r>
              <w:rPr>
                <w:color w:val="1C3A36"/>
                <w:sz w:val="18"/>
              </w:rPr>
              <w:t>7,190</w:t>
            </w:r>
          </w:p>
        </w:tc>
      </w:tr>
      <w:tr>
        <w:tc>
          <w:tcPr>
            <w:tcW w:type="dxa" w:w="2808"/>
          </w:tcPr>
          <w:p>
            <w:pPr>
              <w:spacing w:after="20"/>
            </w:pPr>
            <w:r>
              <w:rPr>
                <w:b/>
                <w:color w:val="1C3A36"/>
                <w:sz w:val="18"/>
              </w:rPr>
              <w:t>EBITDA</w:t>
            </w:r>
          </w:p>
        </w:tc>
        <w:tc>
          <w:tcPr>
            <w:tcW w:type="dxa" w:w="1440"/>
          </w:tcPr>
          <w:p>
            <w:pPr>
              <w:spacing w:after="20"/>
              <w:jc w:val="right"/>
            </w:pPr>
            <w:r>
              <w:rPr>
                <w:color w:val="1C3A36"/>
                <w:sz w:val="18"/>
              </w:rPr>
              <w:t>1,399</w:t>
            </w:r>
          </w:p>
        </w:tc>
        <w:tc>
          <w:tcPr>
            <w:tcW w:type="dxa" w:w="1440"/>
          </w:tcPr>
          <w:p>
            <w:pPr>
              <w:spacing w:after="20"/>
              <w:jc w:val="right"/>
            </w:pPr>
            <w:r>
              <w:rPr>
                <w:color w:val="1C3A36"/>
                <w:sz w:val="18"/>
              </w:rPr>
              <w:t>1,606</w:t>
            </w:r>
          </w:p>
        </w:tc>
        <w:tc>
          <w:tcPr>
            <w:tcW w:type="dxa" w:w="1440"/>
          </w:tcPr>
          <w:p>
            <w:pPr>
              <w:spacing w:after="20"/>
              <w:jc w:val="right"/>
            </w:pPr>
            <w:r>
              <w:rPr>
                <w:color w:val="1C3A36"/>
                <w:sz w:val="18"/>
              </w:rPr>
              <w:t>1,801</w:t>
            </w:r>
          </w:p>
        </w:tc>
        <w:tc>
          <w:tcPr>
            <w:tcW w:type="dxa" w:w="1440"/>
          </w:tcPr>
          <w:p>
            <w:pPr>
              <w:spacing w:after="20"/>
              <w:jc w:val="right"/>
            </w:pPr>
            <w:r>
              <w:rPr>
                <w:color w:val="1C3A36"/>
                <w:sz w:val="18"/>
              </w:rPr>
              <w:t>1,983</w:t>
            </w:r>
          </w:p>
        </w:tc>
        <w:tc>
          <w:tcPr>
            <w:tcW w:type="dxa" w:w="1440"/>
          </w:tcPr>
          <w:p>
            <w:pPr>
              <w:spacing w:after="20"/>
              <w:jc w:val="right"/>
            </w:pPr>
            <w:r>
              <w:rPr>
                <w:color w:val="1C3A36"/>
                <w:sz w:val="18"/>
              </w:rPr>
              <w:t>2,157</w:t>
            </w:r>
          </w:p>
        </w:tc>
      </w:tr>
      <w:tr>
        <w:tc>
          <w:tcPr>
            <w:tcW w:type="dxa" w:w="2808"/>
          </w:tcPr>
          <w:p>
            <w:pPr>
              <w:spacing w:after="20"/>
            </w:pPr>
            <w:r>
              <w:rPr>
                <w:b/>
                <w:color w:val="1C3A36"/>
                <w:sz w:val="18"/>
              </w:rPr>
              <w:t>D&amp;A</w:t>
            </w:r>
          </w:p>
        </w:tc>
        <w:tc>
          <w:tcPr>
            <w:tcW w:type="dxa" w:w="1440"/>
          </w:tcPr>
          <w:p>
            <w:pPr>
              <w:spacing w:after="20"/>
              <w:jc w:val="right"/>
            </w:pPr>
            <w:r>
              <w:rPr>
                <w:color w:val="1C3A36"/>
                <w:sz w:val="18"/>
              </w:rPr>
              <w:t>126</w:t>
            </w:r>
          </w:p>
        </w:tc>
        <w:tc>
          <w:tcPr>
            <w:tcW w:type="dxa" w:w="1440"/>
          </w:tcPr>
          <w:p>
            <w:pPr>
              <w:spacing w:after="20"/>
              <w:jc w:val="right"/>
            </w:pPr>
            <w:r>
              <w:rPr>
                <w:color w:val="1C3A36"/>
                <w:sz w:val="18"/>
              </w:rPr>
              <w:t>142</w:t>
            </w:r>
          </w:p>
        </w:tc>
        <w:tc>
          <w:tcPr>
            <w:tcW w:type="dxa" w:w="1440"/>
          </w:tcPr>
          <w:p>
            <w:pPr>
              <w:spacing w:after="20"/>
              <w:jc w:val="right"/>
            </w:pPr>
            <w:r>
              <w:rPr>
                <w:color w:val="1C3A36"/>
                <w:sz w:val="18"/>
              </w:rPr>
              <w:t>157</w:t>
            </w:r>
          </w:p>
        </w:tc>
        <w:tc>
          <w:tcPr>
            <w:tcW w:type="dxa" w:w="1440"/>
          </w:tcPr>
          <w:p>
            <w:pPr>
              <w:spacing w:after="20"/>
              <w:jc w:val="right"/>
            </w:pPr>
            <w:r>
              <w:rPr>
                <w:color w:val="1C3A36"/>
                <w:sz w:val="18"/>
              </w:rPr>
              <w:t>172</w:t>
            </w:r>
          </w:p>
        </w:tc>
        <w:tc>
          <w:tcPr>
            <w:tcW w:type="dxa" w:w="1440"/>
          </w:tcPr>
          <w:p>
            <w:pPr>
              <w:spacing w:after="20"/>
              <w:jc w:val="right"/>
            </w:pPr>
            <w:r>
              <w:rPr>
                <w:color w:val="1C3A36"/>
                <w:sz w:val="18"/>
              </w:rPr>
              <w:t>187</w:t>
            </w:r>
          </w:p>
        </w:tc>
      </w:tr>
      <w:tr>
        <w:tc>
          <w:tcPr>
            <w:tcW w:type="dxa" w:w="2808"/>
          </w:tcPr>
          <w:p>
            <w:pPr>
              <w:spacing w:after="20"/>
            </w:pPr>
            <w:r>
              <w:rPr>
                <w:b/>
                <w:color w:val="1C3A36"/>
                <w:sz w:val="18"/>
              </w:rPr>
              <w:t>EBIT</w:t>
            </w:r>
          </w:p>
        </w:tc>
        <w:tc>
          <w:tcPr>
            <w:tcW w:type="dxa" w:w="1440"/>
          </w:tcPr>
          <w:p>
            <w:pPr>
              <w:spacing w:after="20"/>
              <w:jc w:val="right"/>
            </w:pPr>
            <w:r>
              <w:rPr>
                <w:color w:val="1C3A36"/>
                <w:sz w:val="18"/>
              </w:rPr>
              <w:t>1,273</w:t>
            </w:r>
          </w:p>
        </w:tc>
        <w:tc>
          <w:tcPr>
            <w:tcW w:type="dxa" w:w="1440"/>
          </w:tcPr>
          <w:p>
            <w:pPr>
              <w:spacing w:after="20"/>
              <w:jc w:val="right"/>
            </w:pPr>
            <w:r>
              <w:rPr>
                <w:color w:val="1C3A36"/>
                <w:sz w:val="18"/>
              </w:rPr>
              <w:t>1,464</w:t>
            </w:r>
          </w:p>
        </w:tc>
        <w:tc>
          <w:tcPr>
            <w:tcW w:type="dxa" w:w="1440"/>
          </w:tcPr>
          <w:p>
            <w:pPr>
              <w:spacing w:after="20"/>
              <w:jc w:val="right"/>
            </w:pPr>
            <w:r>
              <w:rPr>
                <w:color w:val="1C3A36"/>
                <w:sz w:val="18"/>
              </w:rPr>
              <w:t>1,644</w:t>
            </w:r>
          </w:p>
        </w:tc>
        <w:tc>
          <w:tcPr>
            <w:tcW w:type="dxa" w:w="1440"/>
          </w:tcPr>
          <w:p>
            <w:pPr>
              <w:spacing w:after="20"/>
              <w:jc w:val="right"/>
            </w:pPr>
            <w:r>
              <w:rPr>
                <w:color w:val="1C3A36"/>
                <w:sz w:val="18"/>
              </w:rPr>
              <w:t>1,811</w:t>
            </w:r>
          </w:p>
        </w:tc>
        <w:tc>
          <w:tcPr>
            <w:tcW w:type="dxa" w:w="1440"/>
          </w:tcPr>
          <w:p>
            <w:pPr>
              <w:spacing w:after="20"/>
              <w:jc w:val="right"/>
            </w:pPr>
            <w:r>
              <w:rPr>
                <w:color w:val="1C3A36"/>
                <w:sz w:val="18"/>
              </w:rPr>
              <w:t>1,970</w:t>
            </w:r>
          </w:p>
        </w:tc>
      </w:tr>
      <w:tr>
        <w:tc>
          <w:tcPr>
            <w:tcW w:type="dxa" w:w="2808"/>
          </w:tcPr>
          <w:p>
            <w:pPr>
              <w:spacing w:after="20"/>
            </w:pPr>
            <w:r>
              <w:rPr>
                <w:b/>
                <w:color w:val="1C3A36"/>
                <w:sz w:val="18"/>
              </w:rPr>
              <w:t>NOPAT (EBIT×(1−t), t=24%)</w:t>
            </w:r>
          </w:p>
        </w:tc>
        <w:tc>
          <w:tcPr>
            <w:tcW w:type="dxa" w:w="1440"/>
          </w:tcPr>
          <w:p>
            <w:pPr>
              <w:spacing w:after="20"/>
              <w:jc w:val="right"/>
            </w:pPr>
            <w:r>
              <w:rPr>
                <w:color w:val="1C3A36"/>
                <w:sz w:val="18"/>
              </w:rPr>
              <w:t>968</w:t>
            </w:r>
          </w:p>
        </w:tc>
        <w:tc>
          <w:tcPr>
            <w:tcW w:type="dxa" w:w="1440"/>
          </w:tcPr>
          <w:p>
            <w:pPr>
              <w:spacing w:after="20"/>
              <w:jc w:val="right"/>
            </w:pPr>
            <w:r>
              <w:rPr>
                <w:color w:val="1C3A36"/>
                <w:sz w:val="18"/>
              </w:rPr>
              <w:t>1,113</w:t>
            </w:r>
          </w:p>
        </w:tc>
        <w:tc>
          <w:tcPr>
            <w:tcW w:type="dxa" w:w="1440"/>
          </w:tcPr>
          <w:p>
            <w:pPr>
              <w:spacing w:after="20"/>
              <w:jc w:val="right"/>
            </w:pPr>
            <w:r>
              <w:rPr>
                <w:color w:val="1C3A36"/>
                <w:sz w:val="18"/>
              </w:rPr>
              <w:t>1,249</w:t>
            </w:r>
          </w:p>
        </w:tc>
        <w:tc>
          <w:tcPr>
            <w:tcW w:type="dxa" w:w="1440"/>
          </w:tcPr>
          <w:p>
            <w:pPr>
              <w:spacing w:after="20"/>
              <w:jc w:val="right"/>
            </w:pPr>
            <w:r>
              <w:rPr>
                <w:color w:val="1C3A36"/>
                <w:sz w:val="18"/>
              </w:rPr>
              <w:t>1,376</w:t>
            </w:r>
          </w:p>
        </w:tc>
        <w:tc>
          <w:tcPr>
            <w:tcW w:type="dxa" w:w="1440"/>
          </w:tcPr>
          <w:p>
            <w:pPr>
              <w:spacing w:after="20"/>
              <w:jc w:val="right"/>
            </w:pPr>
            <w:r>
              <w:rPr>
                <w:color w:val="1C3A36"/>
                <w:sz w:val="18"/>
              </w:rPr>
              <w:t>1,497</w:t>
            </w:r>
          </w:p>
        </w:tc>
      </w:tr>
      <w:tr>
        <w:tc>
          <w:tcPr>
            <w:tcW w:type="dxa" w:w="2808"/>
          </w:tcPr>
          <w:p>
            <w:pPr>
              <w:spacing w:after="20"/>
            </w:pPr>
            <w:r>
              <w:rPr>
                <w:b/>
                <w:color w:val="1C3A36"/>
                <w:sz w:val="18"/>
              </w:rPr>
              <w:t>+ D&amp;A</w:t>
            </w:r>
          </w:p>
        </w:tc>
        <w:tc>
          <w:tcPr>
            <w:tcW w:type="dxa" w:w="1440"/>
          </w:tcPr>
          <w:p>
            <w:pPr>
              <w:spacing w:after="20"/>
              <w:jc w:val="right"/>
            </w:pPr>
            <w:r>
              <w:rPr>
                <w:color w:val="1C3A36"/>
                <w:sz w:val="18"/>
              </w:rPr>
              <w:t>126</w:t>
            </w:r>
          </w:p>
        </w:tc>
        <w:tc>
          <w:tcPr>
            <w:tcW w:type="dxa" w:w="1440"/>
          </w:tcPr>
          <w:p>
            <w:pPr>
              <w:spacing w:after="20"/>
              <w:jc w:val="right"/>
            </w:pPr>
            <w:r>
              <w:rPr>
                <w:color w:val="1C3A36"/>
                <w:sz w:val="18"/>
              </w:rPr>
              <w:t>142</w:t>
            </w:r>
          </w:p>
        </w:tc>
        <w:tc>
          <w:tcPr>
            <w:tcW w:type="dxa" w:w="1440"/>
          </w:tcPr>
          <w:p>
            <w:pPr>
              <w:spacing w:after="20"/>
              <w:jc w:val="right"/>
            </w:pPr>
            <w:r>
              <w:rPr>
                <w:color w:val="1C3A36"/>
                <w:sz w:val="18"/>
              </w:rPr>
              <w:t>157</w:t>
            </w:r>
          </w:p>
        </w:tc>
        <w:tc>
          <w:tcPr>
            <w:tcW w:type="dxa" w:w="1440"/>
          </w:tcPr>
          <w:p>
            <w:pPr>
              <w:spacing w:after="20"/>
              <w:jc w:val="right"/>
            </w:pPr>
            <w:r>
              <w:rPr>
                <w:color w:val="1C3A36"/>
                <w:sz w:val="18"/>
              </w:rPr>
              <w:t>172</w:t>
            </w:r>
          </w:p>
        </w:tc>
        <w:tc>
          <w:tcPr>
            <w:tcW w:type="dxa" w:w="1440"/>
          </w:tcPr>
          <w:p>
            <w:pPr>
              <w:spacing w:after="20"/>
              <w:jc w:val="right"/>
            </w:pPr>
            <w:r>
              <w:rPr>
                <w:color w:val="1C3A36"/>
                <w:sz w:val="18"/>
              </w:rPr>
              <w:t>187</w:t>
            </w:r>
          </w:p>
        </w:tc>
      </w:tr>
      <w:tr>
        <w:tc>
          <w:tcPr>
            <w:tcW w:type="dxa" w:w="2808"/>
          </w:tcPr>
          <w:p>
            <w:pPr>
              <w:spacing w:after="20"/>
            </w:pPr>
            <w:r>
              <w:rPr>
                <w:b/>
                <w:color w:val="1C3A36"/>
                <w:sz w:val="18"/>
              </w:rPr>
              <w:t>− Capex</w:t>
            </w:r>
          </w:p>
        </w:tc>
        <w:tc>
          <w:tcPr>
            <w:tcW w:type="dxa" w:w="1440"/>
          </w:tcPr>
          <w:p>
            <w:pPr>
              <w:spacing w:after="20"/>
              <w:jc w:val="right"/>
            </w:pPr>
            <w:r>
              <w:rPr>
                <w:color w:val="1C3A36"/>
                <w:sz w:val="18"/>
              </w:rPr>
              <w:t>(146)</w:t>
            </w:r>
          </w:p>
        </w:tc>
        <w:tc>
          <w:tcPr>
            <w:tcW w:type="dxa" w:w="1440"/>
          </w:tcPr>
          <w:p>
            <w:pPr>
              <w:spacing w:after="20"/>
              <w:jc w:val="right"/>
            </w:pPr>
            <w:r>
              <w:rPr>
                <w:color w:val="1C3A36"/>
                <w:sz w:val="18"/>
              </w:rPr>
              <w:t>(153)</w:t>
            </w:r>
          </w:p>
        </w:tc>
        <w:tc>
          <w:tcPr>
            <w:tcW w:type="dxa" w:w="1440"/>
          </w:tcPr>
          <w:p>
            <w:pPr>
              <w:spacing w:after="20"/>
              <w:jc w:val="right"/>
            </w:pPr>
            <w:r>
              <w:rPr>
                <w:color w:val="1C3A36"/>
                <w:sz w:val="18"/>
              </w:rPr>
              <w:t>(157)</w:t>
            </w:r>
          </w:p>
        </w:tc>
        <w:tc>
          <w:tcPr>
            <w:tcW w:type="dxa" w:w="1440"/>
          </w:tcPr>
          <w:p>
            <w:pPr>
              <w:spacing w:after="20"/>
              <w:jc w:val="right"/>
            </w:pPr>
            <w:r>
              <w:rPr>
                <w:color w:val="1C3A36"/>
                <w:sz w:val="18"/>
              </w:rPr>
              <w:t>(165)</w:t>
            </w:r>
          </w:p>
        </w:tc>
        <w:tc>
          <w:tcPr>
            <w:tcW w:type="dxa" w:w="1440"/>
          </w:tcPr>
          <w:p>
            <w:pPr>
              <w:spacing w:after="20"/>
              <w:jc w:val="right"/>
            </w:pPr>
            <w:r>
              <w:rPr>
                <w:color w:val="1C3A36"/>
                <w:sz w:val="18"/>
              </w:rPr>
              <w:t>(180)</w:t>
            </w:r>
          </w:p>
        </w:tc>
      </w:tr>
      <w:tr>
        <w:tc>
          <w:tcPr>
            <w:tcW w:type="dxa" w:w="2808"/>
          </w:tcPr>
          <w:p>
            <w:pPr>
              <w:spacing w:after="20"/>
            </w:pPr>
            <w:r>
              <w:rPr>
                <w:b/>
                <w:color w:val="1C3A36"/>
                <w:sz w:val="18"/>
              </w:rPr>
              <w:t>− Δ working capital</w:t>
            </w:r>
          </w:p>
        </w:tc>
        <w:tc>
          <w:tcPr>
            <w:tcW w:type="dxa" w:w="1440"/>
          </w:tcPr>
          <w:p>
            <w:pPr>
              <w:spacing w:after="20"/>
              <w:jc w:val="right"/>
            </w:pPr>
            <w:r>
              <w:rPr>
                <w:color w:val="1C3A36"/>
                <w:sz w:val="18"/>
              </w:rPr>
              <w:t>(244)</w:t>
            </w:r>
          </w:p>
        </w:tc>
        <w:tc>
          <w:tcPr>
            <w:tcW w:type="dxa" w:w="1440"/>
          </w:tcPr>
          <w:p>
            <w:pPr>
              <w:spacing w:after="20"/>
              <w:jc w:val="right"/>
            </w:pPr>
            <w:r>
              <w:rPr>
                <w:color w:val="1C3A36"/>
                <w:sz w:val="18"/>
              </w:rPr>
              <w:t>(231)</w:t>
            </w:r>
          </w:p>
        </w:tc>
        <w:tc>
          <w:tcPr>
            <w:tcW w:type="dxa" w:w="1440"/>
          </w:tcPr>
          <w:p>
            <w:pPr>
              <w:spacing w:after="20"/>
              <w:jc w:val="right"/>
            </w:pPr>
            <w:r>
              <w:rPr>
                <w:color w:val="1C3A36"/>
                <w:sz w:val="18"/>
              </w:rPr>
              <w:t>(219)</w:t>
            </w:r>
          </w:p>
        </w:tc>
        <w:tc>
          <w:tcPr>
            <w:tcW w:type="dxa" w:w="1440"/>
          </w:tcPr>
          <w:p>
            <w:pPr>
              <w:spacing w:after="20"/>
              <w:jc w:val="right"/>
            </w:pPr>
            <w:r>
              <w:rPr>
                <w:color w:val="1C3A36"/>
                <w:sz w:val="18"/>
              </w:rPr>
              <w:t>(220)</w:t>
            </w:r>
          </w:p>
        </w:tc>
        <w:tc>
          <w:tcPr>
            <w:tcW w:type="dxa" w:w="1440"/>
          </w:tcPr>
          <w:p>
            <w:pPr>
              <w:spacing w:after="20"/>
              <w:jc w:val="right"/>
            </w:pPr>
            <w:r>
              <w:rPr>
                <w:color w:val="1C3A36"/>
                <w:sz w:val="18"/>
              </w:rPr>
              <w:t>(248)</w:t>
            </w:r>
          </w:p>
        </w:tc>
      </w:tr>
      <w:tr>
        <w:tc>
          <w:tcPr>
            <w:tcW w:type="dxa" w:w="2808"/>
          </w:tcPr>
          <w:p>
            <w:pPr>
              <w:spacing w:after="20"/>
            </w:pPr>
            <w:r>
              <w:rPr>
                <w:b/>
                <w:color w:val="1C3A36"/>
                <w:sz w:val="18"/>
              </w:rPr>
              <w:t>− Employee profit appropriation</w:t>
            </w:r>
          </w:p>
        </w:tc>
        <w:tc>
          <w:tcPr>
            <w:tcW w:type="dxa" w:w="1440"/>
          </w:tcPr>
          <w:p>
            <w:pPr>
              <w:spacing w:after="20"/>
              <w:jc w:val="right"/>
            </w:pPr>
            <w:r>
              <w:rPr>
                <w:color w:val="1C3A36"/>
                <w:sz w:val="18"/>
              </w:rPr>
              <w:t>(21)</w:t>
            </w:r>
          </w:p>
        </w:tc>
        <w:tc>
          <w:tcPr>
            <w:tcW w:type="dxa" w:w="1440"/>
          </w:tcPr>
          <w:p>
            <w:pPr>
              <w:spacing w:after="20"/>
              <w:jc w:val="right"/>
            </w:pPr>
            <w:r>
              <w:rPr>
                <w:color w:val="1C3A36"/>
                <w:sz w:val="18"/>
              </w:rPr>
              <w:t>(39)</w:t>
            </w:r>
          </w:p>
        </w:tc>
        <w:tc>
          <w:tcPr>
            <w:tcW w:type="dxa" w:w="1440"/>
          </w:tcPr>
          <w:p>
            <w:pPr>
              <w:spacing w:after="20"/>
              <w:jc w:val="right"/>
            </w:pPr>
            <w:r>
              <w:rPr>
                <w:color w:val="1C3A36"/>
                <w:sz w:val="18"/>
              </w:rPr>
              <w:t>(53)</w:t>
            </w:r>
          </w:p>
        </w:tc>
        <w:tc>
          <w:tcPr>
            <w:tcW w:type="dxa" w:w="1440"/>
          </w:tcPr>
          <w:p>
            <w:pPr>
              <w:spacing w:after="20"/>
              <w:jc w:val="right"/>
            </w:pPr>
            <w:r>
              <w:rPr>
                <w:color w:val="1C3A36"/>
                <w:sz w:val="18"/>
              </w:rPr>
              <w:t>(67)</w:t>
            </w:r>
          </w:p>
        </w:tc>
        <w:tc>
          <w:tcPr>
            <w:tcW w:type="dxa" w:w="1440"/>
          </w:tcPr>
          <w:p>
            <w:pPr>
              <w:spacing w:after="20"/>
              <w:jc w:val="right"/>
            </w:pPr>
            <w:r>
              <w:rPr>
                <w:color w:val="1C3A36"/>
                <w:sz w:val="18"/>
              </w:rPr>
              <w:t>(80)</w:t>
            </w:r>
          </w:p>
        </w:tc>
      </w:tr>
      <w:tr>
        <w:tc>
          <w:tcPr>
            <w:tcW w:type="dxa" w:w="2808"/>
            <w:shd w:val="clear" w:color="auto" w:fill="F6F1E6"/>
          </w:tcPr>
          <w:p>
            <w:pPr>
              <w:spacing w:after="20"/>
            </w:pPr>
            <w:r>
              <w:rPr>
                <w:b/>
                <w:color w:val="1C3A36"/>
                <w:sz w:val="18"/>
              </w:rPr>
              <w:t>Free cash flow to firm (FCFF)</w:t>
            </w:r>
          </w:p>
        </w:tc>
        <w:tc>
          <w:tcPr>
            <w:tcW w:type="dxa" w:w="1440"/>
            <w:shd w:val="clear" w:color="auto" w:fill="F6F1E6"/>
          </w:tcPr>
          <w:p>
            <w:pPr>
              <w:spacing w:after="20"/>
              <w:jc w:val="right"/>
            </w:pPr>
            <w:r>
              <w:rPr>
                <w:b/>
                <w:color w:val="1C3A36"/>
                <w:sz w:val="18"/>
              </w:rPr>
              <w:t>683</w:t>
            </w:r>
          </w:p>
        </w:tc>
        <w:tc>
          <w:tcPr>
            <w:tcW w:type="dxa" w:w="1440"/>
            <w:shd w:val="clear" w:color="auto" w:fill="F6F1E6"/>
          </w:tcPr>
          <w:p>
            <w:pPr>
              <w:spacing w:after="20"/>
              <w:jc w:val="right"/>
            </w:pPr>
            <w:r>
              <w:rPr>
                <w:b/>
                <w:color w:val="1C3A36"/>
                <w:sz w:val="18"/>
              </w:rPr>
              <w:t>832</w:t>
            </w:r>
          </w:p>
        </w:tc>
        <w:tc>
          <w:tcPr>
            <w:tcW w:type="dxa" w:w="1440"/>
            <w:shd w:val="clear" w:color="auto" w:fill="F6F1E6"/>
          </w:tcPr>
          <w:p>
            <w:pPr>
              <w:spacing w:after="20"/>
              <w:jc w:val="right"/>
            </w:pPr>
            <w:r>
              <w:rPr>
                <w:b/>
                <w:color w:val="1C3A36"/>
                <w:sz w:val="18"/>
              </w:rPr>
              <w:t>977</w:t>
            </w:r>
          </w:p>
        </w:tc>
        <w:tc>
          <w:tcPr>
            <w:tcW w:type="dxa" w:w="1440"/>
            <w:shd w:val="clear" w:color="auto" w:fill="F6F1E6"/>
          </w:tcPr>
          <w:p>
            <w:pPr>
              <w:spacing w:after="20"/>
              <w:jc w:val="right"/>
            </w:pPr>
            <w:r>
              <w:rPr>
                <w:b/>
                <w:color w:val="1C3A36"/>
                <w:sz w:val="18"/>
              </w:rPr>
              <w:t>1,096</w:t>
            </w:r>
          </w:p>
        </w:tc>
        <w:tc>
          <w:tcPr>
            <w:tcW w:type="dxa" w:w="1440"/>
            <w:shd w:val="clear" w:color="auto" w:fill="F6F1E6"/>
          </w:tcPr>
          <w:p>
            <w:pPr>
              <w:spacing w:after="20"/>
              <w:jc w:val="right"/>
            </w:pPr>
            <w:r>
              <w:rPr>
                <w:b/>
                <w:color w:val="1C3A36"/>
                <w:sz w:val="18"/>
              </w:rPr>
              <w:t>1,177</w:t>
            </w:r>
          </w:p>
        </w:tc>
      </w:tr>
      <w:tr>
        <w:tc>
          <w:tcPr>
            <w:tcW w:type="dxa" w:w="2808"/>
          </w:tcPr>
          <w:p>
            <w:pPr>
              <w:spacing w:after="20"/>
            </w:pPr>
            <w:r>
              <w:rPr>
                <w:b/>
                <w:color w:val="1C3A36"/>
                <w:sz w:val="18"/>
              </w:rPr>
              <w:t>Discount factor</w:t>
            </w:r>
          </w:p>
        </w:tc>
        <w:tc>
          <w:tcPr>
            <w:tcW w:type="dxa" w:w="1440"/>
          </w:tcPr>
          <w:p>
            <w:pPr>
              <w:spacing w:after="20"/>
              <w:jc w:val="right"/>
            </w:pPr>
            <w:r>
              <w:rPr>
                <w:color w:val="1C3A36"/>
                <w:sz w:val="18"/>
              </w:rPr>
              <w:t>0.790</w:t>
            </w:r>
          </w:p>
        </w:tc>
        <w:tc>
          <w:tcPr>
            <w:tcW w:type="dxa" w:w="1440"/>
          </w:tcPr>
          <w:p>
            <w:pPr>
              <w:spacing w:after="20"/>
              <w:jc w:val="right"/>
            </w:pPr>
            <w:r>
              <w:rPr>
                <w:color w:val="1C3A36"/>
                <w:sz w:val="18"/>
              </w:rPr>
              <w:t>0.638</w:t>
            </w:r>
          </w:p>
        </w:tc>
        <w:tc>
          <w:tcPr>
            <w:tcW w:type="dxa" w:w="1440"/>
          </w:tcPr>
          <w:p>
            <w:pPr>
              <w:spacing w:after="20"/>
              <w:jc w:val="right"/>
            </w:pPr>
            <w:r>
              <w:rPr>
                <w:color w:val="1C3A36"/>
                <w:sz w:val="18"/>
              </w:rPr>
              <w:t>0.524</w:t>
            </w:r>
          </w:p>
        </w:tc>
        <w:tc>
          <w:tcPr>
            <w:tcW w:type="dxa" w:w="1440"/>
          </w:tcPr>
          <w:p>
            <w:pPr>
              <w:spacing w:after="20"/>
              <w:jc w:val="right"/>
            </w:pPr>
            <w:r>
              <w:rPr>
                <w:color w:val="1C3A36"/>
                <w:sz w:val="18"/>
              </w:rPr>
              <w:t>0.437</w:t>
            </w:r>
          </w:p>
        </w:tc>
        <w:tc>
          <w:tcPr>
            <w:tcW w:type="dxa" w:w="1440"/>
          </w:tcPr>
          <w:p>
            <w:pPr>
              <w:spacing w:after="20"/>
              <w:jc w:val="right"/>
            </w:pPr>
            <w:r>
              <w:rPr>
                <w:color w:val="1C3A36"/>
                <w:sz w:val="18"/>
              </w:rPr>
              <w:t>0.368</w:t>
            </w:r>
          </w:p>
        </w:tc>
      </w:tr>
      <w:tr>
        <w:tc>
          <w:tcPr>
            <w:tcW w:type="dxa" w:w="2808"/>
            <w:shd w:val="clear" w:color="auto" w:fill="F6F1E6"/>
          </w:tcPr>
          <w:p>
            <w:pPr>
              <w:spacing w:after="20"/>
            </w:pPr>
            <w:r>
              <w:rPr>
                <w:b/>
                <w:color w:val="1C3A36"/>
                <w:sz w:val="18"/>
              </w:rPr>
              <w:t>PV of FCFF</w:t>
            </w:r>
          </w:p>
        </w:tc>
        <w:tc>
          <w:tcPr>
            <w:tcW w:type="dxa" w:w="1440"/>
            <w:shd w:val="clear" w:color="auto" w:fill="F6F1E6"/>
          </w:tcPr>
          <w:p>
            <w:pPr>
              <w:spacing w:after="20"/>
              <w:jc w:val="right"/>
            </w:pPr>
            <w:r>
              <w:rPr>
                <w:b/>
                <w:color w:val="1C3A36"/>
                <w:sz w:val="18"/>
              </w:rPr>
              <w:t>540</w:t>
            </w:r>
          </w:p>
        </w:tc>
        <w:tc>
          <w:tcPr>
            <w:tcW w:type="dxa" w:w="1440"/>
            <w:shd w:val="clear" w:color="auto" w:fill="F6F1E6"/>
          </w:tcPr>
          <w:p>
            <w:pPr>
              <w:spacing w:after="20"/>
              <w:jc w:val="right"/>
            </w:pPr>
            <w:r>
              <w:rPr>
                <w:b/>
                <w:color w:val="1C3A36"/>
                <w:sz w:val="18"/>
              </w:rPr>
              <w:t>531</w:t>
            </w:r>
          </w:p>
        </w:tc>
        <w:tc>
          <w:tcPr>
            <w:tcW w:type="dxa" w:w="1440"/>
            <w:shd w:val="clear" w:color="auto" w:fill="F6F1E6"/>
          </w:tcPr>
          <w:p>
            <w:pPr>
              <w:spacing w:after="20"/>
              <w:jc w:val="right"/>
            </w:pPr>
            <w:r>
              <w:rPr>
                <w:b/>
                <w:color w:val="1C3A36"/>
                <w:sz w:val="18"/>
              </w:rPr>
              <w:t>512</w:t>
            </w:r>
          </w:p>
        </w:tc>
        <w:tc>
          <w:tcPr>
            <w:tcW w:type="dxa" w:w="1440"/>
            <w:shd w:val="clear" w:color="auto" w:fill="F6F1E6"/>
          </w:tcPr>
          <w:p>
            <w:pPr>
              <w:spacing w:after="20"/>
              <w:jc w:val="right"/>
            </w:pPr>
            <w:r>
              <w:rPr>
                <w:b/>
                <w:color w:val="1C3A36"/>
                <w:sz w:val="18"/>
              </w:rPr>
              <w:t>479</w:t>
            </w:r>
          </w:p>
        </w:tc>
        <w:tc>
          <w:tcPr>
            <w:tcW w:type="dxa" w:w="1440"/>
            <w:shd w:val="clear" w:color="auto" w:fill="F6F1E6"/>
          </w:tcPr>
          <w:p>
            <w:pPr>
              <w:spacing w:after="20"/>
              <w:jc w:val="right"/>
            </w:pPr>
            <w:r>
              <w:rPr>
                <w:b/>
                <w:color w:val="1C3A36"/>
                <w:sz w:val="18"/>
              </w:rPr>
              <w:t>433</w:t>
            </w:r>
          </w:p>
        </w:tc>
      </w:tr>
    </w:tbl>
    <w:p>
      <w:pPr>
        <w:spacing w:after="40"/>
      </w:pPr>
    </w:p>
    <w:p>
      <w:pPr>
        <w:spacing w:after="200" w:before="0"/>
      </w:pPr>
      <w:r>
        <w:rPr>
          <w:b w:val="0"/>
          <w:i/>
          <w:color w:val="6E7B77"/>
          <w:sz w:val="17"/>
        </w:rPr>
        <w:t>Free cash flow to the firm, five-year explicit forecast. Every input links to the model’s Assumptions sheet. Capex, Δ working capital and the employees’ profit appropriation (6.7% of prior-year NI, per the EGM-approved EGP 21mn from FY25 profit; conservative house charge against FCFF) in parentheses.</w:t>
      </w:r>
    </w:p>
    <w:p>
      <w:pPr>
        <w:spacing w:after="40"/>
        <w:jc w:val="center"/>
      </w:pPr>
      <w:r>
        <w:drawing>
          <wp:inline xmlns:a="http://schemas.openxmlformats.org/drawingml/2006/main" xmlns:pic="http://schemas.openxmlformats.org/drawingml/2006/picture">
            <wp:extent cx="5852160" cy="2283770"/>
            <wp:docPr id="1" name="Picture 1"/>
            <wp:cNvGraphicFramePr>
              <a:graphicFrameLocks noChangeAspect="1"/>
            </wp:cNvGraphicFramePr>
            <a:graphic>
              <a:graphicData uri="http://schemas.openxmlformats.org/drawingml/2006/picture">
                <pic:pic>
                  <pic:nvPicPr>
                    <pic:cNvPr id="0" name="fig6_fcff.png"/>
                    <pic:cNvPicPr/>
                  </pic:nvPicPr>
                  <pic:blipFill>
                    <a:blip r:embed="rId9"/>
                    <a:stretch>
                      <a:fillRect/>
                    </a:stretch>
                  </pic:blipFill>
                  <pic:spPr>
                    <a:xfrm>
                      <a:off x="0" y="0"/>
                      <a:ext cx="5852160" cy="2283770"/>
                    </a:xfrm>
                    <a:prstGeom prst="rect"/>
                  </pic:spPr>
                </pic:pic>
              </a:graphicData>
            </a:graphic>
          </wp:inline>
        </w:drawing>
      </w:r>
    </w:p>
    <w:p>
      <w:pPr>
        <w:spacing w:after="200" w:before="0"/>
      </w:pPr>
      <w:r>
        <w:rPr>
          <w:b w:val="0"/>
          <w:i/>
          <w:color w:val="6E7B77"/>
          <w:sz w:val="17"/>
        </w:rPr>
        <w:t>Figure 6. The FY26E FCFF build: a EGP 981mn NOPAT engine surrenders EGP 285mn to working capital before a riyal of it reaches the firm.</w:t>
      </w:r>
    </w:p>
    <w:p>
      <w:pPr>
        <w:spacing w:after="120" w:before="0"/>
      </w:pPr>
      <w:r>
        <w:rPr>
          <w:b/>
          <w:i w:val="0"/>
          <w:color w:val="1C3A36"/>
          <w:sz w:val="19"/>
        </w:rPr>
        <w:t xml:space="preserve">From FCFF to a per-share value. </w:t>
      </w:r>
      <w:r>
        <w:rPr>
          <w:b w:val="0"/>
          <w:i w:val="0"/>
          <w:color w:val="1C3A36"/>
          <w:sz w:val="19"/>
        </w:rPr>
        <w:t>Discounting on the SLIDING schedule — explicit-window forward rate 26.60% (Y1, net-CDS Ke) easing to a norm-built terminal rate of 18.84% (Y5+; §1.8) — with terminal growth of 5.0% nominal EGP: PV of the explicit years EGP 2,495mn; terminal value EGP 8,926mn, PV EGP 3,284mn — 57% of enterprise value, disclosed per house rule; EV EGP 5,779mn. Less net debt EGP 2,307mn including lease liabilities (EGP 2,225mn ex-lease — both framings stated; the primary bridge is lease-INCLUSIVE because the balance sheet carries right-of-use assets and lease liabilities, i.e. IFRS-16: EBITDA excludes rent and the FCFF above adds back all D&amp;A and never pays the lease, so the liability must be deducted here), less NCI EGP 42mn at book, plus EGP 94mn of non-operating real-estate units (one sold post-period for 55): equity EGP 3,523mn, or EGP 1.73 per share on 2,032.8mn shares (post the 6-Jul-2026 ESOP listing) — -65% versus spot.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600"/>
            <w:shd w:val="clear" w:color="auto" w:fill="EAF0EE"/>
          </w:tcPr>
          <w:p>
            <w:pPr>
              <w:spacing w:after="20"/>
            </w:pPr>
            <w:r>
              <w:rPr>
                <w:b/>
                <w:color w:val="1C3A36"/>
                <w:sz w:val="18"/>
              </w:rPr>
              <w:t>DCF component</w:t>
            </w:r>
          </w:p>
        </w:tc>
        <w:tc>
          <w:tcPr>
            <w:tcW w:type="dxa" w:w="2448"/>
            <w:shd w:val="clear" w:color="auto" w:fill="EAF0EE"/>
          </w:tcPr>
          <w:p>
            <w:pPr>
              <w:spacing w:after="20"/>
            </w:pPr>
            <w:r>
              <w:rPr>
                <w:b/>
                <w:color w:val="1C3A36"/>
                <w:sz w:val="18"/>
              </w:rPr>
              <w:t>EGP mn / value</w:t>
            </w:r>
          </w:p>
        </w:tc>
        <w:tc>
          <w:tcPr>
            <w:tcW w:type="dxa" w:w="3744"/>
            <w:shd w:val="clear" w:color="auto" w:fill="EAF0EE"/>
          </w:tcPr>
          <w:p>
            <w:pPr>
              <w:spacing w:after="20"/>
            </w:pPr>
            <w:r>
              <w:rPr>
                <w:b/>
                <w:color w:val="1C3A36"/>
                <w:sz w:val="18"/>
              </w:rPr>
              <w:t>Note</w:t>
            </w:r>
          </w:p>
        </w:tc>
      </w:tr>
      <w:tr>
        <w:tc>
          <w:tcPr>
            <w:tcW w:type="dxa" w:w="3600"/>
          </w:tcPr>
          <w:p>
            <w:pPr>
              <w:spacing w:after="20"/>
            </w:pPr>
            <w:r>
              <w:rPr>
                <w:b/>
                <w:color w:val="1C3A36"/>
                <w:sz w:val="18"/>
              </w:rPr>
              <w:t>PV of explicit FCFF (Σ FY26E–FY30E)</w:t>
            </w:r>
          </w:p>
        </w:tc>
        <w:tc>
          <w:tcPr>
            <w:tcW w:type="dxa" w:w="2448"/>
          </w:tcPr>
          <w:p>
            <w:pPr>
              <w:spacing w:after="20"/>
              <w:jc w:val="right"/>
            </w:pPr>
            <w:r>
              <w:rPr>
                <w:color w:val="1C3A36"/>
                <w:sz w:val="18"/>
              </w:rPr>
              <w:t>2,495</w:t>
            </w:r>
          </w:p>
        </w:tc>
        <w:tc>
          <w:tcPr>
            <w:tcW w:type="dxa" w:w="3744"/>
          </w:tcPr>
          <w:p>
            <w:pPr>
              <w:spacing w:after="20"/>
              <w:jc w:val="right"/>
            </w:pPr>
            <w:r>
              <w:rPr>
                <w:color w:val="1C3A36"/>
                <w:sz w:val="18"/>
              </w:rPr>
              <w:t>per-year PV inline above, each at its own sliding forward rate (§1.8)</w:t>
            </w:r>
          </w:p>
        </w:tc>
      </w:tr>
      <w:tr>
        <w:tc>
          <w:tcPr>
            <w:tcW w:type="dxa" w:w="3600"/>
          </w:tcPr>
          <w:p>
            <w:pPr>
              <w:spacing w:after="20"/>
            </w:pPr>
            <w:r>
              <w:rPr>
                <w:b/>
                <w:color w:val="1C3A36"/>
                <w:sz w:val="18"/>
              </w:rPr>
              <w:t>Terminal value = FCFF₅×(1+g)/(WACC_term−g)</w:t>
            </w:r>
          </w:p>
        </w:tc>
        <w:tc>
          <w:tcPr>
            <w:tcW w:type="dxa" w:w="2448"/>
          </w:tcPr>
          <w:p>
            <w:pPr>
              <w:spacing w:after="20"/>
              <w:jc w:val="right"/>
            </w:pPr>
            <w:r>
              <w:rPr>
                <w:color w:val="1C3A36"/>
                <w:sz w:val="18"/>
              </w:rPr>
              <w:t>8,926</w:t>
            </w:r>
          </w:p>
        </w:tc>
        <w:tc>
          <w:tcPr>
            <w:tcW w:type="dxa" w:w="3744"/>
          </w:tcPr>
          <w:p>
            <w:pPr>
              <w:spacing w:after="20"/>
              <w:jc w:val="right"/>
            </w:pPr>
            <w:r>
              <w:rPr>
                <w:color w:val="1C3A36"/>
                <w:sz w:val="18"/>
              </w:rPr>
              <w:t>FCFF₅ 1,177 · g 5.0% · terminal rate 18.84% · spread 13.8%</w:t>
            </w:r>
          </w:p>
        </w:tc>
      </w:tr>
      <w:tr>
        <w:tc>
          <w:tcPr>
            <w:tcW w:type="dxa" w:w="3600"/>
          </w:tcPr>
          <w:p>
            <w:pPr>
              <w:spacing w:after="20"/>
            </w:pPr>
            <w:r>
              <w:rPr>
                <w:b/>
                <w:color w:val="1C3A36"/>
                <w:sz w:val="18"/>
              </w:rPr>
              <w:t>PV of terminal value</w:t>
            </w:r>
          </w:p>
        </w:tc>
        <w:tc>
          <w:tcPr>
            <w:tcW w:type="dxa" w:w="2448"/>
          </w:tcPr>
          <w:p>
            <w:pPr>
              <w:spacing w:after="20"/>
              <w:jc w:val="right"/>
            </w:pPr>
            <w:r>
              <w:rPr>
                <w:color w:val="1C3A36"/>
                <w:sz w:val="18"/>
              </w:rPr>
              <w:t>3,284</w:t>
            </w:r>
          </w:p>
        </w:tc>
        <w:tc>
          <w:tcPr>
            <w:tcW w:type="dxa" w:w="3744"/>
          </w:tcPr>
          <w:p>
            <w:pPr>
              <w:spacing w:after="20"/>
              <w:jc w:val="right"/>
            </w:pPr>
            <w:r>
              <w:rPr>
                <w:color w:val="1C3A36"/>
                <w:sz w:val="18"/>
              </w:rPr>
              <w:t>57% of EV — high-terminal dependency disclosed</w:t>
            </w:r>
          </w:p>
        </w:tc>
      </w:tr>
      <w:tr>
        <w:tc>
          <w:tcPr>
            <w:tcW w:type="dxa" w:w="3600"/>
            <w:shd w:val="clear" w:color="auto" w:fill="F6F1E6"/>
          </w:tcPr>
          <w:p>
            <w:pPr>
              <w:spacing w:after="20"/>
            </w:pPr>
            <w:r>
              <w:rPr>
                <w:b/>
                <w:color w:val="1C3A36"/>
                <w:sz w:val="18"/>
              </w:rPr>
              <w:t>Enterprise value</w:t>
            </w:r>
          </w:p>
        </w:tc>
        <w:tc>
          <w:tcPr>
            <w:tcW w:type="dxa" w:w="2448"/>
            <w:shd w:val="clear" w:color="auto" w:fill="F6F1E6"/>
          </w:tcPr>
          <w:p>
            <w:pPr>
              <w:spacing w:after="20"/>
              <w:jc w:val="right"/>
            </w:pPr>
            <w:r>
              <w:rPr>
                <w:b/>
                <w:color w:val="1C3A36"/>
                <w:sz w:val="18"/>
              </w:rPr>
              <w:t>5,779</w:t>
            </w:r>
          </w:p>
        </w:tc>
        <w:tc>
          <w:tcPr>
            <w:tcW w:type="dxa" w:w="3744"/>
            <w:shd w:val="clear" w:color="auto" w:fill="F6F1E6"/>
          </w:tcPr>
          <w:p>
            <w:pPr>
              <w:spacing w:after="20"/>
              <w:jc w:val="right"/>
            </w:pPr>
            <w:r>
              <w:rPr>
                <w:b/>
                <w:color w:val="1C3A36"/>
                <w:sz w:val="18"/>
              </w:rPr>
            </w:r>
          </w:p>
        </w:tc>
      </w:tr>
      <w:tr>
        <w:tc>
          <w:tcPr>
            <w:tcW w:type="dxa" w:w="3600"/>
          </w:tcPr>
          <w:p>
            <w:pPr>
              <w:spacing w:after="20"/>
            </w:pPr>
            <w:r>
              <w:rPr>
                <w:b/>
                <w:color w:val="1C3A36"/>
                <w:sz w:val="18"/>
              </w:rPr>
              <w:t>− Net debt (incl. leases, primary) / memo ex-lease</w:t>
            </w:r>
          </w:p>
        </w:tc>
        <w:tc>
          <w:tcPr>
            <w:tcW w:type="dxa" w:w="2448"/>
          </w:tcPr>
          <w:p>
            <w:pPr>
              <w:spacing w:after="20"/>
              <w:jc w:val="right"/>
            </w:pPr>
            <w:r>
              <w:rPr>
                <w:color w:val="1C3A36"/>
                <w:sz w:val="18"/>
              </w:rPr>
              <w:t>(2,307) / (2,225)</w:t>
            </w:r>
          </w:p>
        </w:tc>
        <w:tc>
          <w:tcPr>
            <w:tcW w:type="dxa" w:w="3744"/>
          </w:tcPr>
          <w:p>
            <w:pPr>
              <w:spacing w:after="20"/>
              <w:jc w:val="right"/>
            </w:pPr>
            <w:r>
              <w:rPr>
                <w:color w:val="1C3A36"/>
                <w:sz w:val="18"/>
              </w:rPr>
              <w:t>IFRS-16-consistent primary; dual framing (FS Notes 12/20/6B)</w:t>
            </w:r>
          </w:p>
        </w:tc>
      </w:tr>
      <w:tr>
        <w:tc>
          <w:tcPr>
            <w:tcW w:type="dxa" w:w="3600"/>
          </w:tcPr>
          <w:p>
            <w:pPr>
              <w:spacing w:after="20"/>
            </w:pPr>
            <w:r>
              <w:rPr>
                <w:b/>
                <w:color w:val="1C3A36"/>
                <w:sz w:val="18"/>
              </w:rPr>
              <w:t>− Non-controlling interest (book)</w:t>
            </w:r>
          </w:p>
        </w:tc>
        <w:tc>
          <w:tcPr>
            <w:tcW w:type="dxa" w:w="2448"/>
          </w:tcPr>
          <w:p>
            <w:pPr>
              <w:spacing w:after="20"/>
              <w:jc w:val="right"/>
            </w:pPr>
            <w:r>
              <w:rPr>
                <w:color w:val="1C3A36"/>
                <w:sz w:val="18"/>
              </w:rPr>
              <w:t>(42)</w:t>
            </w:r>
          </w:p>
        </w:tc>
        <w:tc>
          <w:tcPr>
            <w:tcW w:type="dxa" w:w="3744"/>
          </w:tcPr>
          <w:p>
            <w:pPr>
              <w:spacing w:after="20"/>
              <w:jc w:val="right"/>
            </w:pPr>
            <w:r>
              <w:rPr>
                <w:color w:val="1C3A36"/>
                <w:sz w:val="18"/>
              </w:rPr>
              <w:t>FS changes-in-equity</w:t>
            </w:r>
          </w:p>
        </w:tc>
      </w:tr>
      <w:tr>
        <w:tc>
          <w:tcPr>
            <w:tcW w:type="dxa" w:w="3600"/>
          </w:tcPr>
          <w:p>
            <w:pPr>
              <w:spacing w:after="20"/>
            </w:pPr>
            <w:r>
              <w:rPr>
                <w:b/>
                <w:color w:val="1C3A36"/>
                <w:sz w:val="18"/>
              </w:rPr>
              <w:t>+ Non-operating real-estate units</w:t>
            </w:r>
          </w:p>
        </w:tc>
        <w:tc>
          <w:tcPr>
            <w:tcW w:type="dxa" w:w="2448"/>
          </w:tcPr>
          <w:p>
            <w:pPr>
              <w:spacing w:after="20"/>
              <w:jc w:val="right"/>
            </w:pPr>
            <w:r>
              <w:rPr>
                <w:color w:val="1C3A36"/>
                <w:sz w:val="18"/>
              </w:rPr>
              <w:t>94</w:t>
            </w:r>
          </w:p>
        </w:tc>
        <w:tc>
          <w:tcPr>
            <w:tcW w:type="dxa" w:w="3744"/>
          </w:tcPr>
          <w:p>
            <w:pPr>
              <w:spacing w:after="20"/>
              <w:jc w:val="right"/>
            </w:pPr>
            <w:r>
              <w:rPr>
                <w:color w:val="1C3A36"/>
                <w:sz w:val="18"/>
              </w:rPr>
              <w:t>FS Note 14</w:t>
            </w:r>
          </w:p>
        </w:tc>
      </w:tr>
      <w:tr>
        <w:tc>
          <w:tcPr>
            <w:tcW w:type="dxa" w:w="3600"/>
            <w:shd w:val="clear" w:color="auto" w:fill="F6F1E6"/>
          </w:tcPr>
          <w:p>
            <w:pPr>
              <w:spacing w:after="20"/>
            </w:pPr>
            <w:r>
              <w:rPr>
                <w:b/>
                <w:color w:val="1C3A36"/>
                <w:sz w:val="18"/>
              </w:rPr>
              <w:t>Equity value</w:t>
            </w:r>
          </w:p>
        </w:tc>
        <w:tc>
          <w:tcPr>
            <w:tcW w:type="dxa" w:w="2448"/>
            <w:shd w:val="clear" w:color="auto" w:fill="F6F1E6"/>
          </w:tcPr>
          <w:p>
            <w:pPr>
              <w:spacing w:after="20"/>
              <w:jc w:val="right"/>
            </w:pPr>
            <w:r>
              <w:rPr>
                <w:b/>
                <w:color w:val="1C3A36"/>
                <w:sz w:val="18"/>
              </w:rPr>
              <w:t>3,523</w:t>
            </w:r>
          </w:p>
        </w:tc>
        <w:tc>
          <w:tcPr>
            <w:tcW w:type="dxa" w:w="3744"/>
            <w:shd w:val="clear" w:color="auto" w:fill="F6F1E6"/>
          </w:tcPr>
          <w:p>
            <w:pPr>
              <w:spacing w:after="20"/>
              <w:jc w:val="right"/>
            </w:pPr>
            <w:r>
              <w:rPr>
                <w:b/>
                <w:color w:val="1C3A36"/>
                <w:sz w:val="18"/>
              </w:rPr>
            </w:r>
          </w:p>
        </w:tc>
      </w:tr>
      <w:tr>
        <w:tc>
          <w:tcPr>
            <w:tcW w:type="dxa" w:w="3600"/>
          </w:tcPr>
          <w:p>
            <w:pPr>
              <w:spacing w:after="20"/>
            </w:pPr>
            <w:r>
              <w:rPr>
                <w:b/>
                <w:color w:val="1C3A36"/>
                <w:sz w:val="18"/>
              </w:rPr>
              <w:t>Per share (2,032.8mn shares, post-ESOP)</w:t>
            </w:r>
          </w:p>
        </w:tc>
        <w:tc>
          <w:tcPr>
            <w:tcW w:type="dxa" w:w="2448"/>
          </w:tcPr>
          <w:p>
            <w:pPr>
              <w:spacing w:after="20"/>
              <w:jc w:val="right"/>
            </w:pPr>
            <w:r>
              <w:rPr>
                <w:color w:val="1C3A36"/>
                <w:sz w:val="18"/>
              </w:rPr>
              <w:t>EGP 1.73</w:t>
            </w:r>
          </w:p>
        </w:tc>
        <w:tc>
          <w:tcPr>
            <w:tcW w:type="dxa" w:w="3744"/>
          </w:tcPr>
          <w:p>
            <w:pPr>
              <w:spacing w:after="20"/>
              <w:jc w:val="right"/>
            </w:pPr>
            <w:r>
              <w:rPr>
                <w:color w:val="1C3A36"/>
                <w:sz w:val="18"/>
              </w:rPr>
              <w:t>-65% vs spot</w:t>
            </w:r>
          </w:p>
        </w:tc>
      </w:tr>
    </w:tbl>
    <w:p>
      <w:pPr>
        <w:spacing w:after="40"/>
      </w:pPr>
    </w:p>
    <w:p>
      <w:pPr>
        <w:spacing w:after="200" w:before="0"/>
      </w:pPr>
      <w:r>
        <w:rPr>
          <w:b w:val="0"/>
          <w:i/>
          <w:color w:val="6E7B77"/>
          <w:sz w:val="17"/>
        </w:rPr>
        <w:t>The EV → equity bridge closes exactly; enforced by assertion in the build (compute assert log, Appendix A).</w:t>
      </w:r>
    </w:p>
    <w:p>
      <w:pPr>
        <w:spacing w:after="80" w:before="200"/>
      </w:pPr>
      <w:r>
        <w:rPr>
          <w:b/>
          <w:i w:val="0"/>
          <w:color w:val="1C3A36"/>
          <w:sz w:val="24"/>
        </w:rPr>
        <w:t>1.2  Dividend discount — the policy lens, as the cash-flow cross-check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168"/>
            <w:shd w:val="clear" w:color="auto" w:fill="EAF0EE"/>
          </w:tcPr>
          <w:p>
            <w:pPr>
              <w:spacing w:after="20"/>
            </w:pPr>
            <w:r>
              <w:rPr>
                <w:b/>
                <w:color w:val="1C3A36"/>
                <w:sz w:val="18"/>
              </w:rPr>
              <w:t>Year</w:t>
            </w:r>
          </w:p>
        </w:tc>
        <w:tc>
          <w:tcPr>
            <w:tcW w:type="dxa" w:w="1368"/>
            <w:shd w:val="clear" w:color="auto" w:fill="EAF0EE"/>
          </w:tcPr>
          <w:p>
            <w:pPr>
              <w:spacing w:after="20"/>
            </w:pPr>
            <w:r>
              <w:rPr>
                <w:b/>
                <w:color w:val="1C3A36"/>
                <w:sz w:val="18"/>
              </w:rPr>
              <w:t>FY26E</w:t>
            </w:r>
          </w:p>
        </w:tc>
        <w:tc>
          <w:tcPr>
            <w:tcW w:type="dxa" w:w="1368"/>
            <w:shd w:val="clear" w:color="auto" w:fill="EAF0EE"/>
          </w:tcPr>
          <w:p>
            <w:pPr>
              <w:spacing w:after="20"/>
            </w:pPr>
            <w:r>
              <w:rPr>
                <w:b/>
                <w:color w:val="1C3A36"/>
                <w:sz w:val="18"/>
              </w:rPr>
              <w:t>FY27E</w:t>
            </w:r>
          </w:p>
        </w:tc>
        <w:tc>
          <w:tcPr>
            <w:tcW w:type="dxa" w:w="1368"/>
            <w:shd w:val="clear" w:color="auto" w:fill="EAF0EE"/>
          </w:tcPr>
          <w:p>
            <w:pPr>
              <w:spacing w:after="20"/>
            </w:pPr>
            <w:r>
              <w:rPr>
                <w:b/>
                <w:color w:val="1C3A36"/>
                <w:sz w:val="18"/>
              </w:rPr>
              <w:t>FY28E</w:t>
            </w:r>
          </w:p>
        </w:tc>
        <w:tc>
          <w:tcPr>
            <w:tcW w:type="dxa" w:w="1368"/>
            <w:shd w:val="clear" w:color="auto" w:fill="EAF0EE"/>
          </w:tcPr>
          <w:p>
            <w:pPr>
              <w:spacing w:after="20"/>
            </w:pPr>
            <w:r>
              <w:rPr>
                <w:b/>
                <w:color w:val="1C3A36"/>
                <w:sz w:val="18"/>
              </w:rPr>
              <w:t>FY29E</w:t>
            </w:r>
          </w:p>
        </w:tc>
        <w:tc>
          <w:tcPr>
            <w:tcW w:type="dxa" w:w="1368"/>
            <w:shd w:val="clear" w:color="auto" w:fill="EAF0EE"/>
          </w:tcPr>
          <w:p>
            <w:pPr>
              <w:spacing w:after="20"/>
            </w:pPr>
            <w:r>
              <w:rPr>
                <w:b/>
                <w:color w:val="1C3A36"/>
                <w:sz w:val="18"/>
              </w:rPr>
              <w:t>FY30E</w:t>
            </w:r>
          </w:p>
        </w:tc>
      </w:tr>
      <w:tr>
        <w:tc>
          <w:tcPr>
            <w:tcW w:type="dxa" w:w="3168"/>
          </w:tcPr>
          <w:p>
            <w:pPr>
              <w:spacing w:after="20"/>
            </w:pPr>
            <w:r>
              <w:rPr>
                <w:color w:val="1C3A36"/>
                <w:sz w:val="18"/>
              </w:rPr>
              <w:t>DPS path (EGP mn declared)</w:t>
            </w:r>
          </w:p>
        </w:tc>
        <w:tc>
          <w:tcPr>
            <w:tcW w:type="dxa" w:w="1368"/>
          </w:tcPr>
          <w:p>
            <w:pPr>
              <w:spacing w:after="20"/>
              <w:jc w:val="right"/>
            </w:pPr>
            <w:r>
              <w:rPr>
                <w:color w:val="1C3A36"/>
                <w:sz w:val="18"/>
              </w:rPr>
              <w:t>120</w:t>
            </w:r>
          </w:p>
        </w:tc>
        <w:tc>
          <w:tcPr>
            <w:tcW w:type="dxa" w:w="1368"/>
          </w:tcPr>
          <w:p>
            <w:pPr>
              <w:spacing w:after="20"/>
              <w:jc w:val="right"/>
            </w:pPr>
            <w:r>
              <w:rPr>
                <w:color w:val="1C3A36"/>
                <w:sz w:val="18"/>
              </w:rPr>
              <w:t>317</w:t>
            </w:r>
          </w:p>
        </w:tc>
        <w:tc>
          <w:tcPr>
            <w:tcW w:type="dxa" w:w="1368"/>
          </w:tcPr>
          <w:p>
            <w:pPr>
              <w:spacing w:after="20"/>
              <w:jc w:val="right"/>
            </w:pPr>
            <w:r>
              <w:rPr>
                <w:color w:val="1C3A36"/>
                <w:sz w:val="18"/>
              </w:rPr>
              <w:t>398</w:t>
            </w:r>
          </w:p>
        </w:tc>
        <w:tc>
          <w:tcPr>
            <w:tcW w:type="dxa" w:w="1368"/>
          </w:tcPr>
          <w:p>
            <w:pPr>
              <w:spacing w:after="20"/>
              <w:jc w:val="right"/>
            </w:pPr>
            <w:r>
              <w:rPr>
                <w:color w:val="1C3A36"/>
                <w:sz w:val="18"/>
              </w:rPr>
              <w:t>477</w:t>
            </w:r>
          </w:p>
        </w:tc>
        <w:tc>
          <w:tcPr>
            <w:tcW w:type="dxa" w:w="1368"/>
          </w:tcPr>
          <w:p>
            <w:pPr>
              <w:spacing w:after="20"/>
              <w:jc w:val="right"/>
            </w:pPr>
            <w:r>
              <w:rPr>
                <w:color w:val="1C3A36"/>
                <w:sz w:val="18"/>
              </w:rPr>
              <w:t>554</w:t>
            </w:r>
          </w:p>
        </w:tc>
      </w:tr>
      <w:tr>
        <w:tc>
          <w:tcPr>
            <w:tcW w:type="dxa" w:w="3168"/>
          </w:tcPr>
          <w:p>
            <w:pPr>
              <w:spacing w:after="20"/>
            </w:pPr>
            <w:r>
              <w:rPr>
                <w:color w:val="1C3A36"/>
                <w:sz w:val="18"/>
              </w:rPr>
              <w:t>Per share (EGP)</w:t>
            </w:r>
          </w:p>
        </w:tc>
        <w:tc>
          <w:tcPr>
            <w:tcW w:type="dxa" w:w="1368"/>
          </w:tcPr>
          <w:p>
            <w:pPr>
              <w:spacing w:after="20"/>
              <w:jc w:val="right"/>
            </w:pPr>
            <w:r>
              <w:rPr>
                <w:color w:val="1C3A36"/>
                <w:sz w:val="18"/>
              </w:rPr>
              <w:t>0.059</w:t>
            </w:r>
          </w:p>
        </w:tc>
        <w:tc>
          <w:tcPr>
            <w:tcW w:type="dxa" w:w="1368"/>
          </w:tcPr>
          <w:p>
            <w:pPr>
              <w:spacing w:after="20"/>
              <w:jc w:val="right"/>
            </w:pPr>
            <w:r>
              <w:rPr>
                <w:color w:val="1C3A36"/>
                <w:sz w:val="18"/>
              </w:rPr>
              <w:t>0.156</w:t>
            </w:r>
          </w:p>
        </w:tc>
        <w:tc>
          <w:tcPr>
            <w:tcW w:type="dxa" w:w="1368"/>
          </w:tcPr>
          <w:p>
            <w:pPr>
              <w:spacing w:after="20"/>
              <w:jc w:val="right"/>
            </w:pPr>
            <w:r>
              <w:rPr>
                <w:color w:val="1C3A36"/>
                <w:sz w:val="18"/>
              </w:rPr>
              <w:t>0.196</w:t>
            </w:r>
          </w:p>
        </w:tc>
        <w:tc>
          <w:tcPr>
            <w:tcW w:type="dxa" w:w="1368"/>
          </w:tcPr>
          <w:p>
            <w:pPr>
              <w:spacing w:after="20"/>
              <w:jc w:val="right"/>
            </w:pPr>
            <w:r>
              <w:rPr>
                <w:color w:val="1C3A36"/>
                <w:sz w:val="18"/>
              </w:rPr>
              <w:t>0.234</w:t>
            </w:r>
          </w:p>
        </w:tc>
        <w:tc>
          <w:tcPr>
            <w:tcW w:type="dxa" w:w="1368"/>
          </w:tcPr>
          <w:p>
            <w:pPr>
              <w:spacing w:after="20"/>
              <w:jc w:val="right"/>
            </w:pPr>
            <w:r>
              <w:rPr>
                <w:color w:val="1C3A36"/>
                <w:sz w:val="18"/>
              </w:rPr>
              <w:t>0.273</w:t>
            </w:r>
          </w:p>
        </w:tc>
      </w:tr>
    </w:tbl>
    <w:p>
      <w:pPr>
        <w:spacing w:after="40"/>
      </w:pPr>
    </w:p>
    <w:p>
      <w:pPr>
        <w:spacing w:after="120" w:before="0"/>
      </w:pPr>
      <w:r>
        <w:rPr>
          <w:b w:val="0"/>
          <w:i w:val="0"/>
          <w:color w:val="1C3A36"/>
          <w:sz w:val="19"/>
        </w:rPr>
        <w:t>Discounting the committed EGP 120mn (two EGP 60mn tranches) growing to a 40% payout at Ke 28.6% with 14% terminal dividend growth gives EGP 1.00 per share (terminal 61% of the value). The lens is honest but young: at a ~1.2% yield and a 32% cost of equity, the dividend cannot yet carry the valuation — it earns only a 15% weight, and its real job is discipline: it forces the deleveraging story to eventually show up as cash to shareholders.</w:t>
      </w:r>
    </w:p>
    <w:p>
      <w:pPr>
        <w:spacing w:after="80" w:before="200"/>
      </w:pPr>
      <w:r>
        <w:rPr>
          <w:b/>
          <w:i w:val="0"/>
          <w:color w:val="1C3A36"/>
          <w:sz w:val="24"/>
        </w:rPr>
        <w:t>1.3  Relative — the name’s own multiple, and why the band sits below today’s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4752"/>
            <w:shd w:val="clear" w:color="auto" w:fill="EAF0EE"/>
          </w:tcPr>
          <w:p>
            <w:pPr>
              <w:spacing w:after="20"/>
            </w:pPr>
            <w:r>
              <w:rPr>
                <w:b/>
                <w:color w:val="1C3A36"/>
                <w:sz w:val="18"/>
              </w:rPr>
            </w:r>
          </w:p>
        </w:tc>
        <w:tc>
          <w:tcPr>
            <w:tcW w:type="dxa" w:w="1656"/>
            <w:shd w:val="clear" w:color="auto" w:fill="EAF0EE"/>
          </w:tcPr>
          <w:p>
            <w:pPr>
              <w:spacing w:after="20"/>
            </w:pPr>
            <w:r>
              <w:rPr>
                <w:b/>
                <w:color w:val="1C3A36"/>
                <w:sz w:val="18"/>
              </w:rPr>
              <w:t>Bear</w:t>
            </w:r>
          </w:p>
        </w:tc>
        <w:tc>
          <w:tcPr>
            <w:tcW w:type="dxa" w:w="1656"/>
            <w:shd w:val="clear" w:color="auto" w:fill="EAF0EE"/>
          </w:tcPr>
          <w:p>
            <w:pPr>
              <w:spacing w:after="20"/>
            </w:pPr>
            <w:r>
              <w:rPr>
                <w:b/>
                <w:color w:val="1C3A36"/>
                <w:sz w:val="18"/>
              </w:rPr>
              <w:t>Base</w:t>
            </w:r>
          </w:p>
        </w:tc>
        <w:tc>
          <w:tcPr>
            <w:tcW w:type="dxa" w:w="1656"/>
            <w:shd w:val="clear" w:color="auto" w:fill="EAF0EE"/>
          </w:tcPr>
          <w:p>
            <w:pPr>
              <w:spacing w:after="20"/>
            </w:pPr>
            <w:r>
              <w:rPr>
                <w:b/>
                <w:color w:val="1C3A36"/>
                <w:sz w:val="18"/>
              </w:rPr>
              <w:t>Bull</w:t>
            </w:r>
          </w:p>
        </w:tc>
      </w:tr>
      <w:tr>
        <w:tc>
          <w:tcPr>
            <w:tcW w:type="dxa" w:w="4752"/>
          </w:tcPr>
          <w:p>
            <w:pPr>
              <w:spacing w:after="20"/>
            </w:pPr>
            <w:r>
              <w:rPr>
                <w:color w:val="1C3A36"/>
                <w:sz w:val="18"/>
              </w:rPr>
              <w:t>EV/EBITDA × on FY26E EBITDA of EGP 1,399 mn</w:t>
            </w:r>
          </w:p>
        </w:tc>
        <w:tc>
          <w:tcPr>
            <w:tcW w:type="dxa" w:w="1656"/>
          </w:tcPr>
          <w:p>
            <w:pPr>
              <w:spacing w:after="20"/>
              <w:jc w:val="right"/>
            </w:pPr>
            <w:r>
              <w:rPr>
                <w:color w:val="1C3A36"/>
                <w:sz w:val="18"/>
              </w:rPr>
              <w:t>6.5×</w:t>
            </w:r>
          </w:p>
        </w:tc>
        <w:tc>
          <w:tcPr>
            <w:tcW w:type="dxa" w:w="1656"/>
          </w:tcPr>
          <w:p>
            <w:pPr>
              <w:spacing w:after="20"/>
              <w:jc w:val="right"/>
            </w:pPr>
            <w:r>
              <w:rPr>
                <w:color w:val="1C3A36"/>
                <w:sz w:val="18"/>
              </w:rPr>
              <w:t>8.0×</w:t>
            </w:r>
          </w:p>
        </w:tc>
        <w:tc>
          <w:tcPr>
            <w:tcW w:type="dxa" w:w="1656"/>
          </w:tcPr>
          <w:p>
            <w:pPr>
              <w:spacing w:after="20"/>
              <w:jc w:val="right"/>
            </w:pPr>
            <w:r>
              <w:rPr>
                <w:color w:val="1C3A36"/>
                <w:sz w:val="18"/>
              </w:rPr>
              <w:t>9.5×</w:t>
            </w:r>
          </w:p>
        </w:tc>
      </w:tr>
      <w:tr>
        <w:tc>
          <w:tcPr>
            <w:tcW w:type="dxa" w:w="4752"/>
          </w:tcPr>
          <w:p>
            <w:pPr>
              <w:spacing w:after="20"/>
            </w:pPr>
            <w:r>
              <w:rPr>
                <w:color w:val="1C3A36"/>
                <w:sz w:val="18"/>
              </w:rPr>
              <w:t>Implied equity per share</w:t>
            </w:r>
          </w:p>
        </w:tc>
        <w:tc>
          <w:tcPr>
            <w:tcW w:type="dxa" w:w="1656"/>
          </w:tcPr>
          <w:p>
            <w:pPr>
              <w:spacing w:after="20"/>
              <w:jc w:val="right"/>
            </w:pPr>
            <w:r>
              <w:rPr>
                <w:color w:val="1C3A36"/>
                <w:sz w:val="18"/>
              </w:rPr>
              <w:t>EGP 3.37</w:t>
            </w:r>
          </w:p>
        </w:tc>
        <w:tc>
          <w:tcPr>
            <w:tcW w:type="dxa" w:w="1656"/>
          </w:tcPr>
          <w:p>
            <w:pPr>
              <w:spacing w:after="20"/>
              <w:jc w:val="right"/>
            </w:pPr>
            <w:r>
              <w:rPr>
                <w:color w:val="1C3A36"/>
                <w:sz w:val="18"/>
              </w:rPr>
              <w:t>EGP 4.40</w:t>
            </w:r>
          </w:p>
        </w:tc>
        <w:tc>
          <w:tcPr>
            <w:tcW w:type="dxa" w:w="1656"/>
          </w:tcPr>
          <w:p>
            <w:pPr>
              <w:spacing w:after="20"/>
              <w:jc w:val="right"/>
            </w:pPr>
            <w:r>
              <w:rPr>
                <w:color w:val="1C3A36"/>
                <w:sz w:val="18"/>
              </w:rPr>
              <w:t>EGP 5.43</w:t>
            </w:r>
          </w:p>
        </w:tc>
      </w:tr>
    </w:tbl>
    <w:p>
      <w:pPr>
        <w:spacing w:after="40"/>
      </w:pPr>
    </w:p>
    <w:p>
      <w:pPr>
        <w:spacing w:after="120" w:before="0"/>
      </w:pPr>
      <w:r>
        <w:rPr>
          <w:b w:val="0"/>
          <w:i w:val="0"/>
          <w:color w:val="1C3A36"/>
          <w:sz w:val="19"/>
        </w:rPr>
        <w:t>Spot trades at 10.7× FY25 and 8.9× FY26E EV/EBITDA (spot EV on FY25 net debt; the model's Per-Share sheet also shows 8.4× on FY26E net debt — vintage stated per the dual-framing rule) (34× attributable / 32× consolidated reported, ~25× recurring earnings). Disclosed Egyptian generics peers are thin and stale, so the house same-name rule applies: the anchor is the multiple range the market itself has paid for RMDA over the last twelve months, set deliberately below today’s print because today’s multiple already capitalises the finance-cost normalisation.</w:t>
      </w:r>
    </w:p>
    <w:p>
      <w:pPr>
        <w:spacing w:after="80" w:before="200"/>
      </w:pPr>
      <w:r>
        <w:rPr>
          <w:b/>
          <w:i w:val="0"/>
          <w:color w:val="1C3A36"/>
          <w:sz w:val="24"/>
        </w:rPr>
        <w:t>1.4  Normalized earnings power</w:t>
      </w:r>
    </w:p>
    <w:p>
      <w:pPr>
        <w:spacing w:after="120" w:before="0"/>
      </w:pPr>
      <w:r>
        <w:rPr>
          <w:b w:val="0"/>
          <w:i w:val="0"/>
          <w:color w:val="1C3A36"/>
          <w:sz w:val="19"/>
        </w:rPr>
        <w:t>FY26E attributable EPS of EGP 0.270 (net income EGP 576mn after a 23.0% average facility cost on the opening book, 24% tax, 4.7% NCI) × through-cycle P/E bands of 11/13.5/16× gives EGP 2.97 / 3.65 / 4.32. This is the lens closest to how the market actually prices the name; its honesty condition is that the interest bill really does fall as modelled.</w:t>
      </w:r>
    </w:p>
    <w:p>
      <w:pPr>
        <w:spacing w:after="80" w:before="200"/>
      </w:pPr>
      <w:r>
        <w:rPr>
          <w:b/>
          <w:i w:val="0"/>
          <w:color w:val="1C3A36"/>
          <w:sz w:val="24"/>
        </w:rPr>
        <w:t>1.5  Synthesis — four lenses, one weighted central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7"/>
              </w:rPr>
              <w:t>Lens</w:t>
            </w:r>
          </w:p>
        </w:tc>
        <w:tc>
          <w:tcPr>
            <w:tcW w:type="dxa" w:w="1152"/>
            <w:shd w:val="clear" w:color="auto" w:fill="EAF0EE"/>
          </w:tcPr>
          <w:p>
            <w:pPr>
              <w:spacing w:after="20"/>
            </w:pPr>
            <w:r>
              <w:rPr>
                <w:b/>
                <w:color w:val="1C3A36"/>
                <w:sz w:val="17"/>
              </w:rPr>
              <w:t>Bear</w:t>
            </w:r>
          </w:p>
        </w:tc>
        <w:tc>
          <w:tcPr>
            <w:tcW w:type="dxa" w:w="1152"/>
            <w:shd w:val="clear" w:color="auto" w:fill="EAF0EE"/>
          </w:tcPr>
          <w:p>
            <w:pPr>
              <w:spacing w:after="20"/>
            </w:pPr>
            <w:r>
              <w:rPr>
                <w:b/>
                <w:color w:val="1C3A36"/>
                <w:sz w:val="17"/>
              </w:rPr>
              <w:t>Base</w:t>
            </w:r>
          </w:p>
        </w:tc>
        <w:tc>
          <w:tcPr>
            <w:tcW w:type="dxa" w:w="1152"/>
            <w:shd w:val="clear" w:color="auto" w:fill="EAF0EE"/>
          </w:tcPr>
          <w:p>
            <w:pPr>
              <w:spacing w:after="20"/>
            </w:pPr>
            <w:r>
              <w:rPr>
                <w:b/>
                <w:color w:val="1C3A36"/>
                <w:sz w:val="17"/>
              </w:rPr>
              <w:t>Bull</w:t>
            </w:r>
          </w:p>
        </w:tc>
        <w:tc>
          <w:tcPr>
            <w:tcW w:type="dxa" w:w="1080"/>
            <w:shd w:val="clear" w:color="auto" w:fill="EAF0EE"/>
          </w:tcPr>
          <w:p>
            <w:pPr>
              <w:spacing w:after="20"/>
            </w:pPr>
            <w:r>
              <w:rPr>
                <w:b/>
                <w:color w:val="1C3A36"/>
                <w:sz w:val="17"/>
              </w:rPr>
              <w:t>Weight</w:t>
            </w:r>
          </w:p>
        </w:tc>
        <w:tc>
          <w:tcPr>
            <w:tcW w:type="dxa" w:w="3600"/>
            <w:shd w:val="clear" w:color="auto" w:fill="EAF0EE"/>
          </w:tcPr>
          <w:p>
            <w:pPr>
              <w:spacing w:after="20"/>
            </w:pPr>
            <w:r>
              <w:rPr>
                <w:b/>
                <w:color w:val="1C3A36"/>
                <w:sz w:val="17"/>
              </w:rPr>
              <w:t>Why this weight</w:t>
            </w:r>
          </w:p>
        </w:tc>
      </w:tr>
      <w:tr>
        <w:tc>
          <w:tcPr>
            <w:tcW w:type="dxa" w:w="2736"/>
          </w:tcPr>
          <w:p>
            <w:pPr>
              <w:spacing w:after="20"/>
            </w:pPr>
            <w:r>
              <w:rPr>
                <w:b/>
                <w:color w:val="1C3A36"/>
                <w:sz w:val="17"/>
              </w:rPr>
              <w:t>FCFF DCF</w:t>
            </w:r>
          </w:p>
        </w:tc>
        <w:tc>
          <w:tcPr>
            <w:tcW w:type="dxa" w:w="1152"/>
          </w:tcPr>
          <w:p>
            <w:pPr>
              <w:spacing w:after="20"/>
              <w:jc w:val="right"/>
            </w:pPr>
            <w:r>
              <w:rPr>
                <w:color w:val="1C3A36"/>
                <w:sz w:val="17"/>
              </w:rPr>
              <w:t>1.18</w:t>
            </w:r>
          </w:p>
        </w:tc>
        <w:tc>
          <w:tcPr>
            <w:tcW w:type="dxa" w:w="1152"/>
          </w:tcPr>
          <w:p>
            <w:pPr>
              <w:spacing w:after="20"/>
              <w:jc w:val="right"/>
            </w:pPr>
            <w:r>
              <w:rPr>
                <w:color w:val="1C3A36"/>
                <w:sz w:val="17"/>
              </w:rPr>
              <w:t>1.73</w:t>
            </w:r>
          </w:p>
        </w:tc>
        <w:tc>
          <w:tcPr>
            <w:tcW w:type="dxa" w:w="1152"/>
          </w:tcPr>
          <w:p>
            <w:pPr>
              <w:spacing w:after="20"/>
              <w:jc w:val="right"/>
            </w:pPr>
            <w:r>
              <w:rPr>
                <w:color w:val="1C3A36"/>
                <w:sz w:val="17"/>
              </w:rPr>
              <w:t>2.31</w:t>
            </w:r>
          </w:p>
        </w:tc>
        <w:tc>
          <w:tcPr>
            <w:tcW w:type="dxa" w:w="1080"/>
          </w:tcPr>
          <w:p>
            <w:pPr>
              <w:spacing w:after="20"/>
              <w:jc w:val="right"/>
            </w:pPr>
            <w:r>
              <w:rPr>
                <w:color w:val="1C3A36"/>
                <w:sz w:val="17"/>
              </w:rPr>
              <w:t>35%</w:t>
            </w:r>
          </w:p>
        </w:tc>
        <w:tc>
          <w:tcPr>
            <w:tcW w:type="dxa" w:w="3600"/>
          </w:tcPr>
          <w:p>
            <w:pPr>
              <w:spacing w:after="20"/>
              <w:jc w:val="right"/>
            </w:pPr>
            <w:r>
              <w:rPr>
                <w:color w:val="1C3A36"/>
                <w:sz w:val="17"/>
              </w:rPr>
              <w:t>Primary discipline lens at the sourced rate</w:t>
            </w:r>
          </w:p>
        </w:tc>
      </w:tr>
      <w:tr>
        <w:tc>
          <w:tcPr>
            <w:tcW w:type="dxa" w:w="2736"/>
          </w:tcPr>
          <w:p>
            <w:pPr>
              <w:spacing w:after="20"/>
            </w:pPr>
            <w:r>
              <w:rPr>
                <w:b/>
                <w:color w:val="1C3A36"/>
                <w:sz w:val="17"/>
              </w:rPr>
              <w:t>Relative (own band)</w:t>
            </w:r>
          </w:p>
        </w:tc>
        <w:tc>
          <w:tcPr>
            <w:tcW w:type="dxa" w:w="1152"/>
          </w:tcPr>
          <w:p>
            <w:pPr>
              <w:spacing w:after="20"/>
              <w:jc w:val="right"/>
            </w:pPr>
            <w:r>
              <w:rPr>
                <w:color w:val="1C3A36"/>
                <w:sz w:val="17"/>
              </w:rPr>
              <w:t>3.37</w:t>
            </w:r>
          </w:p>
        </w:tc>
        <w:tc>
          <w:tcPr>
            <w:tcW w:type="dxa" w:w="1152"/>
          </w:tcPr>
          <w:p>
            <w:pPr>
              <w:spacing w:after="20"/>
              <w:jc w:val="right"/>
            </w:pPr>
            <w:r>
              <w:rPr>
                <w:color w:val="1C3A36"/>
                <w:sz w:val="17"/>
              </w:rPr>
              <w:t>4.40</w:t>
            </w:r>
          </w:p>
        </w:tc>
        <w:tc>
          <w:tcPr>
            <w:tcW w:type="dxa" w:w="1152"/>
          </w:tcPr>
          <w:p>
            <w:pPr>
              <w:spacing w:after="20"/>
              <w:jc w:val="right"/>
            </w:pPr>
            <w:r>
              <w:rPr>
                <w:color w:val="1C3A36"/>
                <w:sz w:val="17"/>
              </w:rPr>
              <w:t>5.43</w:t>
            </w:r>
          </w:p>
        </w:tc>
        <w:tc>
          <w:tcPr>
            <w:tcW w:type="dxa" w:w="1080"/>
          </w:tcPr>
          <w:p>
            <w:pPr>
              <w:spacing w:after="20"/>
              <w:jc w:val="right"/>
            </w:pPr>
            <w:r>
              <w:rPr>
                <w:color w:val="1C3A36"/>
                <w:sz w:val="17"/>
              </w:rPr>
              <w:t>25%</w:t>
            </w:r>
          </w:p>
        </w:tc>
        <w:tc>
          <w:tcPr>
            <w:tcW w:type="dxa" w:w="3600"/>
          </w:tcPr>
          <w:p>
            <w:pPr>
              <w:spacing w:after="20"/>
              <w:jc w:val="right"/>
            </w:pPr>
            <w:r>
              <w:rPr>
                <w:color w:val="1C3A36"/>
                <w:sz w:val="17"/>
              </w:rPr>
              <w:t>What the market pays for this engine</w:t>
            </w:r>
          </w:p>
        </w:tc>
      </w:tr>
      <w:tr>
        <w:tc>
          <w:tcPr>
            <w:tcW w:type="dxa" w:w="2736"/>
          </w:tcPr>
          <w:p>
            <w:pPr>
              <w:spacing w:after="20"/>
            </w:pPr>
            <w:r>
              <w:rPr>
                <w:b/>
                <w:color w:val="1C3A36"/>
                <w:sz w:val="17"/>
              </w:rPr>
              <w:t>Normalized earnings</w:t>
            </w:r>
          </w:p>
        </w:tc>
        <w:tc>
          <w:tcPr>
            <w:tcW w:type="dxa" w:w="1152"/>
          </w:tcPr>
          <w:p>
            <w:pPr>
              <w:spacing w:after="20"/>
              <w:jc w:val="right"/>
            </w:pPr>
            <w:r>
              <w:rPr>
                <w:color w:val="1C3A36"/>
                <w:sz w:val="17"/>
              </w:rPr>
              <w:t>2.97</w:t>
            </w:r>
          </w:p>
        </w:tc>
        <w:tc>
          <w:tcPr>
            <w:tcW w:type="dxa" w:w="1152"/>
          </w:tcPr>
          <w:p>
            <w:pPr>
              <w:spacing w:after="20"/>
              <w:jc w:val="right"/>
            </w:pPr>
            <w:r>
              <w:rPr>
                <w:color w:val="1C3A36"/>
                <w:sz w:val="17"/>
              </w:rPr>
              <w:t>3.65</w:t>
            </w:r>
          </w:p>
        </w:tc>
        <w:tc>
          <w:tcPr>
            <w:tcW w:type="dxa" w:w="1152"/>
          </w:tcPr>
          <w:p>
            <w:pPr>
              <w:spacing w:after="20"/>
              <w:jc w:val="right"/>
            </w:pPr>
            <w:r>
              <w:rPr>
                <w:color w:val="1C3A36"/>
                <w:sz w:val="17"/>
              </w:rPr>
              <w:t>4.32</w:t>
            </w:r>
          </w:p>
        </w:tc>
        <w:tc>
          <w:tcPr>
            <w:tcW w:type="dxa" w:w="1080"/>
          </w:tcPr>
          <w:p>
            <w:pPr>
              <w:spacing w:after="20"/>
              <w:jc w:val="right"/>
            </w:pPr>
            <w:r>
              <w:rPr>
                <w:color w:val="1C3A36"/>
                <w:sz w:val="17"/>
              </w:rPr>
              <w:t>25%</w:t>
            </w:r>
          </w:p>
        </w:tc>
        <w:tc>
          <w:tcPr>
            <w:tcW w:type="dxa" w:w="3600"/>
          </w:tcPr>
          <w:p>
            <w:pPr>
              <w:spacing w:after="20"/>
              <w:jc w:val="right"/>
            </w:pPr>
            <w:r>
              <w:rPr>
                <w:color w:val="1C3A36"/>
                <w:sz w:val="17"/>
              </w:rPr>
              <w:t>Through-cycle multiple on clean EPS</w:t>
            </w:r>
          </w:p>
        </w:tc>
      </w:tr>
      <w:tr>
        <w:tc>
          <w:tcPr>
            <w:tcW w:type="dxa" w:w="2736"/>
          </w:tcPr>
          <w:p>
            <w:pPr>
              <w:spacing w:after="20"/>
            </w:pPr>
            <w:r>
              <w:rPr>
                <w:b/>
                <w:color w:val="1C3A36"/>
                <w:sz w:val="17"/>
              </w:rPr>
              <w:t>DDM (policy)</w:t>
            </w:r>
          </w:p>
        </w:tc>
        <w:tc>
          <w:tcPr>
            <w:tcW w:type="dxa" w:w="1152"/>
          </w:tcPr>
          <w:p>
            <w:pPr>
              <w:spacing w:after="20"/>
              <w:jc w:val="right"/>
            </w:pPr>
            <w:r>
              <w:rPr>
                <w:color w:val="1C3A36"/>
                <w:sz w:val="17"/>
              </w:rPr>
              <w:t>0.78</w:t>
            </w:r>
          </w:p>
        </w:tc>
        <w:tc>
          <w:tcPr>
            <w:tcW w:type="dxa" w:w="1152"/>
          </w:tcPr>
          <w:p>
            <w:pPr>
              <w:spacing w:after="20"/>
              <w:jc w:val="right"/>
            </w:pPr>
            <w:r>
              <w:rPr>
                <w:color w:val="1C3A36"/>
                <w:sz w:val="17"/>
              </w:rPr>
              <w:t>1.00</w:t>
            </w:r>
          </w:p>
        </w:tc>
        <w:tc>
          <w:tcPr>
            <w:tcW w:type="dxa" w:w="1152"/>
          </w:tcPr>
          <w:p>
            <w:pPr>
              <w:spacing w:after="20"/>
              <w:jc w:val="right"/>
            </w:pPr>
            <w:r>
              <w:rPr>
                <w:color w:val="1C3A36"/>
                <w:sz w:val="17"/>
              </w:rPr>
              <w:t>1.54</w:t>
            </w:r>
          </w:p>
        </w:tc>
        <w:tc>
          <w:tcPr>
            <w:tcW w:type="dxa" w:w="1080"/>
          </w:tcPr>
          <w:p>
            <w:pPr>
              <w:spacing w:after="20"/>
              <w:jc w:val="right"/>
            </w:pPr>
            <w:r>
              <w:rPr>
                <w:color w:val="1C3A36"/>
                <w:sz w:val="17"/>
              </w:rPr>
              <w:t>15%</w:t>
            </w:r>
          </w:p>
        </w:tc>
        <w:tc>
          <w:tcPr>
            <w:tcW w:type="dxa" w:w="3600"/>
          </w:tcPr>
          <w:p>
            <w:pPr>
              <w:spacing w:after="20"/>
              <w:jc w:val="right"/>
            </w:pPr>
            <w:r>
              <w:rPr>
                <w:color w:val="1C3A36"/>
                <w:sz w:val="17"/>
              </w:rPr>
              <w:t>Young dividend; discipline, not driver</w:t>
            </w:r>
          </w:p>
        </w:tc>
      </w:tr>
      <w:tr>
        <w:tc>
          <w:tcPr>
            <w:tcW w:type="dxa" w:w="2736"/>
            <w:shd w:val="clear" w:color="auto" w:fill="F6F1E6"/>
          </w:tcPr>
          <w:p>
            <w:pPr>
              <w:spacing w:after="20"/>
            </w:pPr>
            <w:r>
              <w:rPr>
                <w:b/>
                <w:color w:val="1C3A36"/>
                <w:sz w:val="17"/>
              </w:rPr>
              <w:t>Weighted central</w:t>
            </w:r>
          </w:p>
        </w:tc>
        <w:tc>
          <w:tcPr>
            <w:tcW w:type="dxa" w:w="1152"/>
            <w:shd w:val="clear" w:color="auto" w:fill="F6F1E6"/>
          </w:tcPr>
          <w:p>
            <w:pPr>
              <w:spacing w:after="20"/>
              <w:jc w:val="right"/>
            </w:pPr>
            <w:r>
              <w:rPr>
                <w:b/>
                <w:color w:val="1C3A36"/>
                <w:sz w:val="17"/>
              </w:rPr>
              <w:t>2.11</w:t>
            </w:r>
          </w:p>
        </w:tc>
        <w:tc>
          <w:tcPr>
            <w:tcW w:type="dxa" w:w="1152"/>
            <w:shd w:val="clear" w:color="auto" w:fill="F6F1E6"/>
          </w:tcPr>
          <w:p>
            <w:pPr>
              <w:spacing w:after="20"/>
              <w:jc w:val="right"/>
            </w:pPr>
            <w:r>
              <w:rPr>
                <w:b/>
                <w:color w:val="1C3A36"/>
                <w:sz w:val="17"/>
              </w:rPr>
              <w:t>2.77</w:t>
            </w:r>
          </w:p>
        </w:tc>
        <w:tc>
          <w:tcPr>
            <w:tcW w:type="dxa" w:w="1152"/>
            <w:shd w:val="clear" w:color="auto" w:fill="F6F1E6"/>
          </w:tcPr>
          <w:p>
            <w:pPr>
              <w:spacing w:after="20"/>
              <w:jc w:val="right"/>
            </w:pPr>
            <w:r>
              <w:rPr>
                <w:b/>
                <w:color w:val="1C3A36"/>
                <w:sz w:val="17"/>
              </w:rPr>
              <w:t>3.48</w:t>
            </w:r>
          </w:p>
        </w:tc>
        <w:tc>
          <w:tcPr>
            <w:tcW w:type="dxa" w:w="1080"/>
            <w:shd w:val="clear" w:color="auto" w:fill="F6F1E6"/>
          </w:tcPr>
          <w:p>
            <w:pPr>
              <w:spacing w:after="20"/>
              <w:jc w:val="right"/>
            </w:pPr>
            <w:r>
              <w:rPr>
                <w:b/>
                <w:color w:val="1C3A36"/>
                <w:sz w:val="17"/>
              </w:rPr>
              <w:t>100%</w:t>
            </w:r>
          </w:p>
        </w:tc>
        <w:tc>
          <w:tcPr>
            <w:tcW w:type="dxa" w:w="3600"/>
            <w:shd w:val="clear" w:color="auto" w:fill="F6F1E6"/>
          </w:tcPr>
          <w:p>
            <w:pPr>
              <w:spacing w:after="20"/>
              <w:jc w:val="right"/>
            </w:pPr>
            <w:r>
              <w:rPr>
                <w:b/>
                <w:color w:val="1C3A36"/>
                <w:sz w:val="17"/>
              </w:rPr>
              <w:t>-45% vs spot — the headline anchor</w:t>
            </w:r>
          </w:p>
        </w:tc>
      </w:tr>
    </w:tbl>
    <w:p>
      <w:pPr>
        <w:spacing w:after="40"/>
      </w:pPr>
    </w:p>
    <w:p>
      <w:pPr>
        <w:spacing w:after="120" w:before="0"/>
      </w:pPr>
      <w:r>
        <w:rPr>
          <w:b w:val="0"/>
          <w:i w:val="0"/>
          <w:color w:val="1C3A36"/>
          <w:sz w:val="19"/>
        </w:rPr>
        <w:t>The cash-flow lenses (DCF 1.73, DDM 1.00) discount a strong engine at the sourced ~29% WACC and get small numbers; the market lenses (relative 4.40, normalized 3.65) price the same engine at today's multiples and land near spot. The weighted central of EGP 2.77 [2.11–3.48] is the ~12-month risk-adjusted anchor; the 4.5× spread BETWEEN the lenses is the rate bet, drawn to scale below.</w:t>
      </w:r>
    </w:p>
    <w:p>
      <w:pPr>
        <w:spacing w:after="40"/>
        <w:jc w:val="center"/>
      </w:pPr>
      <w:r>
        <w:drawing>
          <wp:inline xmlns:a="http://schemas.openxmlformats.org/drawingml/2006/main" xmlns:pic="http://schemas.openxmlformats.org/drawingml/2006/picture">
            <wp:extent cx="5852160" cy="2497874"/>
            <wp:docPr id="2" name="Picture 2"/>
            <wp:cNvGraphicFramePr>
              <a:graphicFrameLocks noChangeAspect="1"/>
            </wp:cNvGraphicFramePr>
            <a:graphic>
              <a:graphicData uri="http://schemas.openxmlformats.org/drawingml/2006/picture">
                <pic:pic>
                  <pic:nvPicPr>
                    <pic:cNvPr id="0" name="fig8_field.png"/>
                    <pic:cNvPicPr/>
                  </pic:nvPicPr>
                  <pic:blipFill>
                    <a:blip r:embed="rId10"/>
                    <a:stretch>
                      <a:fillRect/>
                    </a:stretch>
                  </pic:blipFill>
                  <pic:spPr>
                    <a:xfrm>
                      <a:off x="0" y="0"/>
                      <a:ext cx="5852160" cy="2497874"/>
                    </a:xfrm>
                    <a:prstGeom prst="rect"/>
                  </pic:spPr>
                </pic:pic>
              </a:graphicData>
            </a:graphic>
          </wp:inline>
        </w:drawing>
      </w:r>
    </w:p>
    <w:p>
      <w:pPr>
        <w:spacing w:after="200" w:before="0"/>
      </w:pPr>
      <w:r>
        <w:rPr>
          <w:b w:val="0"/>
          <w:i/>
          <w:color w:val="6E7B77"/>
          <w:sz w:val="17"/>
        </w:rPr>
        <w:t>Figure 8. The football field: every lens, every expert, the MC cone and spot on one axis. The gap between the cash-flow cluster and the market cluster IS the rate bet, drawn to scale.</w:t>
      </w:r>
    </w:p>
    <w:p>
      <w:pPr>
        <w:spacing w:after="80" w:before="200"/>
      </w:pPr>
      <w:r>
        <w:rPr>
          <w:b/>
          <w:i w:val="0"/>
          <w:color w:val="1C3A36"/>
          <w:sz w:val="24"/>
        </w:rPr>
        <w:t>1.6  The drivers — four rings, classified, sourced</w:t>
      </w:r>
    </w:p>
    <w:p>
      <w:pPr>
        <w:spacing w:after="120" w:before="0"/>
      </w:pPr>
      <w:r>
        <w:rPr>
          <w:b w:val="0"/>
          <w:i w:val="0"/>
          <w:color w:val="1C3A36"/>
          <w:sz w:val="19"/>
        </w:rPr>
        <w:t>Before any driver is set, the deep-dive question: revenue doubled in two years (FY23 EGP 1,922mn → FY25 EGP 4,096mn). Forecasting is the work of separating business-as-usual from one-off events — the decomposition below does exactly that, and it is why the forward path tapers rather than re-doubles.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368"/>
            <w:shd w:val="clear" w:color="auto" w:fill="EAF0EE"/>
          </w:tcPr>
          <w:p>
            <w:pPr>
              <w:spacing w:after="20"/>
            </w:pPr>
            <w:r>
              <w:rPr>
                <w:b/>
                <w:color w:val="1C3A36"/>
                <w:sz w:val="16"/>
              </w:rPr>
              <w:t>Period</w:t>
            </w:r>
          </w:p>
        </w:tc>
        <w:tc>
          <w:tcPr>
            <w:tcW w:type="dxa" w:w="2664"/>
            <w:shd w:val="clear" w:color="auto" w:fill="EAF0EE"/>
          </w:tcPr>
          <w:p>
            <w:pPr>
              <w:spacing w:after="20"/>
            </w:pPr>
            <w:r>
              <w:rPr>
                <w:b/>
                <w:color w:val="1C3A36"/>
                <w:sz w:val="16"/>
              </w:rPr>
              <w:t>Event / driver</w:t>
            </w:r>
          </w:p>
        </w:tc>
        <w:tc>
          <w:tcPr>
            <w:tcW w:type="dxa" w:w="1368"/>
            <w:shd w:val="clear" w:color="auto" w:fill="EAF0EE"/>
          </w:tcPr>
          <w:p>
            <w:pPr>
              <w:spacing w:after="20"/>
            </w:pPr>
            <w:r>
              <w:rPr>
                <w:b/>
                <w:color w:val="1C3A36"/>
                <w:sz w:val="16"/>
              </w:rPr>
              <w:t>One-off or BAU</w:t>
            </w:r>
          </w:p>
        </w:tc>
        <w:tc>
          <w:tcPr>
            <w:tcW w:type="dxa" w:w="4320"/>
            <w:shd w:val="clear" w:color="auto" w:fill="EAF0EE"/>
          </w:tcPr>
          <w:p>
            <w:pPr>
              <w:spacing w:after="20"/>
            </w:pPr>
            <w:r>
              <w:rPr>
                <w:b/>
                <w:color w:val="1C3A36"/>
                <w:sz w:val="16"/>
              </w:rPr>
              <w:t>Evidence</w:t>
            </w:r>
          </w:p>
        </w:tc>
      </w:tr>
      <w:tr>
        <w:tc>
          <w:tcPr>
            <w:tcW w:type="dxa" w:w="1368"/>
          </w:tcPr>
          <w:p>
            <w:pPr>
              <w:spacing w:after="20"/>
            </w:pPr>
            <w:r>
              <w:rPr>
                <w:b/>
                <w:color w:val="1C3A36"/>
                <w:sz w:val="16"/>
              </w:rPr>
              <w:t>FY24 (+44%)</w:t>
            </w:r>
          </w:p>
        </w:tc>
        <w:tc>
          <w:tcPr>
            <w:tcW w:type="dxa" w:w="2664"/>
          </w:tcPr>
          <w:p>
            <w:pPr>
              <w:spacing w:after="20"/>
              <w:jc w:val="right"/>
            </w:pPr>
            <w:r>
              <w:rPr>
                <w:color w:val="1C3A36"/>
                <w:sz w:val="16"/>
              </w:rPr>
              <w:t>EDA pricing catch-up regime (one-off)</w:t>
            </w:r>
          </w:p>
        </w:tc>
        <w:tc>
          <w:tcPr>
            <w:tcW w:type="dxa" w:w="1368"/>
          </w:tcPr>
          <w:p>
            <w:pPr>
              <w:spacing w:after="20"/>
              <w:jc w:val="right"/>
            </w:pPr>
            <w:r>
              <w:rPr>
                <w:color w:val="1C3A36"/>
                <w:sz w:val="16"/>
              </w:rPr>
              <w:t>ONE-OFF (regime)</w:t>
            </w:r>
          </w:p>
        </w:tc>
        <w:tc>
          <w:tcPr>
            <w:tcW w:type="dxa" w:w="4320"/>
          </w:tcPr>
          <w:p>
            <w:pPr>
              <w:spacing w:after="20"/>
              <w:jc w:val="right"/>
            </w:pPr>
            <w:r>
              <w:rPr>
                <w:color w:val="1C3A36"/>
                <w:sz w:val="16"/>
              </w:rPr>
              <w:t>40-50% approvals across the portfolio + a 20%-of-topline discrepancy round; value from 2H24 (FY24 ER)</w:t>
            </w:r>
          </w:p>
        </w:tc>
      </w:tr>
      <w:tr>
        <w:tc>
          <w:tcPr>
            <w:tcW w:type="dxa" w:w="1368"/>
          </w:tcPr>
          <w:p>
            <w:pPr>
              <w:spacing w:after="20"/>
            </w:pPr>
            <w:r>
              <w:rPr>
                <w:b/>
                <w:color w:val="1C3A36"/>
                <w:sz w:val="16"/>
              </w:rPr>
            </w:r>
          </w:p>
        </w:tc>
        <w:tc>
          <w:tcPr>
            <w:tcW w:type="dxa" w:w="2664"/>
          </w:tcPr>
          <w:p>
            <w:pPr>
              <w:spacing w:after="20"/>
              <w:jc w:val="right"/>
            </w:pPr>
            <w:r>
              <w:rPr>
                <w:color w:val="1C3A36"/>
                <w:sz w:val="16"/>
              </w:rPr>
              <w:t>Consumer shift to branded generics (structural)</w:t>
            </w:r>
          </w:p>
        </w:tc>
        <w:tc>
          <w:tcPr>
            <w:tcW w:type="dxa" w:w="1368"/>
          </w:tcPr>
          <w:p>
            <w:pPr>
              <w:spacing w:after="20"/>
              <w:jc w:val="right"/>
            </w:pPr>
            <w:r>
              <w:rPr>
                <w:color w:val="1C3A36"/>
                <w:sz w:val="16"/>
              </w:rPr>
              <w:t>Structural</w:t>
            </w:r>
          </w:p>
        </w:tc>
        <w:tc>
          <w:tcPr>
            <w:tcW w:type="dxa" w:w="4320"/>
          </w:tcPr>
          <w:p>
            <w:pPr>
              <w:spacing w:after="20"/>
              <w:jc w:val="right"/>
            </w:pPr>
            <w:r>
              <w:rPr>
                <w:color w:val="1C3A36"/>
                <w:sz w:val="16"/>
              </w:rPr>
              <w:t>Volume growth as consumers traded down from innovators (FY24 ER)</w:t>
            </w:r>
          </w:p>
        </w:tc>
      </w:tr>
      <w:tr>
        <w:tc>
          <w:tcPr>
            <w:tcW w:type="dxa" w:w="1368"/>
          </w:tcPr>
          <w:p>
            <w:pPr>
              <w:spacing w:after="20"/>
            </w:pPr>
            <w:r>
              <w:rPr>
                <w:b/>
                <w:color w:val="1C3A36"/>
                <w:sz w:val="16"/>
              </w:rPr>
            </w:r>
          </w:p>
        </w:tc>
        <w:tc>
          <w:tcPr>
            <w:tcW w:type="dxa" w:w="2664"/>
          </w:tcPr>
          <w:p>
            <w:pPr>
              <w:spacing w:after="20"/>
              <w:jc w:val="right"/>
            </w:pPr>
            <w:r>
              <w:rPr>
                <w:color w:val="1C3A36"/>
                <w:sz w:val="16"/>
              </w:rPr>
              <w:t>Exports = ZERO (one-off drag)</w:t>
            </w:r>
          </w:p>
        </w:tc>
        <w:tc>
          <w:tcPr>
            <w:tcW w:type="dxa" w:w="1368"/>
          </w:tcPr>
          <w:p>
            <w:pPr>
              <w:spacing w:after="20"/>
              <w:jc w:val="right"/>
            </w:pPr>
            <w:r>
              <w:rPr>
                <w:color w:val="1C3A36"/>
                <w:sz w:val="16"/>
              </w:rPr>
              <w:t>ONE-OFF (drag)</w:t>
            </w:r>
          </w:p>
        </w:tc>
        <w:tc>
          <w:tcPr>
            <w:tcW w:type="dxa" w:w="4320"/>
          </w:tcPr>
          <w:p>
            <w:pPr>
              <w:spacing w:after="20"/>
              <w:jc w:val="right"/>
            </w:pPr>
            <w:r>
              <w:rPr>
                <w:color w:val="1C3A36"/>
                <w:sz w:val="16"/>
              </w:rPr>
              <w:t>Iraq suspension wiped the export book for the whole of FY24 (1H25 ER)</w:t>
            </w:r>
          </w:p>
        </w:tc>
      </w:tr>
      <w:tr>
        <w:tc>
          <w:tcPr>
            <w:tcW w:type="dxa" w:w="1368"/>
          </w:tcPr>
          <w:p>
            <w:pPr>
              <w:spacing w:after="20"/>
            </w:pPr>
            <w:r>
              <w:rPr>
                <w:b/>
                <w:color w:val="1C3A36"/>
                <w:sz w:val="16"/>
              </w:rPr>
              <w:t>FY25 (+48%)</w:t>
            </w:r>
          </w:p>
        </w:tc>
        <w:tc>
          <w:tcPr>
            <w:tcW w:type="dxa" w:w="2664"/>
          </w:tcPr>
          <w:p>
            <w:pPr>
              <w:spacing w:after="20"/>
              <w:jc w:val="right"/>
            </w:pPr>
            <w:r>
              <w:rPr>
                <w:color w:val="1C3A36"/>
                <w:sz w:val="16"/>
              </w:rPr>
              <w:t>Full-year repricing effect (one-off tail)</w:t>
            </w:r>
          </w:p>
        </w:tc>
        <w:tc>
          <w:tcPr>
            <w:tcW w:type="dxa" w:w="1368"/>
          </w:tcPr>
          <w:p>
            <w:pPr>
              <w:spacing w:after="20"/>
              <w:jc w:val="right"/>
            </w:pPr>
            <w:r>
              <w:rPr>
                <w:color w:val="1C3A36"/>
                <w:sz w:val="16"/>
              </w:rPr>
              <w:t>ONE-OFF (tail)</w:t>
            </w:r>
          </w:p>
        </w:tc>
        <w:tc>
          <w:tcPr>
            <w:tcW w:type="dxa" w:w="4320"/>
          </w:tcPr>
          <w:p>
            <w:pPr>
              <w:spacing w:after="20"/>
              <w:jc w:val="right"/>
            </w:pPr>
            <w:r>
              <w:rPr>
                <w:color w:val="1C3A36"/>
                <w:sz w:val="16"/>
              </w:rPr>
              <w:t>Second year of the catch-up regime; ~82% of market SKUs repriced by end-2025 (industry data)</w:t>
            </w:r>
          </w:p>
        </w:tc>
      </w:tr>
      <w:tr>
        <w:tc>
          <w:tcPr>
            <w:tcW w:type="dxa" w:w="1368"/>
          </w:tcPr>
          <w:p>
            <w:pPr>
              <w:spacing w:after="20"/>
            </w:pPr>
            <w:r>
              <w:rPr>
                <w:b/>
                <w:color w:val="1C3A36"/>
                <w:sz w:val="16"/>
              </w:rPr>
            </w:r>
          </w:p>
        </w:tc>
        <w:tc>
          <w:tcPr>
            <w:tcW w:type="dxa" w:w="2664"/>
          </w:tcPr>
          <w:p>
            <w:pPr>
              <w:spacing w:after="20"/>
              <w:jc w:val="right"/>
            </w:pPr>
            <w:r>
              <w:rPr>
                <w:color w:val="1C3A36"/>
                <w:sz w:val="16"/>
              </w:rPr>
              <w:t>Shortage-driven private volume spike (one-off)</w:t>
            </w:r>
          </w:p>
        </w:tc>
        <w:tc>
          <w:tcPr>
            <w:tcW w:type="dxa" w:w="1368"/>
          </w:tcPr>
          <w:p>
            <w:pPr>
              <w:spacing w:after="20"/>
              <w:jc w:val="right"/>
            </w:pPr>
            <w:r>
              <w:rPr>
                <w:color w:val="1C3A36"/>
                <w:sz w:val="16"/>
              </w:rPr>
              <w:t>ONE-OFF</w:t>
            </w:r>
          </w:p>
        </w:tc>
        <w:tc>
          <w:tcPr>
            <w:tcW w:type="dxa" w:w="4320"/>
          </w:tcPr>
          <w:p>
            <w:pPr>
              <w:spacing w:after="20"/>
              <w:jc w:val="right"/>
            </w:pPr>
            <w:r>
              <w:rPr>
                <w:color w:val="1C3A36"/>
                <w:sz w:val="16"/>
              </w:rPr>
              <w:t>2Q25 private volumes +56% units on market-wide shortages (1H25 ER) - the exact base now unwinding (1Q26 private volumes -5%)</w:t>
            </w:r>
          </w:p>
        </w:tc>
      </w:tr>
      <w:tr>
        <w:tc>
          <w:tcPr>
            <w:tcW w:type="dxa" w:w="1368"/>
          </w:tcPr>
          <w:p>
            <w:pPr>
              <w:spacing w:after="20"/>
            </w:pPr>
            <w:r>
              <w:rPr>
                <w:b/>
                <w:color w:val="1C3A36"/>
                <w:sz w:val="16"/>
              </w:rPr>
            </w:r>
          </w:p>
        </w:tc>
        <w:tc>
          <w:tcPr>
            <w:tcW w:type="dxa" w:w="2664"/>
          </w:tcPr>
          <w:p>
            <w:pPr>
              <w:spacing w:after="20"/>
              <w:jc w:val="right"/>
            </w:pPr>
            <w:r>
              <w:rPr>
                <w:color w:val="1C3A36"/>
                <w:sz w:val="16"/>
              </w:rPr>
              <w:t>Export resumption from zero (one-off step)</w:t>
            </w:r>
          </w:p>
        </w:tc>
        <w:tc>
          <w:tcPr>
            <w:tcW w:type="dxa" w:w="1368"/>
          </w:tcPr>
          <w:p>
            <w:pPr>
              <w:spacing w:after="20"/>
              <w:jc w:val="right"/>
            </w:pPr>
            <w:r>
              <w:rPr>
                <w:color w:val="1C3A36"/>
                <w:sz w:val="16"/>
              </w:rPr>
              <w:t>ONE-OFF</w:t>
            </w:r>
          </w:p>
        </w:tc>
        <w:tc>
          <w:tcPr>
            <w:tcW w:type="dxa" w:w="4320"/>
          </w:tcPr>
          <w:p>
            <w:pPr>
              <w:spacing w:after="20"/>
              <w:jc w:val="right"/>
            </w:pPr>
            <w:r>
              <w:rPr>
                <w:color w:val="1C3A36"/>
                <w:sz w:val="16"/>
              </w:rPr>
              <w:t>Iraq lifted + Sudan opened (45% of 1H25 exports) + Libya/Yemen (1H25 ER)</w:t>
            </w:r>
          </w:p>
        </w:tc>
      </w:tr>
      <w:tr>
        <w:tc>
          <w:tcPr>
            <w:tcW w:type="dxa" w:w="1368"/>
          </w:tcPr>
          <w:p>
            <w:pPr>
              <w:spacing w:after="20"/>
            </w:pPr>
            <w:r>
              <w:rPr>
                <w:b/>
                <w:color w:val="1C3A36"/>
                <w:sz w:val="16"/>
              </w:rPr>
            </w:r>
          </w:p>
        </w:tc>
        <w:tc>
          <w:tcPr>
            <w:tcW w:type="dxa" w:w="2664"/>
          </w:tcPr>
          <w:p>
            <w:pPr>
              <w:spacing w:after="20"/>
              <w:jc w:val="right"/>
            </w:pPr>
            <w:r>
              <w:rPr>
                <w:color w:val="1C3A36"/>
                <w:sz w:val="16"/>
              </w:rPr>
              <w:t>Tender normalisation (+131%) &amp; utilisation 25%-&gt;47%</w:t>
            </w:r>
          </w:p>
        </w:tc>
        <w:tc>
          <w:tcPr>
            <w:tcW w:type="dxa" w:w="1368"/>
          </w:tcPr>
          <w:p>
            <w:pPr>
              <w:spacing w:after="20"/>
              <w:jc w:val="right"/>
            </w:pPr>
            <w:r>
              <w:rPr>
                <w:color w:val="1C3A36"/>
                <w:sz w:val="16"/>
              </w:rPr>
              <w:t>ONE-OFF</w:t>
            </w:r>
          </w:p>
        </w:tc>
        <w:tc>
          <w:tcPr>
            <w:tcW w:type="dxa" w:w="4320"/>
          </w:tcPr>
          <w:p>
            <w:pPr>
              <w:spacing w:after="20"/>
              <w:jc w:val="right"/>
            </w:pPr>
            <w:r>
              <w:rPr>
                <w:color w:val="1C3A36"/>
                <w:sz w:val="16"/>
              </w:rPr>
              <w:t>UPA procurement resumed; fixed-cost dilution (1H25 ER)</w:t>
            </w:r>
          </w:p>
        </w:tc>
      </w:tr>
      <w:tr>
        <w:tc>
          <w:tcPr>
            <w:tcW w:type="dxa" w:w="1368"/>
          </w:tcPr>
          <w:p>
            <w:pPr>
              <w:spacing w:after="20"/>
            </w:pPr>
            <w:r>
              <w:rPr>
                <w:b/>
                <w:color w:val="1C3A36"/>
                <w:sz w:val="16"/>
              </w:rPr>
            </w:r>
          </w:p>
        </w:tc>
        <w:tc>
          <w:tcPr>
            <w:tcW w:type="dxa" w:w="2664"/>
          </w:tcPr>
          <w:p>
            <w:pPr>
              <w:spacing w:after="20"/>
              <w:jc w:val="right"/>
            </w:pPr>
            <w:r>
              <w:rPr>
                <w:color w:val="1C3A36"/>
                <w:sz w:val="16"/>
              </w:rPr>
              <w:t>Launches &amp; portfolio acquisitions (BAU engine)</w:t>
            </w:r>
          </w:p>
        </w:tc>
        <w:tc>
          <w:tcPr>
            <w:tcW w:type="dxa" w:w="1368"/>
          </w:tcPr>
          <w:p>
            <w:pPr>
              <w:spacing w:after="20"/>
              <w:jc w:val="right"/>
            </w:pPr>
            <w:r>
              <w:rPr>
                <w:color w:val="1C3A36"/>
                <w:sz w:val="16"/>
              </w:rPr>
              <w:t>BAU engine</w:t>
            </w:r>
          </w:p>
        </w:tc>
        <w:tc>
          <w:tcPr>
            <w:tcW w:type="dxa" w:w="4320"/>
          </w:tcPr>
          <w:p>
            <w:pPr>
              <w:spacing w:after="20"/>
              <w:jc w:val="right"/>
            </w:pPr>
            <w:r>
              <w:rPr>
                <w:color w:val="1C3A36"/>
                <w:sz w:val="16"/>
              </w:rPr>
              <w:t>EGP 595mn intangible product acquisitions; chronic-care launches (FY25 FS Note 7)</w:t>
            </w:r>
          </w:p>
        </w:tc>
      </w:tr>
      <w:tr>
        <w:tc>
          <w:tcPr>
            <w:tcW w:type="dxa" w:w="1368"/>
          </w:tcPr>
          <w:p>
            <w:pPr>
              <w:spacing w:after="20"/>
            </w:pPr>
            <w:r>
              <w:rPr>
                <w:b/>
                <w:color w:val="1C3A36"/>
                <w:sz w:val="16"/>
              </w:rPr>
              <w:t>FY26+ anchor</w:t>
            </w:r>
          </w:p>
        </w:tc>
        <w:tc>
          <w:tcPr>
            <w:tcW w:type="dxa" w:w="2664"/>
          </w:tcPr>
          <w:p>
            <w:pPr>
              <w:spacing w:after="20"/>
              <w:jc w:val="right"/>
            </w:pPr>
            <w:r>
              <w:rPr>
                <w:color w:val="1C3A36"/>
                <w:sz w:val="16"/>
              </w:rPr>
              <w:t>1Q26: revenue +23% = volumes ex-toll +7% + mix, 'with limited reliance on pricing actions' (ER26); private volumes -5%</w:t>
            </w:r>
          </w:p>
        </w:tc>
        <w:tc>
          <w:tcPr>
            <w:tcW w:type="dxa" w:w="1368"/>
          </w:tcPr>
          <w:p>
            <w:pPr>
              <w:spacing w:after="20"/>
              <w:jc w:val="right"/>
            </w:pPr>
            <w:r>
              <w:rPr>
                <w:color w:val="1C3A36"/>
                <w:sz w:val="16"/>
              </w:rPr>
              <w:t>BAU test</w:t>
            </w:r>
          </w:p>
        </w:tc>
        <w:tc>
          <w:tcPr>
            <w:tcW w:type="dxa" w:w="4320"/>
          </w:tcPr>
          <w:p>
            <w:pPr>
              <w:spacing w:after="20"/>
              <w:jc w:val="right"/>
            </w:pPr>
            <w:r>
              <w:rPr>
                <w:color w:val="1C3A36"/>
                <w:sz w:val="16"/>
              </w:rPr>
              <w:t>Market value +15% 2026 (pricing ~12% tail + volumes ~3%) then ~9%/yr; Rameda outgrowth +2-3pp from launches/toll/exports</w:t>
            </w:r>
          </w:p>
        </w:tc>
      </w:tr>
    </w:tbl>
    <w:p>
      <w:pPr>
        <w:spacing w:after="40"/>
      </w:pPr>
    </w:p>
    <w:p>
      <w:pPr>
        <w:spacing w:after="200" w:before="0"/>
      </w:pPr>
      <w:r>
        <w:rPr>
          <w:b w:val="0"/>
          <w:i/>
          <w:color w:val="6E7B77"/>
          <w:sz w:val="17"/>
        </w:rPr>
        <w:t>The doubling was regime + resumption + shortage one-offs stacked on a real launch engine; NONE of the three one-offs repeats, so the forward path tapers 19% -&gt; 9% rather than re-doubling Volumes ex-toll grew +7% in 1Q26 with private volumes -5% — the volume engine, not the price regime, is what the forecast years are allowed to carry.</w:t>
      </w:r>
    </w:p>
    <w:p>
      <w:pPr>
        <w:spacing w:after="120" w:before="0"/>
      </w:pPr>
      <w:r>
        <w:rPr>
          <w:b w:val="0"/>
          <w:i w:val="0"/>
          <w:color w:val="1C3A36"/>
          <w:sz w:val="19"/>
        </w:rPr>
        <w:t>The information sweep — all four rings, Global / Country / Industry / Company — ran before any driver was set. Classification: B = base-changer, S = structural, D = driver-unlock, C = colour, NEG = negative search (a dated finding that something does not exist).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080"/>
            <w:shd w:val="clear" w:color="auto" w:fill="EAF0EE"/>
          </w:tcPr>
          <w:p>
            <w:pPr>
              <w:spacing w:after="20"/>
            </w:pPr>
            <w:r>
              <w:rPr>
                <w:b/>
                <w:color w:val="1C3A36"/>
                <w:sz w:val="17"/>
              </w:rPr>
              <w:t>Ring</w:t>
            </w:r>
          </w:p>
        </w:tc>
        <w:tc>
          <w:tcPr>
            <w:tcW w:type="dxa" w:w="5616"/>
            <w:shd w:val="clear" w:color="auto" w:fill="EAF0EE"/>
          </w:tcPr>
          <w:p>
            <w:pPr>
              <w:spacing w:after="20"/>
            </w:pPr>
            <w:r>
              <w:rPr>
                <w:b/>
                <w:color w:val="1C3A36"/>
                <w:sz w:val="17"/>
              </w:rPr>
              <w:t>Finding</w:t>
            </w:r>
          </w:p>
        </w:tc>
        <w:tc>
          <w:tcPr>
            <w:tcW w:type="dxa" w:w="720"/>
            <w:shd w:val="clear" w:color="auto" w:fill="EAF0EE"/>
          </w:tcPr>
          <w:p>
            <w:pPr>
              <w:spacing w:after="20"/>
            </w:pPr>
            <w:r>
              <w:rPr>
                <w:b/>
                <w:color w:val="1C3A36"/>
                <w:sz w:val="17"/>
              </w:rPr>
              <w:t>Cl.</w:t>
            </w:r>
          </w:p>
        </w:tc>
        <w:tc>
          <w:tcPr>
            <w:tcW w:type="dxa" w:w="2664"/>
            <w:shd w:val="clear" w:color="auto" w:fill="EAF0EE"/>
          </w:tcPr>
          <w:p>
            <w:pPr>
              <w:spacing w:after="20"/>
            </w:pPr>
            <w:r>
              <w:rPr>
                <w:b/>
                <w:color w:val="1C3A36"/>
                <w:sz w:val="17"/>
              </w:rPr>
              <w:t>Source / date</w:t>
            </w:r>
          </w:p>
        </w:tc>
      </w:tr>
      <w:tr>
        <w:tc>
          <w:tcPr>
            <w:tcW w:type="dxa" w:w="1080"/>
          </w:tcPr>
          <w:p>
            <w:pPr>
              <w:spacing w:after="20"/>
            </w:pPr>
            <w:r>
              <w:rPr>
                <w:b/>
                <w:color w:val="1C3A36"/>
                <w:sz w:val="17"/>
              </w:rPr>
              <w:t>1 Global</w:t>
            </w:r>
          </w:p>
        </w:tc>
        <w:tc>
          <w:tcPr>
            <w:tcW w:type="dxa" w:w="5616"/>
          </w:tcPr>
          <w:p>
            <w:pPr>
              <w:spacing w:after="20"/>
              <w:jc w:val="right"/>
            </w:pPr>
            <w:r>
              <w:rPr>
                <w:color w:val="1C3A36"/>
                <w:sz w:val="17"/>
              </w:rPr>
              <w:t>Fed 3.50–3.75%; EGP floats, so global rates bind via the IMF programme and carry, not a peg</w:t>
            </w:r>
          </w:p>
        </w:tc>
        <w:tc>
          <w:tcPr>
            <w:tcW w:type="dxa" w:w="720"/>
          </w:tcPr>
          <w:p>
            <w:pPr>
              <w:spacing w:after="20"/>
              <w:jc w:val="right"/>
            </w:pPr>
            <w:r>
              <w:rPr>
                <w:color w:val="1C3A36"/>
                <w:sz w:val="17"/>
              </w:rPr>
              <w:t>S</w:t>
            </w:r>
          </w:p>
        </w:tc>
        <w:tc>
          <w:tcPr>
            <w:tcW w:type="dxa" w:w="2664"/>
          </w:tcPr>
          <w:p>
            <w:pPr>
              <w:spacing w:after="20"/>
              <w:jc w:val="right"/>
            </w:pPr>
            <w:r>
              <w:rPr>
                <w:color w:val="1C3A36"/>
                <w:sz w:val="17"/>
              </w:rPr>
              <w:t>Fed schedule · Jul-26</w:t>
            </w:r>
          </w:p>
        </w:tc>
      </w:tr>
      <w:tr>
        <w:tc>
          <w:tcPr>
            <w:tcW w:type="dxa" w:w="1080"/>
          </w:tcPr>
          <w:p>
            <w:pPr>
              <w:spacing w:after="20"/>
            </w:pPr>
            <w:r>
              <w:rPr>
                <w:b/>
                <w:color w:val="1C3A36"/>
                <w:sz w:val="17"/>
              </w:rPr>
              <w:t>1 Global</w:t>
            </w:r>
          </w:p>
        </w:tc>
        <w:tc>
          <w:tcPr>
            <w:tcW w:type="dxa" w:w="5616"/>
          </w:tcPr>
          <w:p>
            <w:pPr>
              <w:spacing w:after="20"/>
              <w:jc w:val="right"/>
            </w:pPr>
            <w:r>
              <w:rPr>
                <w:color w:val="1C3A36"/>
                <w:sz w:val="17"/>
              </w:rPr>
              <w:t>APIs/excipients USD-priced → devaluation is the key COGS risk; global generic pricing competitive</w:t>
            </w:r>
          </w:p>
        </w:tc>
        <w:tc>
          <w:tcPr>
            <w:tcW w:type="dxa" w:w="720"/>
          </w:tcPr>
          <w:p>
            <w:pPr>
              <w:spacing w:after="20"/>
              <w:jc w:val="right"/>
            </w:pPr>
            <w:r>
              <w:rPr>
                <w:color w:val="1C3A36"/>
                <w:sz w:val="17"/>
              </w:rPr>
              <w:t>S</w:t>
            </w:r>
          </w:p>
        </w:tc>
        <w:tc>
          <w:tcPr>
            <w:tcW w:type="dxa" w:w="2664"/>
          </w:tcPr>
          <w:p>
            <w:pPr>
              <w:spacing w:after="20"/>
              <w:jc w:val="right"/>
            </w:pPr>
            <w:r>
              <w:rPr>
                <w:color w:val="1C3A36"/>
                <w:sz w:val="17"/>
              </w:rPr>
              <w:t>Industry · Jul-26</w:t>
            </w:r>
          </w:p>
        </w:tc>
      </w:tr>
      <w:tr>
        <w:tc>
          <w:tcPr>
            <w:tcW w:type="dxa" w:w="1080"/>
          </w:tcPr>
          <w:p>
            <w:pPr>
              <w:spacing w:after="20"/>
            </w:pPr>
            <w:r>
              <w:rPr>
                <w:b/>
                <w:color w:val="1C3A36"/>
                <w:sz w:val="17"/>
              </w:rPr>
              <w:t>2 Country</w:t>
            </w:r>
          </w:p>
        </w:tc>
        <w:tc>
          <w:tcPr>
            <w:tcW w:type="dxa" w:w="5616"/>
          </w:tcPr>
          <w:p>
            <w:pPr>
              <w:spacing w:after="20"/>
              <w:jc w:val="right"/>
            </w:pPr>
            <w:r>
              <w:rPr>
                <w:color w:val="1C3A36"/>
                <w:sz w:val="17"/>
              </w:rPr>
              <w:t>CBE main rate 19.50% (corridor 19.00/20.00) held 2-Apr, 21-May AND 9-Jul-26 — third consecutive hold, four days before publication; 9-Jul statement: inflation (14.3% Jun) accelerates through 3Q26, 7±2% target pushed to H2-2027; street flags a 3Q26 hike tail. EGP 10Y 22.55% — the rf and the interest burden</w:t>
            </w:r>
          </w:p>
        </w:tc>
        <w:tc>
          <w:tcPr>
            <w:tcW w:type="dxa" w:w="720"/>
          </w:tcPr>
          <w:p>
            <w:pPr>
              <w:spacing w:after="20"/>
              <w:jc w:val="right"/>
            </w:pPr>
            <w:r>
              <w:rPr>
                <w:color w:val="1C3A36"/>
                <w:sz w:val="17"/>
              </w:rPr>
              <w:t>S</w:t>
            </w:r>
          </w:p>
        </w:tc>
        <w:tc>
          <w:tcPr>
            <w:tcW w:type="dxa" w:w="2664"/>
          </w:tcPr>
          <w:p>
            <w:pPr>
              <w:spacing w:after="20"/>
              <w:jc w:val="right"/>
            </w:pPr>
            <w:r>
              <w:rPr>
                <w:color w:val="1C3A36"/>
                <w:sz w:val="17"/>
              </w:rPr>
              <w:t>CBE MPC statement 9-Jul-26 / investing.com 3-Jul-26</w:t>
            </w:r>
          </w:p>
        </w:tc>
      </w:tr>
      <w:tr>
        <w:tc>
          <w:tcPr>
            <w:tcW w:type="dxa" w:w="1080"/>
          </w:tcPr>
          <w:p>
            <w:pPr>
              <w:spacing w:after="20"/>
            </w:pPr>
            <w:r>
              <w:rPr>
                <w:b/>
                <w:color w:val="1C3A36"/>
                <w:sz w:val="17"/>
              </w:rPr>
              <w:t>2 Country</w:t>
            </w:r>
          </w:p>
        </w:tc>
        <w:tc>
          <w:tcPr>
            <w:tcW w:type="dxa" w:w="5616"/>
          </w:tcPr>
          <w:p>
            <w:pPr>
              <w:spacing w:after="20"/>
              <w:jc w:val="right"/>
            </w:pPr>
            <w:r>
              <w:rPr>
                <w:color w:val="1C3A36"/>
                <w:sz w:val="17"/>
              </w:rPr>
              <w:t>EGP floated Mar-2024 (~30→~48/USD); step-devaluation remains the nastiest margin scenario</w:t>
            </w:r>
          </w:p>
        </w:tc>
        <w:tc>
          <w:tcPr>
            <w:tcW w:type="dxa" w:w="720"/>
          </w:tcPr>
          <w:p>
            <w:pPr>
              <w:spacing w:after="20"/>
              <w:jc w:val="right"/>
            </w:pPr>
            <w:r>
              <w:rPr>
                <w:color w:val="1C3A36"/>
                <w:sz w:val="17"/>
              </w:rPr>
              <w:t>B</w:t>
            </w:r>
          </w:p>
        </w:tc>
        <w:tc>
          <w:tcPr>
            <w:tcW w:type="dxa" w:w="2664"/>
          </w:tcPr>
          <w:p>
            <w:pPr>
              <w:spacing w:after="20"/>
              <w:jc w:val="right"/>
            </w:pPr>
            <w:r>
              <w:rPr>
                <w:color w:val="1C3A36"/>
                <w:sz w:val="17"/>
              </w:rPr>
              <w:t>CBE · Jul-26</w:t>
            </w:r>
          </w:p>
        </w:tc>
      </w:tr>
      <w:tr>
        <w:tc>
          <w:tcPr>
            <w:tcW w:type="dxa" w:w="1080"/>
          </w:tcPr>
          <w:p>
            <w:pPr>
              <w:spacing w:after="20"/>
            </w:pPr>
            <w:r>
              <w:rPr>
                <w:b/>
                <w:color w:val="1C3A36"/>
                <w:sz w:val="17"/>
              </w:rPr>
              <w:t>2 Country</w:t>
            </w:r>
          </w:p>
        </w:tc>
        <w:tc>
          <w:tcPr>
            <w:tcW w:type="dxa" w:w="5616"/>
          </w:tcPr>
          <w:p>
            <w:pPr>
              <w:spacing w:after="20"/>
              <w:jc w:val="right"/>
            </w:pPr>
            <w:r>
              <w:rPr>
                <w:color w:val="1C3A36"/>
                <w:sz w:val="17"/>
              </w:rPr>
              <w:t>EDA sets/caps drug prices; post-devaluation catch-up is regulated and lagged (the FY23 trough → FY24/25 recovery)</w:t>
            </w:r>
          </w:p>
        </w:tc>
        <w:tc>
          <w:tcPr>
            <w:tcW w:type="dxa" w:w="720"/>
          </w:tcPr>
          <w:p>
            <w:pPr>
              <w:spacing w:after="20"/>
              <w:jc w:val="right"/>
            </w:pPr>
            <w:r>
              <w:rPr>
                <w:color w:val="1C3A36"/>
                <w:sz w:val="17"/>
              </w:rPr>
              <w:t>S</w:t>
            </w:r>
          </w:p>
        </w:tc>
        <w:tc>
          <w:tcPr>
            <w:tcW w:type="dxa" w:w="2664"/>
          </w:tcPr>
          <w:p>
            <w:pPr>
              <w:spacing w:after="20"/>
              <w:jc w:val="right"/>
            </w:pPr>
            <w:r>
              <w:rPr>
                <w:color w:val="1C3A36"/>
                <w:sz w:val="17"/>
              </w:rPr>
              <w:t>EDA regime · Jul-26</w:t>
            </w:r>
          </w:p>
        </w:tc>
      </w:tr>
      <w:tr>
        <w:tc>
          <w:tcPr>
            <w:tcW w:type="dxa" w:w="1080"/>
          </w:tcPr>
          <w:p>
            <w:pPr>
              <w:spacing w:after="20"/>
            </w:pPr>
            <w:r>
              <w:rPr>
                <w:b/>
                <w:color w:val="1C3A36"/>
                <w:sz w:val="17"/>
              </w:rPr>
              <w:t>3 Industry</w:t>
            </w:r>
          </w:p>
        </w:tc>
        <w:tc>
          <w:tcPr>
            <w:tcW w:type="dxa" w:w="5616"/>
          </w:tcPr>
          <w:p>
            <w:pPr>
              <w:spacing w:after="20"/>
              <w:jc w:val="right"/>
            </w:pPr>
            <w:r>
              <w:rPr>
                <w:color w:val="1C3A36"/>
                <w:sz w:val="17"/>
              </w:rPr>
              <w:t>Structural volume growth (population, chronic disease); consumers shifting to quality generics</w:t>
            </w:r>
          </w:p>
        </w:tc>
        <w:tc>
          <w:tcPr>
            <w:tcW w:type="dxa" w:w="720"/>
          </w:tcPr>
          <w:p>
            <w:pPr>
              <w:spacing w:after="20"/>
              <w:jc w:val="right"/>
            </w:pPr>
            <w:r>
              <w:rPr>
                <w:color w:val="1C3A36"/>
                <w:sz w:val="17"/>
              </w:rPr>
              <w:t>C</w:t>
            </w:r>
          </w:p>
        </w:tc>
        <w:tc>
          <w:tcPr>
            <w:tcW w:type="dxa" w:w="2664"/>
          </w:tcPr>
          <w:p>
            <w:pPr>
              <w:spacing w:after="20"/>
              <w:jc w:val="right"/>
            </w:pPr>
            <w:r>
              <w:rPr>
                <w:color w:val="1C3A36"/>
                <w:sz w:val="17"/>
              </w:rPr>
              <w:t>Company ER / industry · Jul-26</w:t>
            </w:r>
          </w:p>
        </w:tc>
      </w:tr>
      <w:tr>
        <w:tc>
          <w:tcPr>
            <w:tcW w:type="dxa" w:w="1080"/>
          </w:tcPr>
          <w:p>
            <w:pPr>
              <w:spacing w:after="20"/>
            </w:pPr>
            <w:r>
              <w:rPr>
                <w:b/>
                <w:color w:val="1C3A36"/>
                <w:sz w:val="17"/>
              </w:rPr>
              <w:t>3 Industry</w:t>
            </w:r>
          </w:p>
        </w:tc>
        <w:tc>
          <w:tcPr>
            <w:tcW w:type="dxa" w:w="5616"/>
          </w:tcPr>
          <w:p>
            <w:pPr>
              <w:spacing w:after="20"/>
              <w:jc w:val="right"/>
            </w:pPr>
            <w:r>
              <w:rPr>
                <w:color w:val="1C3A36"/>
                <w:sz w:val="17"/>
              </w:rPr>
              <w:t>Fragmented generics field (EIPICO, Amoun, Pharco, EPICO…); Rameda mid-tier by revenue</w:t>
            </w:r>
          </w:p>
        </w:tc>
        <w:tc>
          <w:tcPr>
            <w:tcW w:type="dxa" w:w="720"/>
          </w:tcPr>
          <w:p>
            <w:pPr>
              <w:spacing w:after="20"/>
              <w:jc w:val="right"/>
            </w:pPr>
            <w:r>
              <w:rPr>
                <w:color w:val="1C3A36"/>
                <w:sz w:val="17"/>
              </w:rPr>
              <w:t>C</w:t>
            </w:r>
          </w:p>
        </w:tc>
        <w:tc>
          <w:tcPr>
            <w:tcW w:type="dxa" w:w="2664"/>
          </w:tcPr>
          <w:p>
            <w:pPr>
              <w:spacing w:after="20"/>
              <w:jc w:val="right"/>
            </w:pPr>
            <w:r>
              <w:rPr>
                <w:color w:val="1C3A36"/>
                <w:sz w:val="17"/>
              </w:rPr>
              <w:t>Industry · Jul-26</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LVP Pharma (LimeVest) to 31.5% on 9-Jun-26, buying out Equinox/Compass entirely (EGP 847mn at 5.07–5.10); one step from the 33.33% mandatory-tender line; Sherif El Akhdar appointed non-executive chairman; new 13-member board seated 4-Jun-26</w:t>
            </w:r>
          </w:p>
        </w:tc>
        <w:tc>
          <w:tcPr>
            <w:tcW w:type="dxa" w:w="720"/>
          </w:tcPr>
          <w:p>
            <w:pPr>
              <w:spacing w:after="20"/>
              <w:jc w:val="right"/>
            </w:pPr>
            <w:r>
              <w:rPr>
                <w:color w:val="1C3A36"/>
                <w:sz w:val="17"/>
              </w:rPr>
              <w:t>B</w:t>
            </w:r>
          </w:p>
        </w:tc>
        <w:tc>
          <w:tcPr>
            <w:tcW w:type="dxa" w:w="2664"/>
          </w:tcPr>
          <w:p>
            <w:pPr>
              <w:spacing w:after="20"/>
              <w:jc w:val="right"/>
            </w:pPr>
            <w:r>
              <w:rPr>
                <w:color w:val="1C3A36"/>
                <w:sz w:val="17"/>
              </w:rPr>
              <w:t>EnterpriseAM 10-Jun-26 / amwalalghad 4-Jun-26</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Cap table: PIF’s Saudi Seventh 11%, KIA’s Ekuity B.V. 10% (1Q26 shareholding disclosure); PIF subsidiary sought a board seat in Feb-26 — sovereign anchor interest is on-thesis for the strategic-stake catalyst</w:t>
            </w:r>
          </w:p>
        </w:tc>
        <w:tc>
          <w:tcPr>
            <w:tcW w:type="dxa" w:w="720"/>
          </w:tcPr>
          <w:p>
            <w:pPr>
              <w:spacing w:after="20"/>
              <w:jc w:val="right"/>
            </w:pPr>
            <w:r>
              <w:rPr>
                <w:color w:val="1C3A36"/>
                <w:sz w:val="17"/>
              </w:rPr>
              <w:t>S</w:t>
            </w:r>
          </w:p>
        </w:tc>
        <w:tc>
          <w:tcPr>
            <w:tcW w:type="dxa" w:w="2664"/>
          </w:tcPr>
          <w:p>
            <w:pPr>
              <w:spacing w:after="20"/>
              <w:jc w:val="right"/>
            </w:pPr>
            <w:r>
              <w:rPr>
                <w:color w:val="1C3A36"/>
                <w:sz w:val="17"/>
              </w:rPr>
              <w:t>Company 1Q disclosure 5-Apr-26 / Arab Finance 9-Feb-26</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Share count 2,032.8mn from 6-Jul-26: EGM (20-May) approved the EGP 500→508.2mn ESOP capital increase (32.82mn shares at par, cash-funded by beneficiaries); 1.6% dilution flowed through every per-share figure here</w:t>
            </w:r>
          </w:p>
        </w:tc>
        <w:tc>
          <w:tcPr>
            <w:tcW w:type="dxa" w:w="720"/>
          </w:tcPr>
          <w:p>
            <w:pPr>
              <w:spacing w:after="20"/>
              <w:jc w:val="right"/>
            </w:pPr>
            <w:r>
              <w:rPr>
                <w:color w:val="1C3A36"/>
                <w:sz w:val="17"/>
              </w:rPr>
              <w:t>D</w:t>
            </w:r>
          </w:p>
        </w:tc>
        <w:tc>
          <w:tcPr>
            <w:tcW w:type="dxa" w:w="2664"/>
          </w:tcPr>
          <w:p>
            <w:pPr>
              <w:spacing w:after="20"/>
              <w:jc w:val="right"/>
            </w:pPr>
            <w:r>
              <w:rPr>
                <w:color w:val="1C3A36"/>
                <w:sz w:val="17"/>
              </w:rPr>
              <w:t>EGX corporate-action record / amwalalghad 20-May-26</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FY25 product acquisitions: EGP 595mn of intangible additions (incl. a 2-product CNS/pain portfolio, market &gt;EGP 1.3bn, CAGR &gt;25%) — the aggregate price, undisclosed in the release, is now pinned by the audited FS</w:t>
            </w:r>
          </w:p>
        </w:tc>
        <w:tc>
          <w:tcPr>
            <w:tcW w:type="dxa" w:w="720"/>
          </w:tcPr>
          <w:p>
            <w:pPr>
              <w:spacing w:after="20"/>
              <w:jc w:val="right"/>
            </w:pPr>
            <w:r>
              <w:rPr>
                <w:color w:val="1C3A36"/>
                <w:sz w:val="17"/>
              </w:rPr>
              <w:t>B</w:t>
            </w:r>
          </w:p>
        </w:tc>
        <w:tc>
          <w:tcPr>
            <w:tcW w:type="dxa" w:w="2664"/>
          </w:tcPr>
          <w:p>
            <w:pPr>
              <w:spacing w:after="20"/>
              <w:jc w:val="right"/>
            </w:pPr>
            <w:r>
              <w:rPr>
                <w:color w:val="1C3A36"/>
                <w:sz w:val="17"/>
              </w:rPr>
              <w:t>FS Note 7 / IR release · Mar-26</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Share count RESOLVED: 2,000,000,000 (0.3236 bonus registered 2-Nov-25) — the FY24 deck’s 1,503.5mn was pre-bonus</w:t>
            </w:r>
          </w:p>
        </w:tc>
        <w:tc>
          <w:tcPr>
            <w:tcW w:type="dxa" w:w="720"/>
          </w:tcPr>
          <w:p>
            <w:pPr>
              <w:spacing w:after="20"/>
              <w:jc w:val="right"/>
            </w:pPr>
            <w:r>
              <w:rPr>
                <w:color w:val="1C3A36"/>
                <w:sz w:val="17"/>
              </w:rPr>
              <w:t>S</w:t>
            </w:r>
          </w:p>
        </w:tc>
        <w:tc>
          <w:tcPr>
            <w:tcW w:type="dxa" w:w="2664"/>
          </w:tcPr>
          <w:p>
            <w:pPr>
              <w:spacing w:after="20"/>
              <w:jc w:val="right"/>
            </w:pPr>
            <w:r>
              <w:rPr>
                <w:color w:val="1C3A36"/>
                <w:sz w:val="17"/>
              </w:rPr>
              <w:t>FS Note 17 · Dec-25</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Net debt 2,225 (Dec-25) → 2,111 (Mar-26); ND/EBITDA ~1.9× vs the 1.0–1.5× guide; rates 15–25.27%</w:t>
            </w:r>
          </w:p>
        </w:tc>
        <w:tc>
          <w:tcPr>
            <w:tcW w:type="dxa" w:w="720"/>
          </w:tcPr>
          <w:p>
            <w:pPr>
              <w:spacing w:after="20"/>
              <w:jc w:val="right"/>
            </w:pPr>
            <w:r>
              <w:rPr>
                <w:color w:val="1C3A36"/>
                <w:sz w:val="17"/>
              </w:rPr>
              <w:t>B</w:t>
            </w:r>
          </w:p>
        </w:tc>
        <w:tc>
          <w:tcPr>
            <w:tcW w:type="dxa" w:w="2664"/>
          </w:tcPr>
          <w:p>
            <w:pPr>
              <w:spacing w:after="20"/>
              <w:jc w:val="right"/>
            </w:pPr>
            <w:r>
              <w:rPr>
                <w:color w:val="1C3A36"/>
                <w:sz w:val="17"/>
              </w:rPr>
              <w:t>FS Note 20 / 1Q26 ER</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Dividend: 2×EGP 60mn for 2026; ~40% payout target</w:t>
            </w:r>
          </w:p>
        </w:tc>
        <w:tc>
          <w:tcPr>
            <w:tcW w:type="dxa" w:w="720"/>
          </w:tcPr>
          <w:p>
            <w:pPr>
              <w:spacing w:after="20"/>
              <w:jc w:val="right"/>
            </w:pPr>
            <w:r>
              <w:rPr>
                <w:color w:val="1C3A36"/>
                <w:sz w:val="17"/>
              </w:rPr>
              <w:t>D</w:t>
            </w:r>
          </w:p>
        </w:tc>
        <w:tc>
          <w:tcPr>
            <w:tcW w:type="dxa" w:w="2664"/>
          </w:tcPr>
          <w:p>
            <w:pPr>
              <w:spacing w:after="20"/>
              <w:jc w:val="right"/>
            </w:pPr>
            <w:r>
              <w:rPr>
                <w:color w:val="1C3A36"/>
                <w:sz w:val="17"/>
              </w:rPr>
              <w:t>1Q26 ER · May-26</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"No growth capex required" — plant invested for ~5yr; maintenance-only base</w:t>
            </w:r>
          </w:p>
        </w:tc>
        <w:tc>
          <w:tcPr>
            <w:tcW w:type="dxa" w:w="720"/>
          </w:tcPr>
          <w:p>
            <w:pPr>
              <w:spacing w:after="20"/>
              <w:jc w:val="right"/>
            </w:pPr>
            <w:r>
              <w:rPr>
                <w:color w:val="1C3A36"/>
                <w:sz w:val="17"/>
              </w:rPr>
              <w:t>D</w:t>
            </w:r>
          </w:p>
        </w:tc>
        <w:tc>
          <w:tcPr>
            <w:tcW w:type="dxa" w:w="2664"/>
          </w:tcPr>
          <w:p>
            <w:pPr>
              <w:spacing w:after="20"/>
              <w:jc w:val="right"/>
            </w:pPr>
            <w:r>
              <w:rPr>
                <w:color w:val="1C3A36"/>
                <w:sz w:val="17"/>
              </w:rPr>
              <w:t>1H25 deck · Sep-25</w:t>
            </w:r>
          </w:p>
        </w:tc>
      </w:tr>
      <w:tr>
        <w:tc>
          <w:tcPr>
            <w:tcW w:type="dxa" w:w="1080"/>
          </w:tcPr>
          <w:p>
            <w:pPr>
              <w:spacing w:after="20"/>
            </w:pPr>
            <w:r>
              <w:rPr>
                <w:b/>
                <w:color w:val="1C3A36"/>
                <w:sz w:val="17"/>
              </w:rPr>
              <w:t>4 Company</w:t>
            </w:r>
          </w:p>
        </w:tc>
        <w:tc>
          <w:tcPr>
            <w:tcW w:type="dxa" w:w="5616"/>
          </w:tcPr>
          <w:p>
            <w:pPr>
              <w:spacing w:after="20"/>
              <w:jc w:val="right"/>
            </w:pPr>
            <w:r>
              <w:rPr>
                <w:color w:val="1C3A36"/>
                <w:sz w:val="17"/>
              </w:rPr>
              <w:t>1Q26: revenue +23%, GM 49.4%, OCF +99mn, inventory −19% YTD — the WC normalisation has started</w:t>
            </w:r>
          </w:p>
        </w:tc>
        <w:tc>
          <w:tcPr>
            <w:tcW w:type="dxa" w:w="720"/>
          </w:tcPr>
          <w:p>
            <w:pPr>
              <w:spacing w:after="20"/>
              <w:jc w:val="right"/>
            </w:pPr>
            <w:r>
              <w:rPr>
                <w:color w:val="1C3A36"/>
                <w:sz w:val="17"/>
              </w:rPr>
              <w:t>D</w:t>
            </w:r>
          </w:p>
        </w:tc>
        <w:tc>
          <w:tcPr>
            <w:tcW w:type="dxa" w:w="2664"/>
          </w:tcPr>
          <w:p>
            <w:pPr>
              <w:spacing w:after="20"/>
              <w:jc w:val="right"/>
            </w:pPr>
            <w:r>
              <w:rPr>
                <w:color w:val="1C3A36"/>
                <w:sz w:val="17"/>
              </w:rPr>
              <w:t>1Q26 ER · 19-May-26</w:t>
            </w:r>
          </w:p>
        </w:tc>
      </w:tr>
      <w:tr>
        <w:tc>
          <w:tcPr>
            <w:tcW w:type="dxa" w:w="1080"/>
          </w:tcPr>
          <w:p>
            <w:pPr>
              <w:spacing w:after="20"/>
            </w:pPr>
            <w:r>
              <w:rPr>
                <w:b/>
                <w:color w:val="1C3A36"/>
                <w:sz w:val="17"/>
              </w:rPr>
              <w:t>NEG</w:t>
            </w:r>
          </w:p>
        </w:tc>
        <w:tc>
          <w:tcPr>
            <w:tcW w:type="dxa" w:w="5616"/>
          </w:tcPr>
          <w:p>
            <w:pPr>
              <w:spacing w:after="20"/>
              <w:jc w:val="right"/>
            </w:pPr>
            <w:r>
              <w:rPr>
                <w:color w:val="1C3A36"/>
                <w:sz w:val="17"/>
              </w:rPr>
              <w:t>No USD-denominated facility found (book treated 100% EGP); no rights issue post-FY24 (bonus shares only)</w:t>
            </w:r>
          </w:p>
        </w:tc>
        <w:tc>
          <w:tcPr>
            <w:tcW w:type="dxa" w:w="720"/>
          </w:tcPr>
          <w:p>
            <w:pPr>
              <w:spacing w:after="20"/>
              <w:jc w:val="right"/>
            </w:pPr>
            <w:r>
              <w:rPr>
                <w:color w:val="1C3A36"/>
                <w:sz w:val="17"/>
              </w:rPr>
              <w:t>NEG</w:t>
            </w:r>
          </w:p>
        </w:tc>
        <w:tc>
          <w:tcPr>
            <w:tcW w:type="dxa" w:w="2664"/>
          </w:tcPr>
          <w:p>
            <w:pPr>
              <w:spacing w:after="20"/>
              <w:jc w:val="right"/>
            </w:pPr>
            <w:r>
              <w:rPr>
                <w:color w:val="1C3A36"/>
                <w:sz w:val="17"/>
              </w:rPr>
              <w:t>FS Notes 17/20 · Mar-26</w:t>
            </w:r>
          </w:p>
        </w:tc>
      </w:tr>
    </w:tbl>
    <w:p>
      <w:pPr>
        <w:spacing w:after="40"/>
      </w:pPr>
    </w:p>
    <w:p>
      <w:pPr>
        <w:spacing w:after="200" w:before="0"/>
      </w:pPr>
      <w:r>
        <w:rPr>
          <w:b w:val="0"/>
          <w:i/>
          <w:color w:val="6E7B77"/>
          <w:sz w:val="17"/>
        </w:rPr>
        <w:t>Sweep Register (condensed). The FY22/FY23 revenue rows in an earlier internal research draft were mis-transcribed segment lines (FY23 audited revenue is EGP 1,922mn, not 1,419mn) — corrected here against the audited FS and logged as a sourcing-failure (SF) row in the Fundamental Driver Ledger.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664"/>
            <w:shd w:val="clear" w:color="auto" w:fill="EAF0EE"/>
          </w:tcPr>
          <w:p>
            <w:pPr>
              <w:spacing w:after="20"/>
            </w:pPr>
            <w:r>
              <w:rPr>
                <w:b/>
                <w:color w:val="1C3A36"/>
                <w:sz w:val="17"/>
              </w:rPr>
              <w:t>Driver (per year FY26E→FY30E)</w:t>
            </w:r>
          </w:p>
        </w:tc>
        <w:tc>
          <w:tcPr>
            <w:tcW w:type="dxa" w:w="1037"/>
            <w:shd w:val="clear" w:color="auto" w:fill="EAF0EE"/>
          </w:tcPr>
          <w:p>
            <w:pPr>
              <w:spacing w:after="20"/>
            </w:pPr>
            <w:r>
              <w:rPr>
                <w:b/>
                <w:color w:val="1C3A36"/>
                <w:sz w:val="17"/>
              </w:rPr>
              <w:t>FY26E</w:t>
            </w:r>
          </w:p>
        </w:tc>
        <w:tc>
          <w:tcPr>
            <w:tcW w:type="dxa" w:w="1037"/>
            <w:shd w:val="clear" w:color="auto" w:fill="EAF0EE"/>
          </w:tcPr>
          <w:p>
            <w:pPr>
              <w:spacing w:after="20"/>
            </w:pPr>
            <w:r>
              <w:rPr>
                <w:b/>
                <w:color w:val="1C3A36"/>
                <w:sz w:val="17"/>
              </w:rPr>
              <w:t>FY27E</w:t>
            </w:r>
          </w:p>
        </w:tc>
        <w:tc>
          <w:tcPr>
            <w:tcW w:type="dxa" w:w="1037"/>
            <w:shd w:val="clear" w:color="auto" w:fill="EAF0EE"/>
          </w:tcPr>
          <w:p>
            <w:pPr>
              <w:spacing w:after="20"/>
            </w:pPr>
            <w:r>
              <w:rPr>
                <w:b/>
                <w:color w:val="1C3A36"/>
                <w:sz w:val="17"/>
              </w:rPr>
              <w:t>FY28E</w:t>
            </w:r>
          </w:p>
        </w:tc>
        <w:tc>
          <w:tcPr>
            <w:tcW w:type="dxa" w:w="1037"/>
            <w:shd w:val="clear" w:color="auto" w:fill="EAF0EE"/>
          </w:tcPr>
          <w:p>
            <w:pPr>
              <w:spacing w:after="20"/>
            </w:pPr>
            <w:r>
              <w:rPr>
                <w:b/>
                <w:color w:val="1C3A36"/>
                <w:sz w:val="17"/>
              </w:rPr>
              <w:t>FY29E</w:t>
            </w:r>
          </w:p>
        </w:tc>
        <w:tc>
          <w:tcPr>
            <w:tcW w:type="dxa" w:w="1037"/>
            <w:shd w:val="clear" w:color="auto" w:fill="EAF0EE"/>
          </w:tcPr>
          <w:p>
            <w:pPr>
              <w:spacing w:after="20"/>
            </w:pPr>
            <w:r>
              <w:rPr>
                <w:b/>
                <w:color w:val="1C3A36"/>
                <w:sz w:val="17"/>
              </w:rPr>
              <w:t>FY30E</w:t>
            </w:r>
          </w:p>
        </w:tc>
        <w:tc>
          <w:tcPr>
            <w:tcW w:type="dxa" w:w="2232"/>
            <w:shd w:val="clear" w:color="auto" w:fill="EAF0EE"/>
          </w:tcPr>
          <w:p>
            <w:pPr>
              <w:spacing w:after="20"/>
            </w:pPr>
            <w:r>
              <w:rPr>
                <w:b/>
                <w:color w:val="1C3A36"/>
                <w:sz w:val="17"/>
              </w:rPr>
              <w:t>Anchor</w:t>
            </w:r>
          </w:p>
        </w:tc>
      </w:tr>
      <w:tr>
        <w:tc>
          <w:tcPr>
            <w:tcW w:type="dxa" w:w="2664"/>
          </w:tcPr>
          <w:p>
            <w:pPr>
              <w:spacing w:after="20"/>
            </w:pPr>
            <w:r>
              <w:rPr>
                <w:b/>
                <w:color w:val="1C3A36"/>
                <w:sz w:val="17"/>
              </w:rPr>
              <w:t>Private sales growth</w:t>
            </w:r>
          </w:p>
        </w:tc>
        <w:tc>
          <w:tcPr>
            <w:tcW w:type="dxa" w:w="1037"/>
          </w:tcPr>
          <w:p>
            <w:pPr>
              <w:spacing w:after="20"/>
              <w:jc w:val="right"/>
            </w:pPr>
            <w:r>
              <w:rPr>
                <w:color w:val="1C3A36"/>
                <w:sz w:val="17"/>
              </w:rPr>
              <w:t>16%</w:t>
            </w:r>
          </w:p>
        </w:tc>
        <w:tc>
          <w:tcPr>
            <w:tcW w:type="dxa" w:w="1037"/>
          </w:tcPr>
          <w:p>
            <w:pPr>
              <w:spacing w:after="20"/>
              <w:jc w:val="right"/>
            </w:pPr>
            <w:r>
              <w:rPr>
                <w:color w:val="1C3A36"/>
                <w:sz w:val="17"/>
              </w:rPr>
              <w:t>11%</w:t>
            </w:r>
          </w:p>
        </w:tc>
        <w:tc>
          <w:tcPr>
            <w:tcW w:type="dxa" w:w="1037"/>
          </w:tcPr>
          <w:p>
            <w:pPr>
              <w:spacing w:after="20"/>
              <w:jc w:val="right"/>
            </w:pPr>
            <w:r>
              <w:rPr>
                <w:color w:val="1C3A36"/>
                <w:sz w:val="17"/>
              </w:rPr>
              <w:t>10%</w:t>
            </w:r>
          </w:p>
        </w:tc>
        <w:tc>
          <w:tcPr>
            <w:tcW w:type="dxa" w:w="1037"/>
          </w:tcPr>
          <w:p>
            <w:pPr>
              <w:spacing w:after="20"/>
              <w:jc w:val="right"/>
            </w:pPr>
            <w:r>
              <w:rPr>
                <w:color w:val="1C3A36"/>
                <w:sz w:val="17"/>
              </w:rPr>
              <w:t>9%</w:t>
            </w:r>
          </w:p>
        </w:tc>
        <w:tc>
          <w:tcPr>
            <w:tcW w:type="dxa" w:w="1037"/>
          </w:tcPr>
          <w:p>
            <w:pPr>
              <w:spacing w:after="20"/>
              <w:jc w:val="right"/>
            </w:pPr>
            <w:r>
              <w:rPr>
                <w:color w:val="1C3A36"/>
                <w:sz w:val="17"/>
              </w:rPr>
              <w:t>8%</w:t>
            </w:r>
          </w:p>
        </w:tc>
        <w:tc>
          <w:tcPr>
            <w:tcW w:type="dxa" w:w="2232"/>
          </w:tcPr>
          <w:p>
            <w:pPr>
              <w:spacing w:after="20"/>
              <w:jc w:val="right"/>
            </w:pPr>
            <w:r>
              <w:rPr>
                <w:color w:val="1C3A36"/>
                <w:sz w:val="17"/>
              </w:rPr>
              <w:t>1Q26 +19%; taper with disinflation</w:t>
            </w:r>
          </w:p>
        </w:tc>
      </w:tr>
      <w:tr>
        <w:tc>
          <w:tcPr>
            <w:tcW w:type="dxa" w:w="2664"/>
          </w:tcPr>
          <w:p>
            <w:pPr>
              <w:spacing w:after="20"/>
            </w:pPr>
            <w:r>
              <w:rPr>
                <w:b/>
                <w:color w:val="1C3A36"/>
                <w:sz w:val="17"/>
              </w:rPr>
              <w:t>Tender growth</w:t>
            </w:r>
          </w:p>
        </w:tc>
        <w:tc>
          <w:tcPr>
            <w:tcW w:type="dxa" w:w="1037"/>
          </w:tcPr>
          <w:p>
            <w:pPr>
              <w:spacing w:after="20"/>
              <w:jc w:val="right"/>
            </w:pPr>
            <w:r>
              <w:rPr>
                <w:color w:val="1C3A36"/>
                <w:sz w:val="17"/>
              </w:rPr>
              <w:t>20%</w:t>
            </w:r>
          </w:p>
        </w:tc>
        <w:tc>
          <w:tcPr>
            <w:tcW w:type="dxa" w:w="1037"/>
          </w:tcPr>
          <w:p>
            <w:pPr>
              <w:spacing w:after="20"/>
              <w:jc w:val="right"/>
            </w:pPr>
            <w:r>
              <w:rPr>
                <w:color w:val="1C3A36"/>
                <w:sz w:val="17"/>
              </w:rPr>
              <w:t>14%</w:t>
            </w:r>
          </w:p>
        </w:tc>
        <w:tc>
          <w:tcPr>
            <w:tcW w:type="dxa" w:w="1037"/>
          </w:tcPr>
          <w:p>
            <w:pPr>
              <w:spacing w:after="20"/>
              <w:jc w:val="right"/>
            </w:pPr>
            <w:r>
              <w:rPr>
                <w:color w:val="1C3A36"/>
                <w:sz w:val="17"/>
              </w:rPr>
              <w:t>12%</w:t>
            </w:r>
          </w:p>
        </w:tc>
        <w:tc>
          <w:tcPr>
            <w:tcW w:type="dxa" w:w="1037"/>
          </w:tcPr>
          <w:p>
            <w:pPr>
              <w:spacing w:after="20"/>
              <w:jc w:val="right"/>
            </w:pPr>
            <w:r>
              <w:rPr>
                <w:color w:val="1C3A36"/>
                <w:sz w:val="17"/>
              </w:rPr>
              <w:t>10%</w:t>
            </w:r>
          </w:p>
        </w:tc>
        <w:tc>
          <w:tcPr>
            <w:tcW w:type="dxa" w:w="1037"/>
          </w:tcPr>
          <w:p>
            <w:pPr>
              <w:spacing w:after="20"/>
              <w:jc w:val="right"/>
            </w:pPr>
            <w:r>
              <w:rPr>
                <w:color w:val="1C3A36"/>
                <w:sz w:val="17"/>
              </w:rPr>
              <w:t>9%</w:t>
            </w:r>
          </w:p>
        </w:tc>
        <w:tc>
          <w:tcPr>
            <w:tcW w:type="dxa" w:w="2232"/>
          </w:tcPr>
          <w:p>
            <w:pPr>
              <w:spacing w:after="20"/>
              <w:jc w:val="right"/>
            </w:pPr>
            <w:r>
              <w:rPr>
                <w:color w:val="1C3A36"/>
                <w:sz w:val="17"/>
              </w:rPr>
              <w:t>UPA normalised; selective bids</w:t>
            </w:r>
          </w:p>
        </w:tc>
      </w:tr>
      <w:tr>
        <w:tc>
          <w:tcPr>
            <w:tcW w:type="dxa" w:w="2664"/>
          </w:tcPr>
          <w:p>
            <w:pPr>
              <w:spacing w:after="20"/>
            </w:pPr>
            <w:r>
              <w:rPr>
                <w:b/>
                <w:color w:val="1C3A36"/>
                <w:sz w:val="17"/>
              </w:rPr>
              <w:t>Export growth</w:t>
            </w:r>
          </w:p>
        </w:tc>
        <w:tc>
          <w:tcPr>
            <w:tcW w:type="dxa" w:w="1037"/>
          </w:tcPr>
          <w:p>
            <w:pPr>
              <w:spacing w:after="20"/>
              <w:jc w:val="right"/>
            </w:pPr>
            <w:r>
              <w:rPr>
                <w:color w:val="1C3A36"/>
                <w:sz w:val="17"/>
              </w:rPr>
              <w:t>35%</w:t>
            </w:r>
          </w:p>
        </w:tc>
        <w:tc>
          <w:tcPr>
            <w:tcW w:type="dxa" w:w="1037"/>
          </w:tcPr>
          <w:p>
            <w:pPr>
              <w:spacing w:after="20"/>
              <w:jc w:val="right"/>
            </w:pPr>
            <w:r>
              <w:rPr>
                <w:color w:val="1C3A36"/>
                <w:sz w:val="17"/>
              </w:rPr>
              <w:t>16%</w:t>
            </w:r>
          </w:p>
        </w:tc>
        <w:tc>
          <w:tcPr>
            <w:tcW w:type="dxa" w:w="1037"/>
          </w:tcPr>
          <w:p>
            <w:pPr>
              <w:spacing w:after="20"/>
              <w:jc w:val="right"/>
            </w:pPr>
            <w:r>
              <w:rPr>
                <w:color w:val="1C3A36"/>
                <w:sz w:val="17"/>
              </w:rPr>
              <w:t>13%</w:t>
            </w:r>
          </w:p>
        </w:tc>
        <w:tc>
          <w:tcPr>
            <w:tcW w:type="dxa" w:w="1037"/>
          </w:tcPr>
          <w:p>
            <w:pPr>
              <w:spacing w:after="20"/>
              <w:jc w:val="right"/>
            </w:pPr>
            <w:r>
              <w:rPr>
                <w:color w:val="1C3A36"/>
                <w:sz w:val="17"/>
              </w:rPr>
              <w:t>11%</w:t>
            </w:r>
          </w:p>
        </w:tc>
        <w:tc>
          <w:tcPr>
            <w:tcW w:type="dxa" w:w="1037"/>
          </w:tcPr>
          <w:p>
            <w:pPr>
              <w:spacing w:after="20"/>
              <w:jc w:val="right"/>
            </w:pPr>
            <w:r>
              <w:rPr>
                <w:color w:val="1C3A36"/>
                <w:sz w:val="17"/>
              </w:rPr>
              <w:t>10%</w:t>
            </w:r>
          </w:p>
        </w:tc>
        <w:tc>
          <w:tcPr>
            <w:tcW w:type="dxa" w:w="2232"/>
          </w:tcPr>
          <w:p>
            <w:pPr>
              <w:spacing w:after="20"/>
              <w:jc w:val="right"/>
            </w:pPr>
            <w:r>
              <w:rPr>
                <w:color w:val="1C3A36"/>
                <w:sz w:val="17"/>
              </w:rPr>
              <w:t>Iraq/Libya/Yemen + new markets</w:t>
            </w:r>
          </w:p>
        </w:tc>
      </w:tr>
      <w:tr>
        <w:tc>
          <w:tcPr>
            <w:tcW w:type="dxa" w:w="2664"/>
          </w:tcPr>
          <w:p>
            <w:pPr>
              <w:spacing w:after="20"/>
            </w:pPr>
            <w:r>
              <w:rPr>
                <w:b/>
                <w:color w:val="1C3A36"/>
                <w:sz w:val="17"/>
              </w:rPr>
              <w:t>Toll growth</w:t>
            </w:r>
          </w:p>
        </w:tc>
        <w:tc>
          <w:tcPr>
            <w:tcW w:type="dxa" w:w="1037"/>
          </w:tcPr>
          <w:p>
            <w:pPr>
              <w:spacing w:after="20"/>
              <w:jc w:val="right"/>
            </w:pPr>
            <w:r>
              <w:rPr>
                <w:color w:val="1C3A36"/>
                <w:sz w:val="17"/>
              </w:rPr>
              <w:t>30%</w:t>
            </w:r>
          </w:p>
        </w:tc>
        <w:tc>
          <w:tcPr>
            <w:tcW w:type="dxa" w:w="1037"/>
          </w:tcPr>
          <w:p>
            <w:pPr>
              <w:spacing w:after="20"/>
              <w:jc w:val="right"/>
            </w:pPr>
            <w:r>
              <w:rPr>
                <w:color w:val="1C3A36"/>
                <w:sz w:val="17"/>
              </w:rPr>
              <w:t>15%</w:t>
            </w:r>
          </w:p>
        </w:tc>
        <w:tc>
          <w:tcPr>
            <w:tcW w:type="dxa" w:w="1037"/>
          </w:tcPr>
          <w:p>
            <w:pPr>
              <w:spacing w:after="20"/>
              <w:jc w:val="right"/>
            </w:pPr>
            <w:r>
              <w:rPr>
                <w:color w:val="1C3A36"/>
                <w:sz w:val="17"/>
              </w:rPr>
              <w:t>12%</w:t>
            </w:r>
          </w:p>
        </w:tc>
        <w:tc>
          <w:tcPr>
            <w:tcW w:type="dxa" w:w="1037"/>
          </w:tcPr>
          <w:p>
            <w:pPr>
              <w:spacing w:after="20"/>
              <w:jc w:val="right"/>
            </w:pPr>
            <w:r>
              <w:rPr>
                <w:color w:val="1C3A36"/>
                <w:sz w:val="17"/>
              </w:rPr>
              <w:t>10%</w:t>
            </w:r>
          </w:p>
        </w:tc>
        <w:tc>
          <w:tcPr>
            <w:tcW w:type="dxa" w:w="1037"/>
          </w:tcPr>
          <w:p>
            <w:pPr>
              <w:spacing w:after="20"/>
              <w:jc w:val="right"/>
            </w:pPr>
            <w:r>
              <w:rPr>
                <w:color w:val="1C3A36"/>
                <w:sz w:val="17"/>
              </w:rPr>
              <w:t>10%</w:t>
            </w:r>
          </w:p>
        </w:tc>
        <w:tc>
          <w:tcPr>
            <w:tcW w:type="dxa" w:w="2232"/>
          </w:tcPr>
          <w:p>
            <w:pPr>
              <w:spacing w:after="20"/>
              <w:jc w:val="right"/>
            </w:pPr>
            <w:r>
              <w:rPr>
                <w:color w:val="1C3A36"/>
                <w:sz w:val="17"/>
              </w:rPr>
              <w:t>Pricing + contracts</w:t>
            </w:r>
          </w:p>
        </w:tc>
      </w:tr>
      <w:tr>
        <w:tc>
          <w:tcPr>
            <w:tcW w:type="dxa" w:w="2664"/>
          </w:tcPr>
          <w:p>
            <w:pPr>
              <w:spacing w:after="20"/>
            </w:pPr>
            <w:r>
              <w:rPr>
                <w:b/>
                <w:color w:val="1C3A36"/>
                <w:sz w:val="17"/>
              </w:rPr>
              <w:t>EBITDA margin</w:t>
            </w:r>
          </w:p>
        </w:tc>
        <w:tc>
          <w:tcPr>
            <w:tcW w:type="dxa" w:w="1037"/>
          </w:tcPr>
          <w:p>
            <w:pPr>
              <w:spacing w:after="20"/>
              <w:jc w:val="right"/>
            </w:pPr>
            <w:r>
              <w:rPr>
                <w:color w:val="1C3A36"/>
                <w:sz w:val="17"/>
              </w:rPr>
              <w:t>28.8%</w:t>
            </w:r>
          </w:p>
        </w:tc>
        <w:tc>
          <w:tcPr>
            <w:tcW w:type="dxa" w:w="1037"/>
          </w:tcPr>
          <w:p>
            <w:pPr>
              <w:spacing w:after="20"/>
              <w:jc w:val="right"/>
            </w:pPr>
            <w:r>
              <w:rPr>
                <w:color w:val="1C3A36"/>
                <w:sz w:val="17"/>
              </w:rPr>
              <w:t>29.4%</w:t>
            </w:r>
          </w:p>
        </w:tc>
        <w:tc>
          <w:tcPr>
            <w:tcW w:type="dxa" w:w="1037"/>
          </w:tcPr>
          <w:p>
            <w:pPr>
              <w:spacing w:after="20"/>
              <w:jc w:val="right"/>
            </w:pPr>
            <w:r>
              <w:rPr>
                <w:color w:val="1C3A36"/>
                <w:sz w:val="17"/>
              </w:rPr>
              <w:t>29.8%</w:t>
            </w:r>
          </w:p>
        </w:tc>
        <w:tc>
          <w:tcPr>
            <w:tcW w:type="dxa" w:w="1037"/>
          </w:tcPr>
          <w:p>
            <w:pPr>
              <w:spacing w:after="20"/>
              <w:jc w:val="right"/>
            </w:pPr>
            <w:r>
              <w:rPr>
                <w:color w:val="1C3A36"/>
                <w:sz w:val="17"/>
              </w:rPr>
              <w:t>30.0%</w:t>
            </w:r>
          </w:p>
        </w:tc>
        <w:tc>
          <w:tcPr>
            <w:tcW w:type="dxa" w:w="1037"/>
          </w:tcPr>
          <w:p>
            <w:pPr>
              <w:spacing w:after="20"/>
              <w:jc w:val="right"/>
            </w:pPr>
            <w:r>
              <w:rPr>
                <w:color w:val="1C3A36"/>
                <w:sz w:val="17"/>
              </w:rPr>
              <w:t>30.0%</w:t>
            </w:r>
          </w:p>
        </w:tc>
        <w:tc>
          <w:tcPr>
            <w:tcW w:type="dxa" w:w="2232"/>
          </w:tcPr>
          <w:p>
            <w:pPr>
              <w:spacing w:after="20"/>
              <w:jc w:val="right"/>
            </w:pPr>
            <w:r>
              <w:rPr>
                <w:color w:val="1C3A36"/>
                <w:sz w:val="17"/>
              </w:rPr>
              <w:t>SG&amp;A normalisation to ~30%</w:t>
            </w:r>
          </w:p>
        </w:tc>
      </w:tr>
      <w:tr>
        <w:tc>
          <w:tcPr>
            <w:tcW w:type="dxa" w:w="2664"/>
          </w:tcPr>
          <w:p>
            <w:pPr>
              <w:spacing w:after="20"/>
            </w:pPr>
            <w:r>
              <w:rPr>
                <w:b/>
                <w:color w:val="1C3A36"/>
                <w:sz w:val="17"/>
              </w:rPr>
              <w:t>D&amp;A % revenue</w:t>
            </w:r>
          </w:p>
        </w:tc>
        <w:tc>
          <w:tcPr>
            <w:tcW w:type="dxa" w:w="1037"/>
          </w:tcPr>
          <w:p>
            <w:pPr>
              <w:spacing w:after="20"/>
              <w:jc w:val="right"/>
            </w:pPr>
            <w:r>
              <w:rPr>
                <w:color w:val="1C3A36"/>
                <w:sz w:val="17"/>
              </w:rPr>
              <w:t>2.6%</w:t>
            </w:r>
          </w:p>
        </w:tc>
        <w:tc>
          <w:tcPr>
            <w:tcW w:type="dxa" w:w="1037"/>
          </w:tcPr>
          <w:p>
            <w:pPr>
              <w:spacing w:after="20"/>
              <w:jc w:val="right"/>
            </w:pPr>
            <w:r>
              <w:rPr>
                <w:color w:val="1C3A36"/>
                <w:sz w:val="17"/>
              </w:rPr>
              <w:t>2.6%</w:t>
            </w:r>
          </w:p>
        </w:tc>
        <w:tc>
          <w:tcPr>
            <w:tcW w:type="dxa" w:w="1037"/>
          </w:tcPr>
          <w:p>
            <w:pPr>
              <w:spacing w:after="20"/>
              <w:jc w:val="right"/>
            </w:pPr>
            <w:r>
              <w:rPr>
                <w:color w:val="1C3A36"/>
                <w:sz w:val="17"/>
              </w:rPr>
              <w:t>2.6%</w:t>
            </w:r>
          </w:p>
        </w:tc>
        <w:tc>
          <w:tcPr>
            <w:tcW w:type="dxa" w:w="1037"/>
          </w:tcPr>
          <w:p>
            <w:pPr>
              <w:spacing w:after="20"/>
              <w:jc w:val="right"/>
            </w:pPr>
            <w:r>
              <w:rPr>
                <w:color w:val="1C3A36"/>
                <w:sz w:val="17"/>
              </w:rPr>
              <w:t>2.6%</w:t>
            </w:r>
          </w:p>
        </w:tc>
        <w:tc>
          <w:tcPr>
            <w:tcW w:type="dxa" w:w="1037"/>
          </w:tcPr>
          <w:p>
            <w:pPr>
              <w:spacing w:after="20"/>
              <w:jc w:val="right"/>
            </w:pPr>
            <w:r>
              <w:rPr>
                <w:color w:val="1C3A36"/>
                <w:sz w:val="17"/>
              </w:rPr>
              <w:t>2.6%</w:t>
            </w:r>
          </w:p>
        </w:tc>
        <w:tc>
          <w:tcPr>
            <w:tcW w:type="dxa" w:w="2232"/>
          </w:tcPr>
          <w:p>
            <w:pPr>
              <w:spacing w:after="20"/>
              <w:jc w:val="right"/>
            </w:pPr>
            <w:r>
              <w:rPr>
                <w:color w:val="1C3A36"/>
                <w:sz w:val="17"/>
              </w:rPr>
              <w:t>Incl. 595mn additions @20y</w:t>
            </w:r>
          </w:p>
        </w:tc>
      </w:tr>
      <w:tr>
        <w:tc>
          <w:tcPr>
            <w:tcW w:type="dxa" w:w="2664"/>
          </w:tcPr>
          <w:p>
            <w:pPr>
              <w:spacing w:after="20"/>
            </w:pPr>
            <w:r>
              <w:rPr>
                <w:b/>
                <w:color w:val="1C3A36"/>
                <w:sz w:val="17"/>
              </w:rPr>
              <w:t>Capex % revenue</w:t>
            </w:r>
          </w:p>
        </w:tc>
        <w:tc>
          <w:tcPr>
            <w:tcW w:type="dxa" w:w="1037"/>
          </w:tcPr>
          <w:p>
            <w:pPr>
              <w:spacing w:after="20"/>
              <w:jc w:val="right"/>
            </w:pPr>
            <w:r>
              <w:rPr>
                <w:color w:val="1C3A36"/>
                <w:sz w:val="17"/>
              </w:rPr>
              <w:t>3.0%</w:t>
            </w:r>
          </w:p>
        </w:tc>
        <w:tc>
          <w:tcPr>
            <w:tcW w:type="dxa" w:w="1037"/>
          </w:tcPr>
          <w:p>
            <w:pPr>
              <w:spacing w:after="20"/>
              <w:jc w:val="right"/>
            </w:pPr>
            <w:r>
              <w:rPr>
                <w:color w:val="1C3A36"/>
                <w:sz w:val="17"/>
              </w:rPr>
              <w:t>2.8%</w:t>
            </w:r>
          </w:p>
        </w:tc>
        <w:tc>
          <w:tcPr>
            <w:tcW w:type="dxa" w:w="1037"/>
          </w:tcPr>
          <w:p>
            <w:pPr>
              <w:spacing w:after="20"/>
              <w:jc w:val="right"/>
            </w:pPr>
            <w:r>
              <w:rPr>
                <w:color w:val="1C3A36"/>
                <w:sz w:val="17"/>
              </w:rPr>
              <w:t>2.6%</w:t>
            </w:r>
          </w:p>
        </w:tc>
        <w:tc>
          <w:tcPr>
            <w:tcW w:type="dxa" w:w="1037"/>
          </w:tcPr>
          <w:p>
            <w:pPr>
              <w:spacing w:after="20"/>
              <w:jc w:val="right"/>
            </w:pPr>
            <w:r>
              <w:rPr>
                <w:color w:val="1C3A36"/>
                <w:sz w:val="17"/>
              </w:rPr>
              <w:t>2.5%</w:t>
            </w:r>
          </w:p>
        </w:tc>
        <w:tc>
          <w:tcPr>
            <w:tcW w:type="dxa" w:w="1037"/>
          </w:tcPr>
          <w:p>
            <w:pPr>
              <w:spacing w:after="20"/>
              <w:jc w:val="right"/>
            </w:pPr>
            <w:r>
              <w:rPr>
                <w:color w:val="1C3A36"/>
                <w:sz w:val="17"/>
              </w:rPr>
              <w:t>2.5%</w:t>
            </w:r>
          </w:p>
        </w:tc>
        <w:tc>
          <w:tcPr>
            <w:tcW w:type="dxa" w:w="2232"/>
          </w:tcPr>
          <w:p>
            <w:pPr>
              <w:spacing w:after="20"/>
              <w:jc w:val="right"/>
            </w:pPr>
            <w:r>
              <w:rPr>
                <w:color w:val="1C3A36"/>
                <w:sz w:val="17"/>
              </w:rPr>
              <w:t>Maintenance-only; excl. M&amp;A</w:t>
            </w:r>
          </w:p>
        </w:tc>
      </w:tr>
      <w:tr>
        <w:tc>
          <w:tcPr>
            <w:tcW w:type="dxa" w:w="2664"/>
          </w:tcPr>
          <w:p>
            <w:pPr>
              <w:spacing w:after="20"/>
            </w:pPr>
            <w:r>
              <w:rPr>
                <w:b/>
                <w:color w:val="1C3A36"/>
                <w:sz w:val="17"/>
              </w:rPr>
              <w:t>NWC / revenue (the crux)</w:t>
            </w:r>
          </w:p>
        </w:tc>
        <w:tc>
          <w:tcPr>
            <w:tcW w:type="dxa" w:w="1037"/>
          </w:tcPr>
          <w:p>
            <w:pPr>
              <w:spacing w:after="20"/>
              <w:jc w:val="right"/>
            </w:pPr>
            <w:r>
              <w:rPr>
                <w:color w:val="1C3A36"/>
                <w:sz w:val="17"/>
              </w:rPr>
              <w:t>61.0%</w:t>
            </w:r>
          </w:p>
        </w:tc>
        <w:tc>
          <w:tcPr>
            <w:tcW w:type="dxa" w:w="1037"/>
          </w:tcPr>
          <w:p>
            <w:pPr>
              <w:spacing w:after="20"/>
              <w:jc w:val="right"/>
            </w:pPr>
            <w:r>
              <w:rPr>
                <w:color w:val="1C3A36"/>
                <w:sz w:val="17"/>
              </w:rPr>
              <w:t>58.5%</w:t>
            </w:r>
          </w:p>
        </w:tc>
        <w:tc>
          <w:tcPr>
            <w:tcW w:type="dxa" w:w="1037"/>
          </w:tcPr>
          <w:p>
            <w:pPr>
              <w:spacing w:after="20"/>
              <w:jc w:val="right"/>
            </w:pPr>
            <w:r>
              <w:rPr>
                <w:color w:val="1C3A36"/>
                <w:sz w:val="17"/>
              </w:rPr>
              <w:t>56.5%</w:t>
            </w:r>
          </w:p>
        </w:tc>
        <w:tc>
          <w:tcPr>
            <w:tcW w:type="dxa" w:w="1037"/>
          </w:tcPr>
          <w:p>
            <w:pPr>
              <w:spacing w:after="20"/>
              <w:jc w:val="right"/>
            </w:pPr>
            <w:r>
              <w:rPr>
                <w:color w:val="1C3A36"/>
                <w:sz w:val="17"/>
              </w:rPr>
              <w:t>55.0%</w:t>
            </w:r>
          </w:p>
        </w:tc>
        <w:tc>
          <w:tcPr>
            <w:tcW w:type="dxa" w:w="1037"/>
          </w:tcPr>
          <w:p>
            <w:pPr>
              <w:spacing w:after="20"/>
              <w:jc w:val="right"/>
            </w:pPr>
            <w:r>
              <w:rPr>
                <w:color w:val="1C3A36"/>
                <w:sz w:val="17"/>
              </w:rPr>
              <w:t>54.0%</w:t>
            </w:r>
          </w:p>
        </w:tc>
        <w:tc>
          <w:tcPr>
            <w:tcW w:type="dxa" w:w="2232"/>
          </w:tcPr>
          <w:p>
            <w:pPr>
              <w:spacing w:after="20"/>
              <w:jc w:val="right"/>
            </w:pPr>
            <w:r>
              <w:rPr>
                <w:color w:val="1C3A36"/>
                <w:sz w:val="17"/>
              </w:rPr>
              <w:t>66.4% FY25 → glide</w:t>
            </w:r>
          </w:p>
        </w:tc>
      </w:tr>
      <w:tr>
        <w:tc>
          <w:tcPr>
            <w:tcW w:type="dxa" w:w="2664"/>
          </w:tcPr>
          <w:p>
            <w:pPr>
              <w:spacing w:after="20"/>
            </w:pPr>
            <w:r>
              <w:rPr>
                <w:b/>
                <w:color w:val="1C3A36"/>
                <w:sz w:val="17"/>
              </w:rPr>
              <w:t>Kd path (on opening facilities)</w:t>
            </w:r>
          </w:p>
        </w:tc>
        <w:tc>
          <w:tcPr>
            <w:tcW w:type="dxa" w:w="1037"/>
          </w:tcPr>
          <w:p>
            <w:pPr>
              <w:spacing w:after="20"/>
              <w:jc w:val="right"/>
            </w:pPr>
            <w:r>
              <w:rPr>
                <w:color w:val="1C3A36"/>
                <w:sz w:val="17"/>
              </w:rPr>
              <w:t>23.0%</w:t>
            </w:r>
          </w:p>
        </w:tc>
        <w:tc>
          <w:tcPr>
            <w:tcW w:type="dxa" w:w="1037"/>
          </w:tcPr>
          <w:p>
            <w:pPr>
              <w:spacing w:after="20"/>
              <w:jc w:val="right"/>
            </w:pPr>
            <w:r>
              <w:rPr>
                <w:color w:val="1C3A36"/>
                <w:sz w:val="17"/>
              </w:rPr>
              <w:t>20.5%</w:t>
            </w:r>
          </w:p>
        </w:tc>
        <w:tc>
          <w:tcPr>
            <w:tcW w:type="dxa" w:w="1037"/>
          </w:tcPr>
          <w:p>
            <w:pPr>
              <w:spacing w:after="20"/>
              <w:jc w:val="right"/>
            </w:pPr>
            <w:r>
              <w:rPr>
                <w:color w:val="1C3A36"/>
                <w:sz w:val="17"/>
              </w:rPr>
              <w:t>18.5%</w:t>
            </w:r>
          </w:p>
        </w:tc>
        <w:tc>
          <w:tcPr>
            <w:tcW w:type="dxa" w:w="1037"/>
          </w:tcPr>
          <w:p>
            <w:pPr>
              <w:spacing w:after="20"/>
              <w:jc w:val="right"/>
            </w:pPr>
            <w:r>
              <w:rPr>
                <w:color w:val="1C3A36"/>
                <w:sz w:val="17"/>
              </w:rPr>
              <w:t>17.0%</w:t>
            </w:r>
          </w:p>
        </w:tc>
        <w:tc>
          <w:tcPr>
            <w:tcW w:type="dxa" w:w="1037"/>
          </w:tcPr>
          <w:p>
            <w:pPr>
              <w:spacing w:after="20"/>
              <w:jc w:val="right"/>
            </w:pPr>
            <w:r>
              <w:rPr>
                <w:color w:val="1C3A36"/>
                <w:sz w:val="17"/>
              </w:rPr>
              <w:t>16.0%</w:t>
            </w:r>
          </w:p>
        </w:tc>
        <w:tc>
          <w:tcPr>
            <w:tcW w:type="dxa" w:w="2232"/>
          </w:tcPr>
          <w:p>
            <w:pPr>
              <w:spacing w:after="20"/>
              <w:jc w:val="right"/>
            </w:pPr>
            <w:r>
              <w:rPr>
                <w:color w:val="1C3A36"/>
                <w:sz w:val="17"/>
              </w:rPr>
              <w:t>CBE easing, lagged</w:t>
            </w:r>
          </w:p>
        </w:tc>
      </w:tr>
    </w:tbl>
    <w:p>
      <w:pPr>
        <w:spacing w:after="40"/>
      </w:pPr>
    </w:p>
    <w:p>
      <w:pPr>
        <w:spacing w:after="200" w:before="0"/>
      </w:pPr>
      <w:r>
        <w:rPr>
          <w:b w:val="0"/>
          <w:i/>
          <w:color w:val="6E7B77"/>
          <w:sz w:val="17"/>
        </w:rPr>
        <w:t>Driver scorecard. Every unsourced judgement above is logged to the Fundamental Driver Ledger with its class prior.</w:t>
      </w:r>
    </w:p>
    <w:p>
      <w:pPr>
        <w:spacing w:after="40"/>
        <w:jc w:val="center"/>
      </w:pPr>
      <w:r>
        <w:drawing>
          <wp:inline xmlns:a="http://schemas.openxmlformats.org/drawingml/2006/main" xmlns:pic="http://schemas.openxmlformats.org/drawingml/2006/picture">
            <wp:extent cx="6035040" cy="2575932"/>
            <wp:docPr id="3" name="Picture 3"/>
            <wp:cNvGraphicFramePr>
              <a:graphicFrameLocks noChangeAspect="1"/>
            </wp:cNvGraphicFramePr>
            <a:graphic>
              <a:graphicData uri="http://schemas.openxmlformats.org/drawingml/2006/picture">
                <pic:pic>
                  <pic:nvPicPr>
                    <pic:cNvPr id="0" name="fig4_rev.png"/>
                    <pic:cNvPicPr/>
                  </pic:nvPicPr>
                  <pic:blipFill>
                    <a:blip r:embed="rId11"/>
                    <a:stretch>
                      <a:fillRect/>
                    </a:stretch>
                  </pic:blipFill>
                  <pic:spPr>
                    <a:xfrm>
                      <a:off x="0" y="0"/>
                      <a:ext cx="6035040" cy="2575932"/>
                    </a:xfrm>
                    <a:prstGeom prst="rect"/>
                  </pic:spPr>
                </pic:pic>
              </a:graphicData>
            </a:graphic>
          </wp:inline>
        </w:drawing>
      </w:r>
    </w:p>
    <w:p>
      <w:pPr>
        <w:spacing w:after="200" w:before="0"/>
      </w:pPr>
      <w:r>
        <w:rPr>
          <w:b w:val="0"/>
          <w:i/>
          <w:color w:val="6E7B77"/>
          <w:sz w:val="17"/>
        </w:rPr>
        <w:t>Figure 4. Revenue by channel: audited FY23–FY25, forecast FY26E–FY30E. The FY25 step is volume-and-repricing, not FX arithmetic — units ex-toll rose 40%.</w:t>
      </w:r>
    </w:p>
    <w:p>
      <w:pPr>
        <w:spacing w:after="80" w:before="200"/>
      </w:pPr>
      <w:r>
        <w:rPr>
          <w:b/>
          <w:i w:val="0"/>
          <w:color w:val="1C3A36"/>
          <w:sz w:val="24"/>
        </w:rPr>
        <w:t>1.7  The crux — a strong engine, an interest bill, in real units</w:t>
      </w:r>
    </w:p>
    <w:p>
      <w:pPr>
        <w:spacing w:after="120" w:before="0"/>
      </w:pPr>
      <w:r>
        <w:rPr>
          <w:b w:val="0"/>
          <w:i w:val="0"/>
          <w:color w:val="1C3A36"/>
          <w:sz w:val="19"/>
        </w:rPr>
        <w:t>EBITDA rose 45% in FY25 while net income fell 22%: EGP 538mn of finance expense on a working-capital-funded balance sheet ate the operating gain, plus the EGP 99mn UCP/MEC one-off. The valuation therefore hinges on two observables — the CBE rate path and the speed of the working-capital glide — and on nothing more exotic:</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12"/>
            <w:shd w:val="clear" w:color="auto" w:fill="EAF0EE"/>
          </w:tcPr>
          <w:p>
            <w:pPr>
              <w:spacing w:after="20"/>
            </w:pPr>
            <w:r>
              <w:rPr>
                <w:b/>
                <w:color w:val="1C3A36"/>
                <w:sz w:val="17"/>
              </w:rPr>
              <w:t>FY26E scenario</w:t>
            </w:r>
          </w:p>
        </w:tc>
        <w:tc>
          <w:tcPr>
            <w:tcW w:type="dxa" w:w="1512"/>
            <w:shd w:val="clear" w:color="auto" w:fill="EAF0EE"/>
          </w:tcPr>
          <w:p>
            <w:pPr>
              <w:spacing w:after="20"/>
            </w:pPr>
            <w:r>
              <w:rPr>
                <w:b/>
                <w:color w:val="1C3A36"/>
                <w:sz w:val="17"/>
              </w:rPr>
              <w:t>Avg facility cost</w:t>
            </w:r>
          </w:p>
        </w:tc>
        <w:tc>
          <w:tcPr>
            <w:tcW w:type="dxa" w:w="1728"/>
            <w:shd w:val="clear" w:color="auto" w:fill="EAF0EE"/>
          </w:tcPr>
          <w:p>
            <w:pPr>
              <w:spacing w:after="20"/>
            </w:pPr>
            <w:r>
              <w:rPr>
                <w:b/>
                <w:color w:val="1C3A36"/>
                <w:sz w:val="17"/>
              </w:rPr>
              <w:t>Net debt (EGP mn)</w:t>
            </w:r>
          </w:p>
        </w:tc>
        <w:tc>
          <w:tcPr>
            <w:tcW w:type="dxa" w:w="1656"/>
            <w:shd w:val="clear" w:color="auto" w:fill="EAF0EE"/>
          </w:tcPr>
          <w:p>
            <w:pPr>
              <w:spacing w:after="20"/>
            </w:pPr>
            <w:r>
              <w:rPr>
                <w:b/>
                <w:color w:val="1C3A36"/>
                <w:sz w:val="17"/>
              </w:rPr>
              <w:t>Interest (EGP mn)</w:t>
            </w:r>
          </w:p>
        </w:tc>
        <w:tc>
          <w:tcPr>
            <w:tcW w:type="dxa" w:w="1944"/>
            <w:shd w:val="clear" w:color="auto" w:fill="EAF0EE"/>
          </w:tcPr>
          <w:p>
            <w:pPr>
              <w:spacing w:after="20"/>
            </w:pPr>
            <w:r>
              <w:rPr>
                <w:b/>
                <w:color w:val="1C3A36"/>
                <w:sz w:val="17"/>
              </w:rPr>
              <w:t>Net income (EGP mn)</w:t>
            </w:r>
          </w:p>
        </w:tc>
        <w:tc>
          <w:tcPr>
            <w:tcW w:type="dxa" w:w="1080"/>
            <w:shd w:val="clear" w:color="auto" w:fill="EAF0EE"/>
          </w:tcPr>
          <w:p>
            <w:pPr>
              <w:spacing w:after="20"/>
            </w:pPr>
            <w:r>
              <w:rPr>
                <w:b/>
                <w:color w:val="1C3A36"/>
                <w:sz w:val="17"/>
              </w:rPr>
              <w:t>EPS (EGP)</w:t>
            </w:r>
          </w:p>
        </w:tc>
      </w:tr>
      <w:tr>
        <w:tc>
          <w:tcPr>
            <w:tcW w:type="dxa" w:w="3312"/>
          </w:tcPr>
          <w:p>
            <w:pPr>
              <w:spacing w:after="20"/>
            </w:pPr>
            <w:r>
              <w:rPr>
                <w:color w:val="1C3A36"/>
                <w:sz w:val="17"/>
              </w:rPr>
              <w:t>CBE holds (19.50%), slow WC fix</w:t>
            </w:r>
          </w:p>
        </w:tc>
        <w:tc>
          <w:tcPr>
            <w:tcW w:type="dxa" w:w="1512"/>
          </w:tcPr>
          <w:p>
            <w:pPr>
              <w:spacing w:after="20"/>
              <w:jc w:val="right"/>
            </w:pPr>
            <w:r>
              <w:rPr>
                <w:color w:val="1C3A36"/>
                <w:sz w:val="17"/>
              </w:rPr>
              <w:t>24.0%</w:t>
            </w:r>
          </w:p>
        </w:tc>
        <w:tc>
          <w:tcPr>
            <w:tcW w:type="dxa" w:w="1728"/>
          </w:tcPr>
          <w:p>
            <w:pPr>
              <w:spacing w:after="20"/>
              <w:jc w:val="right"/>
            </w:pPr>
            <w:r>
              <w:rPr>
                <w:color w:val="1C3A36"/>
                <w:sz w:val="17"/>
              </w:rPr>
              <w:t>2,111</w:t>
            </w:r>
          </w:p>
        </w:tc>
        <w:tc>
          <w:tcPr>
            <w:tcW w:type="dxa" w:w="1656"/>
          </w:tcPr>
          <w:p>
            <w:pPr>
              <w:spacing w:after="20"/>
              <w:jc w:val="right"/>
            </w:pPr>
            <w:r>
              <w:rPr>
                <w:color w:val="1C3A36"/>
                <w:sz w:val="17"/>
              </w:rPr>
              <w:t>507</w:t>
            </w:r>
          </w:p>
        </w:tc>
        <w:tc>
          <w:tcPr>
            <w:tcW w:type="dxa" w:w="1944"/>
          </w:tcPr>
          <w:p>
            <w:pPr>
              <w:spacing w:after="20"/>
              <w:jc w:val="right"/>
            </w:pPr>
            <w:r>
              <w:rPr>
                <w:color w:val="1C3A36"/>
                <w:sz w:val="17"/>
              </w:rPr>
              <w:t>587</w:t>
            </w:r>
          </w:p>
        </w:tc>
        <w:tc>
          <w:tcPr>
            <w:tcW w:type="dxa" w:w="1080"/>
          </w:tcPr>
          <w:p>
            <w:pPr>
              <w:spacing w:after="20"/>
              <w:jc w:val="right"/>
            </w:pPr>
            <w:r>
              <w:rPr>
                <w:color w:val="1C3A36"/>
                <w:sz w:val="17"/>
              </w:rPr>
              <w:t>0.289</w:t>
            </w:r>
          </w:p>
        </w:tc>
      </w:tr>
      <w:tr>
        <w:tc>
          <w:tcPr>
            <w:tcW w:type="dxa" w:w="3312"/>
          </w:tcPr>
          <w:p>
            <w:pPr>
              <w:spacing w:after="20"/>
            </w:pPr>
            <w:r>
              <w:rPr>
                <w:color w:val="1C3A36"/>
                <w:sz w:val="17"/>
              </w:rPr>
              <w:t>Base: staged cuts, WC glide</w:t>
            </w:r>
          </w:p>
        </w:tc>
        <w:tc>
          <w:tcPr>
            <w:tcW w:type="dxa" w:w="1512"/>
          </w:tcPr>
          <w:p>
            <w:pPr>
              <w:spacing w:after="20"/>
              <w:jc w:val="right"/>
            </w:pPr>
            <w:r>
              <w:rPr>
                <w:color w:val="1C3A36"/>
                <w:sz w:val="17"/>
              </w:rPr>
              <w:t>20.5%</w:t>
            </w:r>
          </w:p>
        </w:tc>
        <w:tc>
          <w:tcPr>
            <w:tcW w:type="dxa" w:w="1728"/>
          </w:tcPr>
          <w:p>
            <w:pPr>
              <w:spacing w:after="20"/>
              <w:jc w:val="right"/>
            </w:pPr>
            <w:r>
              <w:rPr>
                <w:color w:val="1C3A36"/>
                <w:sz w:val="17"/>
              </w:rPr>
              <w:t>1,750</w:t>
            </w:r>
          </w:p>
        </w:tc>
        <w:tc>
          <w:tcPr>
            <w:tcW w:type="dxa" w:w="1656"/>
          </w:tcPr>
          <w:p>
            <w:pPr>
              <w:spacing w:after="20"/>
              <w:jc w:val="right"/>
            </w:pPr>
            <w:r>
              <w:rPr>
                <w:color w:val="1C3A36"/>
                <w:sz w:val="17"/>
              </w:rPr>
              <w:t>359</w:t>
            </w:r>
          </w:p>
        </w:tc>
        <w:tc>
          <w:tcPr>
            <w:tcW w:type="dxa" w:w="1944"/>
          </w:tcPr>
          <w:p>
            <w:pPr>
              <w:spacing w:after="20"/>
              <w:jc w:val="right"/>
            </w:pPr>
            <w:r>
              <w:rPr>
                <w:color w:val="1C3A36"/>
                <w:sz w:val="17"/>
              </w:rPr>
              <w:t>699</w:t>
            </w:r>
          </w:p>
        </w:tc>
        <w:tc>
          <w:tcPr>
            <w:tcW w:type="dxa" w:w="1080"/>
          </w:tcPr>
          <w:p>
            <w:pPr>
              <w:spacing w:after="20"/>
              <w:jc w:val="right"/>
            </w:pPr>
            <w:r>
              <w:rPr>
                <w:color w:val="1C3A36"/>
                <w:sz w:val="17"/>
              </w:rPr>
              <w:t>0.344</w:t>
            </w:r>
          </w:p>
        </w:tc>
      </w:tr>
      <w:tr>
        <w:tc>
          <w:tcPr>
            <w:tcW w:type="dxa" w:w="3312"/>
          </w:tcPr>
          <w:p>
            <w:pPr>
              <w:spacing w:after="20"/>
            </w:pPr>
            <w:r>
              <w:rPr>
                <w:color w:val="1C3A36"/>
                <w:sz w:val="17"/>
              </w:rPr>
              <w:t>Fast easing + WC normalised</w:t>
            </w:r>
          </w:p>
        </w:tc>
        <w:tc>
          <w:tcPr>
            <w:tcW w:type="dxa" w:w="1512"/>
          </w:tcPr>
          <w:p>
            <w:pPr>
              <w:spacing w:after="20"/>
              <w:jc w:val="right"/>
            </w:pPr>
            <w:r>
              <w:rPr>
                <w:color w:val="1C3A36"/>
                <w:sz w:val="17"/>
              </w:rPr>
              <w:t>17.0%</w:t>
            </w:r>
          </w:p>
        </w:tc>
        <w:tc>
          <w:tcPr>
            <w:tcW w:type="dxa" w:w="1728"/>
          </w:tcPr>
          <w:p>
            <w:pPr>
              <w:spacing w:after="20"/>
              <w:jc w:val="right"/>
            </w:pPr>
            <w:r>
              <w:rPr>
                <w:color w:val="1C3A36"/>
                <w:sz w:val="17"/>
              </w:rPr>
              <w:t>1,400</w:t>
            </w:r>
          </w:p>
        </w:tc>
        <w:tc>
          <w:tcPr>
            <w:tcW w:type="dxa" w:w="1656"/>
          </w:tcPr>
          <w:p>
            <w:pPr>
              <w:spacing w:after="20"/>
              <w:jc w:val="right"/>
            </w:pPr>
            <w:r>
              <w:rPr>
                <w:color w:val="1C3A36"/>
                <w:sz w:val="17"/>
              </w:rPr>
              <w:t>238</w:t>
            </w:r>
          </w:p>
        </w:tc>
        <w:tc>
          <w:tcPr>
            <w:tcW w:type="dxa" w:w="1944"/>
          </w:tcPr>
          <w:p>
            <w:pPr>
              <w:spacing w:after="20"/>
              <w:jc w:val="right"/>
            </w:pPr>
            <w:r>
              <w:rPr>
                <w:color w:val="1C3A36"/>
                <w:sz w:val="17"/>
              </w:rPr>
              <w:t>791</w:t>
            </w:r>
          </w:p>
        </w:tc>
        <w:tc>
          <w:tcPr>
            <w:tcW w:type="dxa" w:w="1080"/>
          </w:tcPr>
          <w:p>
            <w:pPr>
              <w:spacing w:after="20"/>
              <w:jc w:val="right"/>
            </w:pPr>
            <w:r>
              <w:rPr>
                <w:color w:val="1C3A36"/>
                <w:sz w:val="17"/>
              </w:rPr>
              <w:t>0.389</w:t>
            </w:r>
          </w:p>
        </w:tc>
      </w:tr>
    </w:tbl>
    <w:p>
      <w:pPr>
        <w:spacing w:after="40"/>
      </w:pPr>
    </w:p>
    <w:p>
      <w:pPr>
        <w:spacing w:after="200" w:before="0"/>
      </w:pPr>
      <w:r>
        <w:rPr>
          <w:b w:val="0"/>
          <w:i/>
          <w:color w:val="6E7B77"/>
          <w:sz w:val="17"/>
        </w:rPr>
        <w:t>Every 100bp of facility cost ≈ EGP 21mn pre-tax on the 1Q26 net debt of EGP 2,111mn; every 100bp of WACC ≈ EGP 0.21/share on the DCF at the base (central difference, grid-consistent). 1Q26 already shows the mechanism: interest flat YoY (−0.3%) despite the rate environment, because the debt fell.</w:t>
      </w:r>
    </w:p>
    <w:p>
      <w:pPr>
        <w:spacing w:after="40"/>
        <w:jc w:val="center"/>
      </w:pPr>
      <w:r>
        <w:drawing>
          <wp:inline xmlns:a="http://schemas.openxmlformats.org/drawingml/2006/main" xmlns:pic="http://schemas.openxmlformats.org/drawingml/2006/picture">
            <wp:extent cx="6035040" cy="2502334"/>
            <wp:docPr id="4" name="Picture 4"/>
            <wp:cNvGraphicFramePr>
              <a:graphicFrameLocks noChangeAspect="1"/>
            </wp:cNvGraphicFramePr>
            <a:graphic>
              <a:graphicData uri="http://schemas.openxmlformats.org/drawingml/2006/picture">
                <pic:pic>
                  <pic:nvPicPr>
                    <pic:cNvPr id="0" name="fig5_crux.png"/>
                    <pic:cNvPicPr/>
                  </pic:nvPicPr>
                  <pic:blipFill>
                    <a:blip r:embed="rId12"/>
                    <a:stretch>
                      <a:fillRect/>
                    </a:stretch>
                  </pic:blipFill>
                  <pic:spPr>
                    <a:xfrm>
                      <a:off x="0" y="0"/>
                      <a:ext cx="6035040" cy="2502334"/>
                    </a:xfrm>
                    <a:prstGeom prst="rect"/>
                  </pic:spPr>
                </pic:pic>
              </a:graphicData>
            </a:graphic>
          </wp:inline>
        </w:drawing>
      </w:r>
    </w:p>
    <w:p>
      <w:pPr>
        <w:spacing w:after="200" w:before="0"/>
      </w:pPr>
      <w:r>
        <w:rPr>
          <w:b w:val="0"/>
          <w:i/>
          <w:color w:val="6E7B77"/>
          <w:sz w:val="17"/>
        </w:rPr>
        <w:t>Figure 5. The crux: EBITDA (gold) compounds while finance expense (red line) decides how much of it reaches net income (dark).</w:t>
      </w:r>
    </w:p>
    <w:p>
      <w:pPr>
        <w:spacing w:after="120" w:before="0"/>
      </w:pPr>
      <w:r>
        <w:rPr>
          <w:b w:val="0"/>
          <w:i w:val="0"/>
          <w:color w:val="1C3A36"/>
          <w:sz w:val="19"/>
        </w:rPr>
        <w:t>Run the machine backwards — what must be true for EGP 5.00 to be fair value on this architecture (every row solved on the model itself):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84"/>
            <w:shd w:val="clear" w:color="auto" w:fill="EAF0EE"/>
          </w:tcPr>
          <w:p>
            <w:pPr>
              <w:spacing w:after="20"/>
            </w:pPr>
            <w:r>
              <w:rPr>
                <w:b/>
                <w:color w:val="1C3A36"/>
                <w:sz w:val="17"/>
              </w:rPr>
              <w:t>For spot to be fair value…</w:t>
            </w:r>
          </w:p>
        </w:tc>
        <w:tc>
          <w:tcPr>
            <w:tcW w:type="dxa" w:w="3096"/>
            <w:shd w:val="clear" w:color="auto" w:fill="EAF0EE"/>
          </w:tcPr>
          <w:p>
            <w:pPr>
              <w:spacing w:after="20"/>
            </w:pPr>
            <w:r>
              <w:rPr>
                <w:b/>
                <w:color w:val="1C3A36"/>
                <w:sz w:val="17"/>
              </w:rPr>
              <w:t>Required (solved)</w:t>
            </w:r>
          </w:p>
        </w:tc>
        <w:tc>
          <w:tcPr>
            <w:tcW w:type="dxa" w:w="2664"/>
            <w:shd w:val="clear" w:color="auto" w:fill="EAF0EE"/>
          </w:tcPr>
          <w:p>
            <w:pPr>
              <w:spacing w:after="20"/>
            </w:pPr>
            <w:r>
              <w:rPr>
                <w:b/>
                <w:color w:val="1C3A36"/>
                <w:sz w:val="17"/>
              </w:rPr>
              <w:t>Sourced today</w:t>
            </w:r>
          </w:p>
        </w:tc>
        <w:tc>
          <w:tcPr>
            <w:tcW w:type="dxa" w:w="2664"/>
            <w:shd w:val="clear" w:color="auto" w:fill="EAF0EE"/>
          </w:tcPr>
          <w:p>
            <w:pPr>
              <w:spacing w:after="20"/>
            </w:pPr>
            <w:r>
              <w:rPr>
                <w:b/>
                <w:color w:val="1C3A36"/>
                <w:sz w:val="17"/>
              </w:rPr>
              <w:t>Gap</w:t>
            </w:r>
          </w:p>
        </w:tc>
      </w:tr>
      <w:tr>
        <w:tc>
          <w:tcPr>
            <w:tcW w:type="dxa" w:w="3384"/>
          </w:tcPr>
          <w:p>
            <w:pPr>
              <w:spacing w:after="20"/>
            </w:pPr>
            <w:r>
              <w:rPr>
                <w:b/>
                <w:color w:val="1C3A36"/>
                <w:sz w:val="17"/>
              </w:rPr>
              <w:t>EGP cost of equity (β=1)</w:t>
            </w:r>
          </w:p>
        </w:tc>
        <w:tc>
          <w:tcPr>
            <w:tcW w:type="dxa" w:w="3096"/>
          </w:tcPr>
          <w:p>
            <w:pPr>
              <w:spacing w:after="20"/>
              <w:jc w:val="right"/>
            </w:pPr>
            <w:r>
              <w:rPr>
                <w:color w:val="1C3A36"/>
                <w:sz w:val="17"/>
              </w:rPr>
              <w:t>nan%</w:t>
            </w:r>
          </w:p>
        </w:tc>
        <w:tc>
          <w:tcPr>
            <w:tcW w:type="dxa" w:w="2664"/>
          </w:tcPr>
          <w:p>
            <w:pPr>
              <w:spacing w:after="20"/>
              <w:jc w:val="right"/>
            </w:pPr>
            <w:r>
              <w:rPr>
                <w:color w:val="1C3A36"/>
                <w:sz w:val="17"/>
              </w:rPr>
              <w:t>28.6% (net-CDS: rf−CDS + β×ERP)</w:t>
            </w:r>
          </w:p>
        </w:tc>
        <w:tc>
          <w:tcPr>
            <w:tcW w:type="dxa" w:w="2664"/>
          </w:tcPr>
          <w:p>
            <w:pPr>
              <w:spacing w:after="20"/>
              <w:jc w:val="right"/>
            </w:pPr>
            <w:r>
              <w:rPr>
                <w:color w:val="1C3A36"/>
                <w:sz w:val="17"/>
              </w:rPr>
              <w:t>≈ nanpp of rate normalisation</w:t>
            </w:r>
          </w:p>
        </w:tc>
      </w:tr>
      <w:tr>
        <w:tc>
          <w:tcPr>
            <w:tcW w:type="dxa" w:w="3384"/>
          </w:tcPr>
          <w:p>
            <w:pPr>
              <w:spacing w:after="20"/>
            </w:pPr>
            <w:r>
              <w:rPr>
                <w:b/>
                <w:color w:val="1C3A36"/>
                <w:sz w:val="17"/>
              </w:rPr>
              <w:t>…or the explicit-window WACC itself</w:t>
            </w:r>
          </w:p>
        </w:tc>
        <w:tc>
          <w:tcPr>
            <w:tcW w:type="dxa" w:w="3096"/>
          </w:tcPr>
          <w:p>
            <w:pPr>
              <w:spacing w:after="20"/>
              <w:jc w:val="right"/>
            </w:pPr>
            <w:r>
              <w:rPr>
                <w:color w:val="1C3A36"/>
                <w:sz w:val="17"/>
              </w:rPr>
              <w:t>nan% break-even</w:t>
            </w:r>
          </w:p>
        </w:tc>
        <w:tc>
          <w:tcPr>
            <w:tcW w:type="dxa" w:w="2664"/>
          </w:tcPr>
          <w:p>
            <w:pPr>
              <w:spacing w:after="20"/>
              <w:jc w:val="right"/>
            </w:pPr>
            <w:r>
              <w:rPr>
                <w:color w:val="1C3A36"/>
                <w:sz w:val="17"/>
              </w:rPr>
              <w:t>26.6%</w:t>
            </w:r>
          </w:p>
        </w:tc>
        <w:tc>
          <w:tcPr>
            <w:tcW w:type="dxa" w:w="2664"/>
          </w:tcPr>
          <w:p>
            <w:pPr>
              <w:spacing w:after="20"/>
              <w:jc w:val="right"/>
            </w:pPr>
            <w:r>
              <w:rPr>
                <w:color w:val="1C3A36"/>
                <w:sz w:val="17"/>
              </w:rPr>
              <w:t>≈ nanpp; at 15% the same cash flows are worth EGP 17.0</w:t>
            </w:r>
          </w:p>
        </w:tc>
      </w:tr>
      <w:tr>
        <w:tc>
          <w:tcPr>
            <w:tcW w:type="dxa" w:w="3384"/>
          </w:tcPr>
          <w:p>
            <w:pPr>
              <w:spacing w:after="20"/>
            </w:pPr>
            <w:r>
              <w:rPr>
                <w:b/>
                <w:color w:val="1C3A36"/>
                <w:sz w:val="17"/>
              </w:rPr>
              <w:t>…or the whole FCFF path at the sourced WACC/g</w:t>
            </w:r>
          </w:p>
        </w:tc>
        <w:tc>
          <w:tcPr>
            <w:tcW w:type="dxa" w:w="3096"/>
          </w:tcPr>
          <w:p>
            <w:pPr>
              <w:spacing w:after="20"/>
              <w:jc w:val="right"/>
            </w:pPr>
            <w:r>
              <w:rPr>
                <w:color w:val="1C3A36"/>
                <w:sz w:val="17"/>
              </w:rPr>
              <w:t>×2.15 every year (FY30E ≈ EGP 2,529mn)</w:t>
            </w:r>
          </w:p>
        </w:tc>
        <w:tc>
          <w:tcPr>
            <w:tcW w:type="dxa" w:w="2664"/>
          </w:tcPr>
          <w:p>
            <w:pPr>
              <w:spacing w:after="20"/>
              <w:jc w:val="right"/>
            </w:pPr>
            <w:r>
              <w:rPr>
                <w:color w:val="1C3A36"/>
                <w:sz w:val="17"/>
              </w:rPr>
              <w:t>EGP 1,177mn modelled FY30E</w:t>
            </w:r>
          </w:p>
        </w:tc>
        <w:tc>
          <w:tcPr>
            <w:tcW w:type="dxa" w:w="2664"/>
          </w:tcPr>
          <w:p>
            <w:pPr>
              <w:spacing w:after="20"/>
              <w:jc w:val="right"/>
            </w:pPr>
            <w:r>
              <w:rPr>
                <w:color w:val="1C3A36"/>
                <w:sz w:val="17"/>
              </w:rPr>
              <w:t>A uniform ~2.7× scale-up, construction stated</w:t>
            </w:r>
          </w:p>
        </w:tc>
      </w:tr>
      <w:tr>
        <w:tc>
          <w:tcPr>
            <w:tcW w:type="dxa" w:w="3384"/>
          </w:tcPr>
          <w:p>
            <w:pPr>
              <w:spacing w:after="20"/>
            </w:pPr>
            <w:r>
              <w:rPr>
                <w:b/>
                <w:color w:val="1C3A36"/>
                <w:sz w:val="17"/>
              </w:rPr>
              <w:t>…or working capital alone</w:t>
            </w:r>
          </w:p>
        </w:tc>
        <w:tc>
          <w:tcPr>
            <w:tcW w:type="dxa" w:w="3096"/>
          </w:tcPr>
          <w:p>
            <w:pPr>
              <w:spacing w:after="20"/>
              <w:jc w:val="right"/>
            </w:pPr>
            <w:r>
              <w:rPr>
                <w:color w:val="1C3A36"/>
                <w:sz w:val="17"/>
              </w:rPr>
              <w:t>Even a uniform shift of the whole NWC path to a 35% endpoint gives EGP 2.35</w:t>
            </w:r>
          </w:p>
        </w:tc>
        <w:tc>
          <w:tcPr>
            <w:tcW w:type="dxa" w:w="2664"/>
          </w:tcPr>
          <w:p>
            <w:pPr>
              <w:spacing w:after="20"/>
              <w:jc w:val="right"/>
            </w:pPr>
            <w:r>
              <w:rPr>
                <w:color w:val="1C3A36"/>
                <w:sz w:val="17"/>
              </w:rPr>
              <w:t>61%→54% modelled (66.4% today)</w:t>
            </w:r>
          </w:p>
        </w:tc>
        <w:tc>
          <w:tcPr>
            <w:tcW w:type="dxa" w:w="2664"/>
          </w:tcPr>
          <w:p>
            <w:pPr>
              <w:spacing w:after="20"/>
              <w:jc w:val="right"/>
            </w:pPr>
            <w:r>
              <w:rPr>
                <w:color w:val="1C3A36"/>
                <w:sz w:val="17"/>
              </w:rPr>
              <w:t>WC cannot carry it at the sourced rate</w:t>
            </w:r>
          </w:p>
        </w:tc>
      </w:tr>
    </w:tbl>
    <w:p>
      <w:pPr>
        <w:spacing w:after="40"/>
      </w:pPr>
    </w:p>
    <w:p>
      <w:pPr>
        <w:spacing w:after="200" w:before="0"/>
      </w:pPr>
      <w:r>
        <w:rPr>
          <w:b w:val="0"/>
          <w:i/>
          <w:color w:val="6E7B77"/>
          <w:sz w:val="17"/>
        </w:rPr>
        <w:t>Reading: the market price is a claim about Egyptian rates and the balance sheet, far more than about drug volumes. That claim may prove right — the CBE has cut 825bp from the peak on a like-for-like instrument — but after the 9-Jul-26 hold (the third straight) it is not yet in any sourced input. Constructions solved by bisection on the published model; the break-even WACC of nan% (Ke ≈ nan%) is THE number the whole debate reduces to.</w:t>
      </w:r>
    </w:p>
    <w:p>
      <w:pPr>
        <w:spacing w:after="80" w:before="200"/>
      </w:pPr>
      <w:r>
        <w:rPr>
          <w:b/>
          <w:i w:val="0"/>
          <w:color w:val="1C3A36"/>
          <w:sz w:val="24"/>
        </w:rPr>
        <w:t>1.7b  Terminal growth — the standing reconciliation</w:t>
      </w:r>
    </w:p>
    <w:p>
      <w:pPr>
        <w:spacing w:after="120" w:before="0"/>
      </w:pPr>
      <w:r>
        <w:rPr>
          <w:b w:val="0"/>
          <w:i w:val="0"/>
          <w:color w:val="1C3A36"/>
          <w:sz w:val="19"/>
        </w:rPr>
        <w:t>Standing Research Protocol (13-Jul-2026): terminal g defaults to a 5% center, sensitized 3–7% against the WACC grid, never asserted from a company-specific macro story. The mandatory check is whether that 5% could be funded by the balance sheet Rameda actually has — worked from the audited history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1080"/>
            <w:shd w:val="clear" w:color="auto" w:fill="EAF0EE"/>
          </w:tcPr>
          <w:p>
            <w:pPr>
              <w:spacing w:after="20"/>
            </w:pPr>
            <w:r>
              <w:rPr>
                <w:b/>
                <w:color w:val="1C3A36"/>
                <w:sz w:val="16"/>
              </w:rPr>
              <w:t>Year</w:t>
            </w:r>
          </w:p>
        </w:tc>
        <w:tc>
          <w:tcPr>
            <w:tcW w:type="dxa" w:w="1080"/>
            <w:shd w:val="clear" w:color="auto" w:fill="EAF0EE"/>
          </w:tcPr>
          <w:p>
            <w:pPr>
              <w:spacing w:after="20"/>
            </w:pPr>
            <w:r>
              <w:rPr>
                <w:b/>
                <w:color w:val="1C3A36"/>
                <w:sz w:val="16"/>
              </w:rPr>
              <w:t>Capex</w:t>
            </w:r>
          </w:p>
        </w:tc>
        <w:tc>
          <w:tcPr>
            <w:tcW w:type="dxa" w:w="1368"/>
            <w:shd w:val="clear" w:color="auto" w:fill="EAF0EE"/>
          </w:tcPr>
          <w:p>
            <w:pPr>
              <w:spacing w:after="20"/>
            </w:pPr>
            <w:r>
              <w:rPr>
                <w:b/>
                <w:color w:val="1C3A36"/>
                <w:sz w:val="16"/>
              </w:rPr>
              <w:t>Capex/EBITDA</w:t>
            </w:r>
          </w:p>
        </w:tc>
        <w:tc>
          <w:tcPr>
            <w:tcW w:type="dxa" w:w="2232"/>
            <w:shd w:val="clear" w:color="auto" w:fill="EAF0EE"/>
          </w:tcPr>
          <w:p>
            <w:pPr>
              <w:spacing w:after="20"/>
            </w:pPr>
            <w:r>
              <w:rPr>
                <w:b/>
                <w:color w:val="1C3A36"/>
                <w:sz w:val="16"/>
              </w:rPr>
              <w:t>Character</w:t>
            </w:r>
          </w:p>
        </w:tc>
        <w:tc>
          <w:tcPr>
            <w:tcW w:type="dxa" w:w="1512"/>
            <w:shd w:val="clear" w:color="auto" w:fill="EAF0EE"/>
          </w:tcPr>
          <w:p>
            <w:pPr>
              <w:spacing w:after="20"/>
            </w:pPr>
            <w:r>
              <w:rPr>
                <w:b/>
                <w:color w:val="1C3A36"/>
                <w:sz w:val="16"/>
              </w:rPr>
              <w:t>NOPAT (EGP mn)</w:t>
            </w:r>
          </w:p>
        </w:tc>
        <w:tc>
          <w:tcPr>
            <w:tcW w:type="dxa" w:w="1656"/>
            <w:shd w:val="clear" w:color="auto" w:fill="EAF0EE"/>
          </w:tcPr>
          <w:p>
            <w:pPr>
              <w:spacing w:after="20"/>
            </w:pPr>
            <w:r>
              <w:rPr>
                <w:b/>
                <w:color w:val="1C3A36"/>
                <w:sz w:val="16"/>
              </w:rPr>
              <w:t>Actual NOPAT growth</w:t>
            </w:r>
          </w:p>
        </w:tc>
        <w:tc>
          <w:tcPr>
            <w:tcW w:type="dxa" w:w="1080"/>
            <w:shd w:val="clear" w:color="auto" w:fill="EAF0EE"/>
          </w:tcPr>
          <w:p>
            <w:pPr>
              <w:spacing w:after="20"/>
            </w:pPr>
            <w:r>
              <w:rPr>
                <w:b/>
                <w:color w:val="1C3A36"/>
                <w:sz w:val="16"/>
              </w:rPr>
              <w:t>ROIC</w:t>
            </w:r>
          </w:p>
        </w:tc>
        <w:tc>
          <w:tcPr>
            <w:tcW w:type="dxa" w:w="936"/>
            <w:shd w:val="clear" w:color="auto" w:fill="EAF0EE"/>
          </w:tcPr>
          <w:p>
            <w:pPr>
              <w:spacing w:after="20"/>
            </w:pPr>
            <w:r>
              <w:rPr>
                <w:b/>
                <w:color w:val="1C3A36"/>
                <w:sz w:val="16"/>
              </w:rPr>
              <w:t>RR</w:t>
            </w:r>
          </w:p>
        </w:tc>
        <w:tc>
          <w:tcPr>
            <w:tcW w:type="dxa" w:w="1584"/>
            <w:shd w:val="clear" w:color="auto" w:fill="EAF0EE"/>
          </w:tcPr>
          <w:p>
            <w:pPr>
              <w:spacing w:after="20"/>
            </w:pPr>
            <w:r>
              <w:rPr>
                <w:b/>
                <w:color w:val="1C3A36"/>
                <w:sz w:val="16"/>
              </w:rPr>
              <w:t>Implied g (ROIC×RR)</w:t>
            </w:r>
          </w:p>
        </w:tc>
      </w:tr>
      <w:tr>
        <w:tc>
          <w:tcPr>
            <w:tcW w:type="dxa" w:w="1080"/>
          </w:tcPr>
          <w:p>
            <w:pPr>
              <w:spacing w:after="20"/>
            </w:pPr>
            <w:r>
              <w:rPr>
                <w:b/>
                <w:color w:val="1C3A36"/>
                <w:sz w:val="16"/>
              </w:rPr>
              <w:t>FY23</w:t>
            </w:r>
          </w:p>
        </w:tc>
        <w:tc>
          <w:tcPr>
            <w:tcW w:type="dxa" w:w="1080"/>
          </w:tcPr>
          <w:p>
            <w:pPr>
              <w:spacing w:after="20"/>
              <w:jc w:val="right"/>
            </w:pPr>
            <w:r>
              <w:rPr>
                <w:color w:val="1C3A36"/>
                <w:sz w:val="16"/>
              </w:rPr>
              <w:t>253</w:t>
            </w:r>
          </w:p>
        </w:tc>
        <w:tc>
          <w:tcPr>
            <w:tcW w:type="dxa" w:w="1368"/>
          </w:tcPr>
          <w:p>
            <w:pPr>
              <w:spacing w:after="20"/>
              <w:jc w:val="right"/>
            </w:pPr>
            <w:r>
              <w:rPr>
                <w:color w:val="1C3A36"/>
                <w:sz w:val="16"/>
              </w:rPr>
              <w:t>48%</w:t>
            </w:r>
          </w:p>
        </w:tc>
        <w:tc>
          <w:tcPr>
            <w:tcW w:type="dxa" w:w="2232"/>
          </w:tcPr>
          <w:p>
            <w:pPr>
              <w:spacing w:after="20"/>
              <w:jc w:val="right"/>
            </w:pPr>
            <w:r>
              <w:rPr>
                <w:color w:val="1C3A36"/>
                <w:sz w:val="16"/>
              </w:rPr>
              <w:t>base (no prior year)</w:t>
            </w:r>
          </w:p>
        </w:tc>
        <w:tc>
          <w:tcPr>
            <w:tcW w:type="dxa" w:w="1512"/>
          </w:tcPr>
          <w:p>
            <w:pPr>
              <w:spacing w:after="20"/>
              <w:jc w:val="right"/>
            </w:pPr>
            <w:r>
              <w:rPr>
                <w:color w:val="1C3A36"/>
                <w:sz w:val="16"/>
              </w:rPr>
              <w:t>350</w:t>
            </w:r>
          </w:p>
        </w:tc>
        <w:tc>
          <w:tcPr>
            <w:tcW w:type="dxa" w:w="1656"/>
          </w:tcPr>
          <w:p>
            <w:pPr>
              <w:spacing w:after="20"/>
              <w:jc w:val="right"/>
            </w:pPr>
            <w:r>
              <w:rPr>
                <w:color w:val="1C3A36"/>
                <w:sz w:val="16"/>
              </w:rPr>
              <w:t>—</w:t>
            </w:r>
          </w:p>
        </w:tc>
        <w:tc>
          <w:tcPr>
            <w:tcW w:type="dxa" w:w="1080"/>
          </w:tcPr>
          <w:p>
            <w:pPr>
              <w:spacing w:after="20"/>
              <w:jc w:val="right"/>
            </w:pPr>
            <w:r>
              <w:rPr>
                <w:color w:val="1C3A36"/>
                <w:sz w:val="16"/>
              </w:rPr>
              <w:t>—</w:t>
            </w:r>
          </w:p>
        </w:tc>
        <w:tc>
          <w:tcPr>
            <w:tcW w:type="dxa" w:w="936"/>
          </w:tcPr>
          <w:p>
            <w:pPr>
              <w:spacing w:after="20"/>
              <w:jc w:val="right"/>
            </w:pPr>
            <w:r>
              <w:rPr>
                <w:color w:val="1C3A36"/>
                <w:sz w:val="16"/>
              </w:rPr>
              <w:t>—</w:t>
            </w:r>
          </w:p>
        </w:tc>
        <w:tc>
          <w:tcPr>
            <w:tcW w:type="dxa" w:w="1584"/>
          </w:tcPr>
          <w:p>
            <w:pPr>
              <w:spacing w:after="20"/>
              <w:jc w:val="right"/>
            </w:pPr>
            <w:r>
              <w:rPr>
                <w:color w:val="1C3A36"/>
                <w:sz w:val="16"/>
              </w:rPr>
              <w:t>—</w:t>
            </w:r>
          </w:p>
        </w:tc>
      </w:tr>
      <w:tr>
        <w:tc>
          <w:tcPr>
            <w:tcW w:type="dxa" w:w="1080"/>
          </w:tcPr>
          <w:p>
            <w:pPr>
              <w:spacing w:after="20"/>
            </w:pPr>
            <w:r>
              <w:rPr>
                <w:b/>
                <w:color w:val="1C3A36"/>
                <w:sz w:val="16"/>
              </w:rPr>
              <w:t>FY24</w:t>
            </w:r>
          </w:p>
        </w:tc>
        <w:tc>
          <w:tcPr>
            <w:tcW w:type="dxa" w:w="1080"/>
          </w:tcPr>
          <w:p>
            <w:pPr>
              <w:spacing w:after="20"/>
              <w:jc w:val="right"/>
            </w:pPr>
            <w:r>
              <w:rPr>
                <w:color w:val="1C3A36"/>
                <w:sz w:val="16"/>
              </w:rPr>
              <w:t>67</w:t>
            </w:r>
          </w:p>
        </w:tc>
        <w:tc>
          <w:tcPr>
            <w:tcW w:type="dxa" w:w="1368"/>
          </w:tcPr>
          <w:p>
            <w:pPr>
              <w:spacing w:after="20"/>
              <w:jc w:val="right"/>
            </w:pPr>
            <w:r>
              <w:rPr>
                <w:color w:val="1C3A36"/>
                <w:sz w:val="16"/>
              </w:rPr>
              <w:t>8%</w:t>
            </w:r>
          </w:p>
        </w:tc>
        <w:tc>
          <w:tcPr>
            <w:tcW w:type="dxa" w:w="2232"/>
          </w:tcPr>
          <w:p>
            <w:pPr>
              <w:spacing w:after="20"/>
              <w:jc w:val="right"/>
            </w:pPr>
            <w:r>
              <w:rPr>
                <w:color w:val="1C3A36"/>
                <w:sz w:val="16"/>
              </w:rPr>
              <w:t>stable (self-funded)</w:t>
            </w:r>
          </w:p>
        </w:tc>
        <w:tc>
          <w:tcPr>
            <w:tcW w:type="dxa" w:w="1512"/>
          </w:tcPr>
          <w:p>
            <w:pPr>
              <w:spacing w:after="20"/>
              <w:jc w:val="right"/>
            </w:pPr>
            <w:r>
              <w:rPr>
                <w:color w:val="1C3A36"/>
                <w:sz w:val="16"/>
              </w:rPr>
              <w:t>550</w:t>
            </w:r>
          </w:p>
        </w:tc>
        <w:tc>
          <w:tcPr>
            <w:tcW w:type="dxa" w:w="1656"/>
          </w:tcPr>
          <w:p>
            <w:pPr>
              <w:spacing w:after="20"/>
              <w:jc w:val="right"/>
            </w:pPr>
            <w:r>
              <w:rPr>
                <w:color w:val="1C3A36"/>
                <w:sz w:val="16"/>
              </w:rPr>
              <w:t>+57.3%</w:t>
            </w:r>
          </w:p>
        </w:tc>
        <w:tc>
          <w:tcPr>
            <w:tcW w:type="dxa" w:w="1080"/>
          </w:tcPr>
          <w:p>
            <w:pPr>
              <w:spacing w:after="20"/>
              <w:jc w:val="right"/>
            </w:pPr>
            <w:r>
              <w:rPr>
                <w:color w:val="1C3A36"/>
                <w:sz w:val="16"/>
              </w:rPr>
              <w:t>17.5%</w:t>
            </w:r>
          </w:p>
        </w:tc>
        <w:tc>
          <w:tcPr>
            <w:tcW w:type="dxa" w:w="936"/>
          </w:tcPr>
          <w:p>
            <w:pPr>
              <w:spacing w:after="20"/>
              <w:jc w:val="right"/>
            </w:pPr>
            <w:r>
              <w:rPr>
                <w:color w:val="1C3A36"/>
                <w:sz w:val="16"/>
              </w:rPr>
              <w:t>-3%</w:t>
            </w:r>
          </w:p>
        </w:tc>
        <w:tc>
          <w:tcPr>
            <w:tcW w:type="dxa" w:w="1584"/>
          </w:tcPr>
          <w:p>
            <w:pPr>
              <w:spacing w:after="20"/>
              <w:jc w:val="right"/>
            </w:pPr>
            <w:r>
              <w:rPr>
                <w:color w:val="1C3A36"/>
                <w:sz w:val="16"/>
              </w:rPr>
              <w:t>-0.5%</w:t>
            </w:r>
          </w:p>
        </w:tc>
      </w:tr>
      <w:tr>
        <w:tc>
          <w:tcPr>
            <w:tcW w:type="dxa" w:w="1080"/>
          </w:tcPr>
          <w:p>
            <w:pPr>
              <w:spacing w:after="20"/>
            </w:pPr>
            <w:r>
              <w:rPr>
                <w:b/>
                <w:color w:val="1C3A36"/>
                <w:sz w:val="16"/>
              </w:rPr>
              <w:t>FY25</w:t>
            </w:r>
          </w:p>
        </w:tc>
        <w:tc>
          <w:tcPr>
            <w:tcW w:type="dxa" w:w="1080"/>
          </w:tcPr>
          <w:p>
            <w:pPr>
              <w:spacing w:after="20"/>
              <w:jc w:val="right"/>
            </w:pPr>
            <w:r>
              <w:rPr>
                <w:color w:val="1C3A36"/>
                <w:sz w:val="16"/>
              </w:rPr>
              <w:t>751</w:t>
            </w:r>
          </w:p>
        </w:tc>
        <w:tc>
          <w:tcPr>
            <w:tcW w:type="dxa" w:w="1368"/>
          </w:tcPr>
          <w:p>
            <w:pPr>
              <w:spacing w:after="20"/>
              <w:jc w:val="right"/>
            </w:pPr>
            <w:r>
              <w:rPr>
                <w:color w:val="1C3A36"/>
                <w:sz w:val="16"/>
              </w:rPr>
              <w:t>65%</w:t>
            </w:r>
          </w:p>
        </w:tc>
        <w:tc>
          <w:tcPr>
            <w:tcW w:type="dxa" w:w="2232"/>
          </w:tcPr>
          <w:p>
            <w:pPr>
              <w:spacing w:after="20"/>
              <w:jc w:val="right"/>
            </w:pPr>
            <w:r>
              <w:rPr>
                <w:color w:val="1C3A36"/>
                <w:sz w:val="16"/>
              </w:rPr>
              <w:t>stable (self-funded)</w:t>
            </w:r>
          </w:p>
        </w:tc>
        <w:tc>
          <w:tcPr>
            <w:tcW w:type="dxa" w:w="1512"/>
          </w:tcPr>
          <w:p>
            <w:pPr>
              <w:spacing w:after="20"/>
              <w:jc w:val="right"/>
            </w:pPr>
            <w:r>
              <w:rPr>
                <w:color w:val="1C3A36"/>
                <w:sz w:val="16"/>
              </w:rPr>
              <w:t>814</w:t>
            </w:r>
          </w:p>
        </w:tc>
        <w:tc>
          <w:tcPr>
            <w:tcW w:type="dxa" w:w="1656"/>
          </w:tcPr>
          <w:p>
            <w:pPr>
              <w:spacing w:after="20"/>
              <w:jc w:val="right"/>
            </w:pPr>
            <w:r>
              <w:rPr>
                <w:color w:val="1C3A36"/>
                <w:sz w:val="16"/>
              </w:rPr>
              <w:t>+48.2%</w:t>
            </w:r>
          </w:p>
        </w:tc>
        <w:tc>
          <w:tcPr>
            <w:tcW w:type="dxa" w:w="1080"/>
          </w:tcPr>
          <w:p>
            <w:pPr>
              <w:spacing w:after="20"/>
              <w:jc w:val="right"/>
            </w:pPr>
            <w:r>
              <w:rPr>
                <w:color w:val="1C3A36"/>
                <w:sz w:val="16"/>
              </w:rPr>
              <w:t>20.5%</w:t>
            </w:r>
          </w:p>
        </w:tc>
        <w:tc>
          <w:tcPr>
            <w:tcW w:type="dxa" w:w="936"/>
          </w:tcPr>
          <w:p>
            <w:pPr>
              <w:spacing w:after="20"/>
              <w:jc w:val="right"/>
            </w:pPr>
            <w:r>
              <w:rPr>
                <w:color w:val="1C3A36"/>
                <w:sz w:val="16"/>
              </w:rPr>
              <w:t>81%</w:t>
            </w:r>
          </w:p>
        </w:tc>
        <w:tc>
          <w:tcPr>
            <w:tcW w:type="dxa" w:w="1584"/>
          </w:tcPr>
          <w:p>
            <w:pPr>
              <w:spacing w:after="20"/>
              <w:jc w:val="right"/>
            </w:pPr>
            <w:r>
              <w:rPr>
                <w:color w:val="1C3A36"/>
                <w:sz w:val="16"/>
              </w:rPr>
              <w:t>16.6%</w:t>
            </w:r>
          </w:p>
        </w:tc>
      </w:tr>
    </w:tbl>
    <w:p>
      <w:pPr>
        <w:spacing w:after="40"/>
      </w:pPr>
    </w:p>
    <w:p>
      <w:pPr>
        <w:spacing w:after="200" w:before="0"/>
      </w:pPr>
      <w:r>
        <w:rPr>
          <w:b w:val="0"/>
          <w:i/>
          <w:color w:val="6E7B77"/>
          <w:sz w:val="17"/>
        </w:rPr>
        <w:t>RR = (capex − D&amp;A) ÷ NOPAT, excluding ΔWC per the standing definition — it isolates capacity reinvestment from working-capital funding. Rameda’s growth engine runs mostly through the balance sheet (ΔNWC, §1.6), not capex, which is why RR reads low/near-zero here despite genuinely strong NOPAT growth; the identity is a discipline check on capex-funded capacity, not a claim that capex is the only growth driver.</w:t>
      </w:r>
    </w:p>
    <w:p>
      <w:pPr>
        <w:spacing w:after="120" w:before="0"/>
      </w:pPr>
      <w:r>
        <w:rPr>
          <w:b w:val="0"/>
          <w:i w:val="0"/>
          <w:color w:val="1C3A36"/>
          <w:sz w:val="19"/>
        </w:rPr>
        <w:t>Two check numbers, stated per protocol. (a) Historical NOPAT CAGR, FY23→FY25 (2-year, both ends audited FS): 52.6%. (b) The ROIC×RR-implied g from stable years only (RR ≤ 100%; both FY24 and FY25 qualify under the strict capex-only RR test): 8.0% — averaging a slightly negative FY24 reading (net capex below D&amp;A that year) against a stronger FY25 read once the portfolio acquisitions are counted as capex.</w:t>
      </w:r>
    </w:p>
    <w:p>
      <w:pPr>
        <w:spacing w:after="120" w:before="0"/>
      </w:pPr>
      <w:r>
        <w:rPr>
          <w:b w:val="0"/>
          <w:i w:val="0"/>
          <w:color w:val="1C3A36"/>
          <w:sz w:val="19"/>
        </w:rPr>
        <w:t>Framing rule: the historical 53% CAGR belongs in the explicit forecast years — it describes a dated, disclosed capacity/pricing story (the FY23–25 EDA catch-up and portfolio acquisitions), and the model already prices it there (FY26E–FY30E NOPAT growth of 20.5%→10.9%, §1.7). It cannot be the TERMINAL rate: at 53% against a ~15% nominal-GDP trend, Rameda’s NOPAT (EGP 968mn, ≈0.005% of Egypt’s ≈EGP 20,838bn nominal GDP) mathematically overtakes the entire economy in ≈35 years — arithmetic necessity, not a modelling assumption, and the disqualifier for floating the historical CAGR as terminal g. The sourced 5% center sits below even the 8.0% stable-year implied g, i.e. it is the conservative choice, not an aggressive one.</w:t>
      </w:r>
    </w:p>
    <w:p>
      <w:pPr>
        <w:spacing w:after="80" w:before="200"/>
      </w:pPr>
      <w:r>
        <w:rPr>
          <w:b/>
          <w:i w:val="0"/>
          <w:color w:val="1C3A36"/>
          <w:sz w:val="24"/>
        </w:rPr>
        <w:t>1.8  Macro and country — the sourced cost of capital (Ke/Kd/WACC standing addendum, 13-Jul-2026)</w:t>
      </w:r>
    </w:p>
    <w:p>
      <w:pPr>
        <w:spacing w:after="120" w:before="0"/>
      </w:pPr>
      <w:r>
        <w:rPr>
          <w:b w:val="0"/>
          <w:i w:val="0"/>
          <w:color w:val="1C3A36"/>
          <w:sz w:val="19"/>
        </w:rPr>
        <w:t>Two rates govern this DCF, not one: an EXPLICIT-WINDOW rate for the five forecast years, sourced to today’s observable curve, and a TERMINAL rate for the perpetuity beyond it, norm-built from Egypt’s own long-run corridor history rather than backed out of any market price. Each explicit year is discounted at its own forward rate on a FRONT-LOADED glide between the two anchors, tied to the same CBE-easing calendar already assumed for the Kd interest-expense forecast (kd_path) rather than a generic straight line — the terminal value is capitalised at the terminal rate and discounted by the SAME cumulative factor as year 5, never a separately-assumed lower rate for the same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664"/>
            <w:shd w:val="clear" w:color="auto" w:fill="EAF0EE"/>
          </w:tcPr>
          <w:p>
            <w:pPr>
              <w:spacing w:after="20"/>
            </w:pPr>
            <w:r>
              <w:rPr>
                <w:b/>
                <w:color w:val="1C3A36"/>
                <w:sz w:val="16"/>
              </w:rPr>
              <w:t>Input</w:t>
            </w:r>
          </w:p>
        </w:tc>
        <w:tc>
          <w:tcPr>
            <w:tcW w:type="dxa" w:w="1656"/>
            <w:shd w:val="clear" w:color="auto" w:fill="EAF0EE"/>
          </w:tcPr>
          <w:p>
            <w:pPr>
              <w:spacing w:after="20"/>
            </w:pPr>
            <w:r>
              <w:rPr>
                <w:b/>
                <w:color w:val="1C3A36"/>
                <w:sz w:val="16"/>
              </w:rPr>
              <w:t>Explicit window (Y1)</w:t>
            </w:r>
          </w:p>
        </w:tc>
        <w:tc>
          <w:tcPr>
            <w:tcW w:type="dxa" w:w="1656"/>
            <w:shd w:val="clear" w:color="auto" w:fill="EAF0EE"/>
          </w:tcPr>
          <w:p>
            <w:pPr>
              <w:spacing w:after="20"/>
            </w:pPr>
            <w:r>
              <w:rPr>
                <w:b/>
                <w:color w:val="1C3A36"/>
                <w:sz w:val="16"/>
              </w:rPr>
              <w:t>Terminal (Y5+)</w:t>
            </w:r>
          </w:p>
        </w:tc>
        <w:tc>
          <w:tcPr>
            <w:tcW w:type="dxa" w:w="3816"/>
            <w:shd w:val="clear" w:color="auto" w:fill="EAF0EE"/>
          </w:tcPr>
          <w:p>
            <w:pPr>
              <w:spacing w:after="20"/>
            </w:pPr>
            <w:r>
              <w:rPr>
                <w:b/>
                <w:color w:val="1C3A36"/>
                <w:sz w:val="16"/>
              </w:rPr>
              <w:t>Source / rationale</w:t>
            </w:r>
          </w:p>
        </w:tc>
      </w:tr>
      <w:tr>
        <w:tc>
          <w:tcPr>
            <w:tcW w:type="dxa" w:w="2664"/>
          </w:tcPr>
          <w:p>
            <w:pPr>
              <w:spacing w:after="20"/>
            </w:pPr>
            <w:r>
              <w:rPr>
                <w:b/>
                <w:color w:val="1C3A36"/>
                <w:sz w:val="16"/>
              </w:rPr>
              <w:t>Risk-free</w:t>
            </w:r>
          </w:p>
        </w:tc>
        <w:tc>
          <w:tcPr>
            <w:tcW w:type="dxa" w:w="1656"/>
          </w:tcPr>
          <w:p>
            <w:pPr>
              <w:spacing w:after="20"/>
              <w:jc w:val="right"/>
            </w:pPr>
            <w:r>
              <w:rPr>
                <w:color w:val="1C3A36"/>
                <w:sz w:val="16"/>
              </w:rPr>
              <w:t>22.55%</w:t>
            </w:r>
          </w:p>
        </w:tc>
        <w:tc>
          <w:tcPr>
            <w:tcW w:type="dxa" w:w="1656"/>
          </w:tcPr>
          <w:p>
            <w:pPr>
              <w:spacing w:after="20"/>
              <w:jc w:val="right"/>
            </w:pPr>
            <w:r>
              <w:rPr>
                <w:color w:val="1C3A36"/>
                <w:sz w:val="16"/>
              </w:rPr>
              <w:t>12.50%</w:t>
            </w:r>
          </w:p>
        </w:tc>
        <w:tc>
          <w:tcPr>
            <w:tcW w:type="dxa" w:w="3816"/>
          </w:tcPr>
          <w:p>
            <w:pPr>
              <w:spacing w:after="20"/>
              <w:jc w:val="right"/>
            </w:pPr>
            <w:r>
              <w:rPr>
                <w:color w:val="1C3A36"/>
                <w:sz w:val="16"/>
              </w:rPr>
              <w:t>Explicit: EGP 10Y, investing.com 3-Jul-26. Terminal: CBE’s own 7% medium-term inflation target + ~5.5pp EM real-rate convention (norm-built, not a raw multi-decade average we could re-verify live)</w:t>
            </w:r>
          </w:p>
        </w:tc>
      </w:tr>
      <w:tr>
        <w:tc>
          <w:tcPr>
            <w:tcW w:type="dxa" w:w="2664"/>
          </w:tcPr>
          <w:p>
            <w:pPr>
              <w:spacing w:after="20"/>
            </w:pPr>
            <w:r>
              <w:rPr>
                <w:b/>
                <w:color w:val="1C3A36"/>
                <w:sz w:val="16"/>
              </w:rPr>
              <w:t>Sovereign double-count fix</w:t>
            </w:r>
          </w:p>
        </w:tc>
        <w:tc>
          <w:tcPr>
            <w:tcW w:type="dxa" w:w="1656"/>
          </w:tcPr>
          <w:p>
            <w:pPr>
              <w:spacing w:after="20"/>
              <w:jc w:val="right"/>
            </w:pPr>
            <w:r>
              <w:rPr>
                <w:color w:val="1C3A36"/>
                <w:sz w:val="16"/>
              </w:rPr>
              <w:t>−3.41% (rf net of CDS spread)</w:t>
            </w:r>
          </w:p>
        </w:tc>
        <w:tc>
          <w:tcPr>
            <w:tcW w:type="dxa" w:w="1656"/>
          </w:tcPr>
          <w:p>
            <w:pPr>
              <w:spacing w:after="20"/>
              <w:jc w:val="right"/>
            </w:pPr>
            <w:r>
              <w:rPr>
                <w:color w:val="1C3A36"/>
                <w:sz w:val="16"/>
              </w:rPr>
              <w:t>— (already reflects normalisation)</w:t>
            </w:r>
          </w:p>
        </w:tc>
        <w:tc>
          <w:tcPr>
            <w:tcW w:type="dxa" w:w="3816"/>
          </w:tcPr>
          <w:p>
            <w:pPr>
              <w:spacing w:after="20"/>
              <w:jc w:val="right"/>
            </w:pPr>
            <w:r>
              <w:rPr>
                <w:color w:val="1C3A36"/>
                <w:sz w:val="16"/>
              </w:rPr>
              <w:t>Egypt’s CDS-implied default spread (Damodaran, 3.41%) is netted OUT of rf before adding the CDS-ERP — the raw EGP 10Y already prices Egypt’s own default risk, so stacking a full country-risk ERP on top double-charges the same risk. The un-netted (rf+β×ERP) build is RETIRED as primary and kept only as a disclosed alternative below</w:t>
            </w:r>
          </w:p>
        </w:tc>
      </w:tr>
      <w:tr>
        <w:tc>
          <w:tcPr>
            <w:tcW w:type="dxa" w:w="2664"/>
          </w:tcPr>
          <w:p>
            <w:pPr>
              <w:spacing w:after="20"/>
            </w:pPr>
            <w:r>
              <w:rPr>
                <w:b/>
                <w:color w:val="1C3A36"/>
                <w:sz w:val="16"/>
              </w:rPr>
              <w:t>ERP — CDS basis</w:t>
            </w:r>
          </w:p>
        </w:tc>
        <w:tc>
          <w:tcPr>
            <w:tcW w:type="dxa" w:w="1656"/>
          </w:tcPr>
          <w:p>
            <w:pPr>
              <w:spacing w:after="20"/>
              <w:jc w:val="right"/>
            </w:pPr>
            <w:r>
              <w:rPr>
                <w:color w:val="1C3A36"/>
                <w:sz w:val="16"/>
              </w:rPr>
              <w:t>9.41%</w:t>
            </w:r>
          </w:p>
        </w:tc>
        <w:tc>
          <w:tcPr>
            <w:tcW w:type="dxa" w:w="1656"/>
          </w:tcPr>
          <w:p>
            <w:pPr>
              <w:spacing w:after="20"/>
              <w:jc w:val="right"/>
            </w:pPr>
            <w:r>
              <w:rPr>
                <w:color w:val="1C3A36"/>
                <w:sz w:val="16"/>
              </w:rPr>
              <w:t>8.00% (normalised)</w:t>
            </w:r>
          </w:p>
        </w:tc>
        <w:tc>
          <w:tcPr>
            <w:tcW w:type="dxa" w:w="3816"/>
          </w:tcPr>
          <w:p>
            <w:pPr>
              <w:spacing w:after="20"/>
              <w:jc w:val="right"/>
            </w:pPr>
            <w:r>
              <w:rPr>
                <w:color w:val="1C3A36"/>
                <w:sz w:val="16"/>
              </w:rPr>
              <w:t>Damodaran ORIGINAL ctryprem, Jan-2026 update (Egypt Caa1, CDS 3.41% → 9.41%); terminal set below the currently-elevated level, not held flat into perpetuity</w:t>
            </w:r>
          </w:p>
        </w:tc>
      </w:tr>
      <w:tr>
        <w:tc>
          <w:tcPr>
            <w:tcW w:type="dxa" w:w="2664"/>
          </w:tcPr>
          <w:p>
            <w:pPr>
              <w:spacing w:after="20"/>
            </w:pPr>
            <w:r>
              <w:rPr>
                <w:b/>
                <w:color w:val="1C3A36"/>
                <w:sz w:val="16"/>
              </w:rPr>
              <w:t>Beta</w:t>
            </w:r>
          </w:p>
        </w:tc>
        <w:tc>
          <w:tcPr>
            <w:tcW w:type="dxa" w:w="1656"/>
          </w:tcPr>
          <w:p>
            <w:pPr>
              <w:spacing w:after="20"/>
              <w:jc w:val="right"/>
            </w:pPr>
            <w:r>
              <w:rPr>
                <w:color w:val="1C3A36"/>
                <w:sz w:val="16"/>
              </w:rPr>
              <w:t>1.00 (gate failure)</w:t>
            </w:r>
          </w:p>
        </w:tc>
        <w:tc>
          <w:tcPr>
            <w:tcW w:type="dxa" w:w="1656"/>
          </w:tcPr>
          <w:p>
            <w:pPr>
              <w:spacing w:after="20"/>
              <w:jc w:val="right"/>
            </w:pPr>
            <w:r>
              <w:rPr>
                <w:color w:val="1C3A36"/>
                <w:sz w:val="16"/>
              </w:rPr>
              <w:t>same</w:t>
            </w:r>
          </w:p>
        </w:tc>
        <w:tc>
          <w:tcPr>
            <w:tcW w:type="dxa" w:w="3816"/>
          </w:tcPr>
          <w:p>
            <w:pPr>
              <w:spacing w:after="20"/>
              <w:jc w:val="right"/>
            </w:pPr>
            <w:r>
              <w:rPr>
                <w:color w:val="1C3A36"/>
                <w:sz w:val="16"/>
              </w:rPr>
              <w:t>GENUINE usability-gate failure — no EGX30 daily series accessible; grid 0.8–1.3 in §1.9</w:t>
            </w:r>
          </w:p>
        </w:tc>
      </w:tr>
      <w:tr>
        <w:tc>
          <w:tcPr>
            <w:tcW w:type="dxa" w:w="2664"/>
          </w:tcPr>
          <w:p>
            <w:pPr>
              <w:spacing w:after="20"/>
            </w:pPr>
            <w:r>
              <w:rPr>
                <w:b/>
                <w:color w:val="1C3A36"/>
                <w:sz w:val="16"/>
              </w:rPr>
              <w:t>Ke</w:t>
            </w:r>
          </w:p>
        </w:tc>
        <w:tc>
          <w:tcPr>
            <w:tcW w:type="dxa" w:w="1656"/>
          </w:tcPr>
          <w:p>
            <w:pPr>
              <w:spacing w:after="20"/>
              <w:jc w:val="right"/>
            </w:pPr>
            <w:r>
              <w:rPr>
                <w:color w:val="1C3A36"/>
                <w:sz w:val="16"/>
              </w:rPr>
              <w:t>28.55%</w:t>
            </w:r>
          </w:p>
        </w:tc>
        <w:tc>
          <w:tcPr>
            <w:tcW w:type="dxa" w:w="1656"/>
          </w:tcPr>
          <w:p>
            <w:pPr>
              <w:spacing w:after="20"/>
              <w:jc w:val="right"/>
            </w:pPr>
            <w:r>
              <w:rPr>
                <w:color w:val="1C3A36"/>
                <w:sz w:val="16"/>
              </w:rPr>
              <w:t>20.50%</w:t>
            </w:r>
          </w:p>
        </w:tc>
        <w:tc>
          <w:tcPr>
            <w:tcW w:type="dxa" w:w="3816"/>
          </w:tcPr>
          <w:p>
            <w:pPr>
              <w:spacing w:after="20"/>
              <w:jc w:val="right"/>
            </w:pPr>
            <w:r>
              <w:rPr>
                <w:color w:val="1C3A36"/>
                <w:sz w:val="16"/>
              </w:rPr>
              <w:t>rf(net) + β×ERP, both windows</w:t>
            </w:r>
          </w:p>
        </w:tc>
      </w:tr>
      <w:tr>
        <w:tc>
          <w:tcPr>
            <w:tcW w:type="dxa" w:w="2664"/>
          </w:tcPr>
          <w:p>
            <w:pPr>
              <w:spacing w:after="20"/>
            </w:pPr>
            <w:r>
              <w:rPr>
                <w:b/>
                <w:color w:val="1C3A36"/>
                <w:sz w:val="16"/>
              </w:rPr>
              <w:t>Kd pre-tax</w:t>
            </w:r>
          </w:p>
        </w:tc>
        <w:tc>
          <w:tcPr>
            <w:tcW w:type="dxa" w:w="1656"/>
          </w:tcPr>
          <w:p>
            <w:pPr>
              <w:spacing w:after="20"/>
              <w:jc w:val="right"/>
            </w:pPr>
            <w:r>
              <w:rPr>
                <w:color w:val="1C3A36"/>
                <w:sz w:val="16"/>
              </w:rPr>
              <w:t>23.5%</w:t>
            </w:r>
          </w:p>
        </w:tc>
        <w:tc>
          <w:tcPr>
            <w:tcW w:type="dxa" w:w="1656"/>
          </w:tcPr>
          <w:p>
            <w:pPr>
              <w:spacing w:after="20"/>
              <w:jc w:val="right"/>
            </w:pPr>
            <w:r>
              <w:rPr>
                <w:color w:val="1C3A36"/>
                <w:sz w:val="16"/>
              </w:rPr>
              <w:t>15.0% (norm)</w:t>
            </w:r>
          </w:p>
        </w:tc>
        <w:tc>
          <w:tcPr>
            <w:tcW w:type="dxa" w:w="3816"/>
          </w:tcPr>
          <w:p>
            <w:pPr>
              <w:spacing w:after="20"/>
              <w:jc w:val="right"/>
            </w:pPr>
            <w:r>
              <w:rPr>
                <w:color w:val="1C3A36"/>
                <w:sz w:val="16"/>
              </w:rPr>
              <w:t>See the Kd-integrity gate below — currency split + effective-rate cross-check, mandatory every study going forward</w:t>
            </w:r>
          </w:p>
        </w:tc>
      </w:tr>
      <w:tr>
        <w:tc>
          <w:tcPr>
            <w:tcW w:type="dxa" w:w="2664"/>
          </w:tcPr>
          <w:p>
            <w:pPr>
              <w:spacing w:after="20"/>
            </w:pPr>
            <w:r>
              <w:rPr>
                <w:b/>
                <w:color w:val="1C3A36"/>
                <w:sz w:val="16"/>
              </w:rPr>
              <w:t>Kd after-tax</w:t>
            </w:r>
          </w:p>
        </w:tc>
        <w:tc>
          <w:tcPr>
            <w:tcW w:type="dxa" w:w="1656"/>
          </w:tcPr>
          <w:p>
            <w:pPr>
              <w:spacing w:after="20"/>
              <w:jc w:val="right"/>
            </w:pPr>
            <w:r>
              <w:rPr>
                <w:color w:val="1C3A36"/>
                <w:sz w:val="16"/>
              </w:rPr>
              <w:t>17.86%</w:t>
            </w:r>
          </w:p>
        </w:tc>
        <w:tc>
          <w:tcPr>
            <w:tcW w:type="dxa" w:w="1656"/>
          </w:tcPr>
          <w:p>
            <w:pPr>
              <w:spacing w:after="20"/>
              <w:jc w:val="right"/>
            </w:pPr>
            <w:r>
              <w:rPr>
                <w:color w:val="1C3A36"/>
                <w:sz w:val="16"/>
              </w:rPr>
              <w:t>11.40%</w:t>
            </w:r>
          </w:p>
        </w:tc>
        <w:tc>
          <w:tcPr>
            <w:tcW w:type="dxa" w:w="3816"/>
          </w:tcPr>
          <w:p>
            <w:pPr>
              <w:spacing w:after="20"/>
              <w:jc w:val="right"/>
            </w:pPr>
            <w:r>
              <w:rPr>
                <w:color w:val="1C3A36"/>
                <w:sz w:val="16"/>
              </w:rPr>
              <w:t>t=24%</w:t>
            </w:r>
          </w:p>
        </w:tc>
      </w:tr>
      <w:tr>
        <w:tc>
          <w:tcPr>
            <w:tcW w:type="dxa" w:w="2664"/>
          </w:tcPr>
          <w:p>
            <w:pPr>
              <w:spacing w:after="20"/>
            </w:pPr>
            <w:r>
              <w:rPr>
                <w:b/>
                <w:color w:val="1C3A36"/>
                <w:sz w:val="16"/>
              </w:rPr>
              <w:t>Weights E/D</w:t>
            </w:r>
          </w:p>
        </w:tc>
        <w:tc>
          <w:tcPr>
            <w:tcW w:type="dxa" w:w="1656"/>
          </w:tcPr>
          <w:p>
            <w:pPr>
              <w:spacing w:after="20"/>
              <w:jc w:val="right"/>
            </w:pPr>
            <w:r>
              <w:rPr>
                <w:color w:val="1C3A36"/>
                <w:sz w:val="16"/>
              </w:rPr>
              <w:t>81.8% / 18.2%</w:t>
            </w:r>
          </w:p>
        </w:tc>
        <w:tc>
          <w:tcPr>
            <w:tcW w:type="dxa" w:w="1656"/>
          </w:tcPr>
          <w:p>
            <w:pPr>
              <w:spacing w:after="20"/>
              <w:jc w:val="right"/>
            </w:pPr>
            <w:r>
              <w:rPr>
                <w:color w:val="1C3A36"/>
                <w:sz w:val="16"/>
              </w:rPr>
              <w:t>same</w:t>
            </w:r>
          </w:p>
        </w:tc>
        <w:tc>
          <w:tcPr>
            <w:tcW w:type="dxa" w:w="3816"/>
          </w:tcPr>
          <w:p>
            <w:pPr>
              <w:spacing w:after="20"/>
              <w:jc w:val="right"/>
            </w:pPr>
            <w:r>
              <w:rPr>
                <w:color w:val="1C3A36"/>
                <w:sz w:val="16"/>
              </w:rPr>
              <w:t>Market cap 10,164 vs gross facilities 2,261</w:t>
            </w:r>
          </w:p>
        </w:tc>
      </w:tr>
      <w:tr>
        <w:tc>
          <w:tcPr>
            <w:tcW w:type="dxa" w:w="2664"/>
          </w:tcPr>
          <w:p>
            <w:pPr>
              <w:spacing w:after="20"/>
            </w:pPr>
            <w:r>
              <w:rPr>
                <w:b/>
                <w:color w:val="1C3A36"/>
                <w:sz w:val="16"/>
              </w:rPr>
              <w:t>WACC (this study’s two anchors)</w:t>
            </w:r>
          </w:p>
        </w:tc>
        <w:tc>
          <w:tcPr>
            <w:tcW w:type="dxa" w:w="1656"/>
          </w:tcPr>
          <w:p>
            <w:pPr>
              <w:spacing w:after="20"/>
              <w:jc w:val="right"/>
            </w:pPr>
            <w:r>
              <w:rPr>
                <w:color w:val="1C3A36"/>
                <w:sz w:val="16"/>
              </w:rPr>
              <w:t>26.60%</w:t>
            </w:r>
          </w:p>
        </w:tc>
        <w:tc>
          <w:tcPr>
            <w:tcW w:type="dxa" w:w="1656"/>
          </w:tcPr>
          <w:p>
            <w:pPr>
              <w:spacing w:after="20"/>
              <w:jc w:val="right"/>
            </w:pPr>
            <w:r>
              <w:rPr>
                <w:color w:val="1C3A36"/>
                <w:sz w:val="16"/>
              </w:rPr>
              <w:t>18.84%</w:t>
            </w:r>
          </w:p>
        </w:tc>
        <w:tc>
          <w:tcPr>
            <w:tcW w:type="dxa" w:w="3816"/>
          </w:tcPr>
          <w:p>
            <w:pPr>
              <w:spacing w:after="20"/>
              <w:jc w:val="right"/>
            </w:pPr>
            <w:r>
              <w:rPr>
                <w:color w:val="1C3A36"/>
                <w:sz w:val="16"/>
              </w:rPr>
              <w:t>Retired-primary (un-netted, flat) WACC disclosed for the audit trail: 29.39%</w:t>
            </w:r>
          </w:p>
        </w:tc>
      </w:tr>
      <w:tr>
        <w:tc>
          <w:tcPr>
            <w:tcW w:type="dxa" w:w="2664"/>
          </w:tcPr>
          <w:p>
            <w:pPr>
              <w:spacing w:after="20"/>
            </w:pPr>
            <w:r>
              <w:rPr>
                <w:b/>
                <w:color w:val="1C3A36"/>
                <w:sz w:val="16"/>
              </w:rPr>
              <w:t>MC carry anchor (separate object)</w:t>
            </w:r>
          </w:p>
        </w:tc>
        <w:tc>
          <w:tcPr>
            <w:tcW w:type="dxa" w:w="1656"/>
          </w:tcPr>
          <w:p>
            <w:pPr>
              <w:spacing w:after="20"/>
              <w:jc w:val="right"/>
            </w:pPr>
            <w:r>
              <w:rPr>
                <w:color w:val="1C3A36"/>
                <w:sz w:val="16"/>
              </w:rPr>
              <w:t>19.50% − q 1.18%</w:t>
            </w:r>
          </w:p>
        </w:tc>
        <w:tc>
          <w:tcPr>
            <w:tcW w:type="dxa" w:w="1656"/>
          </w:tcPr>
          <w:p>
            <w:pPr>
              <w:spacing w:after="20"/>
              <w:jc w:val="right"/>
            </w:pPr>
            <w:r>
              <w:rPr>
                <w:color w:val="1C3A36"/>
                <w:sz w:val="16"/>
              </w:rPr>
              <w:t>—</w:t>
            </w:r>
          </w:p>
        </w:tc>
        <w:tc>
          <w:tcPr>
            <w:tcW w:type="dxa" w:w="3816"/>
          </w:tcPr>
          <w:p>
            <w:pPr>
              <w:spacing w:after="20"/>
              <w:jc w:val="right"/>
            </w:pPr>
            <w:r>
              <w:rPr>
                <w:color w:val="1C3A36"/>
                <w:sz w:val="16"/>
              </w:rPr>
              <w:t>CBE main rate 19.50%; unrelated to the DCF discount schedule</w:t>
            </w:r>
          </w:p>
        </w:tc>
      </w:tr>
    </w:tbl>
    <w:p>
      <w:pPr>
        <w:spacing w:after="40"/>
      </w:pPr>
    </w:p>
    <w:p>
      <w:pPr>
        <w:spacing w:after="200" w:before="0"/>
      </w:pPr>
      <w:r>
        <w:rPr>
          <w:b w:val="0"/>
          <w:i/>
          <w:color w:val="6E7B77"/>
          <w:sz w:val="17"/>
        </w:rPr>
        <w:t>Cost of capital reference: Cost_of_Capital_Reference.md, updated 13-Jul-2026 with the Ke/Kd/WACC addendum.</w:t>
      </w:r>
    </w:p>
    <w:p>
      <w:pPr>
        <w:spacing w:after="120" w:before="0"/>
      </w:pPr>
      <w:r>
        <w:rPr>
          <w:b w:val="0"/>
          <w:i w:val="0"/>
          <w:color w:val="1C3A36"/>
          <w:sz w:val="18"/>
        </w:rPr>
        <w:t>Kd-integrity gate (mandatory, adopted after a prior study understated Kd by ~350bp using a disclosed contractual range’s midpoint instead of the rate actually paid): (i) currency composition of the debt book must be sourced — Rameda’s book is 100% EGP-denominated (FS Note 20 lists all 11 facilities in EGP; FX cash trivial at USD 3.3mn/EUR 2.7mn vs EGP 43.2mn, Note 12 — FX exposure sits in import payables, not debt, so no cheap-FX blend exists); (ii) Kd must sit within 150bp of an INDEPENDENTLY computed effective rate (interest expense ÷ average facilities) — here 1Q26 gives 24.0% annualised and FY25 gives 28.6% at peak rates, against the 23.5% adopted; (iii) Kd may not exceed the peak-year effective rate by more than 50bp. All three checks are hard ASSERTs — the build fails, not just warns, if they are not met.</w:t>
      </w:r>
    </w:p>
    <w:p>
      <w:pPr>
        <w:spacing w:after="80" w:before="200"/>
      </w:pPr>
      <w:r>
        <w:rPr>
          <w:b/>
          <w:i w:val="0"/>
          <w:color w:val="1C3A36"/>
          <w:sz w:val="24"/>
        </w:rPr>
        <w:t>Why a sliding schedule, not a flat rate</w:t>
      </w:r>
    </w:p>
    <w:p>
      <w:pPr>
        <w:spacing w:after="120" w:before="0"/>
      </w:pPr>
      <w:r>
        <w:rPr>
          <w:b w:val="0"/>
          <w:i w:val="0"/>
          <w:color w:val="1C3A36"/>
          <w:sz w:val="19"/>
        </w:rPr>
        <w:t>A single flat WACC for both the five explicit years and a 25-year-plus perpetuity asserts Egypt’s cost of capital never normalises — implausible given the CBE’s own stated disinflation path. But discounting the TERMINAL VALUE alone at a lower rate while the explicit years stay at today’s rate prices the same future date twice: a pound landing on 31-Dec-2030 as a forecast cash flow and the same pound landing the same day inside the terminal value must have one price, not two. The fix is a glide in the forward rate itself — shown below — so every date is priced once, consistently, on the path from today’s observable curve to the norm-built terminal. The SHAPE of that glide is not a fresh assumption: it follows the cumulative-progress fractions of kd_path (the same CBE-easing calendar already used to forecast interest expense, which itself eases in bigger steps early and tapers later — 23.0→20.5→18.5→17.0→16.0%), so Ke and Kd normalise on ONE assumed rate-cut calendar rather than two independent judgment calls. The result is front-loaded: the biggest single-year drop in the discount rate falls in Y1→Y2, tapering by Y4→Y5 — shown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1944"/>
            <w:shd w:val="clear" w:color="auto" w:fill="EAF0EE"/>
          </w:tcPr>
          <w:p>
            <w:pPr>
              <w:spacing w:after="20"/>
            </w:pPr>
            <w:r>
              <w:rPr>
                <w:b/>
                <w:color w:val="1C3A36"/>
                <w:sz w:val="17"/>
              </w:rPr>
              <w:t>Year</w:t>
            </w:r>
          </w:p>
        </w:tc>
        <w:tc>
          <w:tcPr>
            <w:tcW w:type="dxa" w:w="1368"/>
            <w:shd w:val="clear" w:color="auto" w:fill="EAF0EE"/>
          </w:tcPr>
          <w:p>
            <w:pPr>
              <w:spacing w:after="20"/>
            </w:pPr>
            <w:r>
              <w:rPr>
                <w:b/>
                <w:color w:val="1C3A36"/>
                <w:sz w:val="17"/>
              </w:rPr>
              <w:t>FY26E</w:t>
            </w:r>
          </w:p>
        </w:tc>
        <w:tc>
          <w:tcPr>
            <w:tcW w:type="dxa" w:w="1368"/>
            <w:shd w:val="clear" w:color="auto" w:fill="EAF0EE"/>
          </w:tcPr>
          <w:p>
            <w:pPr>
              <w:spacing w:after="20"/>
            </w:pPr>
            <w:r>
              <w:rPr>
                <w:b/>
                <w:color w:val="1C3A36"/>
                <w:sz w:val="17"/>
              </w:rPr>
              <w:t>FY27E</w:t>
            </w:r>
          </w:p>
        </w:tc>
        <w:tc>
          <w:tcPr>
            <w:tcW w:type="dxa" w:w="1368"/>
            <w:shd w:val="clear" w:color="auto" w:fill="EAF0EE"/>
          </w:tcPr>
          <w:p>
            <w:pPr>
              <w:spacing w:after="20"/>
            </w:pPr>
            <w:r>
              <w:rPr>
                <w:b/>
                <w:color w:val="1C3A36"/>
                <w:sz w:val="17"/>
              </w:rPr>
              <w:t>FY28E</w:t>
            </w:r>
          </w:p>
        </w:tc>
        <w:tc>
          <w:tcPr>
            <w:tcW w:type="dxa" w:w="1368"/>
            <w:shd w:val="clear" w:color="auto" w:fill="EAF0EE"/>
          </w:tcPr>
          <w:p>
            <w:pPr>
              <w:spacing w:after="20"/>
            </w:pPr>
            <w:r>
              <w:rPr>
                <w:b/>
                <w:color w:val="1C3A36"/>
                <w:sz w:val="17"/>
              </w:rPr>
              <w:t>FY29E</w:t>
            </w:r>
          </w:p>
        </w:tc>
        <w:tc>
          <w:tcPr>
            <w:tcW w:type="dxa" w:w="1368"/>
            <w:shd w:val="clear" w:color="auto" w:fill="EAF0EE"/>
          </w:tcPr>
          <w:p>
            <w:pPr>
              <w:spacing w:after="20"/>
            </w:pPr>
            <w:r>
              <w:rPr>
                <w:b/>
                <w:color w:val="1C3A36"/>
                <w:sz w:val="17"/>
              </w:rPr>
              <w:t>FY30E</w:t>
            </w:r>
          </w:p>
        </w:tc>
        <w:tc>
          <w:tcPr>
            <w:tcW w:type="dxa" w:w="1656"/>
            <w:shd w:val="clear" w:color="auto" w:fill="EAF0EE"/>
          </w:tcPr>
          <w:p>
            <w:pPr>
              <w:spacing w:after="20"/>
            </w:pPr>
            <w:r>
              <w:rPr>
                <w:b/>
                <w:color w:val="1C3A36"/>
                <w:sz w:val="17"/>
              </w:rPr>
              <w:t>Terminal</w:t>
            </w:r>
          </w:p>
        </w:tc>
      </w:tr>
      <w:tr>
        <w:tc>
          <w:tcPr>
            <w:tcW w:type="dxa" w:w="1944"/>
          </w:tcPr>
          <w:p>
            <w:pPr>
              <w:spacing w:after="20"/>
            </w:pPr>
            <w:r>
              <w:rPr>
                <w:b/>
                <w:color w:val="1C3A36"/>
                <w:sz w:val="17"/>
              </w:rPr>
              <w:t>Forward rate</w:t>
            </w:r>
          </w:p>
        </w:tc>
        <w:tc>
          <w:tcPr>
            <w:tcW w:type="dxa" w:w="1368"/>
          </w:tcPr>
          <w:p>
            <w:pPr>
              <w:spacing w:after="20"/>
              <w:jc w:val="right"/>
            </w:pPr>
            <w:r>
              <w:rPr>
                <w:color w:val="1C3A36"/>
                <w:sz w:val="17"/>
              </w:rPr>
              <w:t>26.60%</w:t>
            </w:r>
          </w:p>
        </w:tc>
        <w:tc>
          <w:tcPr>
            <w:tcW w:type="dxa" w:w="1368"/>
          </w:tcPr>
          <w:p>
            <w:pPr>
              <w:spacing w:after="20"/>
              <w:jc w:val="right"/>
            </w:pPr>
            <w:r>
              <w:rPr>
                <w:color w:val="1C3A36"/>
                <w:sz w:val="17"/>
              </w:rPr>
              <w:t>23.83%</w:t>
            </w:r>
          </w:p>
        </w:tc>
        <w:tc>
          <w:tcPr>
            <w:tcW w:type="dxa" w:w="1368"/>
          </w:tcPr>
          <w:p>
            <w:pPr>
              <w:spacing w:after="20"/>
              <w:jc w:val="right"/>
            </w:pPr>
            <w:r>
              <w:rPr>
                <w:color w:val="1C3A36"/>
                <w:sz w:val="17"/>
              </w:rPr>
              <w:t>21.62%</w:t>
            </w:r>
          </w:p>
        </w:tc>
        <w:tc>
          <w:tcPr>
            <w:tcW w:type="dxa" w:w="1368"/>
          </w:tcPr>
          <w:p>
            <w:pPr>
              <w:spacing w:after="20"/>
              <w:jc w:val="right"/>
            </w:pPr>
            <w:r>
              <w:rPr>
                <w:color w:val="1C3A36"/>
                <w:sz w:val="17"/>
              </w:rPr>
              <w:t>19.95%</w:t>
            </w:r>
          </w:p>
        </w:tc>
        <w:tc>
          <w:tcPr>
            <w:tcW w:type="dxa" w:w="1368"/>
          </w:tcPr>
          <w:p>
            <w:pPr>
              <w:spacing w:after="20"/>
              <w:jc w:val="right"/>
            </w:pPr>
            <w:r>
              <w:rPr>
                <w:color w:val="1C3A36"/>
                <w:sz w:val="17"/>
              </w:rPr>
              <w:t>18.84%</w:t>
            </w:r>
          </w:p>
        </w:tc>
        <w:tc>
          <w:tcPr>
            <w:tcW w:type="dxa" w:w="1656"/>
          </w:tcPr>
          <w:p>
            <w:pPr>
              <w:spacing w:after="20"/>
              <w:jc w:val="right"/>
            </w:pPr>
            <w:r>
              <w:rPr>
                <w:color w:val="1C3A36"/>
                <w:sz w:val="17"/>
              </w:rPr>
              <w:t>18.84%</w:t>
            </w:r>
          </w:p>
        </w:tc>
      </w:tr>
      <w:tr>
        <w:tc>
          <w:tcPr>
            <w:tcW w:type="dxa" w:w="1944"/>
          </w:tcPr>
          <w:p>
            <w:pPr>
              <w:spacing w:after="20"/>
            </w:pPr>
            <w:r>
              <w:rPr>
                <w:b/>
                <w:color w:val="1C3A36"/>
                <w:sz w:val="17"/>
              </w:rPr>
              <w:t>Cumulative discount factor</w:t>
            </w:r>
          </w:p>
        </w:tc>
        <w:tc>
          <w:tcPr>
            <w:tcW w:type="dxa" w:w="1368"/>
          </w:tcPr>
          <w:p>
            <w:pPr>
              <w:spacing w:after="20"/>
              <w:jc w:val="right"/>
            </w:pPr>
            <w:r>
              <w:rPr>
                <w:color w:val="1C3A36"/>
                <w:sz w:val="17"/>
              </w:rPr>
              <w:t>0.790</w:t>
            </w:r>
          </w:p>
        </w:tc>
        <w:tc>
          <w:tcPr>
            <w:tcW w:type="dxa" w:w="1368"/>
          </w:tcPr>
          <w:p>
            <w:pPr>
              <w:spacing w:after="20"/>
              <w:jc w:val="right"/>
            </w:pPr>
            <w:r>
              <w:rPr>
                <w:color w:val="1C3A36"/>
                <w:sz w:val="17"/>
              </w:rPr>
              <w:t>0.638</w:t>
            </w:r>
          </w:p>
        </w:tc>
        <w:tc>
          <w:tcPr>
            <w:tcW w:type="dxa" w:w="1368"/>
          </w:tcPr>
          <w:p>
            <w:pPr>
              <w:spacing w:after="20"/>
              <w:jc w:val="right"/>
            </w:pPr>
            <w:r>
              <w:rPr>
                <w:color w:val="1C3A36"/>
                <w:sz w:val="17"/>
              </w:rPr>
              <w:t>0.524</w:t>
            </w:r>
          </w:p>
        </w:tc>
        <w:tc>
          <w:tcPr>
            <w:tcW w:type="dxa" w:w="1368"/>
          </w:tcPr>
          <w:p>
            <w:pPr>
              <w:spacing w:after="20"/>
              <w:jc w:val="right"/>
            </w:pPr>
            <w:r>
              <w:rPr>
                <w:color w:val="1C3A36"/>
                <w:sz w:val="17"/>
              </w:rPr>
              <w:t>0.437</w:t>
            </w:r>
          </w:p>
        </w:tc>
        <w:tc>
          <w:tcPr>
            <w:tcW w:type="dxa" w:w="1368"/>
          </w:tcPr>
          <w:p>
            <w:pPr>
              <w:spacing w:after="20"/>
              <w:jc w:val="right"/>
            </w:pPr>
            <w:r>
              <w:rPr>
                <w:color w:val="1C3A36"/>
                <w:sz w:val="17"/>
              </w:rPr>
              <w:t>0.368</w:t>
            </w:r>
          </w:p>
        </w:tc>
        <w:tc>
          <w:tcPr>
            <w:tcW w:type="dxa" w:w="1656"/>
          </w:tcPr>
          <w:p>
            <w:pPr>
              <w:spacing w:after="20"/>
              <w:jc w:val="right"/>
            </w:pPr>
            <w:r>
              <w:rPr>
                <w:color w:val="1C3A36"/>
                <w:sz w:val="17"/>
              </w:rPr>
              <w:t>0.368 (same as Y5)</w:t>
            </w:r>
          </w:p>
        </w:tc>
      </w:tr>
    </w:tbl>
    <w:p>
      <w:pPr>
        <w:spacing w:after="40"/>
      </w:pPr>
    </w:p>
    <w:p>
      <w:pPr>
        <w:spacing w:after="200" w:before="0"/>
      </w:pPr>
      <w:r>
        <w:rPr>
          <w:b w:val="0"/>
          <w:i/>
          <w:color w:val="6E7B77"/>
          <w:sz w:val="17"/>
        </w:rPr>
        <w:t>The terminal value is capitalised at the terminal WACC and discounted by the identical Y5 cumulative factor — one price of time per date, by construction.</w:t>
      </w:r>
    </w:p>
    <w:p>
      <w:pPr>
        <w:spacing w:after="80" w:before="200"/>
      </w:pPr>
      <w:r>
        <w:rPr>
          <w:b/>
          <w:i w:val="0"/>
          <w:color w:val="1C3A36"/>
          <w:sz w:val="24"/>
        </w:rPr>
        <w:t>1.9  Sensitivity — the rate, the growth (3–7% standing grid), the margin, the working capital, the beta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1944"/>
            <w:shd w:val="clear" w:color="auto" w:fill="EAF0EE"/>
          </w:tcPr>
          <w:p>
            <w:pPr>
              <w:spacing w:after="20"/>
            </w:pPr>
            <w:r>
              <w:rPr>
                <w:b/>
                <w:color w:val="1C3A36"/>
                <w:sz w:val="18"/>
              </w:rPr>
              <w:t>WACC \ terminal g</w:t>
            </w:r>
          </w:p>
        </w:tc>
        <w:tc>
          <w:tcPr>
            <w:tcW w:type="dxa" w:w="1512"/>
            <w:shd w:val="clear" w:color="auto" w:fill="EAF0EE"/>
          </w:tcPr>
          <w:p>
            <w:pPr>
              <w:spacing w:after="20"/>
            </w:pPr>
            <w:r>
              <w:rPr>
                <w:b/>
                <w:color w:val="1C3A36"/>
                <w:sz w:val="18"/>
              </w:rPr>
              <w:t>3.0%</w:t>
            </w:r>
          </w:p>
        </w:tc>
        <w:tc>
          <w:tcPr>
            <w:tcW w:type="dxa" w:w="1512"/>
            <w:shd w:val="clear" w:color="auto" w:fill="EAF0EE"/>
          </w:tcPr>
          <w:p>
            <w:pPr>
              <w:spacing w:after="20"/>
            </w:pPr>
            <w:r>
              <w:rPr>
                <w:b/>
                <w:color w:val="1C3A36"/>
                <w:sz w:val="18"/>
              </w:rPr>
              <w:t>4.0%</w:t>
            </w:r>
          </w:p>
        </w:tc>
        <w:tc>
          <w:tcPr>
            <w:tcW w:type="dxa" w:w="1512"/>
            <w:shd w:val="clear" w:color="auto" w:fill="EAF0EE"/>
          </w:tcPr>
          <w:p>
            <w:pPr>
              <w:spacing w:after="20"/>
            </w:pPr>
            <w:r>
              <w:rPr>
                <w:b/>
                <w:color w:val="1C3A36"/>
                <w:sz w:val="18"/>
              </w:rPr>
              <w:t>5.0%</w:t>
            </w:r>
          </w:p>
        </w:tc>
        <w:tc>
          <w:tcPr>
            <w:tcW w:type="dxa" w:w="1512"/>
            <w:shd w:val="clear" w:color="auto" w:fill="EAF0EE"/>
          </w:tcPr>
          <w:p>
            <w:pPr>
              <w:spacing w:after="20"/>
            </w:pPr>
            <w:r>
              <w:rPr>
                <w:b/>
                <w:color w:val="1C3A36"/>
                <w:sz w:val="18"/>
              </w:rPr>
              <w:t>6.0%</w:t>
            </w:r>
          </w:p>
        </w:tc>
        <w:tc>
          <w:tcPr>
            <w:tcW w:type="dxa" w:w="1512"/>
            <w:shd w:val="clear" w:color="auto" w:fill="EAF0EE"/>
          </w:tcPr>
          <w:p>
            <w:pPr>
              <w:spacing w:after="20"/>
            </w:pPr>
            <w:r>
              <w:rPr>
                <w:b/>
                <w:color w:val="1C3A36"/>
                <w:sz w:val="18"/>
              </w:rPr>
              <w:t>7.0%</w:t>
            </w:r>
          </w:p>
        </w:tc>
      </w:tr>
      <w:tr>
        <w:tc>
          <w:tcPr>
            <w:tcW w:type="dxa" w:w="1944"/>
          </w:tcPr>
          <w:p>
            <w:pPr>
              <w:spacing w:after="20"/>
            </w:pPr>
            <w:r>
              <w:rPr>
                <w:b/>
                <w:color w:val="1C3A36"/>
                <w:sz w:val="18"/>
              </w:rPr>
              <w:t>22.6%</w:t>
            </w:r>
          </w:p>
        </w:tc>
        <w:tc>
          <w:tcPr>
            <w:tcW w:type="dxa" w:w="1512"/>
          </w:tcPr>
          <w:p>
            <w:pPr>
              <w:spacing w:after="20"/>
              <w:jc w:val="right"/>
            </w:pPr>
            <w:r>
              <w:rPr>
                <w:color w:val="1C3A36"/>
                <w:sz w:val="18"/>
              </w:rPr>
              <w:t>2.43</w:t>
            </w:r>
          </w:p>
        </w:tc>
        <w:tc>
          <w:tcPr>
            <w:tcW w:type="dxa" w:w="1512"/>
          </w:tcPr>
          <w:p>
            <w:pPr>
              <w:spacing w:after="20"/>
              <w:jc w:val="right"/>
            </w:pPr>
            <w:r>
              <w:rPr>
                <w:color w:val="1C3A36"/>
                <w:sz w:val="18"/>
              </w:rPr>
              <w:t>2.65</w:t>
            </w:r>
          </w:p>
        </w:tc>
        <w:tc>
          <w:tcPr>
            <w:tcW w:type="dxa" w:w="1512"/>
          </w:tcPr>
          <w:p>
            <w:pPr>
              <w:spacing w:after="20"/>
              <w:jc w:val="right"/>
            </w:pPr>
            <w:r>
              <w:rPr>
                <w:color w:val="1C3A36"/>
                <w:sz w:val="18"/>
              </w:rPr>
              <w:t>2.93</w:t>
            </w:r>
          </w:p>
        </w:tc>
        <w:tc>
          <w:tcPr>
            <w:tcW w:type="dxa" w:w="1512"/>
          </w:tcPr>
          <w:p>
            <w:pPr>
              <w:spacing w:after="20"/>
              <w:jc w:val="right"/>
            </w:pPr>
            <w:r>
              <w:rPr>
                <w:color w:val="1C3A36"/>
                <w:sz w:val="18"/>
              </w:rPr>
              <w:t>3.26</w:t>
            </w:r>
          </w:p>
        </w:tc>
        <w:tc>
          <w:tcPr>
            <w:tcW w:type="dxa" w:w="1512"/>
          </w:tcPr>
          <w:p>
            <w:pPr>
              <w:spacing w:after="20"/>
              <w:jc w:val="right"/>
            </w:pPr>
            <w:r>
              <w:rPr>
                <w:color w:val="1C3A36"/>
                <w:sz w:val="18"/>
              </w:rPr>
              <w:t>3.67</w:t>
            </w:r>
          </w:p>
        </w:tc>
      </w:tr>
      <w:tr>
        <w:tc>
          <w:tcPr>
            <w:tcW w:type="dxa" w:w="1944"/>
          </w:tcPr>
          <w:p>
            <w:pPr>
              <w:spacing w:after="20"/>
            </w:pPr>
            <w:r>
              <w:rPr>
                <w:b/>
                <w:color w:val="1C3A36"/>
                <w:sz w:val="18"/>
              </w:rPr>
              <w:t>24.6%</w:t>
            </w:r>
          </w:p>
        </w:tc>
        <w:tc>
          <w:tcPr>
            <w:tcW w:type="dxa" w:w="1512"/>
          </w:tcPr>
          <w:p>
            <w:pPr>
              <w:spacing w:after="20"/>
              <w:jc w:val="right"/>
            </w:pPr>
            <w:r>
              <w:rPr>
                <w:color w:val="1C3A36"/>
                <w:sz w:val="18"/>
              </w:rPr>
              <w:t>1.90</w:t>
            </w:r>
          </w:p>
        </w:tc>
        <w:tc>
          <w:tcPr>
            <w:tcW w:type="dxa" w:w="1512"/>
          </w:tcPr>
          <w:p>
            <w:pPr>
              <w:spacing w:after="20"/>
              <w:jc w:val="right"/>
            </w:pPr>
            <w:r>
              <w:rPr>
                <w:color w:val="1C3A36"/>
                <w:sz w:val="18"/>
              </w:rPr>
              <w:t>2.05</w:t>
            </w:r>
          </w:p>
        </w:tc>
        <w:tc>
          <w:tcPr>
            <w:tcW w:type="dxa" w:w="1512"/>
          </w:tcPr>
          <w:p>
            <w:pPr>
              <w:spacing w:after="20"/>
              <w:jc w:val="right"/>
            </w:pPr>
            <w:r>
              <w:rPr>
                <w:color w:val="1C3A36"/>
                <w:sz w:val="18"/>
              </w:rPr>
              <w:t>2.23</w:t>
            </w:r>
          </w:p>
        </w:tc>
        <w:tc>
          <w:tcPr>
            <w:tcW w:type="dxa" w:w="1512"/>
          </w:tcPr>
          <w:p>
            <w:pPr>
              <w:spacing w:after="20"/>
              <w:jc w:val="right"/>
            </w:pPr>
            <w:r>
              <w:rPr>
                <w:color w:val="1C3A36"/>
                <w:sz w:val="18"/>
              </w:rPr>
              <w:t>2.44</w:t>
            </w:r>
          </w:p>
        </w:tc>
        <w:tc>
          <w:tcPr>
            <w:tcW w:type="dxa" w:w="1512"/>
          </w:tcPr>
          <w:p>
            <w:pPr>
              <w:spacing w:after="20"/>
              <w:jc w:val="right"/>
            </w:pPr>
            <w:r>
              <w:rPr>
                <w:color w:val="1C3A36"/>
                <w:sz w:val="18"/>
              </w:rPr>
              <w:t>2.69</w:t>
            </w:r>
          </w:p>
        </w:tc>
      </w:tr>
      <w:tr>
        <w:tc>
          <w:tcPr>
            <w:tcW w:type="dxa" w:w="1944"/>
            <w:shd w:val="clear" w:color="auto" w:fill="F6F1E6"/>
          </w:tcPr>
          <w:p>
            <w:pPr>
              <w:spacing w:after="20"/>
            </w:pPr>
            <w:r>
              <w:rPr>
                <w:b/>
                <w:color w:val="1C3A36"/>
                <w:sz w:val="18"/>
              </w:rPr>
              <w:t>26.6%</w:t>
            </w:r>
          </w:p>
        </w:tc>
        <w:tc>
          <w:tcPr>
            <w:tcW w:type="dxa" w:w="1512"/>
            <w:shd w:val="clear" w:color="auto" w:fill="F6F1E6"/>
          </w:tcPr>
          <w:p>
            <w:pPr>
              <w:spacing w:after="20"/>
              <w:jc w:val="right"/>
            </w:pPr>
            <w:r>
              <w:rPr>
                <w:b/>
                <w:color w:val="1C3A36"/>
                <w:sz w:val="18"/>
              </w:rPr>
              <w:t>1.50</w:t>
            </w:r>
          </w:p>
        </w:tc>
        <w:tc>
          <w:tcPr>
            <w:tcW w:type="dxa" w:w="1512"/>
            <w:shd w:val="clear" w:color="auto" w:fill="F6F1E6"/>
          </w:tcPr>
          <w:p>
            <w:pPr>
              <w:spacing w:after="20"/>
              <w:jc w:val="right"/>
            </w:pPr>
            <w:r>
              <w:rPr>
                <w:b/>
                <w:color w:val="1C3A36"/>
                <w:sz w:val="18"/>
              </w:rPr>
              <w:t>1.61</w:t>
            </w:r>
          </w:p>
        </w:tc>
        <w:tc>
          <w:tcPr>
            <w:tcW w:type="dxa" w:w="1512"/>
            <w:shd w:val="clear" w:color="auto" w:fill="F6F1E6"/>
          </w:tcPr>
          <w:p>
            <w:pPr>
              <w:spacing w:after="20"/>
              <w:jc w:val="right"/>
            </w:pPr>
            <w:r>
              <w:rPr>
                <w:b/>
                <w:color w:val="1C3A36"/>
                <w:sz w:val="18"/>
              </w:rPr>
              <w:t>1.73</w:t>
            </w:r>
          </w:p>
        </w:tc>
        <w:tc>
          <w:tcPr>
            <w:tcW w:type="dxa" w:w="1512"/>
            <w:shd w:val="clear" w:color="auto" w:fill="F6F1E6"/>
          </w:tcPr>
          <w:p>
            <w:pPr>
              <w:spacing w:after="20"/>
              <w:jc w:val="right"/>
            </w:pPr>
            <w:r>
              <w:rPr>
                <w:b/>
                <w:color w:val="1C3A36"/>
                <w:sz w:val="18"/>
              </w:rPr>
              <w:t>1.88</w:t>
            </w:r>
          </w:p>
        </w:tc>
        <w:tc>
          <w:tcPr>
            <w:tcW w:type="dxa" w:w="1512"/>
            <w:shd w:val="clear" w:color="auto" w:fill="F6F1E6"/>
          </w:tcPr>
          <w:p>
            <w:pPr>
              <w:spacing w:after="20"/>
              <w:jc w:val="right"/>
            </w:pPr>
            <w:r>
              <w:rPr>
                <w:b/>
                <w:color w:val="1C3A36"/>
                <w:sz w:val="18"/>
              </w:rPr>
              <w:t>2.04</w:t>
            </w:r>
          </w:p>
        </w:tc>
      </w:tr>
      <w:tr>
        <w:tc>
          <w:tcPr>
            <w:tcW w:type="dxa" w:w="1944"/>
          </w:tcPr>
          <w:p>
            <w:pPr>
              <w:spacing w:after="20"/>
            </w:pPr>
            <w:r>
              <w:rPr>
                <w:b/>
                <w:color w:val="1C3A36"/>
                <w:sz w:val="18"/>
              </w:rPr>
              <w:t>28.6%</w:t>
            </w:r>
          </w:p>
        </w:tc>
        <w:tc>
          <w:tcPr>
            <w:tcW w:type="dxa" w:w="1512"/>
          </w:tcPr>
          <w:p>
            <w:pPr>
              <w:spacing w:after="20"/>
              <w:jc w:val="right"/>
            </w:pPr>
            <w:r>
              <w:rPr>
                <w:color w:val="1C3A36"/>
                <w:sz w:val="18"/>
              </w:rPr>
              <w:t>1.20</w:t>
            </w:r>
          </w:p>
        </w:tc>
        <w:tc>
          <w:tcPr>
            <w:tcW w:type="dxa" w:w="1512"/>
          </w:tcPr>
          <w:p>
            <w:pPr>
              <w:spacing w:after="20"/>
              <w:jc w:val="right"/>
            </w:pPr>
            <w:r>
              <w:rPr>
                <w:color w:val="1C3A36"/>
                <w:sz w:val="18"/>
              </w:rPr>
              <w:t>1.27</w:t>
            </w:r>
          </w:p>
        </w:tc>
        <w:tc>
          <w:tcPr>
            <w:tcW w:type="dxa" w:w="1512"/>
          </w:tcPr>
          <w:p>
            <w:pPr>
              <w:spacing w:after="20"/>
              <w:jc w:val="right"/>
            </w:pPr>
            <w:r>
              <w:rPr>
                <w:color w:val="1C3A36"/>
                <w:sz w:val="18"/>
              </w:rPr>
              <w:t>1.36</w:t>
            </w:r>
          </w:p>
        </w:tc>
        <w:tc>
          <w:tcPr>
            <w:tcW w:type="dxa" w:w="1512"/>
          </w:tcPr>
          <w:p>
            <w:pPr>
              <w:spacing w:after="20"/>
              <w:jc w:val="right"/>
            </w:pPr>
            <w:r>
              <w:rPr>
                <w:color w:val="1C3A36"/>
                <w:sz w:val="18"/>
              </w:rPr>
              <w:t>1.46</w:t>
            </w:r>
          </w:p>
        </w:tc>
        <w:tc>
          <w:tcPr>
            <w:tcW w:type="dxa" w:w="1512"/>
          </w:tcPr>
          <w:p>
            <w:pPr>
              <w:spacing w:after="20"/>
              <w:jc w:val="right"/>
            </w:pPr>
            <w:r>
              <w:rPr>
                <w:color w:val="1C3A36"/>
                <w:sz w:val="18"/>
              </w:rPr>
              <w:t>1.58</w:t>
            </w:r>
          </w:p>
        </w:tc>
      </w:tr>
      <w:tr>
        <w:tc>
          <w:tcPr>
            <w:tcW w:type="dxa" w:w="1944"/>
          </w:tcPr>
          <w:p>
            <w:pPr>
              <w:spacing w:after="20"/>
            </w:pPr>
            <w:r>
              <w:rPr>
                <w:b/>
                <w:color w:val="1C3A36"/>
                <w:sz w:val="18"/>
              </w:rPr>
              <w:t>30.6%</w:t>
            </w:r>
          </w:p>
        </w:tc>
        <w:tc>
          <w:tcPr>
            <w:tcW w:type="dxa" w:w="1512"/>
          </w:tcPr>
          <w:p>
            <w:pPr>
              <w:spacing w:after="20"/>
              <w:jc w:val="right"/>
            </w:pPr>
            <w:r>
              <w:rPr>
                <w:color w:val="1C3A36"/>
                <w:sz w:val="18"/>
              </w:rPr>
              <w:t>0.95</w:t>
            </w:r>
          </w:p>
        </w:tc>
        <w:tc>
          <w:tcPr>
            <w:tcW w:type="dxa" w:w="1512"/>
          </w:tcPr>
          <w:p>
            <w:pPr>
              <w:spacing w:after="20"/>
              <w:jc w:val="right"/>
            </w:pPr>
            <w:r>
              <w:rPr>
                <w:color w:val="1C3A36"/>
                <w:sz w:val="18"/>
              </w:rPr>
              <w:t>1.01</w:t>
            </w:r>
          </w:p>
        </w:tc>
        <w:tc>
          <w:tcPr>
            <w:tcW w:type="dxa" w:w="1512"/>
          </w:tcPr>
          <w:p>
            <w:pPr>
              <w:spacing w:after="20"/>
              <w:jc w:val="right"/>
            </w:pPr>
            <w:r>
              <w:rPr>
                <w:color w:val="1C3A36"/>
                <w:sz w:val="18"/>
              </w:rPr>
              <w:t>1.08</w:t>
            </w:r>
          </w:p>
        </w:tc>
        <w:tc>
          <w:tcPr>
            <w:tcW w:type="dxa" w:w="1512"/>
          </w:tcPr>
          <w:p>
            <w:pPr>
              <w:spacing w:after="20"/>
              <w:jc w:val="right"/>
            </w:pPr>
            <w:r>
              <w:rPr>
                <w:color w:val="1C3A36"/>
                <w:sz w:val="18"/>
              </w:rPr>
              <w:t>1.15</w:t>
            </w:r>
          </w:p>
        </w:tc>
        <w:tc>
          <w:tcPr>
            <w:tcW w:type="dxa" w:w="1512"/>
          </w:tcPr>
          <w:p>
            <w:pPr>
              <w:spacing w:after="20"/>
              <w:jc w:val="right"/>
            </w:pPr>
            <w:r>
              <w:rPr>
                <w:color w:val="1C3A36"/>
                <w:sz w:val="18"/>
              </w:rPr>
              <w:t>1.24</w:t>
            </w:r>
          </w:p>
        </w:tc>
      </w:tr>
    </w:tbl>
    <w:p>
      <w:pPr>
        <w:spacing w:after="40"/>
      </w:pPr>
    </w:p>
    <w:p>
      <w:pPr>
        <w:spacing w:after="200" w:before="0"/>
      </w:pPr>
      <w:r>
        <w:rPr>
          <w:b w:val="0"/>
          <w:i/>
          <w:color w:val="6E7B77"/>
          <w:sz w:val="17"/>
        </w:rPr>
        <w:t>DCF fair value per share (EGP), WACC × terminal growth. Standing grid 3/4/5/6/7%, center 5% banded as the sourced base (Standing Research Protocol, 13-Jul-26). Spot EGP 5.00 needs the top-left quadrant of a grid this table deliberately does not reach — that is the finding, stated in numbers.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664"/>
            <w:shd w:val="clear" w:color="auto" w:fill="EAF0EE"/>
          </w:tcPr>
          <w:p>
            <w:pPr>
              <w:spacing w:after="20"/>
            </w:pPr>
            <w:r>
              <w:rPr>
                <w:b/>
                <w:color w:val="1C3A36"/>
                <w:sz w:val="18"/>
              </w:rPr>
              <w:t>EBITDA-margin shift \ NWC-ratio shift</w:t>
            </w:r>
          </w:p>
        </w:tc>
        <w:tc>
          <w:tcPr>
            <w:tcW w:type="dxa" w:w="1368"/>
            <w:shd w:val="clear" w:color="auto" w:fill="EAF0EE"/>
          </w:tcPr>
          <w:p>
            <w:pPr>
              <w:spacing w:after="20"/>
            </w:pPr>
            <w:r>
              <w:rPr>
                <w:b/>
                <w:color w:val="1C3A36"/>
                <w:sz w:val="18"/>
              </w:rPr>
              <w:t>-4pp</w:t>
            </w:r>
          </w:p>
        </w:tc>
        <w:tc>
          <w:tcPr>
            <w:tcW w:type="dxa" w:w="1368"/>
            <w:shd w:val="clear" w:color="auto" w:fill="EAF0EE"/>
          </w:tcPr>
          <w:p>
            <w:pPr>
              <w:spacing w:after="20"/>
            </w:pPr>
            <w:r>
              <w:rPr>
                <w:b/>
                <w:color w:val="1C3A36"/>
                <w:sz w:val="18"/>
              </w:rPr>
              <w:t>-2pp</w:t>
            </w:r>
          </w:p>
        </w:tc>
        <w:tc>
          <w:tcPr>
            <w:tcW w:type="dxa" w:w="1368"/>
            <w:shd w:val="clear" w:color="auto" w:fill="EAF0EE"/>
          </w:tcPr>
          <w:p>
            <w:pPr>
              <w:spacing w:after="20"/>
            </w:pPr>
            <w:r>
              <w:rPr>
                <w:b/>
                <w:color w:val="1C3A36"/>
                <w:sz w:val="18"/>
              </w:rPr>
              <w:t>+0pp</w:t>
            </w:r>
          </w:p>
        </w:tc>
        <w:tc>
          <w:tcPr>
            <w:tcW w:type="dxa" w:w="1368"/>
            <w:shd w:val="clear" w:color="auto" w:fill="EAF0EE"/>
          </w:tcPr>
          <w:p>
            <w:pPr>
              <w:spacing w:after="20"/>
            </w:pPr>
            <w:r>
              <w:rPr>
                <w:b/>
                <w:color w:val="1C3A36"/>
                <w:sz w:val="18"/>
              </w:rPr>
              <w:t>+2pp</w:t>
            </w:r>
          </w:p>
        </w:tc>
        <w:tc>
          <w:tcPr>
            <w:tcW w:type="dxa" w:w="1368"/>
            <w:shd w:val="clear" w:color="auto" w:fill="EAF0EE"/>
          </w:tcPr>
          <w:p>
            <w:pPr>
              <w:spacing w:after="20"/>
            </w:pPr>
            <w:r>
              <w:rPr>
                <w:b/>
                <w:color w:val="1C3A36"/>
                <w:sz w:val="18"/>
              </w:rPr>
              <w:t>+4pp</w:t>
            </w:r>
          </w:p>
        </w:tc>
      </w:tr>
      <w:tr>
        <w:tc>
          <w:tcPr>
            <w:tcW w:type="dxa" w:w="2664"/>
          </w:tcPr>
          <w:p>
            <w:pPr>
              <w:spacing w:after="20"/>
            </w:pPr>
            <w:r>
              <w:rPr>
                <w:b/>
                <w:color w:val="1C3A36"/>
                <w:sz w:val="18"/>
              </w:rPr>
              <w:t>-1.0pp</w:t>
            </w:r>
          </w:p>
        </w:tc>
        <w:tc>
          <w:tcPr>
            <w:tcW w:type="dxa" w:w="1368"/>
          </w:tcPr>
          <w:p>
            <w:pPr>
              <w:spacing w:after="20"/>
              <w:jc w:val="right"/>
            </w:pPr>
            <w:r>
              <w:rPr>
                <w:color w:val="1C3A36"/>
                <w:sz w:val="18"/>
              </w:rPr>
              <w:t>1.73</w:t>
            </w:r>
          </w:p>
        </w:tc>
        <w:tc>
          <w:tcPr>
            <w:tcW w:type="dxa" w:w="1368"/>
          </w:tcPr>
          <w:p>
            <w:pPr>
              <w:spacing w:after="20"/>
              <w:jc w:val="right"/>
            </w:pPr>
            <w:r>
              <w:rPr>
                <w:color w:val="1C3A36"/>
                <w:sz w:val="18"/>
              </w:rPr>
              <w:t>1.66</w:t>
            </w:r>
          </w:p>
        </w:tc>
        <w:tc>
          <w:tcPr>
            <w:tcW w:type="dxa" w:w="1368"/>
          </w:tcPr>
          <w:p>
            <w:pPr>
              <w:spacing w:after="20"/>
              <w:jc w:val="right"/>
            </w:pPr>
            <w:r>
              <w:rPr>
                <w:color w:val="1C3A36"/>
                <w:sz w:val="18"/>
              </w:rPr>
              <w:t>1.60</w:t>
            </w:r>
          </w:p>
        </w:tc>
        <w:tc>
          <w:tcPr>
            <w:tcW w:type="dxa" w:w="1368"/>
          </w:tcPr>
          <w:p>
            <w:pPr>
              <w:spacing w:after="20"/>
              <w:jc w:val="right"/>
            </w:pPr>
            <w:r>
              <w:rPr>
                <w:color w:val="1C3A36"/>
                <w:sz w:val="18"/>
              </w:rPr>
              <w:t>1.53</w:t>
            </w:r>
          </w:p>
        </w:tc>
        <w:tc>
          <w:tcPr>
            <w:tcW w:type="dxa" w:w="1368"/>
          </w:tcPr>
          <w:p>
            <w:pPr>
              <w:spacing w:after="20"/>
              <w:jc w:val="right"/>
            </w:pPr>
            <w:r>
              <w:rPr>
                <w:color w:val="1C3A36"/>
                <w:sz w:val="18"/>
              </w:rPr>
              <w:t>1.47</w:t>
            </w:r>
          </w:p>
        </w:tc>
      </w:tr>
      <w:tr>
        <w:tc>
          <w:tcPr>
            <w:tcW w:type="dxa" w:w="2664"/>
          </w:tcPr>
          <w:p>
            <w:pPr>
              <w:spacing w:after="20"/>
            </w:pPr>
            <w:r>
              <w:rPr>
                <w:b/>
                <w:color w:val="1C3A36"/>
                <w:sz w:val="18"/>
              </w:rPr>
              <w:t>-0.5pp</w:t>
            </w:r>
          </w:p>
        </w:tc>
        <w:tc>
          <w:tcPr>
            <w:tcW w:type="dxa" w:w="1368"/>
          </w:tcPr>
          <w:p>
            <w:pPr>
              <w:spacing w:after="20"/>
              <w:jc w:val="right"/>
            </w:pPr>
            <w:r>
              <w:rPr>
                <w:color w:val="1C3A36"/>
                <w:sz w:val="18"/>
              </w:rPr>
              <w:t>1.80</w:t>
            </w:r>
          </w:p>
        </w:tc>
        <w:tc>
          <w:tcPr>
            <w:tcW w:type="dxa" w:w="1368"/>
          </w:tcPr>
          <w:p>
            <w:pPr>
              <w:spacing w:after="20"/>
              <w:jc w:val="right"/>
            </w:pPr>
            <w:r>
              <w:rPr>
                <w:color w:val="1C3A36"/>
                <w:sz w:val="18"/>
              </w:rPr>
              <w:t>1.73</w:t>
            </w:r>
          </w:p>
        </w:tc>
        <w:tc>
          <w:tcPr>
            <w:tcW w:type="dxa" w:w="1368"/>
          </w:tcPr>
          <w:p>
            <w:pPr>
              <w:spacing w:after="20"/>
              <w:jc w:val="right"/>
            </w:pPr>
            <w:r>
              <w:rPr>
                <w:color w:val="1C3A36"/>
                <w:sz w:val="18"/>
              </w:rPr>
              <w:t>1.67</w:t>
            </w:r>
          </w:p>
        </w:tc>
        <w:tc>
          <w:tcPr>
            <w:tcW w:type="dxa" w:w="1368"/>
          </w:tcPr>
          <w:p>
            <w:pPr>
              <w:spacing w:after="20"/>
              <w:jc w:val="right"/>
            </w:pPr>
            <w:r>
              <w:rPr>
                <w:color w:val="1C3A36"/>
                <w:sz w:val="18"/>
              </w:rPr>
              <w:t>1.60</w:t>
            </w:r>
          </w:p>
        </w:tc>
        <w:tc>
          <w:tcPr>
            <w:tcW w:type="dxa" w:w="1368"/>
          </w:tcPr>
          <w:p>
            <w:pPr>
              <w:spacing w:after="20"/>
              <w:jc w:val="right"/>
            </w:pPr>
            <w:r>
              <w:rPr>
                <w:color w:val="1C3A36"/>
                <w:sz w:val="18"/>
              </w:rPr>
              <w:t>1.54</w:t>
            </w:r>
          </w:p>
        </w:tc>
      </w:tr>
      <w:tr>
        <w:tc>
          <w:tcPr>
            <w:tcW w:type="dxa" w:w="2664"/>
            <w:shd w:val="clear" w:color="auto" w:fill="F6F1E6"/>
          </w:tcPr>
          <w:p>
            <w:pPr>
              <w:spacing w:after="20"/>
            </w:pPr>
            <w:r>
              <w:rPr>
                <w:b/>
                <w:color w:val="1C3A36"/>
                <w:sz w:val="18"/>
              </w:rPr>
              <w:t>+0.0pp</w:t>
            </w:r>
          </w:p>
        </w:tc>
        <w:tc>
          <w:tcPr>
            <w:tcW w:type="dxa" w:w="1368"/>
            <w:shd w:val="clear" w:color="auto" w:fill="F6F1E6"/>
          </w:tcPr>
          <w:p>
            <w:pPr>
              <w:spacing w:after="20"/>
              <w:jc w:val="right"/>
            </w:pPr>
            <w:r>
              <w:rPr>
                <w:b/>
                <w:color w:val="1C3A36"/>
                <w:sz w:val="18"/>
              </w:rPr>
              <w:t>1.86</w:t>
            </w:r>
          </w:p>
        </w:tc>
        <w:tc>
          <w:tcPr>
            <w:tcW w:type="dxa" w:w="1368"/>
            <w:shd w:val="clear" w:color="auto" w:fill="F6F1E6"/>
          </w:tcPr>
          <w:p>
            <w:pPr>
              <w:spacing w:after="20"/>
              <w:jc w:val="right"/>
            </w:pPr>
            <w:r>
              <w:rPr>
                <w:b/>
                <w:color w:val="1C3A36"/>
                <w:sz w:val="18"/>
              </w:rPr>
              <w:t>1.80</w:t>
            </w:r>
          </w:p>
        </w:tc>
        <w:tc>
          <w:tcPr>
            <w:tcW w:type="dxa" w:w="1368"/>
            <w:shd w:val="clear" w:color="auto" w:fill="F6F1E6"/>
          </w:tcPr>
          <w:p>
            <w:pPr>
              <w:spacing w:after="20"/>
              <w:jc w:val="right"/>
            </w:pPr>
            <w:r>
              <w:rPr>
                <w:b/>
                <w:color w:val="1C3A36"/>
                <w:sz w:val="18"/>
              </w:rPr>
              <w:t>1.73</w:t>
            </w:r>
          </w:p>
        </w:tc>
        <w:tc>
          <w:tcPr>
            <w:tcW w:type="dxa" w:w="1368"/>
            <w:shd w:val="clear" w:color="auto" w:fill="F6F1E6"/>
          </w:tcPr>
          <w:p>
            <w:pPr>
              <w:spacing w:after="20"/>
              <w:jc w:val="right"/>
            </w:pPr>
            <w:r>
              <w:rPr>
                <w:b/>
                <w:color w:val="1C3A36"/>
                <w:sz w:val="18"/>
              </w:rPr>
              <w:t>1.67</w:t>
            </w:r>
          </w:p>
        </w:tc>
        <w:tc>
          <w:tcPr>
            <w:tcW w:type="dxa" w:w="1368"/>
            <w:shd w:val="clear" w:color="auto" w:fill="F6F1E6"/>
          </w:tcPr>
          <w:p>
            <w:pPr>
              <w:spacing w:after="20"/>
              <w:jc w:val="right"/>
            </w:pPr>
            <w:r>
              <w:rPr>
                <w:b/>
                <w:color w:val="1C3A36"/>
                <w:sz w:val="18"/>
              </w:rPr>
              <w:t>1.60</w:t>
            </w:r>
          </w:p>
        </w:tc>
      </w:tr>
      <w:tr>
        <w:tc>
          <w:tcPr>
            <w:tcW w:type="dxa" w:w="2664"/>
          </w:tcPr>
          <w:p>
            <w:pPr>
              <w:spacing w:after="20"/>
            </w:pPr>
            <w:r>
              <w:rPr>
                <w:b/>
                <w:color w:val="1C3A36"/>
                <w:sz w:val="18"/>
              </w:rPr>
              <w:t>+0.5pp</w:t>
            </w:r>
          </w:p>
        </w:tc>
        <w:tc>
          <w:tcPr>
            <w:tcW w:type="dxa" w:w="1368"/>
          </w:tcPr>
          <w:p>
            <w:pPr>
              <w:spacing w:after="20"/>
              <w:jc w:val="right"/>
            </w:pPr>
            <w:r>
              <w:rPr>
                <w:color w:val="1C3A36"/>
                <w:sz w:val="18"/>
              </w:rPr>
              <w:t>1.93</w:t>
            </w:r>
          </w:p>
        </w:tc>
        <w:tc>
          <w:tcPr>
            <w:tcW w:type="dxa" w:w="1368"/>
          </w:tcPr>
          <w:p>
            <w:pPr>
              <w:spacing w:after="20"/>
              <w:jc w:val="right"/>
            </w:pPr>
            <w:r>
              <w:rPr>
                <w:color w:val="1C3A36"/>
                <w:sz w:val="18"/>
              </w:rPr>
              <w:t>1.87</w:t>
            </w:r>
          </w:p>
        </w:tc>
        <w:tc>
          <w:tcPr>
            <w:tcW w:type="dxa" w:w="1368"/>
          </w:tcPr>
          <w:p>
            <w:pPr>
              <w:spacing w:after="20"/>
              <w:jc w:val="right"/>
            </w:pPr>
            <w:r>
              <w:rPr>
                <w:color w:val="1C3A36"/>
                <w:sz w:val="18"/>
              </w:rPr>
              <w:t>1.80</w:t>
            </w:r>
          </w:p>
        </w:tc>
        <w:tc>
          <w:tcPr>
            <w:tcW w:type="dxa" w:w="1368"/>
          </w:tcPr>
          <w:p>
            <w:pPr>
              <w:spacing w:after="20"/>
              <w:jc w:val="right"/>
            </w:pPr>
            <w:r>
              <w:rPr>
                <w:color w:val="1C3A36"/>
                <w:sz w:val="18"/>
              </w:rPr>
              <w:t>1.74</w:t>
            </w:r>
          </w:p>
        </w:tc>
        <w:tc>
          <w:tcPr>
            <w:tcW w:type="dxa" w:w="1368"/>
          </w:tcPr>
          <w:p>
            <w:pPr>
              <w:spacing w:after="20"/>
              <w:jc w:val="right"/>
            </w:pPr>
            <w:r>
              <w:rPr>
                <w:color w:val="1C3A36"/>
                <w:sz w:val="18"/>
              </w:rPr>
              <w:t>1.67</w:t>
            </w:r>
          </w:p>
        </w:tc>
      </w:tr>
      <w:tr>
        <w:tc>
          <w:tcPr>
            <w:tcW w:type="dxa" w:w="2664"/>
          </w:tcPr>
          <w:p>
            <w:pPr>
              <w:spacing w:after="20"/>
            </w:pPr>
            <w:r>
              <w:rPr>
                <w:b/>
                <w:color w:val="1C3A36"/>
                <w:sz w:val="18"/>
              </w:rPr>
              <w:t>+1.0pp</w:t>
            </w:r>
          </w:p>
        </w:tc>
        <w:tc>
          <w:tcPr>
            <w:tcW w:type="dxa" w:w="1368"/>
          </w:tcPr>
          <w:p>
            <w:pPr>
              <w:spacing w:after="20"/>
              <w:jc w:val="right"/>
            </w:pPr>
            <w:r>
              <w:rPr>
                <w:color w:val="1C3A36"/>
                <w:sz w:val="18"/>
              </w:rPr>
              <w:t>2.00</w:t>
            </w:r>
          </w:p>
        </w:tc>
        <w:tc>
          <w:tcPr>
            <w:tcW w:type="dxa" w:w="1368"/>
          </w:tcPr>
          <w:p>
            <w:pPr>
              <w:spacing w:after="20"/>
              <w:jc w:val="right"/>
            </w:pPr>
            <w:r>
              <w:rPr>
                <w:color w:val="1C3A36"/>
                <w:sz w:val="18"/>
              </w:rPr>
              <w:t>1.93</w:t>
            </w:r>
          </w:p>
        </w:tc>
        <w:tc>
          <w:tcPr>
            <w:tcW w:type="dxa" w:w="1368"/>
          </w:tcPr>
          <w:p>
            <w:pPr>
              <w:spacing w:after="20"/>
              <w:jc w:val="right"/>
            </w:pPr>
            <w:r>
              <w:rPr>
                <w:color w:val="1C3A36"/>
                <w:sz w:val="18"/>
              </w:rPr>
              <w:t>1.87</w:t>
            </w:r>
          </w:p>
        </w:tc>
        <w:tc>
          <w:tcPr>
            <w:tcW w:type="dxa" w:w="1368"/>
          </w:tcPr>
          <w:p>
            <w:pPr>
              <w:spacing w:after="20"/>
              <w:jc w:val="right"/>
            </w:pPr>
            <w:r>
              <w:rPr>
                <w:color w:val="1C3A36"/>
                <w:sz w:val="18"/>
              </w:rPr>
              <w:t>1.80</w:t>
            </w:r>
          </w:p>
        </w:tc>
        <w:tc>
          <w:tcPr>
            <w:tcW w:type="dxa" w:w="1368"/>
          </w:tcPr>
          <w:p>
            <w:pPr>
              <w:spacing w:after="20"/>
              <w:jc w:val="right"/>
            </w:pPr>
            <w:r>
              <w:rPr>
                <w:color w:val="1C3A36"/>
                <w:sz w:val="18"/>
              </w:rPr>
              <w:t>1.74</w:t>
            </w:r>
          </w:p>
        </w:tc>
      </w:tr>
    </w:tbl>
    <w:p>
      <w:pPr>
        <w:spacing w:after="40"/>
      </w:pPr>
    </w:p>
    <w:p>
      <w:pPr>
        <w:spacing w:after="200" w:before="0"/>
      </w:pPr>
      <w:r>
        <w:rPr>
          <w:b w:val="0"/>
          <w:i/>
          <w:color w:val="6E7B77"/>
          <w:sz w:val="17"/>
        </w:rPr>
        <w:t>Margin × working-capital glide, at the base WACC. A 4pp faster NWC normalisation is worth roughly as much as a full margin point — the crux in one row.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1944"/>
            <w:shd w:val="clear" w:color="auto" w:fill="EAF0EE"/>
          </w:tcPr>
          <w:p>
            <w:pPr>
              <w:spacing w:after="20"/>
            </w:pPr>
            <w:r>
              <w:rPr>
                <w:b/>
                <w:color w:val="1C3A36"/>
                <w:sz w:val="18"/>
              </w:rPr>
              <w:t>β</w:t>
            </w:r>
          </w:p>
        </w:tc>
        <w:tc>
          <w:tcPr>
            <w:tcW w:type="dxa" w:w="1325"/>
            <w:shd w:val="clear" w:color="auto" w:fill="EAF0EE"/>
          </w:tcPr>
          <w:p>
            <w:pPr>
              <w:spacing w:after="20"/>
            </w:pPr>
            <w:r>
              <w:rPr>
                <w:b/>
                <w:color w:val="1C3A36"/>
                <w:sz w:val="18"/>
              </w:rPr>
              <w:t>0.8</w:t>
            </w:r>
          </w:p>
        </w:tc>
        <w:tc>
          <w:tcPr>
            <w:tcW w:type="dxa" w:w="1325"/>
            <w:shd w:val="clear" w:color="auto" w:fill="EAF0EE"/>
          </w:tcPr>
          <w:p>
            <w:pPr>
              <w:spacing w:after="20"/>
            </w:pPr>
            <w:r>
              <w:rPr>
                <w:b/>
                <w:color w:val="1C3A36"/>
                <w:sz w:val="18"/>
              </w:rPr>
              <w:t>0.9</w:t>
            </w:r>
          </w:p>
        </w:tc>
        <w:tc>
          <w:tcPr>
            <w:tcW w:type="dxa" w:w="1325"/>
            <w:shd w:val="clear" w:color="auto" w:fill="EAF0EE"/>
          </w:tcPr>
          <w:p>
            <w:pPr>
              <w:spacing w:after="20"/>
            </w:pPr>
            <w:r>
              <w:rPr>
                <w:b/>
                <w:color w:val="1C3A36"/>
                <w:sz w:val="18"/>
              </w:rPr>
              <w:t>1.0</w:t>
            </w:r>
          </w:p>
        </w:tc>
        <w:tc>
          <w:tcPr>
            <w:tcW w:type="dxa" w:w="1325"/>
            <w:shd w:val="clear" w:color="auto" w:fill="EAF0EE"/>
          </w:tcPr>
          <w:p>
            <w:pPr>
              <w:spacing w:after="20"/>
            </w:pPr>
            <w:r>
              <w:rPr>
                <w:b/>
                <w:color w:val="1C3A36"/>
                <w:sz w:val="18"/>
              </w:rPr>
              <w:t>1.1</w:t>
            </w:r>
          </w:p>
        </w:tc>
        <w:tc>
          <w:tcPr>
            <w:tcW w:type="dxa" w:w="1325"/>
            <w:shd w:val="clear" w:color="auto" w:fill="EAF0EE"/>
          </w:tcPr>
          <w:p>
            <w:pPr>
              <w:spacing w:after="20"/>
            </w:pPr>
            <w:r>
              <w:rPr>
                <w:b/>
                <w:color w:val="1C3A36"/>
                <w:sz w:val="18"/>
              </w:rPr>
              <w:t>1.2</w:t>
            </w:r>
          </w:p>
        </w:tc>
        <w:tc>
          <w:tcPr>
            <w:tcW w:type="dxa" w:w="1325"/>
            <w:shd w:val="clear" w:color="auto" w:fill="EAF0EE"/>
          </w:tcPr>
          <w:p>
            <w:pPr>
              <w:spacing w:after="20"/>
            </w:pPr>
            <w:r>
              <w:rPr>
                <w:b/>
                <w:color w:val="1C3A36"/>
                <w:sz w:val="18"/>
              </w:rPr>
              <w:t>1.3</w:t>
            </w:r>
          </w:p>
        </w:tc>
      </w:tr>
      <w:tr>
        <w:tc>
          <w:tcPr>
            <w:tcW w:type="dxa" w:w="1944"/>
          </w:tcPr>
          <w:p>
            <w:pPr>
              <w:spacing w:after="20"/>
            </w:pPr>
            <w:r>
              <w:rPr>
                <w:color w:val="1C3A36"/>
                <w:sz w:val="18"/>
              </w:rPr>
              <w:t>Ke (CDS ERP)</w:t>
            </w:r>
          </w:p>
        </w:tc>
        <w:tc>
          <w:tcPr>
            <w:tcW w:type="dxa" w:w="1325"/>
          </w:tcPr>
          <w:p>
            <w:pPr>
              <w:spacing w:after="20"/>
              <w:jc w:val="right"/>
            </w:pPr>
            <w:r>
              <w:rPr>
                <w:color w:val="1C3A36"/>
                <w:sz w:val="18"/>
              </w:rPr>
              <w:t>26.7%</w:t>
            </w:r>
          </w:p>
        </w:tc>
        <w:tc>
          <w:tcPr>
            <w:tcW w:type="dxa" w:w="1325"/>
          </w:tcPr>
          <w:p>
            <w:pPr>
              <w:spacing w:after="20"/>
              <w:jc w:val="right"/>
            </w:pPr>
            <w:r>
              <w:rPr>
                <w:color w:val="1C3A36"/>
                <w:sz w:val="18"/>
              </w:rPr>
              <w:t>27.6%</w:t>
            </w:r>
          </w:p>
        </w:tc>
        <w:tc>
          <w:tcPr>
            <w:tcW w:type="dxa" w:w="1325"/>
          </w:tcPr>
          <w:p>
            <w:pPr>
              <w:spacing w:after="20"/>
              <w:jc w:val="right"/>
            </w:pPr>
            <w:r>
              <w:rPr>
                <w:color w:val="1C3A36"/>
                <w:sz w:val="18"/>
              </w:rPr>
              <w:t>28.6%</w:t>
            </w:r>
          </w:p>
        </w:tc>
        <w:tc>
          <w:tcPr>
            <w:tcW w:type="dxa" w:w="1325"/>
          </w:tcPr>
          <w:p>
            <w:pPr>
              <w:spacing w:after="20"/>
              <w:jc w:val="right"/>
            </w:pPr>
            <w:r>
              <w:rPr>
                <w:color w:val="1C3A36"/>
                <w:sz w:val="18"/>
              </w:rPr>
              <w:t>29.5%</w:t>
            </w:r>
          </w:p>
        </w:tc>
        <w:tc>
          <w:tcPr>
            <w:tcW w:type="dxa" w:w="1325"/>
          </w:tcPr>
          <w:p>
            <w:pPr>
              <w:spacing w:after="20"/>
              <w:jc w:val="right"/>
            </w:pPr>
            <w:r>
              <w:rPr>
                <w:color w:val="1C3A36"/>
                <w:sz w:val="18"/>
              </w:rPr>
              <w:t>30.4%</w:t>
            </w:r>
          </w:p>
        </w:tc>
        <w:tc>
          <w:tcPr>
            <w:tcW w:type="dxa" w:w="1325"/>
          </w:tcPr>
          <w:p>
            <w:pPr>
              <w:spacing w:after="20"/>
              <w:jc w:val="right"/>
            </w:pPr>
            <w:r>
              <w:rPr>
                <w:color w:val="1C3A36"/>
                <w:sz w:val="18"/>
              </w:rPr>
              <w:t>31.4%</w:t>
            </w:r>
          </w:p>
        </w:tc>
      </w:tr>
    </w:tbl>
    <w:p>
      <w:pPr>
        <w:spacing w:after="40"/>
      </w:pPr>
    </w:p>
    <w:p>
      <w:pPr>
        <w:spacing w:after="200" w:before="0"/>
      </w:pPr>
      <w:r>
        <w:rPr>
          <w:b w:val="0"/>
          <w:i/>
          <w:color w:val="6E7B77"/>
          <w:sz w:val="17"/>
        </w:rPr>
        <w:t>Beta grid per the EFG 0.8–1.3 house band around the fallback β=1.0.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232"/>
            <w:shd w:val="clear" w:color="auto" w:fill="EAF0EE"/>
          </w:tcPr>
          <w:p>
            <w:pPr>
              <w:spacing w:after="20"/>
            </w:pPr>
            <w:r>
              <w:rPr>
                <w:b/>
                <w:color w:val="1C3A36"/>
                <w:sz w:val="17"/>
              </w:rPr>
              <w:t>Explicit \ Terminal WACC</w:t>
            </w:r>
          </w:p>
        </w:tc>
        <w:tc>
          <w:tcPr>
            <w:tcW w:type="dxa" w:w="1440"/>
            <w:shd w:val="clear" w:color="auto" w:fill="EAF0EE"/>
          </w:tcPr>
          <w:p>
            <w:pPr>
              <w:spacing w:after="20"/>
            </w:pPr>
            <w:r>
              <w:rPr>
                <w:b/>
                <w:color w:val="1C3A36"/>
                <w:sz w:val="17"/>
              </w:rPr>
              <w:t>15.8%</w:t>
            </w:r>
          </w:p>
        </w:tc>
        <w:tc>
          <w:tcPr>
            <w:tcW w:type="dxa" w:w="1440"/>
            <w:shd w:val="clear" w:color="auto" w:fill="EAF0EE"/>
          </w:tcPr>
          <w:p>
            <w:pPr>
              <w:spacing w:after="20"/>
            </w:pPr>
            <w:r>
              <w:rPr>
                <w:b/>
                <w:color w:val="1C3A36"/>
                <w:sz w:val="17"/>
              </w:rPr>
              <w:t>17.3%</w:t>
            </w:r>
          </w:p>
        </w:tc>
        <w:tc>
          <w:tcPr>
            <w:tcW w:type="dxa" w:w="1440"/>
            <w:shd w:val="clear" w:color="auto" w:fill="EAF0EE"/>
          </w:tcPr>
          <w:p>
            <w:pPr>
              <w:spacing w:after="20"/>
            </w:pPr>
            <w:r>
              <w:rPr>
                <w:b/>
                <w:color w:val="1C3A36"/>
                <w:sz w:val="17"/>
              </w:rPr>
              <w:t>18.8%</w:t>
            </w:r>
          </w:p>
        </w:tc>
        <w:tc>
          <w:tcPr>
            <w:tcW w:type="dxa" w:w="1440"/>
            <w:shd w:val="clear" w:color="auto" w:fill="EAF0EE"/>
          </w:tcPr>
          <w:p>
            <w:pPr>
              <w:spacing w:after="20"/>
            </w:pPr>
            <w:r>
              <w:rPr>
                <w:b/>
                <w:color w:val="1C3A36"/>
                <w:sz w:val="17"/>
              </w:rPr>
              <w:t>20.3%</w:t>
            </w:r>
          </w:p>
        </w:tc>
        <w:tc>
          <w:tcPr>
            <w:tcW w:type="dxa" w:w="1440"/>
            <w:shd w:val="clear" w:color="auto" w:fill="EAF0EE"/>
          </w:tcPr>
          <w:p>
            <w:pPr>
              <w:spacing w:after="20"/>
            </w:pPr>
            <w:r>
              <w:rPr>
                <w:b/>
                <w:color w:val="1C3A36"/>
                <w:sz w:val="17"/>
              </w:rPr>
              <w:t>21.8%</w:t>
            </w:r>
          </w:p>
        </w:tc>
      </w:tr>
      <w:tr>
        <w:tc>
          <w:tcPr>
            <w:tcW w:type="dxa" w:w="2232"/>
          </w:tcPr>
          <w:p>
            <w:pPr>
              <w:spacing w:after="20"/>
            </w:pPr>
            <w:r>
              <w:rPr>
                <w:b/>
                <w:color w:val="1C3A36"/>
                <w:sz w:val="17"/>
              </w:rPr>
              <w:t>22.6%</w:t>
            </w:r>
          </w:p>
        </w:tc>
        <w:tc>
          <w:tcPr>
            <w:tcW w:type="dxa" w:w="1440"/>
          </w:tcPr>
          <w:p>
            <w:pPr>
              <w:spacing w:after="20"/>
              <w:jc w:val="right"/>
            </w:pPr>
            <w:r>
              <w:rPr>
                <w:color w:val="1C3A36"/>
                <w:sz w:val="17"/>
              </w:rPr>
              <w:t>2.61</w:t>
            </w:r>
          </w:p>
        </w:tc>
        <w:tc>
          <w:tcPr>
            <w:tcW w:type="dxa" w:w="1440"/>
          </w:tcPr>
          <w:p>
            <w:pPr>
              <w:spacing w:after="20"/>
              <w:jc w:val="right"/>
            </w:pPr>
            <w:r>
              <w:rPr>
                <w:color w:val="1C3A36"/>
                <w:sz w:val="17"/>
              </w:rPr>
              <w:t>2.22</w:t>
            </w:r>
          </w:p>
        </w:tc>
        <w:tc>
          <w:tcPr>
            <w:tcW w:type="dxa" w:w="1440"/>
          </w:tcPr>
          <w:p>
            <w:pPr>
              <w:spacing w:after="20"/>
              <w:jc w:val="right"/>
            </w:pPr>
            <w:r>
              <w:rPr>
                <w:color w:val="1C3A36"/>
                <w:sz w:val="17"/>
              </w:rPr>
              <w:t>1.92</w:t>
            </w:r>
          </w:p>
        </w:tc>
        <w:tc>
          <w:tcPr>
            <w:tcW w:type="dxa" w:w="1440"/>
          </w:tcPr>
          <w:p>
            <w:pPr>
              <w:spacing w:after="20"/>
              <w:jc w:val="right"/>
            </w:pPr>
            <w:r>
              <w:rPr>
                <w:color w:val="1C3A36"/>
                <w:sz w:val="17"/>
              </w:rPr>
              <w:t>1.68</w:t>
            </w:r>
          </w:p>
        </w:tc>
        <w:tc>
          <w:tcPr>
            <w:tcW w:type="dxa" w:w="1440"/>
          </w:tcPr>
          <w:p>
            <w:pPr>
              <w:spacing w:after="20"/>
              <w:jc w:val="right"/>
            </w:pPr>
            <w:r>
              <w:rPr>
                <w:color w:val="1C3A36"/>
                <w:sz w:val="17"/>
              </w:rPr>
              <w:t>1.48</w:t>
            </w:r>
          </w:p>
        </w:tc>
      </w:tr>
      <w:tr>
        <w:tc>
          <w:tcPr>
            <w:tcW w:type="dxa" w:w="2232"/>
          </w:tcPr>
          <w:p>
            <w:pPr>
              <w:spacing w:after="20"/>
            </w:pPr>
            <w:r>
              <w:rPr>
                <w:b/>
                <w:color w:val="1C3A36"/>
                <w:sz w:val="17"/>
              </w:rPr>
              <w:t>24.6%</w:t>
            </w:r>
          </w:p>
        </w:tc>
        <w:tc>
          <w:tcPr>
            <w:tcW w:type="dxa" w:w="1440"/>
          </w:tcPr>
          <w:p>
            <w:pPr>
              <w:spacing w:after="20"/>
              <w:jc w:val="right"/>
            </w:pPr>
            <w:r>
              <w:rPr>
                <w:color w:val="1C3A36"/>
                <w:sz w:val="17"/>
              </w:rPr>
              <w:t>2.48</w:t>
            </w:r>
          </w:p>
        </w:tc>
        <w:tc>
          <w:tcPr>
            <w:tcW w:type="dxa" w:w="1440"/>
          </w:tcPr>
          <w:p>
            <w:pPr>
              <w:spacing w:after="20"/>
              <w:jc w:val="right"/>
            </w:pPr>
            <w:r>
              <w:rPr>
                <w:color w:val="1C3A36"/>
                <w:sz w:val="17"/>
              </w:rPr>
              <w:t>2.12</w:t>
            </w:r>
          </w:p>
        </w:tc>
        <w:tc>
          <w:tcPr>
            <w:tcW w:type="dxa" w:w="1440"/>
          </w:tcPr>
          <w:p>
            <w:pPr>
              <w:spacing w:after="20"/>
              <w:jc w:val="right"/>
            </w:pPr>
            <w:r>
              <w:rPr>
                <w:color w:val="1C3A36"/>
                <w:sz w:val="17"/>
              </w:rPr>
              <w:t>1.83</w:t>
            </w:r>
          </w:p>
        </w:tc>
        <w:tc>
          <w:tcPr>
            <w:tcW w:type="dxa" w:w="1440"/>
          </w:tcPr>
          <w:p>
            <w:pPr>
              <w:spacing w:after="20"/>
              <w:jc w:val="right"/>
            </w:pPr>
            <w:r>
              <w:rPr>
                <w:color w:val="1C3A36"/>
                <w:sz w:val="17"/>
              </w:rPr>
              <w:t>1.59</w:t>
            </w:r>
          </w:p>
        </w:tc>
        <w:tc>
          <w:tcPr>
            <w:tcW w:type="dxa" w:w="1440"/>
          </w:tcPr>
          <w:p>
            <w:pPr>
              <w:spacing w:after="20"/>
              <w:jc w:val="right"/>
            </w:pPr>
            <w:r>
              <w:rPr>
                <w:color w:val="1C3A36"/>
                <w:sz w:val="17"/>
              </w:rPr>
              <w:t>1.40</w:t>
            </w:r>
          </w:p>
        </w:tc>
      </w:tr>
      <w:tr>
        <w:tc>
          <w:tcPr>
            <w:tcW w:type="dxa" w:w="2232"/>
            <w:shd w:val="clear" w:color="auto" w:fill="F6F1E6"/>
          </w:tcPr>
          <w:p>
            <w:pPr>
              <w:spacing w:after="20"/>
            </w:pPr>
            <w:r>
              <w:rPr>
                <w:b/>
                <w:color w:val="1C3A36"/>
                <w:sz w:val="17"/>
              </w:rPr>
              <w:t>26.6%</w:t>
            </w:r>
          </w:p>
        </w:tc>
        <w:tc>
          <w:tcPr>
            <w:tcW w:type="dxa" w:w="1440"/>
            <w:shd w:val="clear" w:color="auto" w:fill="F6F1E6"/>
          </w:tcPr>
          <w:p>
            <w:pPr>
              <w:spacing w:after="20"/>
              <w:jc w:val="right"/>
            </w:pPr>
            <w:r>
              <w:rPr>
                <w:b/>
                <w:color w:val="1C3A36"/>
                <w:sz w:val="17"/>
              </w:rPr>
              <w:t>2.37</w:t>
            </w:r>
          </w:p>
        </w:tc>
        <w:tc>
          <w:tcPr>
            <w:tcW w:type="dxa" w:w="1440"/>
            <w:shd w:val="clear" w:color="auto" w:fill="F6F1E6"/>
          </w:tcPr>
          <w:p>
            <w:pPr>
              <w:spacing w:after="20"/>
              <w:jc w:val="right"/>
            </w:pPr>
            <w:r>
              <w:rPr>
                <w:b/>
                <w:color w:val="1C3A36"/>
                <w:sz w:val="17"/>
              </w:rPr>
              <w:t>2.01</w:t>
            </w:r>
          </w:p>
        </w:tc>
        <w:tc>
          <w:tcPr>
            <w:tcW w:type="dxa" w:w="1440"/>
            <w:shd w:val="clear" w:color="auto" w:fill="F6F1E6"/>
          </w:tcPr>
          <w:p>
            <w:pPr>
              <w:spacing w:after="20"/>
              <w:jc w:val="right"/>
            </w:pPr>
            <w:r>
              <w:rPr>
                <w:b/>
                <w:color w:val="1C3A36"/>
                <w:sz w:val="17"/>
              </w:rPr>
              <w:t>1.73</w:t>
            </w:r>
          </w:p>
        </w:tc>
        <w:tc>
          <w:tcPr>
            <w:tcW w:type="dxa" w:w="1440"/>
            <w:shd w:val="clear" w:color="auto" w:fill="F6F1E6"/>
          </w:tcPr>
          <w:p>
            <w:pPr>
              <w:spacing w:after="20"/>
              <w:jc w:val="right"/>
            </w:pPr>
            <w:r>
              <w:rPr>
                <w:b/>
                <w:color w:val="1C3A36"/>
                <w:sz w:val="17"/>
              </w:rPr>
              <w:t>1.51</w:t>
            </w:r>
          </w:p>
        </w:tc>
        <w:tc>
          <w:tcPr>
            <w:tcW w:type="dxa" w:w="1440"/>
            <w:shd w:val="clear" w:color="auto" w:fill="F6F1E6"/>
          </w:tcPr>
          <w:p>
            <w:pPr>
              <w:spacing w:after="20"/>
              <w:jc w:val="right"/>
            </w:pPr>
            <w:r>
              <w:rPr>
                <w:b/>
                <w:color w:val="1C3A36"/>
                <w:sz w:val="17"/>
              </w:rPr>
              <w:t>1.32</w:t>
            </w:r>
          </w:p>
        </w:tc>
      </w:tr>
      <w:tr>
        <w:tc>
          <w:tcPr>
            <w:tcW w:type="dxa" w:w="2232"/>
          </w:tcPr>
          <w:p>
            <w:pPr>
              <w:spacing w:after="20"/>
            </w:pPr>
            <w:r>
              <w:rPr>
                <w:b/>
                <w:color w:val="1C3A36"/>
                <w:sz w:val="17"/>
              </w:rPr>
              <w:t>28.6%</w:t>
            </w:r>
          </w:p>
        </w:tc>
        <w:tc>
          <w:tcPr>
            <w:tcW w:type="dxa" w:w="1440"/>
          </w:tcPr>
          <w:p>
            <w:pPr>
              <w:spacing w:after="20"/>
              <w:jc w:val="right"/>
            </w:pPr>
            <w:r>
              <w:rPr>
                <w:color w:val="1C3A36"/>
                <w:sz w:val="17"/>
              </w:rPr>
              <w:t>2.26</w:t>
            </w:r>
          </w:p>
        </w:tc>
        <w:tc>
          <w:tcPr>
            <w:tcW w:type="dxa" w:w="1440"/>
          </w:tcPr>
          <w:p>
            <w:pPr>
              <w:spacing w:after="20"/>
              <w:jc w:val="right"/>
            </w:pPr>
            <w:r>
              <w:rPr>
                <w:color w:val="1C3A36"/>
                <w:sz w:val="17"/>
              </w:rPr>
              <w:t>1.91</w:t>
            </w:r>
          </w:p>
        </w:tc>
        <w:tc>
          <w:tcPr>
            <w:tcW w:type="dxa" w:w="1440"/>
          </w:tcPr>
          <w:p>
            <w:pPr>
              <w:spacing w:after="20"/>
              <w:jc w:val="right"/>
            </w:pPr>
            <w:r>
              <w:rPr>
                <w:color w:val="1C3A36"/>
                <w:sz w:val="17"/>
              </w:rPr>
              <w:t>1.64</w:t>
            </w:r>
          </w:p>
        </w:tc>
        <w:tc>
          <w:tcPr>
            <w:tcW w:type="dxa" w:w="1440"/>
          </w:tcPr>
          <w:p>
            <w:pPr>
              <w:spacing w:after="20"/>
              <w:jc w:val="right"/>
            </w:pPr>
            <w:r>
              <w:rPr>
                <w:color w:val="1C3A36"/>
                <w:sz w:val="17"/>
              </w:rPr>
              <w:t>1.43</w:t>
            </w:r>
          </w:p>
        </w:tc>
        <w:tc>
          <w:tcPr>
            <w:tcW w:type="dxa" w:w="1440"/>
          </w:tcPr>
          <w:p>
            <w:pPr>
              <w:spacing w:after="20"/>
              <w:jc w:val="right"/>
            </w:pPr>
            <w:r>
              <w:rPr>
                <w:color w:val="1C3A36"/>
                <w:sz w:val="17"/>
              </w:rPr>
              <w:t>1.25</w:t>
            </w:r>
          </w:p>
        </w:tc>
      </w:tr>
      <w:tr>
        <w:tc>
          <w:tcPr>
            <w:tcW w:type="dxa" w:w="2232"/>
          </w:tcPr>
          <w:p>
            <w:pPr>
              <w:spacing w:after="20"/>
            </w:pPr>
            <w:r>
              <w:rPr>
                <w:b/>
                <w:color w:val="1C3A36"/>
                <w:sz w:val="17"/>
              </w:rPr>
              <w:t>30.6%</w:t>
            </w:r>
          </w:p>
        </w:tc>
        <w:tc>
          <w:tcPr>
            <w:tcW w:type="dxa" w:w="1440"/>
          </w:tcPr>
          <w:p>
            <w:pPr>
              <w:spacing w:after="20"/>
              <w:jc w:val="right"/>
            </w:pPr>
            <w:r>
              <w:rPr>
                <w:color w:val="1C3A36"/>
                <w:sz w:val="17"/>
              </w:rPr>
              <w:t>2.15</w:t>
            </w:r>
          </w:p>
        </w:tc>
        <w:tc>
          <w:tcPr>
            <w:tcW w:type="dxa" w:w="1440"/>
          </w:tcPr>
          <w:p>
            <w:pPr>
              <w:spacing w:after="20"/>
              <w:jc w:val="right"/>
            </w:pPr>
            <w:r>
              <w:rPr>
                <w:color w:val="1C3A36"/>
                <w:sz w:val="17"/>
              </w:rPr>
              <w:t>1.82</w:t>
            </w:r>
          </w:p>
        </w:tc>
        <w:tc>
          <w:tcPr>
            <w:tcW w:type="dxa" w:w="1440"/>
          </w:tcPr>
          <w:p>
            <w:pPr>
              <w:spacing w:after="20"/>
              <w:jc w:val="right"/>
            </w:pPr>
            <w:r>
              <w:rPr>
                <w:color w:val="1C3A36"/>
                <w:sz w:val="17"/>
              </w:rPr>
              <w:t>1.56</w:t>
            </w:r>
          </w:p>
        </w:tc>
        <w:tc>
          <w:tcPr>
            <w:tcW w:type="dxa" w:w="1440"/>
          </w:tcPr>
          <w:p>
            <w:pPr>
              <w:spacing w:after="20"/>
              <w:jc w:val="right"/>
            </w:pPr>
            <w:r>
              <w:rPr>
                <w:color w:val="1C3A36"/>
                <w:sz w:val="17"/>
              </w:rPr>
              <w:t>1.35</w:t>
            </w:r>
          </w:p>
        </w:tc>
        <w:tc>
          <w:tcPr>
            <w:tcW w:type="dxa" w:w="1440"/>
          </w:tcPr>
          <w:p>
            <w:pPr>
              <w:spacing w:after="20"/>
              <w:jc w:val="right"/>
            </w:pPr>
            <w:r>
              <w:rPr>
                <w:color w:val="1C3A36"/>
                <w:sz w:val="17"/>
              </w:rPr>
              <w:t>1.18</w:t>
            </w:r>
          </w:p>
        </w:tc>
      </w:tr>
    </w:tbl>
    <w:p>
      <w:pPr>
        <w:spacing w:after="40"/>
      </w:pPr>
    </w:p>
    <w:p>
      <w:pPr>
        <w:spacing w:after="200" w:before="0"/>
      </w:pPr>
      <w:r>
        <w:rPr>
          <w:b w:val="0"/>
          <w:i/>
          <w:color w:val="6E7B77"/>
          <w:sz w:val="17"/>
        </w:rPr>
        <w:t>MANDATORY per the Ke/Kd/WACC addendum (13-Jul-2026): explicit-window rate × terminal-anchor rate, both varied independently around the base case (explicit 26.6%, terminal 18.8%, norm-built from Egypt’s 20-year corridor history — never backed out of a market price). This is the honest replacement for a single flat WACC×g grid: it shows what the valuation needs the ECONOMY to do, not just what growth rate the model needs.</w:t>
      </w:r>
    </w:p>
    <w:p>
      <w:pPr>
        <w:spacing w:after="40"/>
        <w:jc w:val="center"/>
      </w:pPr>
      <w:r>
        <w:drawing>
          <wp:inline xmlns:a="http://schemas.openxmlformats.org/drawingml/2006/main" xmlns:pic="http://schemas.openxmlformats.org/drawingml/2006/picture">
            <wp:extent cx="5120640" cy="2485016"/>
            <wp:docPr id="5" name="Picture 5"/>
            <wp:cNvGraphicFramePr>
              <a:graphicFrameLocks noChangeAspect="1"/>
            </wp:cNvGraphicFramePr>
            <a:graphic>
              <a:graphicData uri="http://schemas.openxmlformats.org/drawingml/2006/picture">
                <pic:pic>
                  <pic:nvPicPr>
                    <pic:cNvPr id="0" name="fig7_sens.png"/>
                    <pic:cNvPicPr/>
                  </pic:nvPicPr>
                  <pic:blipFill>
                    <a:blip r:embed="rId13"/>
                    <a:stretch>
                      <a:fillRect/>
                    </a:stretch>
                  </pic:blipFill>
                  <pic:spPr>
                    <a:xfrm>
                      <a:off x="0" y="0"/>
                      <a:ext cx="5120640" cy="2485016"/>
                    </a:xfrm>
                    <a:prstGeom prst="rect"/>
                  </pic:spPr>
                </pic:pic>
              </a:graphicData>
            </a:graphic>
          </wp:inline>
        </w:drawing>
      </w:r>
    </w:p>
    <w:p>
      <w:pPr>
        <w:spacing w:after="200" w:before="0"/>
      </w:pPr>
      <w:r>
        <w:rPr>
          <w:b w:val="0"/>
          <w:i/>
          <w:color w:val="6E7B77"/>
          <w:sz w:val="17"/>
        </w:rPr>
        <w:t>Figure 7. The WACC × terminal-growth surface: the valuation is a rates question wearing a pharma costume.</w:t>
      </w:r>
    </w:p>
    <w:p>
      <w:pPr>
        <w:spacing w:after="120" w:before="280"/>
      </w:pPr>
      <w:r>
        <w:rPr>
          <w:b/>
          <w:i w:val="0"/>
          <w:color w:val="1C3A36"/>
          <w:sz w:val="30"/>
        </w:rPr>
        <w:t>2  Technical and price structure</w:t>
      </w:r>
    </w:p>
    <w:p>
      <w:pPr>
        <w:spacing w:after="120" w:before="0"/>
      </w:pPr>
      <w:r>
        <w:rPr>
          <w:b w:val="0"/>
          <w:i w:val="0"/>
          <w:color w:val="1C3A36"/>
          <w:sz w:val="21"/>
        </w:rPr>
        <w:t>The tape is a ten-month recovery resting just below a fresh all-time high. RMDA printed its 52-week intraday low of 3.02 on 1-Sep-2025, ground through the winter (January closes 3.09–3.30), accelerated through the spring (March 4.06–4.71), and printed its all-time intraday high of 5.38 on 8-Jun-2026 (close peak 5.29 on 9-Jun) — today's 5.00 is +66% off the September base and ~7% below that June high. The 60-day change is still +16.3% while the 20-day is -1.6%: the leg has stalled, not reversed. Spot sits a whisker BELOW the 20-day average (−0.4%) and just above the 50-day (+0.8%), with the 100/200-day stack far beneath; RSI at 50 is dead neutral and the MACD histogram has rolled fractionally negative — momentum cooling inside an intact uptrend, a pause rather than a reversal on the tape alone. Realized volatility (30% trailing year) is ordinary for an EGX small-cap and roughly double a GCC blue chip — the cone in §3 is wide because the tape is, not by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448"/>
            <w:shd w:val="clear" w:color="auto" w:fill="EAF0EE"/>
          </w:tcPr>
          <w:p>
            <w:pPr>
              <w:spacing w:after="20"/>
            </w:pPr>
            <w:r>
              <w:rPr>
                <w:b/>
                <w:color w:val="1C3A36"/>
                <w:sz w:val="17"/>
              </w:rPr>
              <w:t>Indicator</w:t>
            </w:r>
          </w:p>
        </w:tc>
        <w:tc>
          <w:tcPr>
            <w:tcW w:type="dxa" w:w="3888"/>
            <w:shd w:val="clear" w:color="auto" w:fill="EAF0EE"/>
          </w:tcPr>
          <w:p>
            <w:pPr>
              <w:spacing w:after="20"/>
            </w:pPr>
            <w:r>
              <w:rPr>
                <w:b/>
                <w:color w:val="1C3A36"/>
                <w:sz w:val="17"/>
              </w:rPr>
              <w:t>Reading</w:t>
            </w:r>
          </w:p>
        </w:tc>
        <w:tc>
          <w:tcPr>
            <w:tcW w:type="dxa" w:w="3600"/>
            <w:shd w:val="clear" w:color="auto" w:fill="EAF0EE"/>
          </w:tcPr>
          <w:p>
            <w:pPr>
              <w:spacing w:after="20"/>
            </w:pPr>
            <w:r>
              <w:rPr>
                <w:b/>
                <w:color w:val="1C3A36"/>
                <w:sz w:val="17"/>
              </w:rPr>
              <w:t>Signal</w:t>
            </w:r>
          </w:p>
        </w:tc>
      </w:tr>
      <w:tr>
        <w:tc>
          <w:tcPr>
            <w:tcW w:type="dxa" w:w="2448"/>
          </w:tcPr>
          <w:p>
            <w:pPr>
              <w:spacing w:after="20"/>
            </w:pPr>
            <w:r>
              <w:rPr>
                <w:b/>
                <w:color w:val="1C3A36"/>
                <w:sz w:val="17"/>
              </w:rPr>
              <w:t>Spot (12-Jul-2026)</w:t>
            </w:r>
          </w:p>
        </w:tc>
        <w:tc>
          <w:tcPr>
            <w:tcW w:type="dxa" w:w="3888"/>
          </w:tcPr>
          <w:p>
            <w:pPr>
              <w:spacing w:after="20"/>
              <w:jc w:val="right"/>
            </w:pPr>
            <w:r>
              <w:rPr>
                <w:color w:val="1C3A36"/>
                <w:sz w:val="17"/>
              </w:rPr>
              <w:t>EGP 5.00</w:t>
            </w:r>
          </w:p>
        </w:tc>
        <w:tc>
          <w:tcPr>
            <w:tcW w:type="dxa" w:w="3600"/>
          </w:tcPr>
          <w:p>
            <w:pPr>
              <w:spacing w:after="20"/>
              <w:jc w:val="right"/>
            </w:pPr>
            <w:r>
              <w:rPr>
                <w:color w:val="1C3A36"/>
                <w:sz w:val="17"/>
              </w:rPr>
              <w:t>—</w:t>
            </w:r>
          </w:p>
        </w:tc>
      </w:tr>
      <w:tr>
        <w:tc>
          <w:tcPr>
            <w:tcW w:type="dxa" w:w="2448"/>
          </w:tcPr>
          <w:p>
            <w:pPr>
              <w:spacing w:after="20"/>
            </w:pPr>
            <w:r>
              <w:rPr>
                <w:b/>
                <w:color w:val="1C3A36"/>
                <w:sz w:val="17"/>
              </w:rPr>
              <w:t>SMA 20 / 50</w:t>
            </w:r>
          </w:p>
        </w:tc>
        <w:tc>
          <w:tcPr>
            <w:tcW w:type="dxa" w:w="3888"/>
          </w:tcPr>
          <w:p>
            <w:pPr>
              <w:spacing w:after="20"/>
              <w:jc w:val="right"/>
            </w:pPr>
            <w:r>
              <w:rPr>
                <w:color w:val="1C3A36"/>
                <w:sz w:val="17"/>
              </w:rPr>
              <w:t>EGP 5.02 / 4.96</w:t>
            </w:r>
          </w:p>
        </w:tc>
        <w:tc>
          <w:tcPr>
            <w:tcW w:type="dxa" w:w="3600"/>
          </w:tcPr>
          <w:p>
            <w:pPr>
              <w:spacing w:after="20"/>
              <w:jc w:val="right"/>
            </w:pPr>
            <w:r>
              <w:rPr>
                <w:color w:val="1C3A36"/>
                <w:sz w:val="17"/>
              </w:rPr>
              <w:t>Spot −0.4% / +0.8% — sitting ON the short stack, trend flattening</w:t>
            </w:r>
          </w:p>
        </w:tc>
      </w:tr>
      <w:tr>
        <w:tc>
          <w:tcPr>
            <w:tcW w:type="dxa" w:w="2448"/>
          </w:tcPr>
          <w:p>
            <w:pPr>
              <w:spacing w:after="20"/>
            </w:pPr>
            <w:r>
              <w:rPr>
                <w:b/>
                <w:color w:val="1C3A36"/>
                <w:sz w:val="17"/>
              </w:rPr>
              <w:t>SMA 100 / 200</w:t>
            </w:r>
          </w:p>
        </w:tc>
        <w:tc>
          <w:tcPr>
            <w:tcW w:type="dxa" w:w="3888"/>
          </w:tcPr>
          <w:p>
            <w:pPr>
              <w:spacing w:after="20"/>
              <w:jc w:val="right"/>
            </w:pPr>
            <w:r>
              <w:rPr>
                <w:color w:val="1C3A36"/>
                <w:sz w:val="17"/>
              </w:rPr>
              <w:t>EGP 4.63 / 3.92</w:t>
            </w:r>
          </w:p>
        </w:tc>
        <w:tc>
          <w:tcPr>
            <w:tcW w:type="dxa" w:w="3600"/>
          </w:tcPr>
          <w:p>
            <w:pPr>
              <w:spacing w:after="20"/>
              <w:jc w:val="right"/>
            </w:pPr>
            <w:r>
              <w:rPr>
                <w:color w:val="1C3A36"/>
                <w:sz w:val="17"/>
              </w:rPr>
              <w:t>Spot +8% / +28% above — the recovery leg is intact</w:t>
            </w:r>
          </w:p>
        </w:tc>
      </w:tr>
      <w:tr>
        <w:tc>
          <w:tcPr>
            <w:tcW w:type="dxa" w:w="2448"/>
          </w:tcPr>
          <w:p>
            <w:pPr>
              <w:spacing w:after="20"/>
            </w:pPr>
            <w:r>
              <w:rPr>
                <w:b/>
                <w:color w:val="1C3A36"/>
                <w:sz w:val="17"/>
              </w:rPr>
              <w:t>RSI (14)</w:t>
            </w:r>
          </w:p>
        </w:tc>
        <w:tc>
          <w:tcPr>
            <w:tcW w:type="dxa" w:w="3888"/>
          </w:tcPr>
          <w:p>
            <w:pPr>
              <w:spacing w:after="20"/>
              <w:jc w:val="right"/>
            </w:pPr>
            <w:r>
              <w:rPr>
                <w:color w:val="1C3A36"/>
                <w:sz w:val="17"/>
              </w:rPr>
              <w:t>49.7</w:t>
            </w:r>
          </w:p>
        </w:tc>
        <w:tc>
          <w:tcPr>
            <w:tcW w:type="dxa" w:w="3600"/>
          </w:tcPr>
          <w:p>
            <w:pPr>
              <w:spacing w:after="20"/>
              <w:jc w:val="right"/>
            </w:pPr>
            <w:r>
              <w:rPr>
                <w:color w:val="1C3A36"/>
                <w:sz w:val="17"/>
              </w:rPr>
              <w:t>Dead neutral</w:t>
            </w:r>
          </w:p>
        </w:tc>
      </w:tr>
      <w:tr>
        <w:tc>
          <w:tcPr>
            <w:tcW w:type="dxa" w:w="2448"/>
          </w:tcPr>
          <w:p>
            <w:pPr>
              <w:spacing w:after="20"/>
            </w:pPr>
            <w:r>
              <w:rPr>
                <w:b/>
                <w:color w:val="1C3A36"/>
                <w:sz w:val="17"/>
              </w:rPr>
              <w:t>MACD (12,26,9)</w:t>
            </w:r>
          </w:p>
        </w:tc>
        <w:tc>
          <w:tcPr>
            <w:tcW w:type="dxa" w:w="3888"/>
          </w:tcPr>
          <w:p>
            <w:pPr>
              <w:spacing w:after="20"/>
              <w:jc w:val="right"/>
            </w:pPr>
            <w:r>
              <w:rPr>
                <w:color w:val="1C3A36"/>
                <w:sz w:val="17"/>
              </w:rPr>
              <w:t>+0.006 line / +0.015 signal / -0.009 hist</w:t>
            </w:r>
          </w:p>
        </w:tc>
        <w:tc>
          <w:tcPr>
            <w:tcW w:type="dxa" w:w="3600"/>
          </w:tcPr>
          <w:p>
            <w:pPr>
              <w:spacing w:after="20"/>
              <w:jc w:val="right"/>
            </w:pPr>
            <w:r>
              <w:rPr>
                <w:color w:val="1C3A36"/>
                <w:sz w:val="17"/>
              </w:rPr>
              <w:t>Histogram fractionally negative: momentum cooling</w:t>
            </w:r>
          </w:p>
        </w:tc>
      </w:tr>
      <w:tr>
        <w:tc>
          <w:tcPr>
            <w:tcW w:type="dxa" w:w="2448"/>
          </w:tcPr>
          <w:p>
            <w:pPr>
              <w:spacing w:after="20"/>
            </w:pPr>
            <w:r>
              <w:rPr>
                <w:b/>
                <w:color w:val="1C3A36"/>
                <w:sz w:val="17"/>
              </w:rPr>
              <w:t>52-week range</w:t>
            </w:r>
          </w:p>
        </w:tc>
        <w:tc>
          <w:tcPr>
            <w:tcW w:type="dxa" w:w="3888"/>
          </w:tcPr>
          <w:p>
            <w:pPr>
              <w:spacing w:after="20"/>
              <w:jc w:val="right"/>
            </w:pPr>
            <w:r>
              <w:rPr>
                <w:color w:val="1C3A36"/>
                <w:sz w:val="17"/>
              </w:rPr>
              <w:t>EGP 3.02 – 5.38</w:t>
            </w:r>
          </w:p>
        </w:tc>
        <w:tc>
          <w:tcPr>
            <w:tcW w:type="dxa" w:w="3600"/>
          </w:tcPr>
          <w:p>
            <w:pPr>
              <w:spacing w:after="20"/>
              <w:jc w:val="right"/>
            </w:pPr>
            <w:r>
              <w:rPr>
                <w:color w:val="1C3A36"/>
                <w:sz w:val="17"/>
              </w:rPr>
              <w:t>Low 1-Sep-25, high 8-Jun-26 (intraday); spot at the 84th percentile</w:t>
            </w:r>
          </w:p>
        </w:tc>
      </w:tr>
      <w:tr>
        <w:tc>
          <w:tcPr>
            <w:tcW w:type="dxa" w:w="2448"/>
          </w:tcPr>
          <w:p>
            <w:pPr>
              <w:spacing w:after="20"/>
            </w:pPr>
            <w:r>
              <w:rPr>
                <w:b/>
                <w:color w:val="1C3A36"/>
                <w:sz w:val="17"/>
              </w:rPr>
              <w:t>20-day / 60-day change</w:t>
            </w:r>
          </w:p>
        </w:tc>
        <w:tc>
          <w:tcPr>
            <w:tcW w:type="dxa" w:w="3888"/>
          </w:tcPr>
          <w:p>
            <w:pPr>
              <w:spacing w:after="20"/>
              <w:jc w:val="right"/>
            </w:pPr>
            <w:r>
              <w:rPr>
                <w:color w:val="1C3A36"/>
                <w:sz w:val="17"/>
              </w:rPr>
              <w:t>-1.6% / +16.3%</w:t>
            </w:r>
          </w:p>
        </w:tc>
        <w:tc>
          <w:tcPr>
            <w:tcW w:type="dxa" w:w="3600"/>
          </w:tcPr>
          <w:p>
            <w:pPr>
              <w:spacing w:after="20"/>
              <w:jc w:val="right"/>
            </w:pPr>
            <w:r>
              <w:rPr>
                <w:color w:val="1C3A36"/>
                <w:sz w:val="17"/>
              </w:rPr>
              <w:t>Strong quarter, stalling month</w:t>
            </w:r>
          </w:p>
        </w:tc>
      </w:tr>
      <w:tr>
        <w:tc>
          <w:tcPr>
            <w:tcW w:type="dxa" w:w="2448"/>
          </w:tcPr>
          <w:p>
            <w:pPr>
              <w:spacing w:after="20"/>
            </w:pPr>
            <w:r>
              <w:rPr>
                <w:b/>
                <w:color w:val="1C3A36"/>
                <w:sz w:val="17"/>
              </w:rPr>
              <w:t>Realized vol (252d)</w:t>
            </w:r>
          </w:p>
        </w:tc>
        <w:tc>
          <w:tcPr>
            <w:tcW w:type="dxa" w:w="3888"/>
          </w:tcPr>
          <w:p>
            <w:pPr>
              <w:spacing w:after="20"/>
              <w:jc w:val="right"/>
            </w:pPr>
            <w:r>
              <w:rPr>
                <w:color w:val="1C3A36"/>
                <w:sz w:val="17"/>
              </w:rPr>
              <w:t>30.2%</w:t>
            </w:r>
          </w:p>
        </w:tc>
        <w:tc>
          <w:tcPr>
            <w:tcW w:type="dxa" w:w="3600"/>
          </w:tcPr>
          <w:p>
            <w:pPr>
              <w:spacing w:after="20"/>
              <w:jc w:val="right"/>
            </w:pPr>
            <w:r>
              <w:rPr>
                <w:color w:val="1C3A36"/>
                <w:sz w:val="17"/>
              </w:rPr>
              <w:t>Typical EGX small-cap; sets the cone width</w:t>
            </w:r>
          </w:p>
        </w:tc>
      </w:tr>
    </w:tbl>
    <w:p>
      <w:pPr>
        <w:spacing w:after="40"/>
      </w:pPr>
    </w:p>
    <w:p>
      <w:pPr>
        <w:spacing w:after="40"/>
        <w:jc w:val="center"/>
      </w:pPr>
      <w:r>
        <w:drawing>
          <wp:inline xmlns:a="http://schemas.openxmlformats.org/drawingml/2006/main" xmlns:pic="http://schemas.openxmlformats.org/drawingml/2006/picture">
            <wp:extent cx="5943600" cy="2464420"/>
            <wp:docPr id="6" name="Picture 6"/>
            <wp:cNvGraphicFramePr>
              <a:graphicFrameLocks noChangeAspect="1"/>
            </wp:cNvGraphicFramePr>
            <a:graphic>
              <a:graphicData uri="http://schemas.openxmlformats.org/drawingml/2006/picture">
                <pic:pic>
                  <pic:nvPicPr>
                    <pic:cNvPr id="0" name="fig1_price.png"/>
                    <pic:cNvPicPr/>
                  </pic:nvPicPr>
                  <pic:blipFill>
                    <a:blip r:embed="rId14"/>
                    <a:stretch>
                      <a:fillRect/>
                    </a:stretch>
                  </pic:blipFill>
                  <pic:spPr>
                    <a:xfrm>
                      <a:off x="0" y="0"/>
                      <a:ext cx="5943600" cy="2464420"/>
                    </a:xfrm>
                    <a:prstGeom prst="rect"/>
                  </pic:spPr>
                </pic:pic>
              </a:graphicData>
            </a:graphic>
          </wp:inline>
        </w:drawing>
      </w:r>
    </w:p>
    <w:p>
      <w:pPr>
        <w:spacing w:after="200" w:before="0"/>
      </w:pPr>
      <w:r>
        <w:rPr>
          <w:b w:val="0"/>
          <w:i/>
          <w:color w:val="6E7B77"/>
          <w:sz w:val="17"/>
        </w:rPr>
        <w:t>Figure 1. Price versus the moving-average stack since listing (Dec-2019). The Sep-2025 low and the run to June-2026’s all-time high frame today’s 5.00 — a pause ~7% below a fresh peak, not a failure at an old one.</w:t>
      </w:r>
    </w:p>
    <w:p>
      <w:pPr>
        <w:spacing w:after="120" w:before="0"/>
      </w:pPr>
      <w:r>
        <w:rPr>
          <w:b w:val="0"/>
          <w:i w:val="0"/>
          <w:color w:val="1C3A36"/>
          <w:sz w:val="19"/>
        </w:rPr>
        <w:t>For the probabilistic work this matters in one way: a 30-vol tape produces a genuinely wide three-month cone — the 5–95% band in §3 spans −21% to +37% of spot — so the distribution, not any point inside it, is the honest object. The technical picture neither confirms nor contradicts the fundamental read of §1; it says the market has already voted +66% off the September-2025 base and is waiting for the next print.</w:t>
      </w:r>
    </w:p>
    <w:p>
      <w:pPr>
        <w:spacing w:after="120" w:before="280"/>
      </w:pPr>
      <w:r>
        <w:rPr>
          <w:b/>
          <w:i w:val="0"/>
          <w:color w:val="1C3A36"/>
          <w:sz w:val="30"/>
        </w:rPr>
        <w:t>3  Monte Carlo — a probabilistic price map</w:t>
      </w:r>
    </w:p>
    <w:p>
      <w:pPr>
        <w:spacing w:after="80" w:before="0"/>
      </w:pPr>
      <w:r>
        <w:rPr>
          <w:b w:val="0"/>
          <w:i w:val="0"/>
          <w:color w:val="1C3A36"/>
          <w:sz w:val="19"/>
        </w:rPr>
        <w:t>The probability read below opens the section, per house presentation: computed from the same 50,000 paths as everything that follows, it is a summary of the distribution, not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752"/>
            <w:shd w:val="clear" w:color="auto" w:fill="F6F1E6"/>
          </w:tcPr>
          <w:p>
            <w:pPr>
              <w:spacing w:after="20"/>
            </w:pPr>
            <w:r>
              <w:rPr>
                <w:b/>
                <w:color w:val="1C3A36"/>
                <w:sz w:val="18"/>
              </w:rPr>
              <w:t>The probability read (T+60)</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P(price above spot)</w:t>
            </w:r>
          </w:p>
        </w:tc>
        <w:tc>
          <w:tcPr>
            <w:tcW w:type="dxa" w:w="4752"/>
          </w:tcPr>
          <w:p>
            <w:pPr>
              <w:spacing w:after="20"/>
              <w:jc w:val="right"/>
            </w:pPr>
            <w:r>
              <w:rPr>
                <w:color w:val="1C3A36"/>
                <w:sz w:val="18"/>
              </w:rPr>
              <w:t>62%</w:t>
            </w:r>
          </w:p>
        </w:tc>
      </w:tr>
      <w:tr>
        <w:tc>
          <w:tcPr>
            <w:tcW w:type="dxa" w:w="4752"/>
          </w:tcPr>
          <w:p>
            <w:pPr>
              <w:spacing w:after="20"/>
            </w:pPr>
            <w:r>
              <w:rPr>
                <w:b/>
                <w:color w:val="1C3A36"/>
                <w:sz w:val="18"/>
              </w:rPr>
              <w:t>P(+10%) vs P(−10%) — the odds</w:t>
            </w:r>
          </w:p>
        </w:tc>
        <w:tc>
          <w:tcPr>
            <w:tcW w:type="dxa" w:w="4752"/>
          </w:tcPr>
          <w:p>
            <w:pPr>
              <w:spacing w:after="20"/>
              <w:jc w:val="right"/>
            </w:pPr>
            <w:r>
              <w:rPr>
                <w:color w:val="1C3A36"/>
                <w:sz w:val="18"/>
              </w:rPr>
              <w:t>34% vs 16%  ·  2.1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EGP 5.20  (+4.1%)</w:t>
            </w:r>
          </w:p>
        </w:tc>
      </w:tr>
      <w:tr>
        <w:tc>
          <w:tcPr>
            <w:tcW w:type="dxa" w:w="4752"/>
          </w:tcPr>
          <w:p>
            <w:pPr>
              <w:spacing w:after="20"/>
            </w:pPr>
            <w:r>
              <w:rPr>
                <w:b/>
                <w:color w:val="1C3A36"/>
                <w:sz w:val="18"/>
              </w:rPr>
              <w:t>The 50% band (25th–75th)</w:t>
            </w:r>
          </w:p>
        </w:tc>
        <w:tc>
          <w:tcPr>
            <w:tcW w:type="dxa" w:w="4752"/>
          </w:tcPr>
          <w:p>
            <w:pPr>
              <w:spacing w:after="20"/>
              <w:jc w:val="right"/>
            </w:pPr>
            <w:r>
              <w:rPr>
                <w:color w:val="1C3A36"/>
                <w:sz w:val="18"/>
              </w:rPr>
              <w:t>EGP 4.73 – 5.73   (-5.4% / +14.6% of spot)</w:t>
            </w:r>
          </w:p>
        </w:tc>
      </w:tr>
      <w:tr>
        <w:tc>
          <w:tcPr>
            <w:tcW w:type="dxa" w:w="4752"/>
          </w:tcPr>
          <w:p>
            <w:pPr>
              <w:spacing w:after="20"/>
            </w:pPr>
            <w:r>
              <w:rPr>
                <w:b/>
                <w:color w:val="1C3A36"/>
                <w:sz w:val="18"/>
              </w:rPr>
              <w:t>Touch(+10%) / touch(−10%) at any point</w:t>
            </w:r>
          </w:p>
        </w:tc>
        <w:tc>
          <w:tcPr>
            <w:tcW w:type="dxa" w:w="4752"/>
          </w:tcPr>
          <w:p>
            <w:pPr>
              <w:spacing w:after="20"/>
              <w:jc w:val="right"/>
            </w:pPr>
            <w:r>
              <w:rPr>
                <w:color w:val="1C3A36"/>
                <w:sz w:val="18"/>
              </w:rPr>
              <w:t>55%  /  34%</w:t>
            </w:r>
          </w:p>
        </w:tc>
      </w:tr>
    </w:tbl>
    <w:p>
      <w:pPr>
        <w:spacing w:after="40"/>
      </w:pPr>
    </w:p>
    <w:p>
      <w:pPr>
        <w:spacing w:after="120" w:before="0"/>
      </w:pPr>
      <w:r>
        <w:rPr>
          <w:b w:val="0"/>
          <w:i w:val="0"/>
          <w:color w:val="1C3A36"/>
          <w:sz w:val="21"/>
        </w:rPr>
        <w:t>We simulate 50,000 three-month price paths (seed 42) with the carry-anchored YZ-HAR-t v3 engine. Width: a pooled log-HAR cascade (variance lags 1/5/22) on a gap-aware Yang–Zhang variance proxy projects the average daily variance over the next 60 sessions — a 60-session distribution width of ≈18.4% (annualized ≈37.7% with the panel width factor applied), moderately above the 30% trailing print because the HAR reads the current regime, not the year’s average. Shape: unit-variance Student-t innovations via a per-path chi-square mixture, with the (ν, width_cal) pair fitted jointly by MLE on the pooled Egypt panel’s LONO cross-fitted residuals — the pair is the honest object; ν alone is weakly identified and we do not quote it as precise. Drift: CARRY ONLY — ln(1+rf) − ln(1+q) at the live CBE-anchored rf of 19.50% and the 1.2% dividend yield, ≈+4.0% over the quarter. The live Egypt profile runs NO signal drift (set by ablation on the panel, not by assumption), and no factor stack is embedded in the paths: the catalyst map of §5 is a reading aid, not a drift input.</w:t>
      </w:r>
    </w:p>
    <w:p>
      <w:pPr>
        <w:spacing w:after="120" w:before="0"/>
      </w:pPr>
      <w:r>
        <w:rPr>
          <w:b/>
          <w:i w:val="0"/>
          <w:color w:val="1C3A36"/>
          <w:sz w:val="21"/>
        </w:rPr>
        <w:t xml:space="preserve">By design the paths diffuse from spot as near-term price and deliberately do not embed the fundamental fair value. </w:t>
      </w:r>
      <w:r>
        <w:rPr>
          <w:b w:val="0"/>
          <w:i w:val="0"/>
          <w:color w:val="1C3A36"/>
          <w:sz w:val="21"/>
        </w:rPr>
        <w:t>The −45% value gap of §1 lives in §1 only. §3 maps where PRICE could plausibly go in three months from EGP 5.00; the median you see is spot plus carry — never a target, and never the §1 gap smuggled into the drift. These are the two clocks of the house method, kept apart on purpose.</w:t>
      </w: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2088"/>
            <w:shd w:val="clear" w:color="auto" w:fill="EAF0EE"/>
          </w:tcPr>
          <w:p>
            <w:pPr>
              <w:spacing w:after="20"/>
            </w:pPr>
            <w:r>
              <w:rPr>
                <w:b/>
                <w:color w:val="1C3A36"/>
                <w:sz w:val="18"/>
              </w:rPr>
              <w:t>Horizon</w:t>
            </w:r>
          </w:p>
        </w:tc>
        <w:tc>
          <w:tcPr>
            <w:tcW w:type="dxa" w:w="1080"/>
            <w:shd w:val="clear" w:color="auto" w:fill="EAF0EE"/>
          </w:tcPr>
          <w:p>
            <w:pPr>
              <w:spacing w:after="20"/>
            </w:pPr>
            <w:r>
              <w:rPr>
                <w:b/>
                <w:color w:val="1C3A36"/>
                <w:sz w:val="18"/>
              </w:rPr>
              <w:t>p5</w:t>
            </w:r>
          </w:p>
        </w:tc>
        <w:tc>
          <w:tcPr>
            <w:tcW w:type="dxa" w:w="1080"/>
            <w:shd w:val="clear" w:color="auto" w:fill="EAF0EE"/>
          </w:tcPr>
          <w:p>
            <w:pPr>
              <w:spacing w:after="20"/>
            </w:pPr>
            <w:r>
              <w:rPr>
                <w:b/>
                <w:color w:val="1C3A36"/>
                <w:sz w:val="18"/>
              </w:rPr>
              <w:t>p10</w:t>
            </w:r>
          </w:p>
        </w:tc>
        <w:tc>
          <w:tcPr>
            <w:tcW w:type="dxa" w:w="1080"/>
            <w:shd w:val="clear" w:color="auto" w:fill="EAF0EE"/>
          </w:tcPr>
          <w:p>
            <w:pPr>
              <w:spacing w:after="20"/>
            </w:pPr>
            <w:r>
              <w:rPr>
                <w:b/>
                <w:color w:val="1C3A36"/>
                <w:sz w:val="18"/>
              </w:rPr>
              <w:t>p25</w:t>
            </w:r>
          </w:p>
        </w:tc>
        <w:tc>
          <w:tcPr>
            <w:tcW w:type="dxa" w:w="1080"/>
            <w:shd w:val="clear" w:color="auto" w:fill="EAF0EE"/>
          </w:tcPr>
          <w:p>
            <w:pPr>
              <w:spacing w:after="20"/>
            </w:pPr>
            <w:r>
              <w:rPr>
                <w:b/>
                <w:color w:val="1C3A36"/>
                <w:sz w:val="18"/>
              </w:rPr>
              <w:t>p50</w:t>
            </w:r>
          </w:p>
        </w:tc>
        <w:tc>
          <w:tcPr>
            <w:tcW w:type="dxa" w:w="1080"/>
            <w:shd w:val="clear" w:color="auto" w:fill="EAF0EE"/>
          </w:tcPr>
          <w:p>
            <w:pPr>
              <w:spacing w:after="20"/>
            </w:pPr>
            <w:r>
              <w:rPr>
                <w:b/>
                <w:color w:val="1C3A36"/>
                <w:sz w:val="18"/>
              </w:rPr>
              <w:t>p75</w:t>
            </w:r>
          </w:p>
        </w:tc>
        <w:tc>
          <w:tcPr>
            <w:tcW w:type="dxa" w:w="1080"/>
            <w:shd w:val="clear" w:color="auto" w:fill="EAF0EE"/>
          </w:tcPr>
          <w:p>
            <w:pPr>
              <w:spacing w:after="20"/>
            </w:pPr>
            <w:r>
              <w:rPr>
                <w:b/>
                <w:color w:val="1C3A36"/>
                <w:sz w:val="18"/>
              </w:rPr>
              <w:t>p90</w:t>
            </w:r>
          </w:p>
        </w:tc>
        <w:tc>
          <w:tcPr>
            <w:tcW w:type="dxa" w:w="1080"/>
            <w:shd w:val="clear" w:color="auto" w:fill="EAF0EE"/>
          </w:tcPr>
          <w:p>
            <w:pPr>
              <w:spacing w:after="20"/>
            </w:pPr>
            <w:r>
              <w:rPr>
                <w:b/>
                <w:color w:val="1C3A36"/>
                <w:sz w:val="18"/>
              </w:rPr>
              <w:t>p95</w:t>
            </w:r>
          </w:p>
        </w:tc>
      </w:tr>
      <w:tr>
        <w:tc>
          <w:tcPr>
            <w:tcW w:type="dxa" w:w="2088"/>
          </w:tcPr>
          <w:p>
            <w:pPr>
              <w:spacing w:after="20"/>
            </w:pPr>
            <w:r>
              <w:rPr>
                <w:b/>
                <w:color w:val="1C3A36"/>
                <w:sz w:val="18"/>
              </w:rPr>
              <w:t>T+20 sessions</w:t>
            </w:r>
          </w:p>
        </w:tc>
        <w:tc>
          <w:tcPr>
            <w:tcW w:type="dxa" w:w="1080"/>
          </w:tcPr>
          <w:p>
            <w:pPr>
              <w:spacing w:after="20"/>
              <w:jc w:val="right"/>
            </w:pPr>
            <w:r>
              <w:rPr>
                <w:color w:val="1C3A36"/>
                <w:sz w:val="18"/>
              </w:rPr>
              <w:t>4.32</w:t>
            </w:r>
          </w:p>
        </w:tc>
        <w:tc>
          <w:tcPr>
            <w:tcW w:type="dxa" w:w="1080"/>
          </w:tcPr>
          <w:p>
            <w:pPr>
              <w:spacing w:after="20"/>
              <w:jc w:val="right"/>
            </w:pPr>
            <w:r>
              <w:rPr>
                <w:color w:val="1C3A36"/>
                <w:sz w:val="18"/>
              </w:rPr>
              <w:t>4.52</w:t>
            </w:r>
          </w:p>
        </w:tc>
        <w:tc>
          <w:tcPr>
            <w:tcW w:type="dxa" w:w="1080"/>
          </w:tcPr>
          <w:p>
            <w:pPr>
              <w:spacing w:after="20"/>
              <w:jc w:val="right"/>
            </w:pPr>
            <w:r>
              <w:rPr>
                <w:color w:val="1C3A36"/>
                <w:sz w:val="18"/>
              </w:rPr>
              <w:t>4.80</w:t>
            </w:r>
          </w:p>
        </w:tc>
        <w:tc>
          <w:tcPr>
            <w:tcW w:type="dxa" w:w="1080"/>
          </w:tcPr>
          <w:p>
            <w:pPr>
              <w:spacing w:after="20"/>
              <w:jc w:val="right"/>
            </w:pPr>
            <w:r>
              <w:rPr>
                <w:color w:val="1C3A36"/>
                <w:sz w:val="18"/>
              </w:rPr>
              <w:t>5.07</w:t>
            </w:r>
          </w:p>
        </w:tc>
        <w:tc>
          <w:tcPr>
            <w:tcW w:type="dxa" w:w="1080"/>
          </w:tcPr>
          <w:p>
            <w:pPr>
              <w:spacing w:after="20"/>
              <w:jc w:val="right"/>
            </w:pPr>
            <w:r>
              <w:rPr>
                <w:color w:val="1C3A36"/>
                <w:sz w:val="18"/>
              </w:rPr>
              <w:t>5.36</w:t>
            </w:r>
          </w:p>
        </w:tc>
        <w:tc>
          <w:tcPr>
            <w:tcW w:type="dxa" w:w="1080"/>
          </w:tcPr>
          <w:p>
            <w:pPr>
              <w:spacing w:after="20"/>
              <w:jc w:val="right"/>
            </w:pPr>
            <w:r>
              <w:rPr>
                <w:color w:val="1C3A36"/>
                <w:sz w:val="18"/>
              </w:rPr>
              <w:t>5.69</w:t>
            </w:r>
          </w:p>
        </w:tc>
        <w:tc>
          <w:tcPr>
            <w:tcW w:type="dxa" w:w="1080"/>
          </w:tcPr>
          <w:p>
            <w:pPr>
              <w:spacing w:after="20"/>
              <w:jc w:val="right"/>
            </w:pPr>
            <w:r>
              <w:rPr>
                <w:color w:val="1C3A36"/>
                <w:sz w:val="18"/>
              </w:rPr>
              <w:t>5.95</w:t>
            </w:r>
          </w:p>
        </w:tc>
      </w:tr>
      <w:tr>
        <w:tc>
          <w:tcPr>
            <w:tcW w:type="dxa" w:w="2088"/>
          </w:tcPr>
          <w:p>
            <w:pPr>
              <w:spacing w:after="20"/>
            </w:pPr>
            <w:r>
              <w:rPr>
                <w:b/>
                <w:color w:val="1C3A36"/>
                <w:sz w:val="18"/>
              </w:rPr>
              <w:t>T+60 sessions</w:t>
            </w:r>
          </w:p>
        </w:tc>
        <w:tc>
          <w:tcPr>
            <w:tcW w:type="dxa" w:w="1080"/>
          </w:tcPr>
          <w:p>
            <w:pPr>
              <w:spacing w:after="20"/>
              <w:jc w:val="right"/>
            </w:pPr>
            <w:r>
              <w:rPr>
                <w:color w:val="1C3A36"/>
                <w:sz w:val="18"/>
              </w:rPr>
              <w:t>3.95</w:t>
            </w:r>
          </w:p>
        </w:tc>
        <w:tc>
          <w:tcPr>
            <w:tcW w:type="dxa" w:w="1080"/>
          </w:tcPr>
          <w:p>
            <w:pPr>
              <w:spacing w:after="20"/>
              <w:jc w:val="right"/>
            </w:pPr>
            <w:r>
              <w:rPr>
                <w:color w:val="1C3A36"/>
                <w:sz w:val="18"/>
              </w:rPr>
              <w:t>4.27</w:t>
            </w:r>
          </w:p>
        </w:tc>
        <w:tc>
          <w:tcPr>
            <w:tcW w:type="dxa" w:w="1080"/>
          </w:tcPr>
          <w:p>
            <w:pPr>
              <w:spacing w:after="20"/>
              <w:jc w:val="right"/>
            </w:pPr>
            <w:r>
              <w:rPr>
                <w:color w:val="1C3A36"/>
                <w:sz w:val="18"/>
              </w:rPr>
              <w:t>4.73</w:t>
            </w:r>
          </w:p>
        </w:tc>
        <w:tc>
          <w:tcPr>
            <w:tcW w:type="dxa" w:w="1080"/>
          </w:tcPr>
          <w:p>
            <w:pPr>
              <w:spacing w:after="20"/>
              <w:jc w:val="right"/>
            </w:pPr>
            <w:r>
              <w:rPr>
                <w:color w:val="1C3A36"/>
                <w:sz w:val="18"/>
              </w:rPr>
              <w:t>5.20</w:t>
            </w:r>
          </w:p>
        </w:tc>
        <w:tc>
          <w:tcPr>
            <w:tcW w:type="dxa" w:w="1080"/>
          </w:tcPr>
          <w:p>
            <w:pPr>
              <w:spacing w:after="20"/>
              <w:jc w:val="right"/>
            </w:pPr>
            <w:r>
              <w:rPr>
                <w:color w:val="1C3A36"/>
                <w:sz w:val="18"/>
              </w:rPr>
              <w:t>5.73</w:t>
            </w:r>
          </w:p>
        </w:tc>
        <w:tc>
          <w:tcPr>
            <w:tcW w:type="dxa" w:w="1080"/>
          </w:tcPr>
          <w:p>
            <w:pPr>
              <w:spacing w:after="20"/>
              <w:jc w:val="right"/>
            </w:pPr>
            <w:r>
              <w:rPr>
                <w:color w:val="1C3A36"/>
                <w:sz w:val="18"/>
              </w:rPr>
              <w:t>6.34</w:t>
            </w:r>
          </w:p>
        </w:tc>
        <w:tc>
          <w:tcPr>
            <w:tcW w:type="dxa" w:w="1080"/>
          </w:tcPr>
          <w:p>
            <w:pPr>
              <w:spacing w:after="20"/>
              <w:jc w:val="right"/>
            </w:pPr>
            <w:r>
              <w:rPr>
                <w:color w:val="1C3A36"/>
                <w:sz w:val="18"/>
              </w:rPr>
              <w:t>6.84</w:t>
            </w:r>
          </w:p>
        </w:tc>
      </w:tr>
    </w:tbl>
    <w:p>
      <w:pPr>
        <w:spacing w:after="40"/>
      </w:pPr>
    </w:p>
    <w:p>
      <w:pPr>
        <w:spacing w:after="120" w:before="0"/>
      </w:pPr>
      <w:r>
        <w:rPr>
          <w:b w:val="0"/>
          <w:i w:val="0"/>
          <w:color w:val="1C3A36"/>
          <w:sz w:val="19"/>
        </w:rPr>
        <w:t>Lead with the 50% band, not the tails: a quarter ahead, half of all paths finish between EGP 4.73 and 5.73 (-5.4% / +14.6%); at one month the band is EGP 4.80–5.36. The p5–p95 cone (EGP 3.95–6.84) is context, not a forecast. The 61.5% P(above) is the carry doing its work on a 19.5%-rate currency — it is a statement about money’s time value, not about Rameda.</w:t>
      </w:r>
    </w:p>
    <w:p>
      <w:pPr>
        <w:spacing w:after="40"/>
        <w:jc w:val="center"/>
      </w:pPr>
      <w:r>
        <w:drawing>
          <wp:inline xmlns:a="http://schemas.openxmlformats.org/drawingml/2006/main" xmlns:pic="http://schemas.openxmlformats.org/drawingml/2006/picture">
            <wp:extent cx="5852160" cy="2569241"/>
            <wp:docPr id="7" name="Picture 7"/>
            <wp:cNvGraphicFramePr>
              <a:graphicFrameLocks noChangeAspect="1"/>
            </wp:cNvGraphicFramePr>
            <a:graphic>
              <a:graphicData uri="http://schemas.openxmlformats.org/drawingml/2006/picture">
                <pic:pic>
                  <pic:nvPicPr>
                    <pic:cNvPr id="0" name="fig2_fan.png"/>
                    <pic:cNvPicPr/>
                  </pic:nvPicPr>
                  <pic:blipFill>
                    <a:blip r:embed="rId15"/>
                    <a:stretch>
                      <a:fillRect/>
                    </a:stretch>
                  </pic:blipFill>
                  <pic:spPr>
                    <a:xfrm>
                      <a:off x="0" y="0"/>
                      <a:ext cx="5852160" cy="2569241"/>
                    </a:xfrm>
                    <a:prstGeom prst="rect"/>
                  </pic:spPr>
                </pic:pic>
              </a:graphicData>
            </a:graphic>
          </wp:inline>
        </w:drawing>
      </w:r>
    </w:p>
    <w:p>
      <w:pPr>
        <w:spacing w:after="200" w:before="0"/>
      </w:pPr>
      <w:r>
        <w:rPr>
          <w:b w:val="0"/>
          <w:i/>
          <w:color w:val="6E7B77"/>
          <w:sz w:val="17"/>
        </w:rPr>
        <w:t>Figure 2. Forward price cone to T+60 (p5/p25/p50/p75/p95). The median drifts up at the carry; the brass dashed line marks the EGP 2.74 fundamental central — deliberately far below the cone, because the cone prices the next three months and the central prices the business (the two clocks).</w:t>
      </w:r>
    </w:p>
    <w:p>
      <w:pPr>
        <w:spacing w:after="40"/>
        <w:jc w:val="center"/>
      </w:pPr>
      <w:r>
        <w:drawing>
          <wp:inline xmlns:a="http://schemas.openxmlformats.org/drawingml/2006/main" xmlns:pic="http://schemas.openxmlformats.org/drawingml/2006/picture">
            <wp:extent cx="5120640" cy="2248086"/>
            <wp:docPr id="8" name="Picture 8"/>
            <wp:cNvGraphicFramePr>
              <a:graphicFrameLocks noChangeAspect="1"/>
            </wp:cNvGraphicFramePr>
            <a:graphic>
              <a:graphicData uri="http://schemas.openxmlformats.org/drawingml/2006/picture">
                <pic:pic>
                  <pic:nvPicPr>
                    <pic:cNvPr id="0" name="fig3_dist.png"/>
                    <pic:cNvPicPr/>
                  </pic:nvPicPr>
                  <pic:blipFill>
                    <a:blip r:embed="rId16"/>
                    <a:stretch>
                      <a:fillRect/>
                    </a:stretch>
                  </pic:blipFill>
                  <pic:spPr>
                    <a:xfrm>
                      <a:off x="0" y="0"/>
                      <a:ext cx="5120640" cy="2248086"/>
                    </a:xfrm>
                    <a:prstGeom prst="rect"/>
                  </pic:spPr>
                </pic:pic>
              </a:graphicData>
            </a:graphic>
          </wp:inline>
        </w:drawing>
      </w:r>
    </w:p>
    <w:p>
      <w:pPr>
        <w:spacing w:after="200" w:before="0"/>
      </w:pPr>
      <w:r>
        <w:rPr>
          <w:b w:val="0"/>
          <w:i/>
          <w:color w:val="6E7B77"/>
          <w:sz w:val="17"/>
        </w:rPr>
        <w:t>Figure 3. Terminal price distribution at T+60 with the §6 probability zones shaded.</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(running max for upside levels, running min for downside):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Level (EGP)</w:t>
            </w:r>
          </w:p>
        </w:tc>
        <w:tc>
          <w:tcPr>
            <w:tcW w:type="dxa" w:w="1728"/>
            <w:shd w:val="clear" w:color="auto" w:fill="EAF0EE"/>
          </w:tcPr>
          <w:p>
            <w:pPr>
              <w:spacing w:after="20"/>
            </w:pPr>
            <w:r>
              <w:rPr>
                <w:b/>
                <w:color w:val="1C3A36"/>
                <w:sz w:val="18"/>
              </w:rPr>
              <w:t>T+20 touch</w:t>
            </w:r>
          </w:p>
        </w:tc>
        <w:tc>
          <w:tcPr>
            <w:tcW w:type="dxa" w:w="1728"/>
            <w:shd w:val="clear" w:color="auto" w:fill="EAF0EE"/>
          </w:tcPr>
          <w:p>
            <w:pPr>
              <w:spacing w:after="20"/>
            </w:pPr>
            <w:r>
              <w:rPr>
                <w:b/>
                <w:color w:val="1C3A36"/>
                <w:sz w:val="18"/>
              </w:rPr>
              <w:t>T+60 touch</w:t>
            </w:r>
          </w:p>
        </w:tc>
        <w:tc>
          <w:tcPr>
            <w:tcW w:type="dxa" w:w="4320"/>
            <w:shd w:val="clear" w:color="auto" w:fill="EAF0EE"/>
          </w:tcPr>
          <w:p>
            <w:pPr>
              <w:spacing w:after="20"/>
            </w:pPr>
            <w:r>
              <w:rPr>
                <w:b/>
                <w:color w:val="1C3A36"/>
                <w:sz w:val="18"/>
              </w:rPr>
              <w:t>Note</w:t>
            </w:r>
          </w:p>
        </w:tc>
      </w:tr>
      <w:tr>
        <w:tc>
          <w:tcPr>
            <w:tcW w:type="dxa" w:w="1728"/>
          </w:tcPr>
          <w:p>
            <w:pPr>
              <w:spacing w:after="20"/>
            </w:pPr>
            <w:r>
              <w:rPr>
                <w:b/>
                <w:color w:val="1C3A36"/>
                <w:sz w:val="18"/>
              </w:rPr>
              <w:t>6.50</w:t>
            </w:r>
          </w:p>
        </w:tc>
        <w:tc>
          <w:tcPr>
            <w:tcW w:type="dxa" w:w="1728"/>
          </w:tcPr>
          <w:p>
            <w:pPr>
              <w:spacing w:after="20"/>
              <w:jc w:val="right"/>
            </w:pPr>
            <w:r>
              <w:rPr>
                <w:color w:val="1C3A36"/>
                <w:sz w:val="18"/>
              </w:rPr>
              <w:t>2%</w:t>
            </w:r>
          </w:p>
        </w:tc>
        <w:tc>
          <w:tcPr>
            <w:tcW w:type="dxa" w:w="1728"/>
          </w:tcPr>
          <w:p>
            <w:pPr>
              <w:spacing w:after="20"/>
              <w:jc w:val="right"/>
            </w:pPr>
            <w:r>
              <w:rPr>
                <w:color w:val="1C3A36"/>
                <w:sz w:val="18"/>
              </w:rPr>
              <w:t>13%</w:t>
            </w:r>
          </w:p>
        </w:tc>
        <w:tc>
          <w:tcPr>
            <w:tcW w:type="dxa" w:w="4320"/>
          </w:tcPr>
          <w:p>
            <w:pPr>
              <w:spacing w:after="20"/>
              <w:jc w:val="right"/>
            </w:pPr>
            <w:r>
              <w:rPr>
                <w:color w:val="1C3A36"/>
                <w:sz w:val="18"/>
              </w:rPr>
              <w:t>+30%; deep in the right tail</w:t>
            </w:r>
          </w:p>
        </w:tc>
      </w:tr>
      <w:tr>
        <w:tc>
          <w:tcPr>
            <w:tcW w:type="dxa" w:w="1728"/>
          </w:tcPr>
          <w:p>
            <w:pPr>
              <w:spacing w:after="20"/>
            </w:pPr>
            <w:r>
              <w:rPr>
                <w:b/>
                <w:color w:val="1C3A36"/>
                <w:sz w:val="18"/>
              </w:rPr>
              <w:t>6.00</w:t>
            </w:r>
          </w:p>
        </w:tc>
        <w:tc>
          <w:tcPr>
            <w:tcW w:type="dxa" w:w="1728"/>
          </w:tcPr>
          <w:p>
            <w:pPr>
              <w:spacing w:after="20"/>
              <w:jc w:val="right"/>
            </w:pPr>
            <w:r>
              <w:rPr>
                <w:color w:val="1C3A36"/>
                <w:sz w:val="18"/>
              </w:rPr>
              <w:t>7%</w:t>
            </w:r>
          </w:p>
        </w:tc>
        <w:tc>
          <w:tcPr>
            <w:tcW w:type="dxa" w:w="1728"/>
          </w:tcPr>
          <w:p>
            <w:pPr>
              <w:spacing w:after="20"/>
              <w:jc w:val="right"/>
            </w:pPr>
            <w:r>
              <w:rPr>
                <w:color w:val="1C3A36"/>
                <w:sz w:val="18"/>
              </w:rPr>
              <w:t>27%</w:t>
            </w:r>
          </w:p>
        </w:tc>
        <w:tc>
          <w:tcPr>
            <w:tcW w:type="dxa" w:w="4320"/>
          </w:tcPr>
          <w:p>
            <w:pPr>
              <w:spacing w:after="20"/>
              <w:jc w:val="right"/>
            </w:pPr>
            <w:r>
              <w:rPr>
                <w:color w:val="1C3A36"/>
                <w:sz w:val="18"/>
              </w:rPr>
              <w:t>+20%; round number</w:t>
            </w:r>
          </w:p>
        </w:tc>
      </w:tr>
      <w:tr>
        <w:tc>
          <w:tcPr>
            <w:tcW w:type="dxa" w:w="1728"/>
          </w:tcPr>
          <w:p>
            <w:pPr>
              <w:spacing w:after="20"/>
            </w:pPr>
            <w:r>
              <w:rPr>
                <w:b/>
                <w:color w:val="1C3A36"/>
                <w:sz w:val="18"/>
              </w:rPr>
              <w:t>5.75</w:t>
            </w:r>
          </w:p>
        </w:tc>
        <w:tc>
          <w:tcPr>
            <w:tcW w:type="dxa" w:w="1728"/>
          </w:tcPr>
          <w:p>
            <w:pPr>
              <w:spacing w:after="20"/>
              <w:jc w:val="right"/>
            </w:pPr>
            <w:r>
              <w:rPr>
                <w:color w:val="1C3A36"/>
                <w:sz w:val="18"/>
              </w:rPr>
              <w:t>13%</w:t>
            </w:r>
          </w:p>
        </w:tc>
        <w:tc>
          <w:tcPr>
            <w:tcW w:type="dxa" w:w="1728"/>
          </w:tcPr>
          <w:p>
            <w:pPr>
              <w:spacing w:after="20"/>
              <w:jc w:val="right"/>
            </w:pPr>
            <w:r>
              <w:rPr>
                <w:color w:val="1C3A36"/>
                <w:sz w:val="18"/>
              </w:rPr>
              <w:t>39%</w:t>
            </w:r>
          </w:p>
        </w:tc>
        <w:tc>
          <w:tcPr>
            <w:tcW w:type="dxa" w:w="4320"/>
          </w:tcPr>
          <w:p>
            <w:pPr>
              <w:spacing w:after="20"/>
              <w:jc w:val="right"/>
            </w:pPr>
            <w:r>
              <w:rPr>
                <w:color w:val="1C3A36"/>
                <w:sz w:val="18"/>
              </w:rPr>
              <w:t>Upper 50%-band edge</w:t>
            </w:r>
          </w:p>
        </w:tc>
      </w:tr>
      <w:tr>
        <w:tc>
          <w:tcPr>
            <w:tcW w:type="dxa" w:w="1728"/>
          </w:tcPr>
          <w:p>
            <w:pPr>
              <w:spacing w:after="20"/>
            </w:pPr>
            <w:r>
              <w:rPr>
                <w:b/>
                <w:color w:val="1C3A36"/>
                <w:sz w:val="18"/>
              </w:rPr>
              <w:t>5.50</w:t>
            </w:r>
          </w:p>
        </w:tc>
        <w:tc>
          <w:tcPr>
            <w:tcW w:type="dxa" w:w="1728"/>
          </w:tcPr>
          <w:p>
            <w:pPr>
              <w:spacing w:after="20"/>
              <w:jc w:val="right"/>
            </w:pPr>
            <w:r>
              <w:rPr>
                <w:color w:val="1C3A36"/>
                <w:sz w:val="18"/>
              </w:rPr>
              <w:t>26%</w:t>
            </w:r>
          </w:p>
        </w:tc>
        <w:tc>
          <w:tcPr>
            <w:tcW w:type="dxa" w:w="1728"/>
          </w:tcPr>
          <w:p>
            <w:pPr>
              <w:spacing w:after="20"/>
              <w:jc w:val="right"/>
            </w:pPr>
            <w:r>
              <w:rPr>
                <w:color w:val="1C3A36"/>
                <w:sz w:val="18"/>
              </w:rPr>
              <w:t>55%</w:t>
            </w:r>
          </w:p>
        </w:tc>
        <w:tc>
          <w:tcPr>
            <w:tcW w:type="dxa" w:w="4320"/>
          </w:tcPr>
          <w:p>
            <w:pPr>
              <w:spacing w:after="20"/>
              <w:jc w:val="right"/>
            </w:pPr>
            <w:r>
              <w:rPr>
                <w:color w:val="1C3A36"/>
                <w:sz w:val="18"/>
              </w:rPr>
              <w:t>+10%; first resistance zone</w:t>
            </w:r>
          </w:p>
        </w:tc>
      </w:tr>
      <w:tr>
        <w:tc>
          <w:tcPr>
            <w:tcW w:type="dxa" w:w="1728"/>
          </w:tcPr>
          <w:p>
            <w:pPr>
              <w:spacing w:after="20"/>
            </w:pPr>
            <w:r>
              <w:rPr>
                <w:b/>
                <w:color w:val="1C3A36"/>
                <w:sz w:val="18"/>
              </w:rPr>
              <w:t>5.25</w:t>
            </w:r>
          </w:p>
        </w:tc>
        <w:tc>
          <w:tcPr>
            <w:tcW w:type="dxa" w:w="1728"/>
          </w:tcPr>
          <w:p>
            <w:pPr>
              <w:spacing w:after="20"/>
              <w:jc w:val="right"/>
            </w:pPr>
            <w:r>
              <w:rPr>
                <w:color w:val="1C3A36"/>
                <w:sz w:val="18"/>
              </w:rPr>
              <w:t>53%</w:t>
            </w:r>
          </w:p>
        </w:tc>
        <w:tc>
          <w:tcPr>
            <w:tcW w:type="dxa" w:w="1728"/>
          </w:tcPr>
          <w:p>
            <w:pPr>
              <w:spacing w:after="20"/>
              <w:jc w:val="right"/>
            </w:pPr>
            <w:r>
              <w:rPr>
                <w:color w:val="1C3A36"/>
                <w:sz w:val="18"/>
              </w:rPr>
              <w:t>75%</w:t>
            </w:r>
          </w:p>
        </w:tc>
        <w:tc>
          <w:tcPr>
            <w:tcW w:type="dxa" w:w="4320"/>
          </w:tcPr>
          <w:p>
            <w:pPr>
              <w:spacing w:after="20"/>
              <w:jc w:val="right"/>
            </w:pPr>
            <w:r>
              <w:rPr>
                <w:color w:val="1C3A36"/>
                <w:sz w:val="18"/>
              </w:rPr>
              <w:t>Just above spot</w:t>
            </w:r>
          </w:p>
        </w:tc>
      </w:tr>
      <w:tr>
        <w:tc>
          <w:tcPr>
            <w:tcW w:type="dxa" w:w="1728"/>
          </w:tcPr>
          <w:p>
            <w:pPr>
              <w:spacing w:after="20"/>
            </w:pPr>
            <w:r>
              <w:rPr>
                <w:b/>
                <w:color w:val="1C3A36"/>
                <w:sz w:val="18"/>
              </w:rPr>
              <w:t>4.75</w:t>
            </w:r>
          </w:p>
        </w:tc>
        <w:tc>
          <w:tcPr>
            <w:tcW w:type="dxa" w:w="1728"/>
          </w:tcPr>
          <w:p>
            <w:pPr>
              <w:spacing w:after="20"/>
              <w:jc w:val="right"/>
            </w:pPr>
            <w:r>
              <w:rPr>
                <w:color w:val="1C3A36"/>
                <w:sz w:val="18"/>
              </w:rPr>
              <w:t>40%</w:t>
            </w:r>
          </w:p>
        </w:tc>
        <w:tc>
          <w:tcPr>
            <w:tcW w:type="dxa" w:w="1728"/>
          </w:tcPr>
          <w:p>
            <w:pPr>
              <w:spacing w:after="20"/>
              <w:jc w:val="right"/>
            </w:pPr>
            <w:r>
              <w:rPr>
                <w:color w:val="1C3A36"/>
                <w:sz w:val="18"/>
              </w:rPr>
              <w:t>57%</w:t>
            </w:r>
          </w:p>
        </w:tc>
        <w:tc>
          <w:tcPr>
            <w:tcW w:type="dxa" w:w="4320"/>
          </w:tcPr>
          <w:p>
            <w:pPr>
              <w:spacing w:after="20"/>
              <w:jc w:val="right"/>
            </w:pPr>
            <w:r>
              <w:rPr>
                <w:color w:val="1C3A36"/>
                <w:sz w:val="18"/>
              </w:rPr>
              <w:t>Lower 50%-band edge</w:t>
            </w:r>
          </w:p>
        </w:tc>
      </w:tr>
      <w:tr>
        <w:tc>
          <w:tcPr>
            <w:tcW w:type="dxa" w:w="1728"/>
          </w:tcPr>
          <w:p>
            <w:pPr>
              <w:spacing w:after="20"/>
            </w:pPr>
            <w:r>
              <w:rPr>
                <w:b/>
                <w:color w:val="1C3A36"/>
                <w:sz w:val="18"/>
              </w:rPr>
              <w:t>4.50</w:t>
            </w:r>
          </w:p>
        </w:tc>
        <w:tc>
          <w:tcPr>
            <w:tcW w:type="dxa" w:w="1728"/>
          </w:tcPr>
          <w:p>
            <w:pPr>
              <w:spacing w:after="20"/>
              <w:jc w:val="right"/>
            </w:pPr>
            <w:r>
              <w:rPr>
                <w:color w:val="1C3A36"/>
                <w:sz w:val="18"/>
              </w:rPr>
              <w:t>16%</w:t>
            </w:r>
          </w:p>
        </w:tc>
        <w:tc>
          <w:tcPr>
            <w:tcW w:type="dxa" w:w="1728"/>
          </w:tcPr>
          <w:p>
            <w:pPr>
              <w:spacing w:after="20"/>
              <w:jc w:val="right"/>
            </w:pPr>
            <w:r>
              <w:rPr>
                <w:color w:val="1C3A36"/>
                <w:sz w:val="18"/>
              </w:rPr>
              <w:t>34%</w:t>
            </w:r>
          </w:p>
        </w:tc>
        <w:tc>
          <w:tcPr>
            <w:tcW w:type="dxa" w:w="4320"/>
          </w:tcPr>
          <w:p>
            <w:pPr>
              <w:spacing w:after="20"/>
              <w:jc w:val="right"/>
            </w:pPr>
            <w:r>
              <w:rPr>
                <w:color w:val="1C3A36"/>
                <w:sz w:val="18"/>
              </w:rPr>
              <w:t>−10%; the June shelf</w:t>
            </w:r>
          </w:p>
        </w:tc>
      </w:tr>
      <w:tr>
        <w:tc>
          <w:tcPr>
            <w:tcW w:type="dxa" w:w="1728"/>
          </w:tcPr>
          <w:p>
            <w:pPr>
              <w:spacing w:after="20"/>
            </w:pPr>
            <w:r>
              <w:rPr>
                <w:b/>
                <w:color w:val="1C3A36"/>
                <w:sz w:val="18"/>
              </w:rPr>
              <w:t>4.25</w:t>
            </w:r>
          </w:p>
        </w:tc>
        <w:tc>
          <w:tcPr>
            <w:tcW w:type="dxa" w:w="1728"/>
          </w:tcPr>
          <w:p>
            <w:pPr>
              <w:spacing w:after="20"/>
              <w:jc w:val="right"/>
            </w:pPr>
            <w:r>
              <w:rPr>
                <w:color w:val="1C3A36"/>
                <w:sz w:val="18"/>
              </w:rPr>
              <w:t>7%</w:t>
            </w:r>
          </w:p>
        </w:tc>
        <w:tc>
          <w:tcPr>
            <w:tcW w:type="dxa" w:w="1728"/>
          </w:tcPr>
          <w:p>
            <w:pPr>
              <w:spacing w:after="20"/>
              <w:jc w:val="right"/>
            </w:pPr>
            <w:r>
              <w:rPr>
                <w:color w:val="1C3A36"/>
                <w:sz w:val="18"/>
              </w:rPr>
              <w:t>19%</w:t>
            </w:r>
          </w:p>
        </w:tc>
        <w:tc>
          <w:tcPr>
            <w:tcW w:type="dxa" w:w="4320"/>
          </w:tcPr>
          <w:p>
            <w:pPr>
              <w:spacing w:after="20"/>
              <w:jc w:val="right"/>
            </w:pPr>
            <w:r>
              <w:rPr>
                <w:color w:val="1C3A36"/>
                <w:sz w:val="18"/>
              </w:rPr>
              <w:t>Spring consolidation zone</w:t>
            </w:r>
          </w:p>
        </w:tc>
      </w:tr>
      <w:tr>
        <w:tc>
          <w:tcPr>
            <w:tcW w:type="dxa" w:w="1728"/>
          </w:tcPr>
          <w:p>
            <w:pPr>
              <w:spacing w:after="20"/>
            </w:pPr>
            <w:r>
              <w:rPr>
                <w:b/>
                <w:color w:val="1C3A36"/>
                <w:sz w:val="18"/>
              </w:rPr>
              <w:t>4.00</w:t>
            </w:r>
          </w:p>
        </w:tc>
        <w:tc>
          <w:tcPr>
            <w:tcW w:type="dxa" w:w="1728"/>
          </w:tcPr>
          <w:p>
            <w:pPr>
              <w:spacing w:after="20"/>
              <w:jc w:val="right"/>
            </w:pPr>
            <w:r>
              <w:rPr>
                <w:color w:val="1C3A36"/>
                <w:sz w:val="18"/>
              </w:rPr>
              <w:t>3%</w:t>
            </w:r>
          </w:p>
        </w:tc>
        <w:tc>
          <w:tcPr>
            <w:tcW w:type="dxa" w:w="1728"/>
          </w:tcPr>
          <w:p>
            <w:pPr>
              <w:spacing w:after="20"/>
              <w:jc w:val="right"/>
            </w:pPr>
            <w:r>
              <w:rPr>
                <w:color w:val="1C3A36"/>
                <w:sz w:val="18"/>
              </w:rPr>
              <w:t>11%</w:t>
            </w:r>
          </w:p>
        </w:tc>
        <w:tc>
          <w:tcPr>
            <w:tcW w:type="dxa" w:w="4320"/>
          </w:tcPr>
          <w:p>
            <w:pPr>
              <w:spacing w:after="20"/>
              <w:jc w:val="right"/>
            </w:pPr>
            <w:r>
              <w:rPr>
                <w:color w:val="1C3A36"/>
                <w:sz w:val="18"/>
              </w:rPr>
              <w:t>−20%; the March base</w:t>
            </w:r>
          </w:p>
        </w:tc>
      </w:tr>
    </w:tbl>
    <w:p>
      <w:pPr>
        <w:spacing w:after="40"/>
      </w:pPr>
    </w:p>
    <w:p>
      <w:pPr>
        <w:spacing w:after="200" w:before="0"/>
      </w:pPr>
      <w:r>
        <w:rPr>
          <w:b w:val="0"/>
          <w:i/>
          <w:color w:val="6E7B77"/>
          <w:sz w:val="17"/>
        </w:rPr>
        <w:t>Both horizons shown per house rule. Touch probabilities exceed finish probabilities by construction — a path can tag a level and come back.</w:t>
      </w:r>
    </w:p>
    <w:p>
      <w:pPr>
        <w:spacing w:after="80" w:before="200"/>
      </w:pPr>
      <w:r>
        <w:rPr>
          <w:b/>
          <w:i w:val="0"/>
          <w:color w:val="1C3A36"/>
          <w:sz w:val="24"/>
        </w:rPr>
        <w:t>The calibration gate this study passed</w:t>
      </w:r>
    </w:p>
    <w:p>
      <w:pPr>
        <w:spacing w:after="120" w:before="0"/>
      </w:pPr>
      <w:r>
        <w:rPr>
          <w:b w:val="0"/>
          <w:i w:val="0"/>
          <w:color w:val="1C3A36"/>
          <w:sz w:val="19"/>
        </w:rPr>
        <w:t>Before any forecast is published, the engine must beat or match a carry-anchored lognormal random walk on this exact name over five years of walk-forward, non-overlapping windows — skill can never harvest the time-value of money, because the benchmark already earns it. RMDA: 13 windows, mean CRPS skill +0.0273 (moving-block bootstrap 90% CI +0.0042 to +0.0508), verdict PASS — the CI sits ENTIRELY above zero, and does so robustly at every bootstrap block size tested (2, 3 and 4), which is what the house rule requires before a name-level verdict is allowed to stand. Coverage of the 50/80/90% bands: 54%/85%/85% against nominal; mean PIT 0.612 (0.5 = perfectly centred). Scoring is SCALE-NORMALIZED (CRPS ÷ spot), because raw CRPS is price-denominated and would otherwise weight windows by the share price rather than by information; the raw-basis skill is +0.0253, reported so figures published against the older basis stay reconcilable. Windows run from the market’s last structural break (2023-01-11) forward: 9 pre-break origins were dropped, because break filtering beat scoring all windows out-of-sample and is therefore the adopted production rule. The data-quality gate screened the series against the EGX ±20% daily limit and the exchange’s real calendar (density 242 rows/yr) and dropped 10 pre-listing placeholder rows before any window was scored. RMDA is now IN the Egypt panel (28 names) and carries its own fitted verdict — these are the numbers committed to the live engine, not a borrowed market fit.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528"/>
            <w:shd w:val="clear" w:color="auto" w:fill="EAF0EE"/>
          </w:tcPr>
          <w:p>
            <w:pPr>
              <w:spacing w:after="20"/>
            </w:pPr>
            <w:r>
              <w:rPr>
                <w:b/>
                <w:color w:val="1C3A36"/>
                <w:sz w:val="17"/>
              </w:rPr>
              <w:t>Calibration-gate evidence</w:t>
            </w:r>
          </w:p>
        </w:tc>
        <w:tc>
          <w:tcPr>
            <w:tcW w:type="dxa" w:w="2520"/>
            <w:shd w:val="clear" w:color="auto" w:fill="EAF0EE"/>
          </w:tcPr>
          <w:p>
            <w:pPr>
              <w:spacing w:after="20"/>
            </w:pPr>
            <w:r>
              <w:rPr>
                <w:b/>
                <w:color w:val="1C3A36"/>
                <w:sz w:val="17"/>
              </w:rPr>
              <w:t>Value</w:t>
            </w:r>
          </w:p>
        </w:tc>
        <w:tc>
          <w:tcPr>
            <w:tcW w:type="dxa" w:w="3744"/>
            <w:shd w:val="clear" w:color="auto" w:fill="EAF0EE"/>
          </w:tcPr>
          <w:p>
            <w:pPr>
              <w:spacing w:after="20"/>
            </w:pPr>
            <w:r>
              <w:rPr>
                <w:b/>
                <w:color w:val="1C3A36"/>
                <w:sz w:val="17"/>
              </w:rPr>
              <w:t>Read</w:t>
            </w:r>
          </w:p>
        </w:tc>
      </w:tr>
      <w:tr>
        <w:tc>
          <w:tcPr>
            <w:tcW w:type="dxa" w:w="3528"/>
          </w:tcPr>
          <w:p>
            <w:pPr>
              <w:spacing w:after="20"/>
            </w:pPr>
            <w:r>
              <w:rPr>
                <w:b/>
                <w:color w:val="1C3A36"/>
                <w:sz w:val="17"/>
              </w:rPr>
              <w:t>Windows (5yr, non-overlapping, h=60)</w:t>
            </w:r>
          </w:p>
        </w:tc>
        <w:tc>
          <w:tcPr>
            <w:tcW w:type="dxa" w:w="2520"/>
          </w:tcPr>
          <w:p>
            <w:pPr>
              <w:spacing w:after="20"/>
              <w:jc w:val="right"/>
            </w:pPr>
            <w:r>
              <w:rPr>
                <w:color w:val="1C3A36"/>
                <w:sz w:val="17"/>
              </w:rPr>
              <w:t>13</w:t>
            </w:r>
          </w:p>
        </w:tc>
        <w:tc>
          <w:tcPr>
            <w:tcW w:type="dxa" w:w="3744"/>
          </w:tcPr>
          <w:p>
            <w:pPr>
              <w:spacing w:after="20"/>
              <w:jc w:val="right"/>
            </w:pPr>
            <w:r>
              <w:rPr>
                <w:color w:val="1C3A36"/>
                <w:sz w:val="17"/>
              </w:rPr>
              <w:t>Full usable history since listing</w:t>
            </w:r>
          </w:p>
        </w:tc>
      </w:tr>
      <w:tr>
        <w:tc>
          <w:tcPr>
            <w:tcW w:type="dxa" w:w="3528"/>
          </w:tcPr>
          <w:p>
            <w:pPr>
              <w:spacing w:after="20"/>
            </w:pPr>
            <w:r>
              <w:rPr>
                <w:b/>
                <w:color w:val="1C3A36"/>
                <w:sz w:val="17"/>
              </w:rPr>
              <w:t>Mean CRPS skill vs carry-anchored RW</w:t>
            </w:r>
          </w:p>
        </w:tc>
        <w:tc>
          <w:tcPr>
            <w:tcW w:type="dxa" w:w="2520"/>
          </w:tcPr>
          <w:p>
            <w:pPr>
              <w:spacing w:after="20"/>
              <w:jc w:val="right"/>
            </w:pPr>
            <w:r>
              <w:rPr>
                <w:color w:val="1C3A36"/>
                <w:sz w:val="17"/>
              </w:rPr>
              <w:t>+0.0273</w:t>
            </w:r>
          </w:p>
        </w:tc>
        <w:tc>
          <w:tcPr>
            <w:tcW w:type="dxa" w:w="3744"/>
          </w:tcPr>
          <w:p>
            <w:pPr>
              <w:spacing w:after="20"/>
              <w:jc w:val="right"/>
            </w:pPr>
            <w:r>
              <w:rPr>
                <w:color w:val="1C3A36"/>
                <w:sz w:val="17"/>
              </w:rPr>
              <w:t>Positive point estimate</w:t>
            </w:r>
          </w:p>
        </w:tc>
      </w:tr>
      <w:tr>
        <w:tc>
          <w:tcPr>
            <w:tcW w:type="dxa" w:w="3528"/>
          </w:tcPr>
          <w:p>
            <w:pPr>
              <w:spacing w:after="20"/>
            </w:pPr>
            <w:r>
              <w:rPr>
                <w:b/>
                <w:color w:val="1C3A36"/>
                <w:sz w:val="17"/>
              </w:rPr>
              <w:t>Bootstrap 90% CI (blocks {2,3,4} robust)</w:t>
            </w:r>
          </w:p>
        </w:tc>
        <w:tc>
          <w:tcPr>
            <w:tcW w:type="dxa" w:w="2520"/>
          </w:tcPr>
          <w:p>
            <w:pPr>
              <w:spacing w:after="20"/>
              <w:jc w:val="right"/>
            </w:pPr>
            <w:r>
              <w:rPr>
                <w:color w:val="1C3A36"/>
                <w:sz w:val="17"/>
              </w:rPr>
              <w:t>[+0.0042, +0.0508]</w:t>
            </w:r>
          </w:p>
        </w:tc>
        <w:tc>
          <w:tcPr>
            <w:tcW w:type="dxa" w:w="3744"/>
          </w:tcPr>
          <w:p>
            <w:pPr>
              <w:spacing w:after="20"/>
              <w:jc w:val="right"/>
            </w:pPr>
            <w:r>
              <w:rPr>
                <w:color w:val="1C3A36"/>
                <w:sz w:val="17"/>
              </w:rPr>
              <w:t>Straddles zero → PASS</w:t>
            </w:r>
          </w:p>
        </w:tc>
      </w:tr>
      <w:tr>
        <w:tc>
          <w:tcPr>
            <w:tcW w:type="dxa" w:w="3528"/>
          </w:tcPr>
          <w:p>
            <w:pPr>
              <w:spacing w:after="20"/>
            </w:pPr>
            <w:r>
              <w:rPr>
                <w:b/>
                <w:color w:val="1C3A36"/>
                <w:sz w:val="17"/>
              </w:rPr>
              <w:t>Coverage 50% / 80% / 90%</w:t>
            </w:r>
          </w:p>
        </w:tc>
        <w:tc>
          <w:tcPr>
            <w:tcW w:type="dxa" w:w="2520"/>
          </w:tcPr>
          <w:p>
            <w:pPr>
              <w:spacing w:after="20"/>
              <w:jc w:val="right"/>
            </w:pPr>
            <w:r>
              <w:rPr>
                <w:color w:val="1C3A36"/>
                <w:sz w:val="17"/>
              </w:rPr>
              <w:t>54% / 85% / 85%</w:t>
            </w:r>
          </w:p>
        </w:tc>
        <w:tc>
          <w:tcPr>
            <w:tcW w:type="dxa" w:w="3744"/>
          </w:tcPr>
          <w:p>
            <w:pPr>
              <w:spacing w:after="20"/>
              <w:jc w:val="right"/>
            </w:pPr>
            <w:r>
              <w:rPr>
                <w:color w:val="1C3A36"/>
                <w:sz w:val="17"/>
              </w:rPr>
              <w:t>Near-nominal; no over-width flag</w:t>
            </w:r>
          </w:p>
        </w:tc>
      </w:tr>
      <w:tr>
        <w:tc>
          <w:tcPr>
            <w:tcW w:type="dxa" w:w="3528"/>
          </w:tcPr>
          <w:p>
            <w:pPr>
              <w:spacing w:after="20"/>
            </w:pPr>
            <w:r>
              <w:rPr>
                <w:b/>
                <w:color w:val="1C3A36"/>
                <w:sz w:val="17"/>
              </w:rPr>
              <w:t>Mean PIT / 90%-width ratio</w:t>
            </w:r>
          </w:p>
        </w:tc>
        <w:tc>
          <w:tcPr>
            <w:tcW w:type="dxa" w:w="2520"/>
          </w:tcPr>
          <w:p>
            <w:pPr>
              <w:spacing w:after="20"/>
              <w:jc w:val="right"/>
            </w:pPr>
            <w:r>
              <w:rPr>
                <w:color w:val="1C3A36"/>
                <w:sz w:val="17"/>
              </w:rPr>
              <w:t>0.612 / 1.11×</w:t>
            </w:r>
          </w:p>
        </w:tc>
        <w:tc>
          <w:tcPr>
            <w:tcW w:type="dxa" w:w="3744"/>
          </w:tcPr>
          <w:p>
            <w:pPr>
              <w:spacing w:after="20"/>
              <w:jc w:val="right"/>
            </w:pPr>
            <w:r>
              <w:rPr>
                <w:color w:val="1C3A36"/>
                <w:sz w:val="17"/>
              </w:rPr>
              <w:t>Centred; width honest</w:t>
            </w:r>
          </w:p>
        </w:tc>
      </w:tr>
      <w:tr>
        <w:tc>
          <w:tcPr>
            <w:tcW w:type="dxa" w:w="3528"/>
          </w:tcPr>
          <w:p>
            <w:pPr>
              <w:spacing w:after="20"/>
            </w:pPr>
            <w:r>
              <w:rPr>
                <w:b/>
                <w:color w:val="1C3A36"/>
                <w:sz w:val="17"/>
              </w:rPr>
              <w:t>Winkler-90 / pinball-50</w:t>
            </w:r>
          </w:p>
        </w:tc>
        <w:tc>
          <w:tcPr>
            <w:tcW w:type="dxa" w:w="2520"/>
          </w:tcPr>
          <w:p>
            <w:pPr>
              <w:spacing w:after="20"/>
              <w:jc w:val="right"/>
            </w:pPr>
            <w:r>
              <w:rPr>
                <w:color w:val="1C3A36"/>
                <w:sz w:val="17"/>
              </w:rPr>
              <w:t>0.0740 / 0.0015</w:t>
            </w:r>
          </w:p>
        </w:tc>
        <w:tc>
          <w:tcPr>
            <w:tcW w:type="dxa" w:w="3744"/>
          </w:tcPr>
          <w:p>
            <w:pPr>
              <w:spacing w:after="20"/>
              <w:jc w:val="right"/>
            </w:pPr>
            <w:r>
              <w:rPr>
                <w:color w:val="1C3A36"/>
                <w:sz w:val="17"/>
              </w:rPr>
              <w:t>On file in the Calibration Ledger</w:t>
            </w:r>
          </w:p>
        </w:tc>
      </w:tr>
      <w:tr>
        <w:tc>
          <w:tcPr>
            <w:tcW w:type="dxa" w:w="3528"/>
          </w:tcPr>
          <w:p>
            <w:pPr>
              <w:spacing w:after="20"/>
            </w:pPr>
            <w:r>
              <w:rPr>
                <w:b/>
                <w:color w:val="1C3A36"/>
                <w:sz w:val="17"/>
              </w:rPr>
              <w:t>Data-quality gate</w:t>
            </w:r>
          </w:p>
        </w:tc>
        <w:tc>
          <w:tcPr>
            <w:tcW w:type="dxa" w:w="2520"/>
          </w:tcPr>
          <w:p>
            <w:pPr>
              <w:spacing w:after="20"/>
              <w:jc w:val="right"/>
            </w:pPr>
            <w:r>
              <w:rPr>
                <w:color w:val="1C3A36"/>
                <w:sz w:val="17"/>
              </w:rPr>
              <w:t>PASS</w:t>
            </w:r>
          </w:p>
        </w:tc>
        <w:tc>
          <w:tcPr>
            <w:tcW w:type="dxa" w:w="3744"/>
          </w:tcPr>
          <w:p>
            <w:pPr>
              <w:spacing w:after="20"/>
              <w:jc w:val="right"/>
            </w:pPr>
            <w:r>
              <w:rPr>
                <w:color w:val="1C3A36"/>
                <w:sz w:val="17"/>
              </w:rPr>
              <w:t>dropped 10 leading pre-listing placeholder rows (flat pric</w:t>
            </w:r>
          </w:p>
        </w:tc>
      </w:tr>
      <w:tr>
        <w:tc>
          <w:tcPr>
            <w:tcW w:type="dxa" w:w="3528"/>
          </w:tcPr>
          <w:p>
            <w:pPr>
              <w:spacing w:after="20"/>
            </w:pPr>
            <w:r>
              <w:rPr>
                <w:b/>
                <w:color w:val="1C3A36"/>
                <w:sz w:val="17"/>
              </w:rPr>
              <w:t>Panel</w:t>
            </w:r>
          </w:p>
        </w:tc>
        <w:tc>
          <w:tcPr>
            <w:tcW w:type="dxa" w:w="2520"/>
          </w:tcPr>
          <w:p>
            <w:pPr>
              <w:spacing w:after="20"/>
              <w:jc w:val="right"/>
            </w:pPr>
            <w:r>
              <w:rPr>
                <w:color w:val="1C3A36"/>
                <w:sz w:val="17"/>
              </w:rPr>
              <w:t>EG (27-name panel fit, live)</w:t>
            </w:r>
          </w:p>
        </w:tc>
        <w:tc>
          <w:tcPr>
            <w:tcW w:type="dxa" w:w="3744"/>
          </w:tcPr>
          <w:p>
            <w:pPr>
              <w:spacing w:after="20"/>
              <w:jc w:val="right"/>
            </w:pPr>
            <w:r>
              <w:rPr>
                <w:color w:val="1C3A36"/>
                <w:sz w:val="17"/>
              </w:rPr>
              <w:t>ν, width_cal fitted jointly by MLE; pair quoted, never ν alone</w:t>
            </w:r>
          </w:p>
        </w:tc>
      </w:tr>
    </w:tbl>
    <w:p>
      <w:pPr>
        <w:spacing w:after="40"/>
      </w:pPr>
    </w:p>
    <w:p>
      <w:pPr>
        <w:spacing w:after="200" w:before="0"/>
      </w:pPr>
      <w:r>
        <w:rPr>
          <w:b w:val="0"/>
          <w:i/>
          <w:color w:val="6E7B77"/>
          <w:sz w:val="17"/>
        </w:rPr>
        <w:t>The full calibration appendix (per-window rows, PIT histogram, config hash) publishes to the ledger with this study; the study body carries the qualitative pass statement per house rule. backtest_rows_rmda.csv is the frozen evidence.</w:t>
      </w:r>
    </w:p>
    <w:p>
      <w:pPr>
        <w:spacing w:after="40"/>
        <w:jc w:val="center"/>
      </w:pPr>
      <w:r>
        <w:drawing>
          <wp:inline xmlns:a="http://schemas.openxmlformats.org/drawingml/2006/main" xmlns:pic="http://schemas.openxmlformats.org/drawingml/2006/picture">
            <wp:extent cx="5669280" cy="2074127"/>
            <wp:docPr id="9" name="Picture 9"/>
            <wp:cNvGraphicFramePr>
              <a:graphicFrameLocks noChangeAspect="1"/>
            </wp:cNvGraphicFramePr>
            <a:graphic>
              <a:graphicData uri="http://schemas.openxmlformats.org/drawingml/2006/picture">
                <pic:pic>
                  <pic:nvPicPr>
                    <pic:cNvPr id="0" name="fig9_calib.png"/>
                    <pic:cNvPicPr/>
                  </pic:nvPicPr>
                  <pic:blipFill>
                    <a:blip r:embed="rId17"/>
                    <a:stretch>
                      <a:fillRect/>
                    </a:stretch>
                  </pic:blipFill>
                  <pic:spPr>
                    <a:xfrm>
                      <a:off x="0" y="0"/>
                      <a:ext cx="5669280" cy="2074127"/>
                    </a:xfrm>
                    <a:prstGeom prst="rect"/>
                  </pic:spPr>
                </pic:pic>
              </a:graphicData>
            </a:graphic>
          </wp:inline>
        </w:drawing>
      </w:r>
    </w:p>
    <w:p>
      <w:pPr>
        <w:spacing w:after="200" w:before="0"/>
      </w:pPr>
      <w:r>
        <w:rPr>
          <w:b w:val="0"/>
          <w:i/>
          <w:color w:val="6E7B77"/>
          <w:sz w:val="17"/>
        </w:rPr>
        <w:t>Figure 9. PIT histogram and band coverage across the 22 backtest windows: near-uniform, near-nominal — the cone means what it says on this name.</w:t>
      </w:r>
    </w:p>
    <w:p>
      <w:pPr>
        <w:spacing w:after="120" w:before="280"/>
      </w:pPr>
      <w:r>
        <w:rPr>
          <w:b/>
          <w:i w:val="0"/>
          <w:color w:val="1C3A36"/>
          <w:sz w:val="30"/>
        </w:rPr>
        <w:t>4  Comparison of the lenses, and a verdict</w:t>
      </w:r>
    </w:p>
    <w:p>
      <w:pPr>
        <w:spacing w:after="120" w:before="0"/>
      </w:pPr>
      <w:r>
        <w:rPr>
          <w:b w:val="0"/>
          <w:i w:val="0"/>
          <w:color w:val="1C3A36"/>
          <w:sz w:val="21"/>
        </w:rPr>
        <w:t>Three readings that disagree — and the disagreement is the finding. The fundamental lenses span EGP 1.00 (DDM) to 4.40 (relative), a 4.5× spread, with the weighted central at EGP 2.77 (-45% vs spot): the cash-flow lenses discount a genuinely strong operating engine at a 29% sourced WACC and get small numbers, while the market lenses price the same engine at today’s multiples and land near spot. The technical picture is a +66% recovery pausing ~7% below June's fresh all-time high. The probabilistic map says three months of price action resolves almost none of this: half of all paths finish between 4.73 and 5.73, and P(above spot) of 62% is mostly carry.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024"/>
            <w:shd w:val="clear" w:color="auto" w:fill="EAF0EE"/>
          </w:tcPr>
          <w:p>
            <w:pPr>
              <w:spacing w:after="20"/>
            </w:pPr>
            <w:r>
              <w:rPr>
                <w:b/>
                <w:color w:val="1C3A36"/>
                <w:sz w:val="18"/>
              </w:rPr>
              <w:t>Lens</w:t>
            </w:r>
          </w:p>
        </w:tc>
        <w:tc>
          <w:tcPr>
            <w:tcW w:type="dxa" w:w="3312"/>
            <w:shd w:val="clear" w:color="auto" w:fill="EAF0EE"/>
          </w:tcPr>
          <w:p>
            <w:pPr>
              <w:spacing w:after="20"/>
            </w:pPr>
            <w:r>
              <w:rPr>
                <w:b/>
                <w:color w:val="1C3A36"/>
                <w:sz w:val="18"/>
              </w:rPr>
              <w:t>Reads</w:t>
            </w:r>
          </w:p>
        </w:tc>
        <w:tc>
          <w:tcPr>
            <w:tcW w:type="dxa" w:w="3600"/>
            <w:shd w:val="clear" w:color="auto" w:fill="EAF0EE"/>
          </w:tcPr>
          <w:p>
            <w:pPr>
              <w:spacing w:after="20"/>
            </w:pPr>
            <w:r>
              <w:rPr>
                <w:b/>
                <w:color w:val="1C3A36"/>
                <w:sz w:val="18"/>
              </w:rPr>
              <w:t>Central / implication</w:t>
            </w:r>
          </w:p>
        </w:tc>
      </w:tr>
      <w:tr>
        <w:tc>
          <w:tcPr>
            <w:tcW w:type="dxa" w:w="3024"/>
          </w:tcPr>
          <w:p>
            <w:pPr>
              <w:spacing w:after="20"/>
            </w:pPr>
            <w:r>
              <w:rPr>
                <w:b/>
                <w:color w:val="1C3A36"/>
                <w:sz w:val="18"/>
              </w:rPr>
              <w:t>Fundamental (4-lens weighted)</w:t>
            </w:r>
          </w:p>
        </w:tc>
        <w:tc>
          <w:tcPr>
            <w:tcW w:type="dxa" w:w="3312"/>
          </w:tcPr>
          <w:p>
            <w:pPr>
              <w:spacing w:after="20"/>
              <w:jc w:val="right"/>
            </w:pPr>
            <w:r>
              <w:rPr>
                <w:color w:val="1C3A36"/>
                <w:sz w:val="18"/>
              </w:rPr>
              <w:t>Well below spot at the sourced rate</w:t>
            </w:r>
          </w:p>
        </w:tc>
        <w:tc>
          <w:tcPr>
            <w:tcW w:type="dxa" w:w="3600"/>
          </w:tcPr>
          <w:p>
            <w:pPr>
              <w:spacing w:after="20"/>
              <w:jc w:val="right"/>
            </w:pPr>
            <w:r>
              <w:rPr>
                <w:color w:val="1C3A36"/>
                <w:sz w:val="18"/>
              </w:rPr>
              <w:t>EGP 2.77 (-45%)</w:t>
            </w:r>
          </w:p>
        </w:tc>
      </w:tr>
      <w:tr>
        <w:tc>
          <w:tcPr>
            <w:tcW w:type="dxa" w:w="3024"/>
          </w:tcPr>
          <w:p>
            <w:pPr>
              <w:spacing w:after="20"/>
            </w:pPr>
            <w:r>
              <w:rPr>
                <w:b/>
                <w:color w:val="1C3A36"/>
                <w:sz w:val="18"/>
              </w:rPr>
              <w:t>Technical</w:t>
            </w:r>
          </w:p>
        </w:tc>
        <w:tc>
          <w:tcPr>
            <w:tcW w:type="dxa" w:w="3312"/>
          </w:tcPr>
          <w:p>
            <w:pPr>
              <w:spacing w:after="20"/>
              <w:jc w:val="right"/>
            </w:pPr>
            <w:r>
              <w:rPr>
                <w:color w:val="1C3A36"/>
                <w:sz w:val="18"/>
              </w:rPr>
              <w:t>Recovery intact, momentum cooling</w:t>
            </w:r>
          </w:p>
        </w:tc>
        <w:tc>
          <w:tcPr>
            <w:tcW w:type="dxa" w:w="3600"/>
          </w:tcPr>
          <w:p>
            <w:pPr>
              <w:spacing w:after="20"/>
              <w:jc w:val="right"/>
            </w:pPr>
            <w:r>
              <w:rPr>
                <w:color w:val="1C3A36"/>
                <w:sz w:val="18"/>
              </w:rPr>
              <w:t>Support ~4.6–4.7 (50-day / spring shelf); resistance 5.38 (June ATH)</w:t>
            </w:r>
          </w:p>
        </w:tc>
      </w:tr>
      <w:tr>
        <w:tc>
          <w:tcPr>
            <w:tcW w:type="dxa" w:w="3024"/>
          </w:tcPr>
          <w:p>
            <w:pPr>
              <w:spacing w:after="20"/>
            </w:pPr>
            <w:r>
              <w:rPr>
                <w:b/>
                <w:color w:val="1C3A36"/>
                <w:sz w:val="18"/>
              </w:rPr>
              <w:t>Monte Carlo (3-month)</w:t>
            </w:r>
          </w:p>
        </w:tc>
        <w:tc>
          <w:tcPr>
            <w:tcW w:type="dxa" w:w="3312"/>
          </w:tcPr>
          <w:p>
            <w:pPr>
              <w:spacing w:after="20"/>
              <w:jc w:val="right"/>
            </w:pPr>
            <w:r>
              <w:rPr>
                <w:color w:val="1C3A36"/>
                <w:sz w:val="18"/>
              </w:rPr>
              <w:t>Carry-tilted, wide</w:t>
            </w:r>
          </w:p>
        </w:tc>
        <w:tc>
          <w:tcPr>
            <w:tcW w:type="dxa" w:w="3600"/>
          </w:tcPr>
          <w:p>
            <w:pPr>
              <w:spacing w:after="20"/>
              <w:jc w:val="right"/>
            </w:pPr>
            <w:r>
              <w:rPr>
                <w:color w:val="1C3A36"/>
                <w:sz w:val="18"/>
              </w:rPr>
              <w:t>Median 5.20; p5–p95 3.95–6.84</w:t>
            </w:r>
          </w:p>
        </w:tc>
      </w:tr>
    </w:tbl>
    <w:p>
      <w:pPr>
        <w:spacing w:after="40"/>
      </w:pPr>
    </w:p>
    <w:p>
      <w:pPr>
        <w:spacing w:after="120" w:before="0"/>
      </w:pPr>
      <w:r>
        <w:rPr>
          <w:b/>
          <w:i w:val="0"/>
          <w:color w:val="1C3A36"/>
          <w:sz w:val="21"/>
        </w:rPr>
        <w:t xml:space="preserve">Verdict (a fair-value read, not a recommendation). </w:t>
      </w:r>
      <w:r>
        <w:rPr>
          <w:b w:val="0"/>
          <w:i w:val="0"/>
          <w:color w:val="1C3A36"/>
          <w:sz w:val="21"/>
        </w:rPr>
        <w:t>At the sourced 22.55% risk-free rate, discounted-cash-flow arithmetic cannot reach EGP 5.00 — our DCF says 1.73, and even the bull leg stops at 2.31. The market is therefore paying either a multiple (8.6× forward EV/EBITDA, ordinary for the sector) or, equivalently, a bet that Egyptian discount rates normalize faster than the curve says — the break-even is an nan% WACC (Ke ≈nan%); at a 15% WACC the same cash flows would be worth ≈EGP 17, more than double spot (§1.7). We publish the distribution, not a target: the honest statement is that RMDA is a well-run, fast-deleveraging pharma engine whose equity value is extraordinarily convex to the CBE’s path — the per-100bp sensitivity of §1.7 and the WACC row of §1.9 are the whole investment question in two tables. Nothing in this paragraph is advice; the READ FIRST box governs.</w:t>
      </w:r>
    </w:p>
    <w:p>
      <w:pPr>
        <w:spacing w:after="120" w:before="280"/>
      </w:pPr>
      <w:r>
        <w:rPr>
          <w:b/>
          <w:i w:val="0"/>
          <w:color w:val="1C3A36"/>
          <w:sz w:val="30"/>
        </w:rPr>
        <w:t>5  Catalysts to watch</w:t>
      </w:r>
    </w:p>
    <w:p>
      <w:pPr>
        <w:spacing w:after="120" w:before="0"/>
      </w:pPr>
      <w:r>
        <w:rPr>
          <w:b w:val="0"/>
          <w:i w:val="0"/>
          <w:color w:val="1C3A36"/>
          <w:sz w:val="19"/>
        </w:rPr>
        <w:t>Presented as a reading map — the live Egypt engine profile is carry-only, so NONE of these are embedded in the §3 drift. They are what a reader should watch to know which branch of the distribution is being walked.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7488"/>
            <w:shd w:val="clear" w:color="auto" w:fill="EAF0EE"/>
          </w:tcPr>
          <w:p>
            <w:pPr>
              <w:spacing w:after="20"/>
            </w:pPr>
            <w:r>
              <w:rPr>
                <w:b/>
                <w:color w:val="1C3A36"/>
                <w:sz w:val="17"/>
              </w:rPr>
              <w:t>Continuous force (7)</w:t>
            </w:r>
          </w:p>
        </w:tc>
        <w:tc>
          <w:tcPr>
            <w:tcW w:type="dxa" w:w="1440"/>
            <w:shd w:val="clear" w:color="auto" w:fill="EAF0EE"/>
          </w:tcPr>
          <w:p>
            <w:pPr>
              <w:spacing w:after="20"/>
            </w:pPr>
            <w:r>
              <w:rPr>
                <w:b/>
                <w:color w:val="1C3A36"/>
                <w:sz w:val="17"/>
              </w:rPr>
              <w:t>Dir.</w:t>
            </w:r>
          </w:p>
        </w:tc>
      </w:tr>
      <w:tr>
        <w:tc>
          <w:tcPr>
            <w:tcW w:type="dxa" w:w="7488"/>
          </w:tcPr>
          <w:p>
            <w:pPr>
              <w:spacing w:after="20"/>
            </w:pPr>
            <w:r>
              <w:rPr>
                <w:color w:val="1C3A36"/>
                <w:sz w:val="17"/>
              </w:rPr>
              <w:t>CBE easing path (carry + Ke relief)</w:t>
            </w:r>
          </w:p>
        </w:tc>
        <w:tc>
          <w:tcPr>
            <w:tcW w:type="dxa" w:w="1440"/>
          </w:tcPr>
          <w:p>
            <w:pPr>
              <w:spacing w:after="20"/>
              <w:jc w:val="right"/>
            </w:pPr>
            <w:r>
              <w:rPr>
                <w:color w:val="1C3A36"/>
                <w:sz w:val="17"/>
              </w:rPr>
              <w:t>+</w:t>
            </w:r>
          </w:p>
        </w:tc>
      </w:tr>
      <w:tr>
        <w:tc>
          <w:tcPr>
            <w:tcW w:type="dxa" w:w="7488"/>
          </w:tcPr>
          <w:p>
            <w:pPr>
              <w:spacing w:after="20"/>
            </w:pPr>
            <w:r>
              <w:rPr>
                <w:color w:val="1C3A36"/>
                <w:sz w:val="17"/>
              </w:rPr>
              <w:t>EDA pricing catch-up regime</w:t>
            </w:r>
          </w:p>
        </w:tc>
        <w:tc>
          <w:tcPr>
            <w:tcW w:type="dxa" w:w="1440"/>
          </w:tcPr>
          <w:p>
            <w:pPr>
              <w:spacing w:after="20"/>
              <w:jc w:val="right"/>
            </w:pPr>
            <w:r>
              <w:rPr>
                <w:color w:val="1C3A36"/>
                <w:sz w:val="17"/>
              </w:rPr>
              <w:t>+</w:t>
            </w:r>
          </w:p>
        </w:tc>
      </w:tr>
      <w:tr>
        <w:tc>
          <w:tcPr>
            <w:tcW w:type="dxa" w:w="7488"/>
          </w:tcPr>
          <w:p>
            <w:pPr>
              <w:spacing w:after="20"/>
            </w:pPr>
            <w:r>
              <w:rPr>
                <w:color w:val="1C3A36"/>
                <w:sz w:val="17"/>
              </w:rPr>
              <w:t>Defensive pharma demand / volume growth</w:t>
            </w:r>
          </w:p>
        </w:tc>
        <w:tc>
          <w:tcPr>
            <w:tcW w:type="dxa" w:w="1440"/>
          </w:tcPr>
          <w:p>
            <w:pPr>
              <w:spacing w:after="20"/>
              <w:jc w:val="right"/>
            </w:pPr>
            <w:r>
              <w:rPr>
                <w:color w:val="1C3A36"/>
                <w:sz w:val="17"/>
              </w:rPr>
              <w:t>+</w:t>
            </w:r>
          </w:p>
        </w:tc>
      </w:tr>
      <w:tr>
        <w:tc>
          <w:tcPr>
            <w:tcW w:type="dxa" w:w="7488"/>
          </w:tcPr>
          <w:p>
            <w:pPr>
              <w:spacing w:after="20"/>
            </w:pPr>
            <w:r>
              <w:rPr>
                <w:color w:val="1C3A36"/>
                <w:sz w:val="17"/>
              </w:rPr>
              <w:t>USD-priced API &amp; excipient costs</w:t>
            </w:r>
          </w:p>
        </w:tc>
        <w:tc>
          <w:tcPr>
            <w:tcW w:type="dxa" w:w="1440"/>
          </w:tcPr>
          <w:p>
            <w:pPr>
              <w:spacing w:after="20"/>
              <w:jc w:val="right"/>
            </w:pPr>
            <w:r>
              <w:rPr>
                <w:color w:val="1C3A36"/>
                <w:sz w:val="17"/>
              </w:rPr>
              <w:t>-</w:t>
            </w:r>
          </w:p>
        </w:tc>
      </w:tr>
      <w:tr>
        <w:tc>
          <w:tcPr>
            <w:tcW w:type="dxa" w:w="7488"/>
          </w:tcPr>
          <w:p>
            <w:pPr>
              <w:spacing w:after="20"/>
            </w:pPr>
            <w:r>
              <w:rPr>
                <w:color w:val="1C3A36"/>
                <w:sz w:val="17"/>
              </w:rPr>
              <w:t>EGP stability / carry-trade inflows</w:t>
            </w:r>
          </w:p>
        </w:tc>
        <w:tc>
          <w:tcPr>
            <w:tcW w:type="dxa" w:w="1440"/>
          </w:tcPr>
          <w:p>
            <w:pPr>
              <w:spacing w:after="20"/>
              <w:jc w:val="right"/>
            </w:pPr>
            <w:r>
              <w:rPr>
                <w:color w:val="1C3A36"/>
                <w:sz w:val="17"/>
              </w:rPr>
              <w:t>+/-</w:t>
            </w:r>
          </w:p>
        </w:tc>
      </w:tr>
      <w:tr>
        <w:tc>
          <w:tcPr>
            <w:tcW w:type="dxa" w:w="7488"/>
          </w:tcPr>
          <w:p>
            <w:pPr>
              <w:spacing w:after="20"/>
            </w:pPr>
            <w:r>
              <w:rPr>
                <w:color w:val="1C3A36"/>
                <w:sz w:val="17"/>
              </w:rPr>
              <w:t>EGX retail flows &amp; liquidity</w:t>
            </w:r>
          </w:p>
        </w:tc>
        <w:tc>
          <w:tcPr>
            <w:tcW w:type="dxa" w:w="1440"/>
          </w:tcPr>
          <w:p>
            <w:pPr>
              <w:spacing w:after="20"/>
              <w:jc w:val="right"/>
            </w:pPr>
            <w:r>
              <w:rPr>
                <w:color w:val="1C3A36"/>
                <w:sz w:val="17"/>
              </w:rPr>
              <w:t>+/-</w:t>
            </w:r>
          </w:p>
        </w:tc>
      </w:tr>
      <w:tr>
        <w:tc>
          <w:tcPr>
            <w:tcW w:type="dxa" w:w="7488"/>
          </w:tcPr>
          <w:p>
            <w:pPr>
              <w:spacing w:after="20"/>
            </w:pPr>
            <w:r>
              <w:rPr>
                <w:color w:val="1C3A36"/>
                <w:sz w:val="17"/>
              </w:rPr>
              <w:t>Regional pharma M&amp;A interest</w:t>
            </w:r>
          </w:p>
        </w:tc>
        <w:tc>
          <w:tcPr>
            <w:tcW w:type="dxa" w:w="1440"/>
          </w:tcPr>
          <w:p>
            <w:pPr>
              <w:spacing w:after="20"/>
              <w:jc w:val="right"/>
            </w:pPr>
            <w:r>
              <w:rPr>
                <w:color w:val="1C3A36"/>
                <w:sz w:val="17"/>
              </w:rPr>
              <w:t>+</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6048"/>
            <w:shd w:val="clear" w:color="auto" w:fill="EAF0EE"/>
          </w:tcPr>
          <w:p>
            <w:pPr>
              <w:spacing w:after="20"/>
            </w:pPr>
            <w:r>
              <w:rPr>
                <w:b/>
                <w:color w:val="1C3A36"/>
                <w:sz w:val="17"/>
              </w:rPr>
              <w:t>Discrete event (9)</w:t>
            </w:r>
          </w:p>
        </w:tc>
        <w:tc>
          <w:tcPr>
            <w:tcW w:type="dxa" w:w="1296"/>
            <w:shd w:val="clear" w:color="auto" w:fill="EAF0EE"/>
          </w:tcPr>
          <w:p>
            <w:pPr>
              <w:spacing w:after="20"/>
            </w:pPr>
            <w:r>
              <w:rPr>
                <w:b/>
                <w:color w:val="1C3A36"/>
                <w:sz w:val="17"/>
              </w:rPr>
              <w:t>Prob.</w:t>
            </w:r>
          </w:p>
        </w:tc>
        <w:tc>
          <w:tcPr>
            <w:tcW w:type="dxa" w:w="2160"/>
            <w:shd w:val="clear" w:color="auto" w:fill="EAF0EE"/>
          </w:tcPr>
          <w:p>
            <w:pPr>
              <w:spacing w:after="20"/>
            </w:pPr>
            <w:r>
              <w:rPr>
                <w:b/>
                <w:color w:val="1C3A36"/>
                <w:sz w:val="17"/>
              </w:rPr>
              <w:t>Mean impact if it fires</w:t>
            </w:r>
          </w:p>
        </w:tc>
      </w:tr>
      <w:tr>
        <w:tc>
          <w:tcPr>
            <w:tcW w:type="dxa" w:w="6048"/>
          </w:tcPr>
          <w:p>
            <w:pPr>
              <w:spacing w:after="20"/>
            </w:pPr>
            <w:r>
              <w:rPr>
                <w:color w:val="1C3A36"/>
                <w:sz w:val="17"/>
              </w:rPr>
              <w:t>2Q26 results (~mid-Aug-2026)</w:t>
            </w:r>
          </w:p>
        </w:tc>
        <w:tc>
          <w:tcPr>
            <w:tcW w:type="dxa" w:w="1296"/>
          </w:tcPr>
          <w:p>
            <w:pPr>
              <w:spacing w:after="20"/>
              <w:jc w:val="right"/>
            </w:pPr>
            <w:r>
              <w:rPr>
                <w:color w:val="1C3A36"/>
                <w:sz w:val="17"/>
              </w:rPr>
              <w:t>90%</w:t>
            </w:r>
          </w:p>
        </w:tc>
        <w:tc>
          <w:tcPr>
            <w:tcW w:type="dxa" w:w="2160"/>
          </w:tcPr>
          <w:p>
            <w:pPr>
              <w:spacing w:after="20"/>
              <w:jc w:val="right"/>
            </w:pPr>
            <w:r>
              <w:rPr>
                <w:color w:val="1C3A36"/>
                <w:sz w:val="17"/>
              </w:rPr>
              <w:t>+0.5%</w:t>
            </w:r>
          </w:p>
        </w:tc>
      </w:tr>
      <w:tr>
        <w:tc>
          <w:tcPr>
            <w:tcW w:type="dxa" w:w="6048"/>
          </w:tcPr>
          <w:p>
            <w:pPr>
              <w:spacing w:after="20"/>
            </w:pPr>
            <w:r>
              <w:rPr>
                <w:color w:val="1C3A36"/>
                <w:sz w:val="17"/>
              </w:rPr>
              <w:t>CBE resumes cutting by the 29-Oct MPC (20-Aug/24-Sep/29-Oct)</w:t>
            </w:r>
          </w:p>
        </w:tc>
        <w:tc>
          <w:tcPr>
            <w:tcW w:type="dxa" w:w="1296"/>
          </w:tcPr>
          <w:p>
            <w:pPr>
              <w:spacing w:after="20"/>
              <w:jc w:val="right"/>
            </w:pPr>
            <w:r>
              <w:rPr>
                <w:color w:val="1C3A36"/>
                <w:sz w:val="17"/>
              </w:rPr>
              <w:t>35%</w:t>
            </w:r>
          </w:p>
        </w:tc>
        <w:tc>
          <w:tcPr>
            <w:tcW w:type="dxa" w:w="2160"/>
          </w:tcPr>
          <w:p>
            <w:pPr>
              <w:spacing w:after="20"/>
              <w:jc w:val="right"/>
            </w:pPr>
            <w:r>
              <w:rPr>
                <w:color w:val="1C3A36"/>
                <w:sz w:val="17"/>
              </w:rPr>
              <w:t>+0.8%</w:t>
            </w:r>
          </w:p>
        </w:tc>
      </w:tr>
      <w:tr>
        <w:tc>
          <w:tcPr>
            <w:tcW w:type="dxa" w:w="6048"/>
          </w:tcPr>
          <w:p>
            <w:pPr>
              <w:spacing w:after="20"/>
            </w:pPr>
            <w:r>
              <w:rPr>
                <w:color w:val="1C3A36"/>
                <w:sz w:val="17"/>
              </w:rPr>
              <w:t>CBE hike (3Q26 tail risk flagged by street post 9-Jul hold)</w:t>
            </w:r>
          </w:p>
        </w:tc>
        <w:tc>
          <w:tcPr>
            <w:tcW w:type="dxa" w:w="1296"/>
          </w:tcPr>
          <w:p>
            <w:pPr>
              <w:spacing w:after="20"/>
              <w:jc w:val="right"/>
            </w:pPr>
            <w:r>
              <w:rPr>
                <w:color w:val="1C3A36"/>
                <w:sz w:val="17"/>
              </w:rPr>
              <w:t>10%</w:t>
            </w:r>
          </w:p>
        </w:tc>
        <w:tc>
          <w:tcPr>
            <w:tcW w:type="dxa" w:w="2160"/>
          </w:tcPr>
          <w:p>
            <w:pPr>
              <w:spacing w:after="20"/>
              <w:jc w:val="right"/>
            </w:pPr>
            <w:r>
              <w:rPr>
                <w:color w:val="1C3A36"/>
                <w:sz w:val="17"/>
              </w:rPr>
              <w:t>-1.2%</w:t>
            </w:r>
          </w:p>
        </w:tc>
      </w:tr>
      <w:tr>
        <w:tc>
          <w:tcPr>
            <w:tcW w:type="dxa" w:w="6048"/>
          </w:tcPr>
          <w:p>
            <w:pPr>
              <w:spacing w:after="20"/>
            </w:pPr>
            <w:r>
              <w:rPr>
                <w:color w:val="1C3A36"/>
                <w:sz w:val="17"/>
              </w:rPr>
              <w:t>New product-portfolio acquisition announced</w:t>
            </w:r>
          </w:p>
        </w:tc>
        <w:tc>
          <w:tcPr>
            <w:tcW w:type="dxa" w:w="1296"/>
          </w:tcPr>
          <w:p>
            <w:pPr>
              <w:spacing w:after="20"/>
              <w:jc w:val="right"/>
            </w:pPr>
            <w:r>
              <w:rPr>
                <w:color w:val="1C3A36"/>
                <w:sz w:val="17"/>
              </w:rPr>
              <w:t>35%</w:t>
            </w:r>
          </w:p>
        </w:tc>
        <w:tc>
          <w:tcPr>
            <w:tcW w:type="dxa" w:w="2160"/>
          </w:tcPr>
          <w:p>
            <w:pPr>
              <w:spacing w:after="20"/>
              <w:jc w:val="right"/>
            </w:pPr>
            <w:r>
              <w:rPr>
                <w:color w:val="1C3A36"/>
                <w:sz w:val="17"/>
              </w:rPr>
              <w:t>+1.2%</w:t>
            </w:r>
          </w:p>
        </w:tc>
      </w:tr>
      <w:tr>
        <w:tc>
          <w:tcPr>
            <w:tcW w:type="dxa" w:w="6048"/>
          </w:tcPr>
          <w:p>
            <w:pPr>
              <w:spacing w:after="20"/>
            </w:pPr>
            <w:r>
              <w:rPr>
                <w:color w:val="1C3A36"/>
                <w:sz w:val="17"/>
              </w:rPr>
              <w:t>UCP/MEC receivable recovery (provisioned EGP 99mn)</w:t>
            </w:r>
          </w:p>
        </w:tc>
        <w:tc>
          <w:tcPr>
            <w:tcW w:type="dxa" w:w="1296"/>
          </w:tcPr>
          <w:p>
            <w:pPr>
              <w:spacing w:after="20"/>
              <w:jc w:val="right"/>
            </w:pPr>
            <w:r>
              <w:rPr>
                <w:color w:val="1C3A36"/>
                <w:sz w:val="17"/>
              </w:rPr>
              <w:t>20%</w:t>
            </w:r>
          </w:p>
        </w:tc>
        <w:tc>
          <w:tcPr>
            <w:tcW w:type="dxa" w:w="2160"/>
          </w:tcPr>
          <w:p>
            <w:pPr>
              <w:spacing w:after="20"/>
              <w:jc w:val="right"/>
            </w:pPr>
            <w:r>
              <w:rPr>
                <w:color w:val="1C3A36"/>
                <w:sz w:val="17"/>
              </w:rPr>
              <w:t>+1.0%</w:t>
            </w:r>
          </w:p>
        </w:tc>
      </w:tr>
      <w:tr>
        <w:tc>
          <w:tcPr>
            <w:tcW w:type="dxa" w:w="6048"/>
          </w:tcPr>
          <w:p>
            <w:pPr>
              <w:spacing w:after="20"/>
            </w:pPr>
            <w:r>
              <w:rPr>
                <w:color w:val="1C3A36"/>
                <w:sz w:val="17"/>
              </w:rPr>
              <w:t>Favourable EDA pricing action</w:t>
            </w:r>
          </w:p>
        </w:tc>
        <w:tc>
          <w:tcPr>
            <w:tcW w:type="dxa" w:w="1296"/>
          </w:tcPr>
          <w:p>
            <w:pPr>
              <w:spacing w:after="20"/>
              <w:jc w:val="right"/>
            </w:pPr>
            <w:r>
              <w:rPr>
                <w:color w:val="1C3A36"/>
                <w:sz w:val="17"/>
              </w:rPr>
              <w:t>25%</w:t>
            </w:r>
          </w:p>
        </w:tc>
        <w:tc>
          <w:tcPr>
            <w:tcW w:type="dxa" w:w="2160"/>
          </w:tcPr>
          <w:p>
            <w:pPr>
              <w:spacing w:after="20"/>
              <w:jc w:val="right"/>
            </w:pPr>
            <w:r>
              <w:rPr>
                <w:color w:val="1C3A36"/>
                <w:sz w:val="17"/>
              </w:rPr>
              <w:t>+0.8%</w:t>
            </w:r>
          </w:p>
        </w:tc>
      </w:tr>
      <w:tr>
        <w:tc>
          <w:tcPr>
            <w:tcW w:type="dxa" w:w="6048"/>
          </w:tcPr>
          <w:p>
            <w:pPr>
              <w:spacing w:after="20"/>
            </w:pPr>
            <w:r>
              <w:rPr>
                <w:color w:val="1C3A36"/>
                <w:sz w:val="17"/>
              </w:rPr>
              <w:t>LVP crosses 33.3% -&gt; mandatory tender offer (bought at 5.07-5.10)</w:t>
            </w:r>
          </w:p>
        </w:tc>
        <w:tc>
          <w:tcPr>
            <w:tcW w:type="dxa" w:w="1296"/>
          </w:tcPr>
          <w:p>
            <w:pPr>
              <w:spacing w:after="20"/>
              <w:jc w:val="right"/>
            </w:pPr>
            <w:r>
              <w:rPr>
                <w:color w:val="1C3A36"/>
                <w:sz w:val="17"/>
              </w:rPr>
              <w:t>25%</w:t>
            </w:r>
          </w:p>
        </w:tc>
        <w:tc>
          <w:tcPr>
            <w:tcW w:type="dxa" w:w="2160"/>
          </w:tcPr>
          <w:p>
            <w:pPr>
              <w:spacing w:after="20"/>
              <w:jc w:val="right"/>
            </w:pPr>
            <w:r>
              <w:rPr>
                <w:color w:val="1C3A36"/>
                <w:sz w:val="17"/>
              </w:rPr>
              <w:t>+2.5%</w:t>
            </w:r>
          </w:p>
        </w:tc>
      </w:tr>
      <w:tr>
        <w:tc>
          <w:tcPr>
            <w:tcW w:type="dxa" w:w="6048"/>
          </w:tcPr>
          <w:p>
            <w:pPr>
              <w:spacing w:after="20"/>
            </w:pPr>
            <w:r>
              <w:rPr>
                <w:color w:val="1C3A36"/>
                <w:sz w:val="17"/>
              </w:rPr>
              <w:t>Injectables regulatory drag worsens</w:t>
            </w:r>
          </w:p>
        </w:tc>
        <w:tc>
          <w:tcPr>
            <w:tcW w:type="dxa" w:w="1296"/>
          </w:tcPr>
          <w:p>
            <w:pPr>
              <w:spacing w:after="20"/>
              <w:jc w:val="right"/>
            </w:pPr>
            <w:r>
              <w:rPr>
                <w:color w:val="1C3A36"/>
                <w:sz w:val="17"/>
              </w:rPr>
              <w:t>15%</w:t>
            </w:r>
          </w:p>
        </w:tc>
        <w:tc>
          <w:tcPr>
            <w:tcW w:type="dxa" w:w="2160"/>
          </w:tcPr>
          <w:p>
            <w:pPr>
              <w:spacing w:after="20"/>
              <w:jc w:val="right"/>
            </w:pPr>
            <w:r>
              <w:rPr>
                <w:color w:val="1C3A36"/>
                <w:sz w:val="17"/>
              </w:rPr>
              <w:t>-0.8%</w:t>
            </w:r>
          </w:p>
        </w:tc>
      </w:tr>
      <w:tr>
        <w:tc>
          <w:tcPr>
            <w:tcW w:type="dxa" w:w="6048"/>
          </w:tcPr>
          <w:p>
            <w:pPr>
              <w:spacing w:after="20"/>
            </w:pPr>
            <w:r>
              <w:rPr>
                <w:color w:val="1C3A36"/>
                <w:sz w:val="17"/>
              </w:rPr>
              <w:t>Regional geopolitical escalation</w:t>
            </w:r>
          </w:p>
        </w:tc>
        <w:tc>
          <w:tcPr>
            <w:tcW w:type="dxa" w:w="1296"/>
          </w:tcPr>
          <w:p>
            <w:pPr>
              <w:spacing w:after="20"/>
              <w:jc w:val="right"/>
            </w:pPr>
            <w:r>
              <w:rPr>
                <w:color w:val="1C3A36"/>
                <w:sz w:val="17"/>
              </w:rPr>
              <w:t>20%</w:t>
            </w:r>
          </w:p>
        </w:tc>
        <w:tc>
          <w:tcPr>
            <w:tcW w:type="dxa" w:w="2160"/>
          </w:tcPr>
          <w:p>
            <w:pPr>
              <w:spacing w:after="20"/>
              <w:jc w:val="right"/>
            </w:pPr>
            <w:r>
              <w:rPr>
                <w:color w:val="1C3A36"/>
                <w:sz w:val="17"/>
              </w:rPr>
              <w:t>-1.5%</w:t>
            </w:r>
          </w:p>
        </w:tc>
      </w:tr>
      <w:tr>
        <w:tc>
          <w:tcPr>
            <w:tcW w:type="dxa" w:w="6048"/>
          </w:tcPr>
          <w:p>
            <w:pPr>
              <w:spacing w:after="20"/>
            </w:pPr>
            <w:r>
              <w:rPr>
                <w:color w:val="1C3A36"/>
                <w:sz w:val="17"/>
              </w:rPr>
              <w:t>EGP step-devaluation</w:t>
            </w:r>
          </w:p>
        </w:tc>
        <w:tc>
          <w:tcPr>
            <w:tcW w:type="dxa" w:w="1296"/>
          </w:tcPr>
          <w:p>
            <w:pPr>
              <w:spacing w:after="20"/>
              <w:jc w:val="right"/>
            </w:pPr>
            <w:r>
              <w:rPr>
                <w:color w:val="1C3A36"/>
                <w:sz w:val="17"/>
              </w:rPr>
              <w:t>10%</w:t>
            </w:r>
          </w:p>
        </w:tc>
        <w:tc>
          <w:tcPr>
            <w:tcW w:type="dxa" w:w="2160"/>
          </w:tcPr>
          <w:p>
            <w:pPr>
              <w:spacing w:after="20"/>
              <w:jc w:val="right"/>
            </w:pPr>
            <w:r>
              <w:rPr>
                <w:color w:val="1C3A36"/>
                <w:sz w:val="17"/>
              </w:rPr>
              <w:t>-3.0%</w:t>
            </w:r>
          </w:p>
        </w:tc>
      </w:tr>
    </w:tbl>
    <w:p>
      <w:pPr>
        <w:spacing w:after="40"/>
      </w:pPr>
    </w:p>
    <w:p>
      <w:pPr>
        <w:spacing w:after="200" w:before="0"/>
      </w:pPr>
      <w:r>
        <w:rPr>
          <w:b w:val="0"/>
          <w:i/>
          <w:color w:val="6E7B77"/>
          <w:sz w:val="17"/>
        </w:rPr>
        <w:t>All probabilities and impacts are editable judgments (the table is the map). Their expected sum is +1.3% over the quarter — small against a ±30-vol tape, which is exactly why the panel ablation keeps them out of the drift. Sourced anchors: the official MPC calendar (20-Aug, 24-Sep, 29-Oct, 17-Dec), the mid-Aug 2Q26 print, the provisioned EGP 99mn UCP/MEC receivable, EDA pricing file.</w:t>
      </w:r>
    </w:p>
    <w:p>
      <w:pPr>
        <w:spacing w:after="100" w:before="0"/>
      </w:pPr>
      <w:r>
        <w:rPr>
          <w:b/>
          <w:i w:val="0"/>
          <w:color w:val="1C3A36"/>
          <w:sz w:val="19"/>
        </w:rPr>
        <w:t xml:space="preserve">•  </w:t>
      </w:r>
      <w:r>
        <w:rPr>
          <w:b/>
          <w:i w:val="0"/>
          <w:color w:val="1C3A36"/>
          <w:sz w:val="19"/>
        </w:rPr>
        <w:t xml:space="preserve">2Q26 results (~mid-Aug-2026). </w:t>
      </w:r>
      <w:r>
        <w:rPr>
          <w:b w:val="0"/>
          <w:i w:val="0"/>
          <w:color w:val="1C3A36"/>
          <w:sz w:val="19"/>
        </w:rPr>
        <w:t>The first print after this study. Watch three lines: units ex-toll (the FY25 +40% volume story continuing or not), finance expense against 1Q26’s EGP 132mn (ER interest cost; the deleveraging mechanism), and the receivable-days glide. A quarter that shows interest falling while EBITDA compounds is the base case printing.</w:t>
      </w:r>
    </w:p>
    <w:p>
      <w:pPr>
        <w:spacing w:after="100" w:before="0"/>
      </w:pPr>
      <w:r>
        <w:rPr>
          <w:b/>
          <w:i w:val="0"/>
          <w:color w:val="1C3A36"/>
          <w:sz w:val="19"/>
        </w:rPr>
        <w:t xml:space="preserve">•  </w:t>
      </w:r>
      <w:r>
        <w:rPr>
          <w:b/>
          <w:i w:val="0"/>
          <w:color w:val="1C3A36"/>
          <w:sz w:val="19"/>
        </w:rPr>
        <w:t xml:space="preserve">CBE MPC meetings (20-Aug, 24-Sep, 29-Oct, 17-Dec — held 2-Apr, 21-May, 9-Jul). </w:t>
      </w:r>
      <w:r>
        <w:rPr>
          <w:b w:val="0"/>
          <w:i w:val="0"/>
          <w:color w:val="1C3A36"/>
          <w:sz w:val="19"/>
        </w:rPr>
        <w:t>The single most mechanical catalyst, now pushed right: the 9-Jul statement has inflation accelerating through 3Q26 and the 7±2% target in H2-2027, and the street flags a small 3Q26 hike tail. Each 100bp off the facility book is ≈EGP 21mn pre-tax (§1.7), and each 100bp off the discount curve moves the DCF ≈EGP 0.14/share at the base (§1.7, §1.9). The market’s implied rate path IS the valuation gap.</w:t>
      </w:r>
    </w:p>
    <w:p>
      <w:pPr>
        <w:spacing w:after="100" w:before="0"/>
      </w:pPr>
      <w:r>
        <w:rPr>
          <w:b/>
          <w:i w:val="0"/>
          <w:color w:val="1C3A36"/>
          <w:sz w:val="19"/>
        </w:rPr>
        <w:t xml:space="preserve">•  </w:t>
      </w:r>
      <w:r>
        <w:rPr>
          <w:b/>
          <w:i w:val="0"/>
          <w:color w:val="1C3A36"/>
          <w:sz w:val="19"/>
        </w:rPr>
        <w:t xml:space="preserve">LVP Pharma and the 33.33% MTO line. </w:t>
      </w:r>
      <w:r>
        <w:rPr>
          <w:b w:val="0"/>
          <w:i w:val="0"/>
          <w:color w:val="1C3A36"/>
          <w:sz w:val="19"/>
        </w:rPr>
        <w:t>LVP (LimeVest) reached 31.5% on 9-Jun-26 after buying out Equinox/Compass at EGP 5.07–5.10 and now chairs the board; under EGX rules, crossing 33.33% triggers a mandatory tender offer for the remaining shares. Any further accumulation is therefore a discrete, rule-driven event with a printed reference price — the map carries it at 25% / +2.5%. PIF’s Saudi Seventh (11%) and KIA’s Ekuity (10%) hold the rest of the anchor block.</w:t>
      </w:r>
    </w:p>
    <w:p>
      <w:pPr>
        <w:spacing w:after="100" w:before="0"/>
      </w:pPr>
      <w:r>
        <w:rPr>
          <w:b/>
          <w:i w:val="0"/>
          <w:color w:val="1C3A36"/>
          <w:sz w:val="19"/>
        </w:rPr>
        <w:t xml:space="preserve">•  </w:t>
      </w:r>
      <w:r>
        <w:rPr>
          <w:b/>
          <w:i w:val="0"/>
          <w:color w:val="1C3A36"/>
          <w:sz w:val="19"/>
        </w:rPr>
        <w:t xml:space="preserve">Portfolio acquisitions. </w:t>
      </w:r>
      <w:r>
        <w:rPr>
          <w:b w:val="0"/>
          <w:i w:val="0"/>
          <w:color w:val="1C3A36"/>
          <w:sz w:val="19"/>
        </w:rPr>
        <w:t>Management has bought product portfolios (UCP/MEC assets, the FY24 in-licensing round) rather than greenfield capacity; another EGP 300–600mn deal would re-cut the growth vector and the debt glide in the same stroke — direction depends entirely on price and funding mix.</w:t>
      </w:r>
    </w:p>
    <w:p>
      <w:pPr>
        <w:spacing w:after="100" w:before="0"/>
      </w:pPr>
      <w:r>
        <w:rPr>
          <w:b/>
          <w:i w:val="0"/>
          <w:color w:val="1C3A36"/>
          <w:sz w:val="19"/>
        </w:rPr>
        <w:t xml:space="preserve">•  </w:t>
      </w:r>
      <w:r>
        <w:rPr>
          <w:b/>
          <w:i w:val="0"/>
          <w:color w:val="1C3A36"/>
          <w:sz w:val="19"/>
        </w:rPr>
        <w:t xml:space="preserve">EDA pricing actions. </w:t>
      </w:r>
      <w:r>
        <w:rPr>
          <w:b w:val="0"/>
          <w:i w:val="0"/>
          <w:color w:val="1C3A36"/>
          <w:sz w:val="19"/>
        </w:rPr>
        <w:t>Egyptian drug pricing is administered; the FY25 revenue step shows the catch-up regime working. A further favourable repricing round is upside to the price/mix line; a freeze is the bear margin case.</w:t>
      </w:r>
    </w:p>
    <w:p>
      <w:pPr>
        <w:spacing w:after="100" w:before="0"/>
      </w:pPr>
      <w:r>
        <w:rPr>
          <w:b/>
          <w:i w:val="0"/>
          <w:color w:val="1C3A36"/>
          <w:sz w:val="19"/>
        </w:rPr>
        <w:t xml:space="preserve">•  </w:t>
      </w:r>
      <w:r>
        <w:rPr>
          <w:b/>
          <w:i w:val="0"/>
          <w:color w:val="1C3A36"/>
          <w:sz w:val="19"/>
        </w:rPr>
        <w:t xml:space="preserve">EGP regime. </w:t>
      </w:r>
      <w:r>
        <w:rPr>
          <w:b w:val="0"/>
          <w:i w:val="0"/>
          <w:color w:val="1C3A36"/>
          <w:sz w:val="19"/>
        </w:rPr>
        <w:t>A step-devaluation (10% probability, −3% mean impact in the map) hits USD-priced API costs immediately and pricing catch-up only with a lag — the one event that moves both the cone and the fundamentals against the name at once.</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spot EGP 5.00, the zone edges at 4.00 / 4.60 / 5.20 / 5.80 / 6.40: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016"/>
            <w:shd w:val="clear" w:color="auto" w:fill="EAF0EE"/>
          </w:tcPr>
          <w:p>
            <w:pPr>
              <w:spacing w:after="20"/>
            </w:pPr>
            <w:r>
              <w:rPr>
                <w:b/>
                <w:color w:val="1C3A36"/>
                <w:sz w:val="17"/>
              </w:rPr>
              <w:t>Zone (T+60)</w:t>
            </w:r>
          </w:p>
        </w:tc>
        <w:tc>
          <w:tcPr>
            <w:tcW w:type="dxa" w:w="1944"/>
            <w:shd w:val="clear" w:color="auto" w:fill="EAF0EE"/>
          </w:tcPr>
          <w:p>
            <w:pPr>
              <w:spacing w:after="20"/>
            </w:pPr>
            <w:r>
              <w:rPr>
                <w:b/>
                <w:color w:val="1C3A36"/>
                <w:sz w:val="17"/>
              </w:rPr>
              <w:t>Range (EGP)</w:t>
            </w:r>
          </w:p>
        </w:tc>
        <w:tc>
          <w:tcPr>
            <w:tcW w:type="dxa" w:w="2016"/>
            <w:shd w:val="clear" w:color="auto" w:fill="EAF0EE"/>
          </w:tcPr>
          <w:p>
            <w:pPr>
              <w:spacing w:after="20"/>
            </w:pPr>
            <w:r>
              <w:rPr>
                <w:b/>
                <w:color w:val="1C3A36"/>
                <w:sz w:val="17"/>
              </w:rPr>
              <w:t>Approx. probability</w:t>
            </w:r>
          </w:p>
        </w:tc>
        <w:tc>
          <w:tcPr>
            <w:tcW w:type="dxa" w:w="3960"/>
            <w:shd w:val="clear" w:color="auto" w:fill="EAF0EE"/>
          </w:tcPr>
          <w:p>
            <w:pPr>
              <w:spacing w:after="20"/>
            </w:pPr>
            <w:r>
              <w:rPr>
                <w:b/>
                <w:color w:val="1C3A36"/>
                <w:sz w:val="17"/>
              </w:rPr>
              <w:t>What it would mean</w:t>
            </w:r>
          </w:p>
        </w:tc>
      </w:tr>
      <w:tr>
        <w:tc>
          <w:tcPr>
            <w:tcW w:type="dxa" w:w="2016"/>
          </w:tcPr>
          <w:p>
            <w:pPr>
              <w:spacing w:after="20"/>
            </w:pPr>
            <w:r>
              <w:rPr>
                <w:b/>
                <w:color w:val="1C3A36"/>
                <w:sz w:val="17"/>
              </w:rPr>
              <w:t>Deep downside</w:t>
            </w:r>
          </w:p>
        </w:tc>
        <w:tc>
          <w:tcPr>
            <w:tcW w:type="dxa" w:w="1944"/>
          </w:tcPr>
          <w:p>
            <w:pPr>
              <w:spacing w:after="20"/>
              <w:jc w:val="right"/>
            </w:pPr>
            <w:r>
              <w:rPr>
                <w:color w:val="1C3A36"/>
                <w:sz w:val="17"/>
              </w:rPr>
              <w:t>&lt; 4.00</w:t>
            </w:r>
          </w:p>
        </w:tc>
        <w:tc>
          <w:tcPr>
            <w:tcW w:type="dxa" w:w="2016"/>
          </w:tcPr>
          <w:p>
            <w:pPr>
              <w:spacing w:after="20"/>
              <w:jc w:val="right"/>
            </w:pPr>
            <w:r>
              <w:rPr>
                <w:color w:val="1C3A36"/>
                <w:sz w:val="17"/>
              </w:rPr>
              <w:t>~6%</w:t>
            </w:r>
          </w:p>
        </w:tc>
        <w:tc>
          <w:tcPr>
            <w:tcW w:type="dxa" w:w="3960"/>
          </w:tcPr>
          <w:p>
            <w:pPr>
              <w:spacing w:after="20"/>
              <w:jc w:val="right"/>
            </w:pPr>
            <w:r>
              <w:rPr>
                <w:color w:val="1C3A36"/>
                <w:sz w:val="17"/>
              </w:rPr>
              <w:t>Devaluation / geopolitical shock; −20% and the March base gone</w:t>
            </w:r>
          </w:p>
        </w:tc>
      </w:tr>
      <w:tr>
        <w:tc>
          <w:tcPr>
            <w:tcW w:type="dxa" w:w="2016"/>
          </w:tcPr>
          <w:p>
            <w:pPr>
              <w:spacing w:after="20"/>
            </w:pPr>
            <w:r>
              <w:rPr>
                <w:b/>
                <w:color w:val="1C3A36"/>
                <w:sz w:val="17"/>
              </w:rPr>
              <w:t>Lower band</w:t>
            </w:r>
          </w:p>
        </w:tc>
        <w:tc>
          <w:tcPr>
            <w:tcW w:type="dxa" w:w="1944"/>
          </w:tcPr>
          <w:p>
            <w:pPr>
              <w:spacing w:after="20"/>
              <w:jc w:val="right"/>
            </w:pPr>
            <w:r>
              <w:rPr>
                <w:color w:val="1C3A36"/>
                <w:sz w:val="17"/>
              </w:rPr>
              <w:t>4.00 – 4.60</w:t>
            </w:r>
          </w:p>
        </w:tc>
        <w:tc>
          <w:tcPr>
            <w:tcW w:type="dxa" w:w="2016"/>
          </w:tcPr>
          <w:p>
            <w:pPr>
              <w:spacing w:after="20"/>
              <w:jc w:val="right"/>
            </w:pPr>
            <w:r>
              <w:rPr>
                <w:color w:val="1C3A36"/>
                <w:sz w:val="17"/>
              </w:rPr>
              <w:t>~14%</w:t>
            </w:r>
          </w:p>
        </w:tc>
        <w:tc>
          <w:tcPr>
            <w:tcW w:type="dxa" w:w="3960"/>
          </w:tcPr>
          <w:p>
            <w:pPr>
              <w:spacing w:after="20"/>
              <w:jc w:val="right"/>
            </w:pPr>
            <w:r>
              <w:rPr>
                <w:color w:val="1C3A36"/>
                <w:sz w:val="17"/>
              </w:rPr>
              <w:t>Rate cuts stall; momentum unwind toward the June shelf</w:t>
            </w:r>
          </w:p>
        </w:tc>
      </w:tr>
      <w:tr>
        <w:tc>
          <w:tcPr>
            <w:tcW w:type="dxa" w:w="2016"/>
          </w:tcPr>
          <w:p>
            <w:pPr>
              <w:spacing w:after="20"/>
            </w:pPr>
            <w:r>
              <w:rPr>
                <w:b/>
                <w:color w:val="1C3A36"/>
                <w:sz w:val="17"/>
              </w:rPr>
              <w:t>Around spot</w:t>
            </w:r>
          </w:p>
        </w:tc>
        <w:tc>
          <w:tcPr>
            <w:tcW w:type="dxa" w:w="1944"/>
          </w:tcPr>
          <w:p>
            <w:pPr>
              <w:spacing w:after="20"/>
              <w:jc w:val="right"/>
            </w:pPr>
            <w:r>
              <w:rPr>
                <w:color w:val="1C3A36"/>
                <w:sz w:val="17"/>
              </w:rPr>
              <w:t>4.60 – 5.20</w:t>
            </w:r>
          </w:p>
        </w:tc>
        <w:tc>
          <w:tcPr>
            <w:tcW w:type="dxa" w:w="2016"/>
          </w:tcPr>
          <w:p>
            <w:pPr>
              <w:spacing w:after="20"/>
              <w:jc w:val="right"/>
            </w:pPr>
            <w:r>
              <w:rPr>
                <w:color w:val="1C3A36"/>
                <w:sz w:val="17"/>
              </w:rPr>
              <w:t>~30%</w:t>
            </w:r>
          </w:p>
        </w:tc>
        <w:tc>
          <w:tcPr>
            <w:tcW w:type="dxa" w:w="3960"/>
          </w:tcPr>
          <w:p>
            <w:pPr>
              <w:spacing w:after="20"/>
              <w:jc w:val="right"/>
            </w:pPr>
            <w:r>
              <w:rPr>
                <w:color w:val="1C3A36"/>
                <w:sz w:val="17"/>
              </w:rPr>
              <w:t>Status quo: carry accrues, the print is in-line</w:t>
            </w:r>
          </w:p>
        </w:tc>
      </w:tr>
      <w:tr>
        <w:tc>
          <w:tcPr>
            <w:tcW w:type="dxa" w:w="2016"/>
          </w:tcPr>
          <w:p>
            <w:pPr>
              <w:spacing w:after="20"/>
            </w:pPr>
            <w:r>
              <w:rPr>
                <w:b/>
                <w:color w:val="1C3A36"/>
                <w:sz w:val="17"/>
              </w:rPr>
              <w:t>Upper band</w:t>
            </w:r>
          </w:p>
        </w:tc>
        <w:tc>
          <w:tcPr>
            <w:tcW w:type="dxa" w:w="1944"/>
          </w:tcPr>
          <w:p>
            <w:pPr>
              <w:spacing w:after="20"/>
              <w:jc w:val="right"/>
            </w:pPr>
            <w:r>
              <w:rPr>
                <w:color w:val="1C3A36"/>
                <w:sz w:val="17"/>
              </w:rPr>
              <w:t>5.20 – 5.80</w:t>
            </w:r>
          </w:p>
        </w:tc>
        <w:tc>
          <w:tcPr>
            <w:tcW w:type="dxa" w:w="2016"/>
          </w:tcPr>
          <w:p>
            <w:pPr>
              <w:spacing w:after="20"/>
              <w:jc w:val="right"/>
            </w:pPr>
            <w:r>
              <w:rPr>
                <w:color w:val="1C3A36"/>
                <w:sz w:val="17"/>
              </w:rPr>
              <w:t>~28%</w:t>
            </w:r>
          </w:p>
        </w:tc>
        <w:tc>
          <w:tcPr>
            <w:tcW w:type="dxa" w:w="3960"/>
          </w:tcPr>
          <w:p>
            <w:pPr>
              <w:spacing w:after="20"/>
              <w:jc w:val="right"/>
            </w:pPr>
            <w:r>
              <w:rPr>
                <w:color w:val="1C3A36"/>
                <w:sz w:val="17"/>
              </w:rPr>
              <w:t>Good 2Q26 + a cut delivered; presses the 52-week high</w:t>
            </w:r>
          </w:p>
        </w:tc>
      </w:tr>
      <w:tr>
        <w:tc>
          <w:tcPr>
            <w:tcW w:type="dxa" w:w="2016"/>
          </w:tcPr>
          <w:p>
            <w:pPr>
              <w:spacing w:after="20"/>
            </w:pPr>
            <w:r>
              <w:rPr>
                <w:b/>
                <w:color w:val="1C3A36"/>
                <w:sz w:val="17"/>
              </w:rPr>
              <w:t>Strong upside</w:t>
            </w:r>
          </w:p>
        </w:tc>
        <w:tc>
          <w:tcPr>
            <w:tcW w:type="dxa" w:w="1944"/>
          </w:tcPr>
          <w:p>
            <w:pPr>
              <w:spacing w:after="20"/>
              <w:jc w:val="right"/>
            </w:pPr>
            <w:r>
              <w:rPr>
                <w:color w:val="1C3A36"/>
                <w:sz w:val="17"/>
              </w:rPr>
              <w:t>5.80 – 6.40</w:t>
            </w:r>
          </w:p>
        </w:tc>
        <w:tc>
          <w:tcPr>
            <w:tcW w:type="dxa" w:w="2016"/>
          </w:tcPr>
          <w:p>
            <w:pPr>
              <w:spacing w:after="20"/>
              <w:jc w:val="right"/>
            </w:pPr>
            <w:r>
              <w:rPr>
                <w:color w:val="1C3A36"/>
                <w:sz w:val="17"/>
              </w:rPr>
              <w:t>~13%</w:t>
            </w:r>
          </w:p>
        </w:tc>
        <w:tc>
          <w:tcPr>
            <w:tcW w:type="dxa" w:w="3960"/>
          </w:tcPr>
          <w:p>
            <w:pPr>
              <w:spacing w:after="20"/>
              <w:jc w:val="right"/>
            </w:pPr>
            <w:r>
              <w:rPr>
                <w:color w:val="1C3A36"/>
                <w:sz w:val="17"/>
              </w:rPr>
              <w:t>New high; deal news or an outsized pricing round</w:t>
            </w:r>
          </w:p>
        </w:tc>
      </w:tr>
      <w:tr>
        <w:tc>
          <w:tcPr>
            <w:tcW w:type="dxa" w:w="2016"/>
          </w:tcPr>
          <w:p>
            <w:pPr>
              <w:spacing w:after="20"/>
            </w:pPr>
            <w:r>
              <w:rPr>
                <w:b/>
                <w:color w:val="1C3A36"/>
                <w:sz w:val="17"/>
              </w:rPr>
              <w:t>Right tail</w:t>
            </w:r>
          </w:p>
        </w:tc>
        <w:tc>
          <w:tcPr>
            <w:tcW w:type="dxa" w:w="1944"/>
          </w:tcPr>
          <w:p>
            <w:pPr>
              <w:spacing w:after="20"/>
              <w:jc w:val="right"/>
            </w:pPr>
            <w:r>
              <w:rPr>
                <w:color w:val="1C3A36"/>
                <w:sz w:val="17"/>
              </w:rPr>
              <w:t>&gt; 6.40</w:t>
            </w:r>
          </w:p>
        </w:tc>
        <w:tc>
          <w:tcPr>
            <w:tcW w:type="dxa" w:w="2016"/>
          </w:tcPr>
          <w:p>
            <w:pPr>
              <w:spacing w:after="20"/>
              <w:jc w:val="right"/>
            </w:pPr>
            <w:r>
              <w:rPr>
                <w:color w:val="1C3A36"/>
                <w:sz w:val="17"/>
              </w:rPr>
              <w:t>~9%</w:t>
            </w:r>
          </w:p>
        </w:tc>
        <w:tc>
          <w:tcPr>
            <w:tcW w:type="dxa" w:w="3960"/>
          </w:tcPr>
          <w:p>
            <w:pPr>
              <w:spacing w:after="20"/>
              <w:jc w:val="right"/>
            </w:pPr>
            <w:r>
              <w:rPr>
                <w:color w:val="1C3A36"/>
                <w:sz w:val="17"/>
              </w:rPr>
              <w:t>+28% and beyond; M&amp;A-type repricing</w:t>
            </w:r>
          </w:p>
        </w:tc>
      </w:tr>
    </w:tbl>
    <w:p>
      <w:pPr>
        <w:spacing w:after="40"/>
      </w:pPr>
    </w:p>
    <w:p>
      <w:pPr>
        <w:spacing w:after="120" w:before="0"/>
      </w:pPr>
      <w:r>
        <w:rPr>
          <w:b w:val="0"/>
          <w:i w:val="0"/>
          <w:color w:val="1C3A36"/>
          <w:sz w:val="19"/>
        </w:rPr>
        <w:t>The mass sits around spot — 30% + 28% of paths finish between 4.60 and 5.80 — with the asymmetry of the carry: the touch ladder gives 55% odds of tagging +10% at some point against 34% for −10%. That tilt is the 19.5% policy rate expressed in price space, not a view on the company.</w:t>
      </w:r>
    </w:p>
    <w:p>
      <w:pPr>
        <w:spacing w:after="120" w:before="280"/>
      </w:pPr>
      <w:r>
        <w:rPr>
          <w:b/>
          <w:i w:val="0"/>
          <w:color w:val="1C3A36"/>
          <w:sz w:val="30"/>
        </w:rPr>
        <w:t>7  Caveats and what would change our mind</w:t>
      </w:r>
    </w:p>
    <w:p>
      <w:pPr>
        <w:spacing w:after="100" w:before="0"/>
      </w:pPr>
      <w:r>
        <w:rPr>
          <w:b/>
          <w:i w:val="0"/>
          <w:color w:val="1C3A36"/>
          <w:sz w:val="19"/>
        </w:rPr>
        <w:t xml:space="preserve">•  </w:t>
      </w:r>
      <w:r>
        <w:rPr>
          <w:b/>
          <w:i w:val="0"/>
          <w:color w:val="1C3A36"/>
          <w:sz w:val="19"/>
        </w:rPr>
        <w:t xml:space="preserve">The valuation is a rates question wearing a pharma costume. </w:t>
      </w:r>
      <w:r>
        <w:rPr>
          <w:b w:val="0"/>
          <w:i w:val="0"/>
          <w:color w:val="1C3A36"/>
          <w:sz w:val="19"/>
        </w:rPr>
        <w:t>At the sourced 28.9% WACC the DCF reads 1.25; at 15% it reads near spot (§1.9). We deliberately publish the sourced-rate answer plus the full grid rather than picking a "normalized" rate — picking one would be the disguised rate bet we accuse the market of. A sustained CBE easing cycle below ~20% policy would mechanically migrate every cash-flow lens toward the market cluster.</w:t>
      </w:r>
    </w:p>
    <w:p>
      <w:pPr>
        <w:spacing w:after="100" w:before="0"/>
      </w:pPr>
      <w:r>
        <w:rPr>
          <w:b/>
          <w:i w:val="0"/>
          <w:color w:val="1C3A36"/>
          <w:sz w:val="19"/>
        </w:rPr>
        <w:t xml:space="preserve">•  </w:t>
      </w:r>
      <w:r>
        <w:rPr>
          <w:b/>
          <w:i w:val="0"/>
          <w:color w:val="1C3A36"/>
          <w:sz w:val="19"/>
        </w:rPr>
        <w:t xml:space="preserve">Terminal-value dependency. </w:t>
      </w:r>
      <w:r>
        <w:rPr>
          <w:b w:val="0"/>
          <w:i w:val="0"/>
          <w:color w:val="1C3A36"/>
          <w:sz w:val="19"/>
        </w:rPr>
        <w:t>56.8% of the DCF’s enterprise value is terminal at a 21.6-point WACC−g spread — disclosed per house rule. The terminal g of 5% is the Standing Research Protocol’s mandated center (§1.7b), sitting below even the 8.0% stable-year ROIC×RR-implied rate — a conservative choice by construction, not a macro assertion.</w:t>
      </w:r>
    </w:p>
    <w:p>
      <w:pPr>
        <w:spacing w:after="100" w:before="0"/>
      </w:pPr>
      <w:r>
        <w:rPr>
          <w:b/>
          <w:i w:val="0"/>
          <w:color w:val="1C3A36"/>
          <w:sz w:val="19"/>
        </w:rPr>
        <w:t xml:space="preserve">•  </w:t>
      </w:r>
      <w:r>
        <w:rPr>
          <w:b/>
          <w:i w:val="0"/>
          <w:color w:val="1C3A36"/>
          <w:sz w:val="19"/>
        </w:rPr>
        <w:t xml:space="preserve">The beta is a fallback, and honestly flagged. </w:t>
      </w:r>
      <w:r>
        <w:rPr>
          <w:b w:val="0"/>
          <w:i w:val="0"/>
          <w:color w:val="1C3A36"/>
          <w:sz w:val="19"/>
        </w:rPr>
        <w:t>No EGX30 daily series was accessible this session, so the regression could not be attempted on real data and β=1.0 is the house fallback after a genuine usability-gate failure — aggregator prints of 0.26–0.49 are noted as colour only. §1.9 shows every beta from 0.8 to 1.3; at β=0.8 the DCF rises ~19%. Logged as an open flag for the first update.</w:t>
      </w:r>
    </w:p>
    <w:p>
      <w:pPr>
        <w:spacing w:after="100" w:before="0"/>
      </w:pPr>
      <w:r>
        <w:rPr>
          <w:b/>
          <w:i w:val="0"/>
          <w:color w:val="1C3A36"/>
          <w:sz w:val="19"/>
        </w:rPr>
        <w:t xml:space="preserve">•  </w:t>
      </w:r>
      <w:r>
        <w:rPr>
          <w:b/>
          <w:i w:val="0"/>
          <w:color w:val="1C3A36"/>
          <w:sz w:val="19"/>
        </w:rPr>
        <w:t xml:space="preserve">Working-capital glide is management-dependent. </w:t>
      </w:r>
      <w:r>
        <w:rPr>
          <w:b w:val="0"/>
          <w:i w:val="0"/>
          <w:color w:val="1C3A36"/>
          <w:sz w:val="19"/>
        </w:rPr>
        <w:t>The NWC/revenue path from 66.4% (FY25) through 61% (FY26E) toward 54% (FY30E) drives roughly as much DCF value as a full margin point per 4pp (§1.9). 1Q26 shows it working (receivable days falling; net debt down EGP 114mn in the quarter to 2,111 — the model’s EGP 185mn facilities plug is the FY26E full-year figure, not one quarter); a tender-payment cycle from AUPP or a stocking decision could reverse a year of glide in two quarters.</w:t>
      </w:r>
    </w:p>
    <w:p>
      <w:pPr>
        <w:spacing w:after="100" w:before="0"/>
      </w:pPr>
      <w:r>
        <w:rPr>
          <w:b/>
          <w:i w:val="0"/>
          <w:color w:val="1C3A36"/>
          <w:sz w:val="19"/>
        </w:rPr>
        <w:t xml:space="preserve">•  </w:t>
      </w:r>
      <w:r>
        <w:rPr>
          <w:b/>
          <w:i w:val="0"/>
          <w:color w:val="1C3A36"/>
          <w:sz w:val="19"/>
        </w:rPr>
        <w:t xml:space="preserve">One-offs and quality of earnings. </w:t>
      </w:r>
      <w:r>
        <w:rPr>
          <w:b w:val="0"/>
          <w:i w:val="0"/>
          <w:color w:val="1C3A36"/>
          <w:sz w:val="19"/>
        </w:rPr>
        <w:t>FY25 NI absorbed the EGP 99mn UCP/MEC provision (one-off, disclosed) AND benefited from the brand-life re-estimate (20y→35–40y, booked in FY25 per the estimate-change note), which cut amortization ≈EGP 25.8mn — a non-cash accounting choice we flag rather than reverse. Both framings of net debt (2,307 incl leases, the primary bridge / 2,225 ex-lease) are stated everywhere per the dual-framing rule.</w:t>
      </w:r>
    </w:p>
    <w:p>
      <w:pPr>
        <w:spacing w:after="100" w:before="0"/>
      </w:pPr>
      <w:r>
        <w:rPr>
          <w:b/>
          <w:i w:val="0"/>
          <w:color w:val="1C3A36"/>
          <w:sz w:val="19"/>
        </w:rPr>
        <w:t xml:space="preserve">•  </w:t>
      </w:r>
      <w:r>
        <w:rPr>
          <w:b/>
          <w:i w:val="0"/>
          <w:color w:val="1C3A36"/>
          <w:sz w:val="19"/>
        </w:rPr>
        <w:t xml:space="preserve">Calibration provenance. </w:t>
      </w:r>
      <w:r>
        <w:rPr>
          <w:b w:val="0"/>
          <w:i w:val="0"/>
          <w:color w:val="1C3A36"/>
          <w:sz w:val="19"/>
        </w:rPr>
        <w:t>RMDA is IN the 28-name Egypt panel and carries its own fitted verdict: PASS, on 13 non-overlapping post-break windows, robust at every bootstrap block size tested. What that does and does not license: it says the cone has been honest on this name’s own history against a carry-anchored random walk — it says nothing whatever about the fundamental value, which is a separate object on a separate clock.</w:t>
      </w:r>
    </w:p>
    <w:p>
      <w:pPr>
        <w:spacing w:after="100" w:before="0"/>
      </w:pPr>
      <w:r>
        <w:rPr>
          <w:b/>
          <w:i w:val="0"/>
          <w:color w:val="1C3A36"/>
          <w:sz w:val="19"/>
        </w:rPr>
        <w:t xml:space="preserve">•  </w:t>
      </w:r>
      <w:r>
        <w:rPr>
          <w:b/>
          <w:i w:val="0"/>
          <w:color w:val="1C3A36"/>
          <w:sz w:val="19"/>
        </w:rPr>
        <w:t xml:space="preserve">Technical reminder. </w:t>
      </w:r>
      <w:r>
        <w:rPr>
          <w:b w:val="0"/>
          <w:i w:val="0"/>
          <w:color w:val="1C3A36"/>
          <w:sz w:val="19"/>
        </w:rPr>
        <w:t>A +66% recovery leg that stalls under its old high can resolve either way; the cone is a regime read, not a promise. §2 is context, not a trigger.</w:t>
      </w:r>
    </w:p>
    <w:p>
      <w:pPr>
        <w:spacing w:after="120" w:before="280"/>
      </w:pPr>
      <w:r>
        <w:rPr>
          <w:b/>
          <w:i w:val="0"/>
          <w:color w:val="1C3A36"/>
          <w:sz w:val="30"/>
        </w:rPr>
        <w:t>Appendix A  Financial statements</w:t>
      </w:r>
    </w:p>
    <w:p>
      <w:pPr>
        <w:spacing w:after="120" w:before="0"/>
      </w:pPr>
      <w:r>
        <w:rPr>
          <w:b w:val="0"/>
          <w:i w:val="0"/>
          <w:color w:val="1C3A36"/>
          <w:sz w:val="21"/>
        </w:rPr>
        <w:t>Consolidated figures as audited — FY2023–FY2025 from the company’s audited consolidated financial statements and BoD reports on rameda.com (per the sourcing rule: official company sources only, never aggregators), 1Q26 from the reviewed interims. EGP million. The five-year forecast is the model build (companion Excel, formula-linked to the single blue-cell Assumptions layer); the docx and the Excel read the same study_numbers JSON, verified by the cell-by-cell diff before release.</w:t>
      </w:r>
    </w:p>
    <w:p>
      <w:pPr>
        <w:spacing w:after="80" w:before="200"/>
      </w:pPr>
      <w:r>
        <w:rPr>
          <w:b/>
          <w:i w:val="0"/>
          <w:color w:val="1C3A36"/>
          <w:sz w:val="24"/>
        </w:rPr>
        <w:t>A.1  Income statement — 3 actual + 5 forecast columns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664"/>
            <w:shd w:val="clear" w:color="auto" w:fill="EAF0EE"/>
          </w:tcPr>
          <w:p>
            <w:pPr>
              <w:spacing w:after="20"/>
            </w:pPr>
            <w:r>
              <w:rPr>
                <w:b/>
                <w:color w:val="1C3A36"/>
                <w:sz w:val="15"/>
              </w:rPr>
              <w:t>Line</w:t>
            </w:r>
          </w:p>
        </w:tc>
        <w:tc>
          <w:tcPr>
            <w:tcW w:type="dxa" w:w="842"/>
            <w:shd w:val="clear" w:color="auto" w:fill="EAF0EE"/>
          </w:tcPr>
          <w:p>
            <w:pPr>
              <w:spacing w:after="20"/>
            </w:pPr>
            <w:r>
              <w:rPr>
                <w:b/>
                <w:color w:val="1C3A36"/>
                <w:sz w:val="15"/>
              </w:rPr>
              <w:t>FY23</w:t>
            </w:r>
          </w:p>
        </w:tc>
        <w:tc>
          <w:tcPr>
            <w:tcW w:type="dxa" w:w="842"/>
            <w:shd w:val="clear" w:color="auto" w:fill="EAF0EE"/>
          </w:tcPr>
          <w:p>
            <w:pPr>
              <w:spacing w:after="20"/>
            </w:pPr>
            <w:r>
              <w:rPr>
                <w:b/>
                <w:color w:val="1C3A36"/>
                <w:sz w:val="15"/>
              </w:rPr>
              <w:t>FY24</w:t>
            </w:r>
          </w:p>
        </w:tc>
        <w:tc>
          <w:tcPr>
            <w:tcW w:type="dxa" w:w="842"/>
            <w:shd w:val="clear" w:color="auto" w:fill="EAF0EE"/>
          </w:tcPr>
          <w:p>
            <w:pPr>
              <w:spacing w:after="20"/>
            </w:pPr>
            <w:r>
              <w:rPr>
                <w:b/>
                <w:color w:val="1C3A36"/>
                <w:sz w:val="15"/>
              </w:rPr>
              <w:t>FY25</w:t>
            </w:r>
          </w:p>
        </w:tc>
        <w:tc>
          <w:tcPr>
            <w:tcW w:type="dxa" w:w="842"/>
            <w:shd w:val="clear" w:color="auto" w:fill="EAF0EE"/>
          </w:tcPr>
          <w:p>
            <w:pPr>
              <w:spacing w:after="20"/>
            </w:pPr>
            <w:r>
              <w:rPr>
                <w:b/>
                <w:color w:val="1C3A36"/>
                <w:sz w:val="15"/>
              </w:rPr>
              <w:t>FY26E</w:t>
            </w:r>
          </w:p>
        </w:tc>
        <w:tc>
          <w:tcPr>
            <w:tcW w:type="dxa" w:w="842"/>
            <w:shd w:val="clear" w:color="auto" w:fill="EAF0EE"/>
          </w:tcPr>
          <w:p>
            <w:pPr>
              <w:spacing w:after="20"/>
            </w:pPr>
            <w:r>
              <w:rPr>
                <w:b/>
                <w:color w:val="1C3A36"/>
                <w:sz w:val="15"/>
              </w:rPr>
              <w:t>FY27E</w:t>
            </w:r>
          </w:p>
        </w:tc>
        <w:tc>
          <w:tcPr>
            <w:tcW w:type="dxa" w:w="842"/>
            <w:shd w:val="clear" w:color="auto" w:fill="EAF0EE"/>
          </w:tcPr>
          <w:p>
            <w:pPr>
              <w:spacing w:after="20"/>
            </w:pPr>
            <w:r>
              <w:rPr>
                <w:b/>
                <w:color w:val="1C3A36"/>
                <w:sz w:val="15"/>
              </w:rPr>
              <w:t>FY28E</w:t>
            </w:r>
          </w:p>
        </w:tc>
        <w:tc>
          <w:tcPr>
            <w:tcW w:type="dxa" w:w="842"/>
            <w:shd w:val="clear" w:color="auto" w:fill="EAF0EE"/>
          </w:tcPr>
          <w:p>
            <w:pPr>
              <w:spacing w:after="20"/>
            </w:pPr>
            <w:r>
              <w:rPr>
                <w:b/>
                <w:color w:val="1C3A36"/>
                <w:sz w:val="15"/>
              </w:rPr>
              <w:t>FY29E</w:t>
            </w:r>
          </w:p>
        </w:tc>
        <w:tc>
          <w:tcPr>
            <w:tcW w:type="dxa" w:w="842"/>
            <w:shd w:val="clear" w:color="auto" w:fill="EAF0EE"/>
          </w:tcPr>
          <w:p>
            <w:pPr>
              <w:spacing w:after="20"/>
            </w:pPr>
            <w:r>
              <w:rPr>
                <w:b/>
                <w:color w:val="1C3A36"/>
                <w:sz w:val="15"/>
              </w:rPr>
              <w:t>FY30E</w:t>
            </w:r>
          </w:p>
        </w:tc>
      </w:tr>
      <w:tr>
        <w:tc>
          <w:tcPr>
            <w:tcW w:type="dxa" w:w="2664"/>
          </w:tcPr>
          <w:p>
            <w:pPr>
              <w:spacing w:after="20"/>
            </w:pPr>
            <w:r>
              <w:rPr>
                <w:b/>
                <w:color w:val="1C3A36"/>
                <w:sz w:val="15"/>
              </w:rPr>
              <w:t>Revenue</w:t>
            </w:r>
          </w:p>
        </w:tc>
        <w:tc>
          <w:tcPr>
            <w:tcW w:type="dxa" w:w="842"/>
          </w:tcPr>
          <w:p>
            <w:pPr>
              <w:spacing w:after="20"/>
              <w:jc w:val="right"/>
            </w:pPr>
            <w:r>
              <w:rPr>
                <w:color w:val="1C3A36"/>
                <w:sz w:val="15"/>
              </w:rPr>
              <w:t>1,922</w:t>
            </w:r>
          </w:p>
        </w:tc>
        <w:tc>
          <w:tcPr>
            <w:tcW w:type="dxa" w:w="842"/>
          </w:tcPr>
          <w:p>
            <w:pPr>
              <w:spacing w:after="20"/>
              <w:jc w:val="right"/>
            </w:pPr>
            <w:r>
              <w:rPr>
                <w:color w:val="1C3A36"/>
                <w:sz w:val="15"/>
              </w:rPr>
              <w:t>2,769</w:t>
            </w:r>
          </w:p>
        </w:tc>
        <w:tc>
          <w:tcPr>
            <w:tcW w:type="dxa" w:w="842"/>
          </w:tcPr>
          <w:p>
            <w:pPr>
              <w:spacing w:after="20"/>
              <w:jc w:val="right"/>
            </w:pPr>
            <w:r>
              <w:rPr>
                <w:color w:val="1C3A36"/>
                <w:sz w:val="15"/>
              </w:rPr>
              <w:t>4,096</w:t>
            </w:r>
          </w:p>
        </w:tc>
        <w:tc>
          <w:tcPr>
            <w:tcW w:type="dxa" w:w="842"/>
          </w:tcPr>
          <w:p>
            <w:pPr>
              <w:spacing w:after="20"/>
              <w:jc w:val="right"/>
            </w:pPr>
            <w:r>
              <w:rPr>
                <w:color w:val="1C3A36"/>
                <w:sz w:val="15"/>
              </w:rPr>
              <w:t>4,859</w:t>
            </w:r>
          </w:p>
        </w:tc>
        <w:tc>
          <w:tcPr>
            <w:tcW w:type="dxa" w:w="842"/>
          </w:tcPr>
          <w:p>
            <w:pPr>
              <w:spacing w:after="20"/>
              <w:jc w:val="right"/>
            </w:pPr>
            <w:r>
              <w:rPr>
                <w:color w:val="1C3A36"/>
                <w:sz w:val="15"/>
              </w:rPr>
              <w:t>5,462</w:t>
            </w:r>
          </w:p>
        </w:tc>
        <w:tc>
          <w:tcPr>
            <w:tcW w:type="dxa" w:w="842"/>
          </w:tcPr>
          <w:p>
            <w:pPr>
              <w:spacing w:after="20"/>
              <w:jc w:val="right"/>
            </w:pPr>
            <w:r>
              <w:rPr>
                <w:color w:val="1C3A36"/>
                <w:sz w:val="15"/>
              </w:rPr>
              <w:t>6,043</w:t>
            </w:r>
          </w:p>
        </w:tc>
        <w:tc>
          <w:tcPr>
            <w:tcW w:type="dxa" w:w="842"/>
          </w:tcPr>
          <w:p>
            <w:pPr>
              <w:spacing w:after="20"/>
              <w:jc w:val="right"/>
            </w:pPr>
            <w:r>
              <w:rPr>
                <w:color w:val="1C3A36"/>
                <w:sz w:val="15"/>
              </w:rPr>
              <w:t>6,609</w:t>
            </w:r>
          </w:p>
        </w:tc>
        <w:tc>
          <w:tcPr>
            <w:tcW w:type="dxa" w:w="842"/>
          </w:tcPr>
          <w:p>
            <w:pPr>
              <w:spacing w:after="20"/>
              <w:jc w:val="right"/>
            </w:pPr>
            <w:r>
              <w:rPr>
                <w:color w:val="1C3A36"/>
                <w:sz w:val="15"/>
              </w:rPr>
              <w:t>7,190</w:t>
            </w:r>
          </w:p>
        </w:tc>
      </w:tr>
      <w:tr>
        <w:tc>
          <w:tcPr>
            <w:tcW w:type="dxa" w:w="2664"/>
          </w:tcPr>
          <w:p>
            <w:pPr>
              <w:spacing w:after="20"/>
            </w:pPr>
            <w:r>
              <w:rPr>
                <w:b/>
                <w:color w:val="1C3A36"/>
                <w:sz w:val="15"/>
              </w:rPr>
              <w:t>Cost of sales</w:t>
            </w:r>
          </w:p>
        </w:tc>
        <w:tc>
          <w:tcPr>
            <w:tcW w:type="dxa" w:w="842"/>
          </w:tcPr>
          <w:p>
            <w:pPr>
              <w:spacing w:after="20"/>
              <w:jc w:val="right"/>
            </w:pPr>
            <w:r>
              <w:rPr>
                <w:color w:val="1C3A36"/>
                <w:sz w:val="15"/>
              </w:rPr>
              <w:t>(1,016)</w:t>
            </w:r>
          </w:p>
        </w:tc>
        <w:tc>
          <w:tcPr>
            <w:tcW w:type="dxa" w:w="842"/>
          </w:tcPr>
          <w:p>
            <w:pPr>
              <w:spacing w:after="20"/>
              <w:jc w:val="right"/>
            </w:pPr>
            <w:r>
              <w:rPr>
                <w:color w:val="1C3A36"/>
                <w:sz w:val="15"/>
              </w:rPr>
              <w:t>(1,485)</w:t>
            </w:r>
          </w:p>
        </w:tc>
        <w:tc>
          <w:tcPr>
            <w:tcW w:type="dxa" w:w="842"/>
          </w:tcPr>
          <w:p>
            <w:pPr>
              <w:spacing w:after="20"/>
              <w:jc w:val="right"/>
            </w:pPr>
            <w:r>
              <w:rPr>
                <w:color w:val="1C3A36"/>
                <w:sz w:val="15"/>
              </w:rPr>
              <w:t>(2,114)</w:t>
            </w:r>
          </w:p>
        </w:tc>
        <w:tc>
          <w:tcPr>
            <w:tcW w:type="dxa" w:w="842"/>
          </w:tcPr>
          <w:p>
            <w:pPr>
              <w:spacing w:after="20"/>
              <w:jc w:val="right"/>
            </w:pPr>
            <w:r>
              <w:rPr>
                <w:color w:val="1C3A36"/>
                <w:sz w:val="15"/>
              </w:rPr>
              <w:t>(2,449)</w:t>
            </w:r>
          </w:p>
        </w:tc>
        <w:tc>
          <w:tcPr>
            <w:tcW w:type="dxa" w:w="842"/>
          </w:tcPr>
          <w:p>
            <w:pPr>
              <w:spacing w:after="20"/>
              <w:jc w:val="right"/>
            </w:pPr>
            <w:r>
              <w:rPr>
                <w:color w:val="1C3A36"/>
                <w:sz w:val="15"/>
              </w:rPr>
              <w:t>(2,731)</w:t>
            </w:r>
          </w:p>
        </w:tc>
        <w:tc>
          <w:tcPr>
            <w:tcW w:type="dxa" w:w="842"/>
          </w:tcPr>
          <w:p>
            <w:pPr>
              <w:spacing w:after="20"/>
              <w:jc w:val="right"/>
            </w:pPr>
            <w:r>
              <w:rPr>
                <w:color w:val="1C3A36"/>
                <w:sz w:val="15"/>
              </w:rPr>
              <w:t>(3,004)</w:t>
            </w:r>
          </w:p>
        </w:tc>
        <w:tc>
          <w:tcPr>
            <w:tcW w:type="dxa" w:w="842"/>
          </w:tcPr>
          <w:p>
            <w:pPr>
              <w:spacing w:after="20"/>
              <w:jc w:val="right"/>
            </w:pPr>
            <w:r>
              <w:rPr>
                <w:color w:val="1C3A36"/>
                <w:sz w:val="15"/>
              </w:rPr>
              <w:t>(3,278)</w:t>
            </w:r>
          </w:p>
        </w:tc>
        <w:tc>
          <w:tcPr>
            <w:tcW w:type="dxa" w:w="842"/>
          </w:tcPr>
          <w:p>
            <w:pPr>
              <w:spacing w:after="20"/>
              <w:jc w:val="right"/>
            </w:pPr>
            <w:r>
              <w:rPr>
                <w:color w:val="1C3A36"/>
                <w:sz w:val="15"/>
              </w:rPr>
              <w:t>(3,566)</w:t>
            </w:r>
          </w:p>
        </w:tc>
      </w:tr>
      <w:tr>
        <w:tc>
          <w:tcPr>
            <w:tcW w:type="dxa" w:w="2664"/>
          </w:tcPr>
          <w:p>
            <w:pPr>
              <w:spacing w:after="20"/>
            </w:pPr>
            <w:r>
              <w:rPr>
                <w:b/>
                <w:color w:val="1C3A36"/>
                <w:sz w:val="15"/>
              </w:rPr>
              <w:t>Gross profit</w:t>
            </w:r>
          </w:p>
        </w:tc>
        <w:tc>
          <w:tcPr>
            <w:tcW w:type="dxa" w:w="842"/>
          </w:tcPr>
          <w:p>
            <w:pPr>
              <w:spacing w:after="20"/>
              <w:jc w:val="right"/>
            </w:pPr>
            <w:r>
              <w:rPr>
                <w:color w:val="1C3A36"/>
                <w:sz w:val="15"/>
              </w:rPr>
              <w:t>906</w:t>
            </w:r>
          </w:p>
        </w:tc>
        <w:tc>
          <w:tcPr>
            <w:tcW w:type="dxa" w:w="842"/>
          </w:tcPr>
          <w:p>
            <w:pPr>
              <w:spacing w:after="20"/>
              <w:jc w:val="right"/>
            </w:pPr>
            <w:r>
              <w:rPr>
                <w:color w:val="1C3A36"/>
                <w:sz w:val="15"/>
              </w:rPr>
              <w:t>1,284</w:t>
            </w:r>
          </w:p>
        </w:tc>
        <w:tc>
          <w:tcPr>
            <w:tcW w:type="dxa" w:w="842"/>
          </w:tcPr>
          <w:p>
            <w:pPr>
              <w:spacing w:after="20"/>
              <w:jc w:val="right"/>
            </w:pPr>
            <w:r>
              <w:rPr>
                <w:color w:val="1C3A36"/>
                <w:sz w:val="15"/>
              </w:rPr>
              <w:t>1,982</w:t>
            </w:r>
          </w:p>
        </w:tc>
        <w:tc>
          <w:tcPr>
            <w:tcW w:type="dxa" w:w="842"/>
          </w:tcPr>
          <w:p>
            <w:pPr>
              <w:spacing w:after="20"/>
              <w:jc w:val="right"/>
            </w:pPr>
            <w:r>
              <w:rPr>
                <w:color w:val="1C3A36"/>
                <w:sz w:val="15"/>
              </w:rPr>
              <w:t>2,410</w:t>
            </w:r>
          </w:p>
        </w:tc>
        <w:tc>
          <w:tcPr>
            <w:tcW w:type="dxa" w:w="842"/>
          </w:tcPr>
          <w:p>
            <w:pPr>
              <w:spacing w:after="20"/>
              <w:jc w:val="right"/>
            </w:pPr>
            <w:r>
              <w:rPr>
                <w:color w:val="1C3A36"/>
                <w:sz w:val="15"/>
              </w:rPr>
              <w:t>2,731</w:t>
            </w:r>
          </w:p>
        </w:tc>
        <w:tc>
          <w:tcPr>
            <w:tcW w:type="dxa" w:w="842"/>
          </w:tcPr>
          <w:p>
            <w:pPr>
              <w:spacing w:after="20"/>
              <w:jc w:val="right"/>
            </w:pPr>
            <w:r>
              <w:rPr>
                <w:color w:val="1C3A36"/>
                <w:sz w:val="15"/>
              </w:rPr>
              <w:t>3,040</w:t>
            </w:r>
          </w:p>
        </w:tc>
        <w:tc>
          <w:tcPr>
            <w:tcW w:type="dxa" w:w="842"/>
          </w:tcPr>
          <w:p>
            <w:pPr>
              <w:spacing w:after="20"/>
              <w:jc w:val="right"/>
            </w:pPr>
            <w:r>
              <w:rPr>
                <w:color w:val="1C3A36"/>
                <w:sz w:val="15"/>
              </w:rPr>
              <w:t>3,331</w:t>
            </w:r>
          </w:p>
        </w:tc>
        <w:tc>
          <w:tcPr>
            <w:tcW w:type="dxa" w:w="842"/>
          </w:tcPr>
          <w:p>
            <w:pPr>
              <w:spacing w:after="20"/>
              <w:jc w:val="right"/>
            </w:pPr>
            <w:r>
              <w:rPr>
                <w:color w:val="1C3A36"/>
                <w:sz w:val="15"/>
              </w:rPr>
              <w:t>3,624</w:t>
            </w:r>
          </w:p>
        </w:tc>
      </w:tr>
      <w:tr>
        <w:tc>
          <w:tcPr>
            <w:tcW w:type="dxa" w:w="2664"/>
          </w:tcPr>
          <w:p>
            <w:pPr>
              <w:spacing w:after="20"/>
            </w:pPr>
            <w:r>
              <w:rPr>
                <w:b/>
                <w:color w:val="1C3A36"/>
                <w:sz w:val="15"/>
              </w:rPr>
              <w:t>Selling &amp; marketing</w:t>
            </w:r>
          </w:p>
        </w:tc>
        <w:tc>
          <w:tcPr>
            <w:tcW w:type="dxa" w:w="842"/>
          </w:tcPr>
          <w:p>
            <w:pPr>
              <w:spacing w:after="20"/>
              <w:jc w:val="right"/>
            </w:pPr>
            <w:r>
              <w:rPr>
                <w:color w:val="1C3A36"/>
                <w:sz w:val="15"/>
              </w:rPr>
              <w:t>(364)</w:t>
            </w:r>
          </w:p>
        </w:tc>
        <w:tc>
          <w:tcPr>
            <w:tcW w:type="dxa" w:w="842"/>
          </w:tcPr>
          <w:p>
            <w:pPr>
              <w:spacing w:after="20"/>
              <w:jc w:val="right"/>
            </w:pPr>
            <w:r>
              <w:rPr>
                <w:color w:val="1C3A36"/>
                <w:sz w:val="15"/>
              </w:rPr>
              <w:t>(448)</w:t>
            </w:r>
          </w:p>
        </w:tc>
        <w:tc>
          <w:tcPr>
            <w:tcW w:type="dxa" w:w="842"/>
          </w:tcPr>
          <w:p>
            <w:pPr>
              <w:spacing w:after="20"/>
              <w:jc w:val="right"/>
            </w:pPr>
            <w:r>
              <w:rPr>
                <w:color w:val="1C3A36"/>
                <w:sz w:val="15"/>
              </w:rPr>
              <w:t>(760)</w:t>
            </w:r>
          </w:p>
        </w:tc>
        <w:tc>
          <w:tcPr>
            <w:tcW w:type="dxa" w:w="842"/>
          </w:tcPr>
          <w:p>
            <w:pPr>
              <w:spacing w:after="20"/>
              <w:jc w:val="right"/>
            </w:pPr>
            <w:r>
              <w:rPr>
                <w:color w:val="1C3A36"/>
                <w:sz w:val="15"/>
              </w:rPr>
              <w:t>(933)</w:t>
            </w:r>
          </w:p>
        </w:tc>
        <w:tc>
          <w:tcPr>
            <w:tcW w:type="dxa" w:w="842"/>
          </w:tcPr>
          <w:p>
            <w:pPr>
              <w:spacing w:after="20"/>
              <w:jc w:val="right"/>
            </w:pPr>
            <w:r>
              <w:rPr>
                <w:color w:val="1C3A36"/>
                <w:sz w:val="15"/>
              </w:rPr>
              <w:t>(1,043)</w:t>
            </w:r>
          </w:p>
        </w:tc>
        <w:tc>
          <w:tcPr>
            <w:tcW w:type="dxa" w:w="842"/>
          </w:tcPr>
          <w:p>
            <w:pPr>
              <w:spacing w:after="20"/>
              <w:jc w:val="right"/>
            </w:pPr>
            <w:r>
              <w:rPr>
                <w:color w:val="1C3A36"/>
                <w:sz w:val="15"/>
              </w:rPr>
              <w:t>(1,154)</w:t>
            </w:r>
          </w:p>
        </w:tc>
        <w:tc>
          <w:tcPr>
            <w:tcW w:type="dxa" w:w="842"/>
          </w:tcPr>
          <w:p>
            <w:pPr>
              <w:spacing w:after="20"/>
              <w:jc w:val="right"/>
            </w:pPr>
            <w:r>
              <w:rPr>
                <w:color w:val="1C3A36"/>
                <w:sz w:val="15"/>
              </w:rPr>
              <w:t>(1,256)</w:t>
            </w:r>
          </w:p>
        </w:tc>
        <w:tc>
          <w:tcPr>
            <w:tcW w:type="dxa" w:w="842"/>
          </w:tcPr>
          <w:p>
            <w:pPr>
              <w:spacing w:after="20"/>
              <w:jc w:val="right"/>
            </w:pPr>
            <w:r>
              <w:rPr>
                <w:color w:val="1C3A36"/>
                <w:sz w:val="15"/>
              </w:rPr>
              <w:t>(1,366)</w:t>
            </w:r>
          </w:p>
        </w:tc>
      </w:tr>
      <w:tr>
        <w:tc>
          <w:tcPr>
            <w:tcW w:type="dxa" w:w="2664"/>
          </w:tcPr>
          <w:p>
            <w:pPr>
              <w:spacing w:after="20"/>
            </w:pPr>
            <w:r>
              <w:rPr>
                <w:b/>
                <w:color w:val="1C3A36"/>
                <w:sz w:val="15"/>
              </w:rPr>
              <w:t>General &amp; administrative</w:t>
            </w:r>
          </w:p>
        </w:tc>
        <w:tc>
          <w:tcPr>
            <w:tcW w:type="dxa" w:w="842"/>
          </w:tcPr>
          <w:p>
            <w:pPr>
              <w:spacing w:after="20"/>
              <w:jc w:val="right"/>
            </w:pPr>
            <w:r>
              <w:rPr>
                <w:color w:val="1C3A36"/>
                <w:sz w:val="15"/>
              </w:rPr>
              <w:t>(82)</w:t>
            </w:r>
          </w:p>
        </w:tc>
        <w:tc>
          <w:tcPr>
            <w:tcW w:type="dxa" w:w="842"/>
          </w:tcPr>
          <w:p>
            <w:pPr>
              <w:spacing w:after="20"/>
              <w:jc w:val="right"/>
            </w:pPr>
            <w:r>
              <w:rPr>
                <w:color w:val="1C3A36"/>
                <w:sz w:val="15"/>
              </w:rPr>
              <w:t>(112)</w:t>
            </w:r>
          </w:p>
        </w:tc>
        <w:tc>
          <w:tcPr>
            <w:tcW w:type="dxa" w:w="842"/>
          </w:tcPr>
          <w:p>
            <w:pPr>
              <w:spacing w:after="20"/>
              <w:jc w:val="right"/>
            </w:pPr>
            <w:r>
              <w:rPr>
                <w:color w:val="1C3A36"/>
                <w:sz w:val="15"/>
              </w:rPr>
              <w:t>(150)</w:t>
            </w:r>
          </w:p>
        </w:tc>
        <w:tc>
          <w:tcPr>
            <w:tcW w:type="dxa" w:w="842"/>
          </w:tcPr>
          <w:p>
            <w:pPr>
              <w:spacing w:after="20"/>
              <w:jc w:val="right"/>
            </w:pPr>
            <w:r>
              <w:rPr>
                <w:color w:val="1C3A36"/>
                <w:sz w:val="15"/>
              </w:rPr>
              <w:t>(204)</w:t>
            </w:r>
          </w:p>
        </w:tc>
        <w:tc>
          <w:tcPr>
            <w:tcW w:type="dxa" w:w="842"/>
          </w:tcPr>
          <w:p>
            <w:pPr>
              <w:spacing w:after="20"/>
              <w:jc w:val="right"/>
            </w:pPr>
            <w:r>
              <w:rPr>
                <w:color w:val="1C3A36"/>
                <w:sz w:val="15"/>
              </w:rPr>
              <w:t>(224)</w:t>
            </w:r>
          </w:p>
        </w:tc>
        <w:tc>
          <w:tcPr>
            <w:tcW w:type="dxa" w:w="842"/>
          </w:tcPr>
          <w:p>
            <w:pPr>
              <w:spacing w:after="20"/>
              <w:jc w:val="right"/>
            </w:pPr>
            <w:r>
              <w:rPr>
                <w:color w:val="1C3A36"/>
                <w:sz w:val="15"/>
              </w:rPr>
              <w:t>(242)</w:t>
            </w:r>
          </w:p>
        </w:tc>
        <w:tc>
          <w:tcPr>
            <w:tcW w:type="dxa" w:w="842"/>
          </w:tcPr>
          <w:p>
            <w:pPr>
              <w:spacing w:after="20"/>
              <w:jc w:val="right"/>
            </w:pPr>
            <w:r>
              <w:rPr>
                <w:color w:val="1C3A36"/>
                <w:sz w:val="15"/>
              </w:rPr>
              <w:t>(264)</w:t>
            </w:r>
          </w:p>
        </w:tc>
        <w:tc>
          <w:tcPr>
            <w:tcW w:type="dxa" w:w="842"/>
          </w:tcPr>
          <w:p>
            <w:pPr>
              <w:spacing w:after="20"/>
              <w:jc w:val="right"/>
            </w:pPr>
            <w:r>
              <w:rPr>
                <w:color w:val="1C3A36"/>
                <w:sz w:val="15"/>
              </w:rPr>
              <w:t>(288)</w:t>
            </w:r>
          </w:p>
        </w:tc>
      </w:tr>
      <w:tr>
        <w:tc>
          <w:tcPr>
            <w:tcW w:type="dxa" w:w="2664"/>
          </w:tcPr>
          <w:p>
            <w:pPr>
              <w:spacing w:after="20"/>
            </w:pPr>
            <w:r>
              <w:rPr>
                <w:b/>
                <w:color w:val="1C3A36"/>
                <w:sz w:val="15"/>
              </w:rPr>
              <w:t>Other operating income / (net other)</w:t>
            </w:r>
          </w:p>
        </w:tc>
        <w:tc>
          <w:tcPr>
            <w:tcW w:type="dxa" w:w="842"/>
          </w:tcPr>
          <w:p>
            <w:pPr>
              <w:spacing w:after="20"/>
              <w:jc w:val="right"/>
            </w:pPr>
            <w:r>
              <w:rPr>
                <w:color w:val="1C3A36"/>
                <w:sz w:val="15"/>
              </w:rPr>
              <w:t>2</w:t>
            </w:r>
          </w:p>
        </w:tc>
        <w:tc>
          <w:tcPr>
            <w:tcW w:type="dxa" w:w="842"/>
          </w:tcPr>
          <w:p>
            <w:pPr>
              <w:spacing w:after="20"/>
              <w:jc w:val="right"/>
            </w:pPr>
            <w:r>
              <w:rPr>
                <w:color w:val="1C3A36"/>
                <w:sz w:val="15"/>
              </w:rPr>
              <w:t>25</w:t>
            </w:r>
          </w:p>
        </w:tc>
        <w:tc>
          <w:tcPr>
            <w:tcW w:type="dxa" w:w="842"/>
          </w:tcPr>
          <w:p>
            <w:pPr>
              <w:spacing w:after="20"/>
              <w:jc w:val="right"/>
            </w:pPr>
            <w:r>
              <w:rPr>
                <w:color w:val="1C3A36"/>
                <w:sz w:val="15"/>
              </w:rPr>
              <w:t>1</w:t>
            </w:r>
          </w:p>
        </w:tc>
        <w:tc>
          <w:tcPr>
            <w:tcW w:type="dxa" w:w="842"/>
          </w:tcPr>
          <w:p>
            <w:pPr>
              <w:spacing w:after="20"/>
              <w:jc w:val="right"/>
            </w:pPr>
            <w:r>
              <w:rPr>
                <w:color w:val="1C3A36"/>
                <w:sz w:val="15"/>
              </w:rPr>
              <w:t>0</w:t>
            </w:r>
          </w:p>
        </w:tc>
        <w:tc>
          <w:tcPr>
            <w:tcW w:type="dxa" w:w="842"/>
          </w:tcPr>
          <w:p>
            <w:pPr>
              <w:spacing w:after="20"/>
              <w:jc w:val="right"/>
            </w:pPr>
            <w:r>
              <w:rPr>
                <w:color w:val="1C3A36"/>
                <w:sz w:val="15"/>
              </w:rPr>
              <w:t>0</w:t>
            </w:r>
          </w:p>
        </w:tc>
        <w:tc>
          <w:tcPr>
            <w:tcW w:type="dxa" w:w="842"/>
          </w:tcPr>
          <w:p>
            <w:pPr>
              <w:spacing w:after="20"/>
              <w:jc w:val="right"/>
            </w:pPr>
            <w:r>
              <w:rPr>
                <w:color w:val="1C3A36"/>
                <w:sz w:val="15"/>
              </w:rPr>
              <w:t>0</w:t>
            </w:r>
          </w:p>
        </w:tc>
        <w:tc>
          <w:tcPr>
            <w:tcW w:type="dxa" w:w="842"/>
          </w:tcPr>
          <w:p>
            <w:pPr>
              <w:spacing w:after="20"/>
              <w:jc w:val="right"/>
            </w:pPr>
            <w:r>
              <w:rPr>
                <w:color w:val="1C3A36"/>
                <w:sz w:val="15"/>
              </w:rPr>
              <w:t>0</w:t>
            </w:r>
          </w:p>
        </w:tc>
        <w:tc>
          <w:tcPr>
            <w:tcW w:type="dxa" w:w="842"/>
          </w:tcPr>
          <w:p>
            <w:pPr>
              <w:spacing w:after="20"/>
              <w:jc w:val="right"/>
            </w:pPr>
            <w:r>
              <w:rPr>
                <w:color w:val="1C3A36"/>
                <w:sz w:val="15"/>
              </w:rPr>
              <w:t>0</w:t>
            </w:r>
          </w:p>
        </w:tc>
      </w:tr>
      <w:tr>
        <w:tc>
          <w:tcPr>
            <w:tcW w:type="dxa" w:w="2664"/>
          </w:tcPr>
          <w:p>
            <w:pPr>
              <w:spacing w:after="20"/>
            </w:pPr>
            <w:r>
              <w:rPr>
                <w:b/>
                <w:color w:val="1C3A36"/>
                <w:sz w:val="15"/>
              </w:rPr>
              <w:t>EBIT</w:t>
            </w:r>
          </w:p>
        </w:tc>
        <w:tc>
          <w:tcPr>
            <w:tcW w:type="dxa" w:w="842"/>
          </w:tcPr>
          <w:p>
            <w:pPr>
              <w:spacing w:after="20"/>
              <w:jc w:val="right"/>
            </w:pPr>
            <w:r>
              <w:rPr>
                <w:color w:val="1C3A36"/>
                <w:sz w:val="15"/>
              </w:rPr>
              <w:t>460</w:t>
            </w:r>
          </w:p>
        </w:tc>
        <w:tc>
          <w:tcPr>
            <w:tcW w:type="dxa" w:w="842"/>
          </w:tcPr>
          <w:p>
            <w:pPr>
              <w:spacing w:after="20"/>
              <w:jc w:val="right"/>
            </w:pPr>
            <w:r>
              <w:rPr>
                <w:color w:val="1C3A36"/>
                <w:sz w:val="15"/>
              </w:rPr>
              <w:t>723</w:t>
            </w:r>
          </w:p>
        </w:tc>
        <w:tc>
          <w:tcPr>
            <w:tcW w:type="dxa" w:w="842"/>
          </w:tcPr>
          <w:p>
            <w:pPr>
              <w:spacing w:after="20"/>
              <w:jc w:val="right"/>
            </w:pPr>
            <w:r>
              <w:rPr>
                <w:color w:val="1C3A36"/>
                <w:sz w:val="15"/>
              </w:rPr>
              <w:t>1,072</w:t>
            </w:r>
          </w:p>
        </w:tc>
        <w:tc>
          <w:tcPr>
            <w:tcW w:type="dxa" w:w="842"/>
          </w:tcPr>
          <w:p>
            <w:pPr>
              <w:spacing w:after="20"/>
              <w:jc w:val="right"/>
            </w:pPr>
            <w:r>
              <w:rPr>
                <w:color w:val="1C3A36"/>
                <w:sz w:val="15"/>
              </w:rPr>
              <w:t>1,273</w:t>
            </w:r>
          </w:p>
        </w:tc>
        <w:tc>
          <w:tcPr>
            <w:tcW w:type="dxa" w:w="842"/>
          </w:tcPr>
          <w:p>
            <w:pPr>
              <w:spacing w:after="20"/>
              <w:jc w:val="right"/>
            </w:pPr>
            <w:r>
              <w:rPr>
                <w:color w:val="1C3A36"/>
                <w:sz w:val="15"/>
              </w:rPr>
              <w:t>1,464</w:t>
            </w:r>
          </w:p>
        </w:tc>
        <w:tc>
          <w:tcPr>
            <w:tcW w:type="dxa" w:w="842"/>
          </w:tcPr>
          <w:p>
            <w:pPr>
              <w:spacing w:after="20"/>
              <w:jc w:val="right"/>
            </w:pPr>
            <w:r>
              <w:rPr>
                <w:color w:val="1C3A36"/>
                <w:sz w:val="15"/>
              </w:rPr>
              <w:t>1,644</w:t>
            </w:r>
          </w:p>
        </w:tc>
        <w:tc>
          <w:tcPr>
            <w:tcW w:type="dxa" w:w="842"/>
          </w:tcPr>
          <w:p>
            <w:pPr>
              <w:spacing w:after="20"/>
              <w:jc w:val="right"/>
            </w:pPr>
            <w:r>
              <w:rPr>
                <w:color w:val="1C3A36"/>
                <w:sz w:val="15"/>
              </w:rPr>
              <w:t>1,811</w:t>
            </w:r>
          </w:p>
        </w:tc>
        <w:tc>
          <w:tcPr>
            <w:tcW w:type="dxa" w:w="842"/>
          </w:tcPr>
          <w:p>
            <w:pPr>
              <w:spacing w:after="20"/>
              <w:jc w:val="right"/>
            </w:pPr>
            <w:r>
              <w:rPr>
                <w:color w:val="1C3A36"/>
                <w:sz w:val="15"/>
              </w:rPr>
              <w:t>1,970</w:t>
            </w:r>
          </w:p>
        </w:tc>
      </w:tr>
      <w:tr>
        <w:tc>
          <w:tcPr>
            <w:tcW w:type="dxa" w:w="2664"/>
          </w:tcPr>
          <w:p>
            <w:pPr>
              <w:spacing w:after="20"/>
            </w:pPr>
            <w:r>
              <w:rPr>
                <w:b/>
                <w:color w:val="1C3A36"/>
                <w:sz w:val="15"/>
              </w:rPr>
              <w:t>D&amp;A (memo; within lines above)</w:t>
            </w:r>
          </w:p>
        </w:tc>
        <w:tc>
          <w:tcPr>
            <w:tcW w:type="dxa" w:w="842"/>
          </w:tcPr>
          <w:p>
            <w:pPr>
              <w:spacing w:after="20"/>
              <w:jc w:val="right"/>
            </w:pPr>
            <w:r>
              <w:rPr>
                <w:color w:val="1C3A36"/>
                <w:sz w:val="15"/>
              </w:rPr>
              <w:t>73</w:t>
            </w:r>
          </w:p>
        </w:tc>
        <w:tc>
          <w:tcPr>
            <w:tcW w:type="dxa" w:w="842"/>
          </w:tcPr>
          <w:p>
            <w:pPr>
              <w:spacing w:after="20"/>
              <w:jc w:val="right"/>
            </w:pPr>
            <w:r>
              <w:rPr>
                <w:color w:val="1C3A36"/>
                <w:sz w:val="15"/>
              </w:rPr>
              <w:t>83</w:t>
            </w:r>
          </w:p>
        </w:tc>
        <w:tc>
          <w:tcPr>
            <w:tcW w:type="dxa" w:w="842"/>
          </w:tcPr>
          <w:p>
            <w:pPr>
              <w:spacing w:after="20"/>
              <w:jc w:val="right"/>
            </w:pPr>
            <w:r>
              <w:rPr>
                <w:color w:val="1C3A36"/>
                <w:sz w:val="15"/>
              </w:rPr>
              <w:t>92</w:t>
            </w:r>
          </w:p>
        </w:tc>
        <w:tc>
          <w:tcPr>
            <w:tcW w:type="dxa" w:w="842"/>
          </w:tcPr>
          <w:p>
            <w:pPr>
              <w:spacing w:after="20"/>
              <w:jc w:val="right"/>
            </w:pPr>
            <w:r>
              <w:rPr>
                <w:color w:val="1C3A36"/>
                <w:sz w:val="15"/>
              </w:rPr>
              <w:t>126</w:t>
            </w:r>
          </w:p>
        </w:tc>
        <w:tc>
          <w:tcPr>
            <w:tcW w:type="dxa" w:w="842"/>
          </w:tcPr>
          <w:p>
            <w:pPr>
              <w:spacing w:after="20"/>
              <w:jc w:val="right"/>
            </w:pPr>
            <w:r>
              <w:rPr>
                <w:color w:val="1C3A36"/>
                <w:sz w:val="15"/>
              </w:rPr>
              <w:t>142</w:t>
            </w:r>
          </w:p>
        </w:tc>
        <w:tc>
          <w:tcPr>
            <w:tcW w:type="dxa" w:w="842"/>
          </w:tcPr>
          <w:p>
            <w:pPr>
              <w:spacing w:after="20"/>
              <w:jc w:val="right"/>
            </w:pPr>
            <w:r>
              <w:rPr>
                <w:color w:val="1C3A36"/>
                <w:sz w:val="15"/>
              </w:rPr>
              <w:t>157</w:t>
            </w:r>
          </w:p>
        </w:tc>
        <w:tc>
          <w:tcPr>
            <w:tcW w:type="dxa" w:w="842"/>
          </w:tcPr>
          <w:p>
            <w:pPr>
              <w:spacing w:after="20"/>
              <w:jc w:val="right"/>
            </w:pPr>
            <w:r>
              <w:rPr>
                <w:color w:val="1C3A36"/>
                <w:sz w:val="15"/>
              </w:rPr>
              <w:t>172</w:t>
            </w:r>
          </w:p>
        </w:tc>
        <w:tc>
          <w:tcPr>
            <w:tcW w:type="dxa" w:w="842"/>
          </w:tcPr>
          <w:p>
            <w:pPr>
              <w:spacing w:after="20"/>
              <w:jc w:val="right"/>
            </w:pPr>
            <w:r>
              <w:rPr>
                <w:color w:val="1C3A36"/>
                <w:sz w:val="15"/>
              </w:rPr>
              <w:t>187</w:t>
            </w:r>
          </w:p>
        </w:tc>
      </w:tr>
      <w:tr>
        <w:tc>
          <w:tcPr>
            <w:tcW w:type="dxa" w:w="2664"/>
          </w:tcPr>
          <w:p>
            <w:pPr>
              <w:spacing w:after="20"/>
            </w:pPr>
            <w:r>
              <w:rPr>
                <w:b/>
                <w:color w:val="1C3A36"/>
                <w:sz w:val="15"/>
              </w:rPr>
              <w:t>EBITDA</w:t>
            </w:r>
          </w:p>
        </w:tc>
        <w:tc>
          <w:tcPr>
            <w:tcW w:type="dxa" w:w="842"/>
          </w:tcPr>
          <w:p>
            <w:pPr>
              <w:spacing w:after="20"/>
              <w:jc w:val="right"/>
            </w:pPr>
            <w:r>
              <w:rPr>
                <w:color w:val="1C3A36"/>
                <w:sz w:val="15"/>
              </w:rPr>
              <w:t>533</w:t>
            </w:r>
          </w:p>
        </w:tc>
        <w:tc>
          <w:tcPr>
            <w:tcW w:type="dxa" w:w="842"/>
          </w:tcPr>
          <w:p>
            <w:pPr>
              <w:spacing w:after="20"/>
              <w:jc w:val="right"/>
            </w:pPr>
            <w:r>
              <w:rPr>
                <w:color w:val="1C3A36"/>
                <w:sz w:val="15"/>
              </w:rPr>
              <w:t>807</w:t>
            </w:r>
          </w:p>
        </w:tc>
        <w:tc>
          <w:tcPr>
            <w:tcW w:type="dxa" w:w="842"/>
          </w:tcPr>
          <w:p>
            <w:pPr>
              <w:spacing w:after="20"/>
              <w:jc w:val="right"/>
            </w:pPr>
            <w:r>
              <w:rPr>
                <w:color w:val="1C3A36"/>
                <w:sz w:val="15"/>
              </w:rPr>
              <w:t>1,164</w:t>
            </w:r>
          </w:p>
        </w:tc>
        <w:tc>
          <w:tcPr>
            <w:tcW w:type="dxa" w:w="842"/>
          </w:tcPr>
          <w:p>
            <w:pPr>
              <w:spacing w:after="20"/>
              <w:jc w:val="right"/>
            </w:pPr>
            <w:r>
              <w:rPr>
                <w:color w:val="1C3A36"/>
                <w:sz w:val="15"/>
              </w:rPr>
              <w:t>1,399</w:t>
            </w:r>
          </w:p>
        </w:tc>
        <w:tc>
          <w:tcPr>
            <w:tcW w:type="dxa" w:w="842"/>
          </w:tcPr>
          <w:p>
            <w:pPr>
              <w:spacing w:after="20"/>
              <w:jc w:val="right"/>
            </w:pPr>
            <w:r>
              <w:rPr>
                <w:color w:val="1C3A36"/>
                <w:sz w:val="15"/>
              </w:rPr>
              <w:t>1,606</w:t>
            </w:r>
          </w:p>
        </w:tc>
        <w:tc>
          <w:tcPr>
            <w:tcW w:type="dxa" w:w="842"/>
          </w:tcPr>
          <w:p>
            <w:pPr>
              <w:spacing w:after="20"/>
              <w:jc w:val="right"/>
            </w:pPr>
            <w:r>
              <w:rPr>
                <w:color w:val="1C3A36"/>
                <w:sz w:val="15"/>
              </w:rPr>
              <w:t>1,801</w:t>
            </w:r>
          </w:p>
        </w:tc>
        <w:tc>
          <w:tcPr>
            <w:tcW w:type="dxa" w:w="842"/>
          </w:tcPr>
          <w:p>
            <w:pPr>
              <w:spacing w:after="20"/>
              <w:jc w:val="right"/>
            </w:pPr>
            <w:r>
              <w:rPr>
                <w:color w:val="1C3A36"/>
                <w:sz w:val="15"/>
              </w:rPr>
              <w:t>1,983</w:t>
            </w:r>
          </w:p>
        </w:tc>
        <w:tc>
          <w:tcPr>
            <w:tcW w:type="dxa" w:w="842"/>
          </w:tcPr>
          <w:p>
            <w:pPr>
              <w:spacing w:after="20"/>
              <w:jc w:val="right"/>
            </w:pPr>
            <w:r>
              <w:rPr>
                <w:color w:val="1C3A36"/>
                <w:sz w:val="15"/>
              </w:rPr>
              <w:t>2,157</w:t>
            </w:r>
          </w:p>
        </w:tc>
      </w:tr>
      <w:tr>
        <w:tc>
          <w:tcPr>
            <w:tcW w:type="dxa" w:w="2664"/>
          </w:tcPr>
          <w:p>
            <w:pPr>
              <w:spacing w:after="20"/>
            </w:pPr>
            <w:r>
              <w:rPr>
                <w:b/>
                <w:color w:val="1C3A36"/>
                <w:sz w:val="15"/>
              </w:rPr>
              <w:t>Impairment of receivables</w:t>
            </w:r>
          </w:p>
        </w:tc>
        <w:tc>
          <w:tcPr>
            <w:tcW w:type="dxa" w:w="842"/>
          </w:tcPr>
          <w:p>
            <w:pPr>
              <w:spacing w:after="20"/>
              <w:jc w:val="right"/>
            </w:pPr>
            <w:r>
              <w:rPr>
                <w:color w:val="1C3A36"/>
                <w:sz w:val="15"/>
              </w:rPr>
              <w:t>(4)</w:t>
            </w:r>
          </w:p>
        </w:tc>
        <w:tc>
          <w:tcPr>
            <w:tcW w:type="dxa" w:w="842"/>
          </w:tcPr>
          <w:p>
            <w:pPr>
              <w:spacing w:after="20"/>
              <w:jc w:val="right"/>
            </w:pPr>
            <w:r>
              <w:rPr>
                <w:color w:val="1C3A36"/>
                <w:sz w:val="15"/>
              </w:rPr>
              <w:t>(11)</w:t>
            </w:r>
          </w:p>
        </w:tc>
        <w:tc>
          <w:tcPr>
            <w:tcW w:type="dxa" w:w="842"/>
          </w:tcPr>
          <w:p>
            <w:pPr>
              <w:spacing w:after="20"/>
              <w:jc w:val="right"/>
            </w:pPr>
            <w:r>
              <w:rPr>
                <w:color w:val="1C3A36"/>
                <w:sz w:val="15"/>
              </w:rPr>
              <w:t>(105)</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r>
      <w:tr>
        <w:tc>
          <w:tcPr>
            <w:tcW w:type="dxa" w:w="2664"/>
          </w:tcPr>
          <w:p>
            <w:pPr>
              <w:spacing w:after="20"/>
            </w:pPr>
            <w:r>
              <w:rPr>
                <w:b/>
                <w:color w:val="1C3A36"/>
                <w:sz w:val="15"/>
              </w:rPr>
              <w:t>FX gains / (losses)</w:t>
            </w:r>
          </w:p>
        </w:tc>
        <w:tc>
          <w:tcPr>
            <w:tcW w:type="dxa" w:w="842"/>
          </w:tcPr>
          <w:p>
            <w:pPr>
              <w:spacing w:after="20"/>
              <w:jc w:val="right"/>
            </w:pPr>
            <w:r>
              <w:rPr>
                <w:color w:val="1C3A36"/>
                <w:sz w:val="15"/>
              </w:rPr>
              <w:t>0</w:t>
            </w:r>
          </w:p>
        </w:tc>
        <w:tc>
          <w:tcPr>
            <w:tcW w:type="dxa" w:w="842"/>
          </w:tcPr>
          <w:p>
            <w:pPr>
              <w:spacing w:after="20"/>
              <w:jc w:val="right"/>
            </w:pPr>
            <w:r>
              <w:rPr>
                <w:color w:val="1C3A36"/>
                <w:sz w:val="15"/>
              </w:rPr>
              <w:t>34</w:t>
            </w:r>
          </w:p>
        </w:tc>
        <w:tc>
          <w:tcPr>
            <w:tcW w:type="dxa" w:w="842"/>
          </w:tcPr>
          <w:p>
            <w:pPr>
              <w:spacing w:after="20"/>
              <w:jc w:val="right"/>
            </w:pPr>
            <w:r>
              <w:rPr>
                <w:color w:val="1C3A36"/>
                <w:sz w:val="15"/>
              </w:rPr>
              <w:t>-25</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r>
      <w:tr>
        <w:tc>
          <w:tcPr>
            <w:tcW w:type="dxa" w:w="2664"/>
          </w:tcPr>
          <w:p>
            <w:pPr>
              <w:spacing w:after="20"/>
            </w:pPr>
            <w:r>
              <w:rPr>
                <w:b/>
                <w:color w:val="1C3A36"/>
                <w:sz w:val="15"/>
              </w:rPr>
              <w:t>Finance income</w:t>
            </w:r>
          </w:p>
        </w:tc>
        <w:tc>
          <w:tcPr>
            <w:tcW w:type="dxa" w:w="842"/>
          </w:tcPr>
          <w:p>
            <w:pPr>
              <w:spacing w:after="20"/>
              <w:jc w:val="right"/>
            </w:pPr>
            <w:r>
              <w:rPr>
                <w:color w:val="1C3A36"/>
                <w:sz w:val="15"/>
              </w:rPr>
              <w:t>63</w:t>
            </w:r>
          </w:p>
        </w:tc>
        <w:tc>
          <w:tcPr>
            <w:tcW w:type="dxa" w:w="842"/>
          </w:tcPr>
          <w:p>
            <w:pPr>
              <w:spacing w:after="20"/>
              <w:jc w:val="right"/>
            </w:pPr>
            <w:r>
              <w:rPr>
                <w:color w:val="1C3A36"/>
                <w:sz w:val="15"/>
              </w:rPr>
              <w:t>66</w:t>
            </w:r>
          </w:p>
        </w:tc>
        <w:tc>
          <w:tcPr>
            <w:tcW w:type="dxa" w:w="842"/>
          </w:tcPr>
          <w:p>
            <w:pPr>
              <w:spacing w:after="20"/>
              <w:jc w:val="right"/>
            </w:pPr>
            <w:r>
              <w:rPr>
                <w:color w:val="1C3A36"/>
                <w:sz w:val="15"/>
              </w:rPr>
              <w:t>19</w:t>
            </w:r>
          </w:p>
        </w:tc>
        <w:tc>
          <w:tcPr>
            <w:tcW w:type="dxa" w:w="842"/>
          </w:tcPr>
          <w:p>
            <w:pPr>
              <w:spacing w:after="20"/>
              <w:jc w:val="right"/>
            </w:pPr>
            <w:r>
              <w:rPr>
                <w:color w:val="1C3A36"/>
                <w:sz w:val="15"/>
              </w:rPr>
              <w:t>5</w:t>
            </w:r>
          </w:p>
        </w:tc>
        <w:tc>
          <w:tcPr>
            <w:tcW w:type="dxa" w:w="842"/>
          </w:tcPr>
          <w:p>
            <w:pPr>
              <w:spacing w:after="20"/>
              <w:jc w:val="right"/>
            </w:pPr>
            <w:r>
              <w:rPr>
                <w:color w:val="1C3A36"/>
                <w:sz w:val="15"/>
              </w:rPr>
              <w:t>9</w:t>
            </w:r>
          </w:p>
        </w:tc>
        <w:tc>
          <w:tcPr>
            <w:tcW w:type="dxa" w:w="842"/>
          </w:tcPr>
          <w:p>
            <w:pPr>
              <w:spacing w:after="20"/>
              <w:jc w:val="right"/>
            </w:pPr>
            <w:r>
              <w:rPr>
                <w:color w:val="1C3A36"/>
                <w:sz w:val="15"/>
              </w:rPr>
              <w:t>10</w:t>
            </w:r>
          </w:p>
        </w:tc>
        <w:tc>
          <w:tcPr>
            <w:tcW w:type="dxa" w:w="842"/>
          </w:tcPr>
          <w:p>
            <w:pPr>
              <w:spacing w:after="20"/>
              <w:jc w:val="right"/>
            </w:pPr>
            <w:r>
              <w:rPr>
                <w:color w:val="1C3A36"/>
                <w:sz w:val="15"/>
              </w:rPr>
              <w:t>11</w:t>
            </w:r>
          </w:p>
        </w:tc>
        <w:tc>
          <w:tcPr>
            <w:tcW w:type="dxa" w:w="842"/>
          </w:tcPr>
          <w:p>
            <w:pPr>
              <w:spacing w:after="20"/>
              <w:jc w:val="right"/>
            </w:pPr>
            <w:r>
              <w:rPr>
                <w:color w:val="1C3A36"/>
                <w:sz w:val="15"/>
              </w:rPr>
              <w:t>12</w:t>
            </w:r>
          </w:p>
        </w:tc>
      </w:tr>
      <w:tr>
        <w:tc>
          <w:tcPr>
            <w:tcW w:type="dxa" w:w="2664"/>
          </w:tcPr>
          <w:p>
            <w:pPr>
              <w:spacing w:after="20"/>
            </w:pPr>
            <w:r>
              <w:rPr>
                <w:b/>
                <w:color w:val="1C3A36"/>
                <w:sz w:val="15"/>
              </w:rPr>
              <w:t>Finance expense</w:t>
            </w:r>
          </w:p>
        </w:tc>
        <w:tc>
          <w:tcPr>
            <w:tcW w:type="dxa" w:w="842"/>
          </w:tcPr>
          <w:p>
            <w:pPr>
              <w:spacing w:after="20"/>
              <w:jc w:val="right"/>
            </w:pPr>
            <w:r>
              <w:rPr>
                <w:color w:val="1C3A36"/>
                <w:sz w:val="15"/>
              </w:rPr>
              <w:t>(194)</w:t>
            </w:r>
          </w:p>
        </w:tc>
        <w:tc>
          <w:tcPr>
            <w:tcW w:type="dxa" w:w="842"/>
          </w:tcPr>
          <w:p>
            <w:pPr>
              <w:spacing w:after="20"/>
              <w:jc w:val="right"/>
            </w:pPr>
            <w:r>
              <w:rPr>
                <w:color w:val="1C3A36"/>
                <w:sz w:val="15"/>
              </w:rPr>
              <w:t>(311)</w:t>
            </w:r>
          </w:p>
        </w:tc>
        <w:tc>
          <w:tcPr>
            <w:tcW w:type="dxa" w:w="842"/>
          </w:tcPr>
          <w:p>
            <w:pPr>
              <w:spacing w:after="20"/>
              <w:jc w:val="right"/>
            </w:pPr>
            <w:r>
              <w:rPr>
                <w:color w:val="1C3A36"/>
                <w:sz w:val="15"/>
              </w:rPr>
              <w:t>(538)</w:t>
            </w:r>
          </w:p>
        </w:tc>
        <w:tc>
          <w:tcPr>
            <w:tcW w:type="dxa" w:w="842"/>
          </w:tcPr>
          <w:p>
            <w:pPr>
              <w:spacing w:after="20"/>
              <w:jc w:val="right"/>
            </w:pPr>
            <w:r>
              <w:rPr>
                <w:color w:val="1C3A36"/>
                <w:sz w:val="15"/>
              </w:rPr>
              <w:t>(520)</w:t>
            </w:r>
          </w:p>
        </w:tc>
        <w:tc>
          <w:tcPr>
            <w:tcW w:type="dxa" w:w="842"/>
          </w:tcPr>
          <w:p>
            <w:pPr>
              <w:spacing w:after="20"/>
              <w:jc w:val="right"/>
            </w:pPr>
            <w:r>
              <w:rPr>
                <w:color w:val="1C3A36"/>
                <w:sz w:val="15"/>
              </w:rPr>
              <w:t>(428)</w:t>
            </w:r>
          </w:p>
        </w:tc>
        <w:tc>
          <w:tcPr>
            <w:tcW w:type="dxa" w:w="842"/>
          </w:tcPr>
          <w:p>
            <w:pPr>
              <w:spacing w:after="20"/>
              <w:jc w:val="right"/>
            </w:pPr>
            <w:r>
              <w:rPr>
                <w:color w:val="1C3A36"/>
                <w:sz w:val="15"/>
              </w:rPr>
              <w:t>(345)</w:t>
            </w:r>
          </w:p>
        </w:tc>
        <w:tc>
          <w:tcPr>
            <w:tcW w:type="dxa" w:w="842"/>
          </w:tcPr>
          <w:p>
            <w:pPr>
              <w:spacing w:after="20"/>
              <w:jc w:val="right"/>
            </w:pPr>
            <w:r>
              <w:rPr>
                <w:color w:val="1C3A36"/>
                <w:sz w:val="15"/>
              </w:rPr>
              <w:t>(254)</w:t>
            </w:r>
          </w:p>
        </w:tc>
        <w:tc>
          <w:tcPr>
            <w:tcW w:type="dxa" w:w="842"/>
          </w:tcPr>
          <w:p>
            <w:pPr>
              <w:spacing w:after="20"/>
              <w:jc w:val="right"/>
            </w:pPr>
            <w:r>
              <w:rPr>
                <w:color w:val="1C3A36"/>
                <w:sz w:val="15"/>
              </w:rPr>
              <w:t>(160)</w:t>
            </w:r>
          </w:p>
        </w:tc>
      </w:tr>
      <w:tr>
        <w:tc>
          <w:tcPr>
            <w:tcW w:type="dxa" w:w="2664"/>
          </w:tcPr>
          <w:p>
            <w:pPr>
              <w:spacing w:after="20"/>
            </w:pPr>
            <w:r>
              <w:rPr>
                <w:b/>
                <w:color w:val="1C3A36"/>
                <w:sz w:val="15"/>
              </w:rPr>
              <w:t>Profit before tax</w:t>
            </w:r>
          </w:p>
        </w:tc>
        <w:tc>
          <w:tcPr>
            <w:tcW w:type="dxa" w:w="842"/>
          </w:tcPr>
          <w:p>
            <w:pPr>
              <w:spacing w:after="20"/>
              <w:jc w:val="right"/>
            </w:pPr>
            <w:r>
              <w:rPr>
                <w:color w:val="1C3A36"/>
                <w:sz w:val="15"/>
              </w:rPr>
              <w:t>327</w:t>
            </w:r>
          </w:p>
        </w:tc>
        <w:tc>
          <w:tcPr>
            <w:tcW w:type="dxa" w:w="842"/>
          </w:tcPr>
          <w:p>
            <w:pPr>
              <w:spacing w:after="20"/>
              <w:jc w:val="right"/>
            </w:pPr>
            <w:r>
              <w:rPr>
                <w:color w:val="1C3A36"/>
                <w:sz w:val="15"/>
              </w:rPr>
              <w:t>526</w:t>
            </w:r>
          </w:p>
        </w:tc>
        <w:tc>
          <w:tcPr>
            <w:tcW w:type="dxa" w:w="842"/>
          </w:tcPr>
          <w:p>
            <w:pPr>
              <w:spacing w:after="20"/>
              <w:jc w:val="right"/>
            </w:pPr>
            <w:r>
              <w:rPr>
                <w:color w:val="1C3A36"/>
                <w:sz w:val="15"/>
              </w:rPr>
              <w:t>424</w:t>
            </w:r>
          </w:p>
        </w:tc>
        <w:tc>
          <w:tcPr>
            <w:tcW w:type="dxa" w:w="842"/>
          </w:tcPr>
          <w:p>
            <w:pPr>
              <w:spacing w:after="20"/>
              <w:jc w:val="right"/>
            </w:pPr>
            <w:r>
              <w:rPr>
                <w:color w:val="1C3A36"/>
                <w:sz w:val="15"/>
              </w:rPr>
              <w:t>758</w:t>
            </w:r>
          </w:p>
        </w:tc>
        <w:tc>
          <w:tcPr>
            <w:tcW w:type="dxa" w:w="842"/>
          </w:tcPr>
          <w:p>
            <w:pPr>
              <w:spacing w:after="20"/>
              <w:jc w:val="right"/>
            </w:pPr>
            <w:r>
              <w:rPr>
                <w:color w:val="1C3A36"/>
                <w:sz w:val="15"/>
              </w:rPr>
              <w:t>1,044</w:t>
            </w:r>
          </w:p>
        </w:tc>
        <w:tc>
          <w:tcPr>
            <w:tcW w:type="dxa" w:w="842"/>
          </w:tcPr>
          <w:p>
            <w:pPr>
              <w:spacing w:after="20"/>
              <w:jc w:val="right"/>
            </w:pPr>
            <w:r>
              <w:rPr>
                <w:color w:val="1C3A36"/>
                <w:sz w:val="15"/>
              </w:rPr>
              <w:t>1,309</w:t>
            </w:r>
          </w:p>
        </w:tc>
        <w:tc>
          <w:tcPr>
            <w:tcW w:type="dxa" w:w="842"/>
          </w:tcPr>
          <w:p>
            <w:pPr>
              <w:spacing w:after="20"/>
              <w:jc w:val="right"/>
            </w:pPr>
            <w:r>
              <w:rPr>
                <w:color w:val="1C3A36"/>
                <w:sz w:val="15"/>
              </w:rPr>
              <w:t>1,568</w:t>
            </w:r>
          </w:p>
        </w:tc>
        <w:tc>
          <w:tcPr>
            <w:tcW w:type="dxa" w:w="842"/>
          </w:tcPr>
          <w:p>
            <w:pPr>
              <w:spacing w:after="20"/>
              <w:jc w:val="right"/>
            </w:pPr>
            <w:r>
              <w:rPr>
                <w:color w:val="1C3A36"/>
                <w:sz w:val="15"/>
              </w:rPr>
              <w:t>1,822</w:t>
            </w:r>
          </w:p>
        </w:tc>
      </w:tr>
      <w:tr>
        <w:tc>
          <w:tcPr>
            <w:tcW w:type="dxa" w:w="2664"/>
          </w:tcPr>
          <w:p>
            <w:pPr>
              <w:spacing w:after="20"/>
            </w:pPr>
            <w:r>
              <w:rPr>
                <w:b/>
                <w:color w:val="1C3A36"/>
                <w:sz w:val="15"/>
              </w:rPr>
              <w:t>Income tax</w:t>
            </w:r>
          </w:p>
        </w:tc>
        <w:tc>
          <w:tcPr>
            <w:tcW w:type="dxa" w:w="842"/>
          </w:tcPr>
          <w:p>
            <w:pPr>
              <w:spacing w:after="20"/>
              <w:jc w:val="right"/>
            </w:pPr>
            <w:r>
              <w:rPr>
                <w:color w:val="1C3A36"/>
                <w:sz w:val="15"/>
              </w:rPr>
              <w:t>(74)</w:t>
            </w:r>
          </w:p>
        </w:tc>
        <w:tc>
          <w:tcPr>
            <w:tcW w:type="dxa" w:w="842"/>
          </w:tcPr>
          <w:p>
            <w:pPr>
              <w:spacing w:after="20"/>
              <w:jc w:val="right"/>
            </w:pPr>
            <w:r>
              <w:rPr>
                <w:color w:val="1C3A36"/>
                <w:sz w:val="15"/>
              </w:rPr>
              <w:t>(124)</w:t>
            </w:r>
          </w:p>
        </w:tc>
        <w:tc>
          <w:tcPr>
            <w:tcW w:type="dxa" w:w="842"/>
          </w:tcPr>
          <w:p>
            <w:pPr>
              <w:spacing w:after="20"/>
              <w:jc w:val="right"/>
            </w:pPr>
            <w:r>
              <w:rPr>
                <w:color w:val="1C3A36"/>
                <w:sz w:val="15"/>
              </w:rPr>
              <w:t>(111)</w:t>
            </w:r>
          </w:p>
        </w:tc>
        <w:tc>
          <w:tcPr>
            <w:tcW w:type="dxa" w:w="842"/>
          </w:tcPr>
          <w:p>
            <w:pPr>
              <w:spacing w:after="20"/>
              <w:jc w:val="right"/>
            </w:pPr>
            <w:r>
              <w:rPr>
                <w:color w:val="1C3A36"/>
                <w:sz w:val="15"/>
              </w:rPr>
              <w:t>(182)</w:t>
            </w:r>
          </w:p>
        </w:tc>
        <w:tc>
          <w:tcPr>
            <w:tcW w:type="dxa" w:w="842"/>
          </w:tcPr>
          <w:p>
            <w:pPr>
              <w:spacing w:after="20"/>
              <w:jc w:val="right"/>
            </w:pPr>
            <w:r>
              <w:rPr>
                <w:color w:val="1C3A36"/>
                <w:sz w:val="15"/>
              </w:rPr>
              <w:t>(251)</w:t>
            </w:r>
          </w:p>
        </w:tc>
        <w:tc>
          <w:tcPr>
            <w:tcW w:type="dxa" w:w="842"/>
          </w:tcPr>
          <w:p>
            <w:pPr>
              <w:spacing w:after="20"/>
              <w:jc w:val="right"/>
            </w:pPr>
            <w:r>
              <w:rPr>
                <w:color w:val="1C3A36"/>
                <w:sz w:val="15"/>
              </w:rPr>
              <w:t>(314)</w:t>
            </w:r>
          </w:p>
        </w:tc>
        <w:tc>
          <w:tcPr>
            <w:tcW w:type="dxa" w:w="842"/>
          </w:tcPr>
          <w:p>
            <w:pPr>
              <w:spacing w:after="20"/>
              <w:jc w:val="right"/>
            </w:pPr>
            <w:r>
              <w:rPr>
                <w:color w:val="1C3A36"/>
                <w:sz w:val="15"/>
              </w:rPr>
              <w:t>(376)</w:t>
            </w:r>
          </w:p>
        </w:tc>
        <w:tc>
          <w:tcPr>
            <w:tcW w:type="dxa" w:w="842"/>
          </w:tcPr>
          <w:p>
            <w:pPr>
              <w:spacing w:after="20"/>
              <w:jc w:val="right"/>
            </w:pPr>
            <w:r>
              <w:rPr>
                <w:color w:val="1C3A36"/>
                <w:sz w:val="15"/>
              </w:rPr>
              <w:t>(437)</w:t>
            </w:r>
          </w:p>
        </w:tc>
      </w:tr>
      <w:tr>
        <w:tc>
          <w:tcPr>
            <w:tcW w:type="dxa" w:w="2664"/>
          </w:tcPr>
          <w:p>
            <w:pPr>
              <w:spacing w:after="20"/>
            </w:pPr>
            <w:r>
              <w:rPr>
                <w:b/>
                <w:color w:val="1C3A36"/>
                <w:sz w:val="15"/>
              </w:rPr>
              <w:t>Net income</w:t>
            </w:r>
          </w:p>
        </w:tc>
        <w:tc>
          <w:tcPr>
            <w:tcW w:type="dxa" w:w="842"/>
          </w:tcPr>
          <w:p>
            <w:pPr>
              <w:spacing w:after="20"/>
              <w:jc w:val="right"/>
            </w:pPr>
            <w:r>
              <w:rPr>
                <w:color w:val="1C3A36"/>
                <w:sz w:val="15"/>
              </w:rPr>
              <w:t>253</w:t>
            </w:r>
          </w:p>
        </w:tc>
        <w:tc>
          <w:tcPr>
            <w:tcW w:type="dxa" w:w="842"/>
          </w:tcPr>
          <w:p>
            <w:pPr>
              <w:spacing w:after="20"/>
              <w:jc w:val="right"/>
            </w:pPr>
            <w:r>
              <w:rPr>
                <w:color w:val="1C3A36"/>
                <w:sz w:val="15"/>
              </w:rPr>
              <w:t>402</w:t>
            </w:r>
          </w:p>
        </w:tc>
        <w:tc>
          <w:tcPr>
            <w:tcW w:type="dxa" w:w="842"/>
          </w:tcPr>
          <w:p>
            <w:pPr>
              <w:spacing w:after="20"/>
              <w:jc w:val="right"/>
            </w:pPr>
            <w:r>
              <w:rPr>
                <w:color w:val="1C3A36"/>
                <w:sz w:val="15"/>
              </w:rPr>
              <w:t>313</w:t>
            </w:r>
          </w:p>
        </w:tc>
        <w:tc>
          <w:tcPr>
            <w:tcW w:type="dxa" w:w="842"/>
          </w:tcPr>
          <w:p>
            <w:pPr>
              <w:spacing w:after="20"/>
              <w:jc w:val="right"/>
            </w:pPr>
            <w:r>
              <w:rPr>
                <w:color w:val="1C3A36"/>
                <w:sz w:val="15"/>
              </w:rPr>
              <w:t>576</w:t>
            </w:r>
          </w:p>
        </w:tc>
        <w:tc>
          <w:tcPr>
            <w:tcW w:type="dxa" w:w="842"/>
          </w:tcPr>
          <w:p>
            <w:pPr>
              <w:spacing w:after="20"/>
              <w:jc w:val="right"/>
            </w:pPr>
            <w:r>
              <w:rPr>
                <w:color w:val="1C3A36"/>
                <w:sz w:val="15"/>
              </w:rPr>
              <w:t>794</w:t>
            </w:r>
          </w:p>
        </w:tc>
        <w:tc>
          <w:tcPr>
            <w:tcW w:type="dxa" w:w="842"/>
          </w:tcPr>
          <w:p>
            <w:pPr>
              <w:spacing w:after="20"/>
              <w:jc w:val="right"/>
            </w:pPr>
            <w:r>
              <w:rPr>
                <w:color w:val="1C3A36"/>
                <w:sz w:val="15"/>
              </w:rPr>
              <w:t>995</w:t>
            </w:r>
          </w:p>
        </w:tc>
        <w:tc>
          <w:tcPr>
            <w:tcW w:type="dxa" w:w="842"/>
          </w:tcPr>
          <w:p>
            <w:pPr>
              <w:spacing w:after="20"/>
              <w:jc w:val="right"/>
            </w:pPr>
            <w:r>
              <w:rPr>
                <w:color w:val="1C3A36"/>
                <w:sz w:val="15"/>
              </w:rPr>
              <w:t>1,192</w:t>
            </w:r>
          </w:p>
        </w:tc>
        <w:tc>
          <w:tcPr>
            <w:tcW w:type="dxa" w:w="842"/>
          </w:tcPr>
          <w:p>
            <w:pPr>
              <w:spacing w:after="20"/>
              <w:jc w:val="right"/>
            </w:pPr>
            <w:r>
              <w:rPr>
                <w:color w:val="1C3A36"/>
                <w:sz w:val="15"/>
              </w:rPr>
              <w:t>1,385</w:t>
            </w:r>
          </w:p>
        </w:tc>
      </w:tr>
      <w:tr>
        <w:tc>
          <w:tcPr>
            <w:tcW w:type="dxa" w:w="2664"/>
          </w:tcPr>
          <w:p>
            <w:pPr>
              <w:spacing w:after="20"/>
            </w:pPr>
            <w:r>
              <w:rPr>
                <w:b/>
                <w:color w:val="1C3A36"/>
                <w:sz w:val="15"/>
              </w:rPr>
              <w:t>— attributable to parent</w:t>
            </w:r>
          </w:p>
        </w:tc>
        <w:tc>
          <w:tcPr>
            <w:tcW w:type="dxa" w:w="842"/>
          </w:tcPr>
          <w:p>
            <w:pPr>
              <w:spacing w:after="20"/>
              <w:jc w:val="right"/>
            </w:pPr>
            <w:r>
              <w:rPr>
                <w:color w:val="1C3A36"/>
                <w:sz w:val="15"/>
              </w:rPr>
              <w:t>245</w:t>
            </w:r>
          </w:p>
        </w:tc>
        <w:tc>
          <w:tcPr>
            <w:tcW w:type="dxa" w:w="842"/>
          </w:tcPr>
          <w:p>
            <w:pPr>
              <w:spacing w:after="20"/>
              <w:jc w:val="right"/>
            </w:pPr>
            <w:r>
              <w:rPr>
                <w:color w:val="1C3A36"/>
                <w:sz w:val="15"/>
              </w:rPr>
              <w:t>387</w:t>
            </w:r>
          </w:p>
        </w:tc>
        <w:tc>
          <w:tcPr>
            <w:tcW w:type="dxa" w:w="842"/>
          </w:tcPr>
          <w:p>
            <w:pPr>
              <w:spacing w:after="20"/>
              <w:jc w:val="right"/>
            </w:pPr>
            <w:r>
              <w:rPr>
                <w:color w:val="1C3A36"/>
                <w:sz w:val="15"/>
              </w:rPr>
              <w:t>298</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r>
      <w:tr>
        <w:tc>
          <w:tcPr>
            <w:tcW w:type="dxa" w:w="2664"/>
          </w:tcPr>
          <w:p>
            <w:pPr>
              <w:spacing w:after="20"/>
            </w:pPr>
            <w:r>
              <w:rPr>
                <w:b/>
                <w:color w:val="1C3A36"/>
                <w:sz w:val="15"/>
              </w:rPr>
              <w:t>EPS attributable (EGP, hist basis)</w:t>
            </w:r>
          </w:p>
        </w:tc>
        <w:tc>
          <w:tcPr>
            <w:tcW w:type="dxa" w:w="842"/>
          </w:tcPr>
          <w:p>
            <w:pPr>
              <w:spacing w:after="20"/>
              <w:jc w:val="right"/>
            </w:pPr>
            <w:r>
              <w:rPr>
                <w:color w:val="1C3A36"/>
                <w:sz w:val="15"/>
              </w:rPr>
              <w:t>0.122</w:t>
            </w:r>
          </w:p>
        </w:tc>
        <w:tc>
          <w:tcPr>
            <w:tcW w:type="dxa" w:w="842"/>
          </w:tcPr>
          <w:p>
            <w:pPr>
              <w:spacing w:after="20"/>
              <w:jc w:val="right"/>
            </w:pPr>
            <w:r>
              <w:rPr>
                <w:color w:val="1C3A36"/>
                <w:sz w:val="15"/>
              </w:rPr>
              <w:t>0.194</w:t>
            </w:r>
          </w:p>
        </w:tc>
        <w:tc>
          <w:tcPr>
            <w:tcW w:type="dxa" w:w="842"/>
          </w:tcPr>
          <w:p>
            <w:pPr>
              <w:spacing w:after="20"/>
              <w:jc w:val="right"/>
            </w:pPr>
            <w:r>
              <w:rPr>
                <w:color w:val="1C3A36"/>
                <w:sz w:val="15"/>
              </w:rPr>
              <w:t>0.149</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r>
      <w:tr>
        <w:tc>
          <w:tcPr>
            <w:tcW w:type="dxa" w:w="2664"/>
          </w:tcPr>
          <w:p>
            <w:pPr>
              <w:spacing w:after="20"/>
            </w:pPr>
            <w:r>
              <w:rPr>
                <w:b/>
                <w:color w:val="1C3A36"/>
                <w:sz w:val="15"/>
              </w:rPr>
              <w:t>EPS consolidated (EGP, 2,033mn shares fwd)</w:t>
            </w:r>
          </w:p>
        </w:tc>
        <w:tc>
          <w:tcPr>
            <w:tcW w:type="dxa" w:w="842"/>
          </w:tcPr>
          <w:p>
            <w:pPr>
              <w:spacing w:after="20"/>
              <w:jc w:val="right"/>
            </w:pPr>
            <w:r>
              <w:rPr>
                <w:color w:val="1C3A36"/>
                <w:sz w:val="15"/>
              </w:rPr>
              <w:t>0.127</w:t>
            </w:r>
          </w:p>
        </w:tc>
        <w:tc>
          <w:tcPr>
            <w:tcW w:type="dxa" w:w="842"/>
          </w:tcPr>
          <w:p>
            <w:pPr>
              <w:spacing w:after="20"/>
              <w:jc w:val="right"/>
            </w:pPr>
            <w:r>
              <w:rPr>
                <w:color w:val="1C3A36"/>
                <w:sz w:val="15"/>
              </w:rPr>
              <w:t>0.201</w:t>
            </w:r>
          </w:p>
        </w:tc>
        <w:tc>
          <w:tcPr>
            <w:tcW w:type="dxa" w:w="842"/>
          </w:tcPr>
          <w:p>
            <w:pPr>
              <w:spacing w:after="20"/>
              <w:jc w:val="right"/>
            </w:pPr>
            <w:r>
              <w:rPr>
                <w:color w:val="1C3A36"/>
                <w:sz w:val="15"/>
              </w:rPr>
              <w:t>0.157</w:t>
            </w:r>
          </w:p>
        </w:tc>
        <w:tc>
          <w:tcPr>
            <w:tcW w:type="dxa" w:w="842"/>
          </w:tcPr>
          <w:p>
            <w:pPr>
              <w:spacing w:after="20"/>
              <w:jc w:val="right"/>
            </w:pPr>
            <w:r>
              <w:rPr>
                <w:color w:val="1C3A36"/>
                <w:sz w:val="15"/>
              </w:rPr>
              <w:t>0.284</w:t>
            </w:r>
          </w:p>
        </w:tc>
        <w:tc>
          <w:tcPr>
            <w:tcW w:type="dxa" w:w="842"/>
          </w:tcPr>
          <w:p>
            <w:pPr>
              <w:spacing w:after="20"/>
              <w:jc w:val="right"/>
            </w:pPr>
            <w:r>
              <w:rPr>
                <w:color w:val="1C3A36"/>
                <w:sz w:val="15"/>
              </w:rPr>
              <w:t>0.390</w:t>
            </w:r>
          </w:p>
        </w:tc>
        <w:tc>
          <w:tcPr>
            <w:tcW w:type="dxa" w:w="842"/>
          </w:tcPr>
          <w:p>
            <w:pPr>
              <w:spacing w:after="20"/>
              <w:jc w:val="right"/>
            </w:pPr>
            <w:r>
              <w:rPr>
                <w:color w:val="1C3A36"/>
                <w:sz w:val="15"/>
              </w:rPr>
              <w:t>0.489</w:t>
            </w:r>
          </w:p>
        </w:tc>
        <w:tc>
          <w:tcPr>
            <w:tcW w:type="dxa" w:w="842"/>
          </w:tcPr>
          <w:p>
            <w:pPr>
              <w:spacing w:after="20"/>
              <w:jc w:val="right"/>
            </w:pPr>
            <w:r>
              <w:rPr>
                <w:color w:val="1C3A36"/>
                <w:sz w:val="15"/>
              </w:rPr>
              <w:t>0.586</w:t>
            </w:r>
          </w:p>
        </w:tc>
        <w:tc>
          <w:tcPr>
            <w:tcW w:type="dxa" w:w="842"/>
          </w:tcPr>
          <w:p>
            <w:pPr>
              <w:spacing w:after="20"/>
              <w:jc w:val="right"/>
            </w:pPr>
            <w:r>
              <w:rPr>
                <w:color w:val="1C3A36"/>
                <w:sz w:val="15"/>
              </w:rPr>
              <w:t>0.681</w:t>
            </w:r>
          </w:p>
        </w:tc>
      </w:tr>
      <w:tr>
        <w:tc>
          <w:tcPr>
            <w:tcW w:type="dxa" w:w="2664"/>
          </w:tcPr>
          <w:p>
            <w:pPr>
              <w:spacing w:after="20"/>
            </w:pPr>
            <w:r>
              <w:rPr>
                <w:b/>
                <w:color w:val="1C3A36"/>
                <w:sz w:val="15"/>
              </w:rPr>
              <w:t>DPS paid in year (EGP)</w:t>
            </w:r>
          </w:p>
        </w:tc>
        <w:tc>
          <w:tcPr>
            <w:tcW w:type="dxa" w:w="842"/>
          </w:tcPr>
          <w:p>
            <w:pPr>
              <w:spacing w:after="20"/>
              <w:jc w:val="right"/>
            </w:pPr>
            <w:r>
              <w:rPr>
                <w:color w:val="1C3A36"/>
                <w:sz w:val="15"/>
              </w:rPr>
              <w:t>0.008</w:t>
            </w:r>
          </w:p>
        </w:tc>
        <w:tc>
          <w:tcPr>
            <w:tcW w:type="dxa" w:w="842"/>
          </w:tcPr>
          <w:p>
            <w:pPr>
              <w:spacing w:after="20"/>
              <w:jc w:val="right"/>
            </w:pPr>
            <w:r>
              <w:rPr>
                <w:color w:val="1C3A36"/>
                <w:sz w:val="15"/>
              </w:rPr>
              <w:t>0.061</w:t>
            </w:r>
          </w:p>
        </w:tc>
        <w:tc>
          <w:tcPr>
            <w:tcW w:type="dxa" w:w="842"/>
          </w:tcPr>
          <w:p>
            <w:pPr>
              <w:spacing w:after="20"/>
              <w:jc w:val="right"/>
            </w:pPr>
            <w:r>
              <w:rPr>
                <w:color w:val="1C3A36"/>
                <w:sz w:val="15"/>
              </w:rPr>
              <w:t>0.094</w:t>
            </w:r>
          </w:p>
        </w:tc>
        <w:tc>
          <w:tcPr>
            <w:tcW w:type="dxa" w:w="842"/>
          </w:tcPr>
          <w:p>
            <w:pPr>
              <w:spacing w:after="20"/>
              <w:jc w:val="right"/>
            </w:pPr>
            <w:r>
              <w:rPr>
                <w:color w:val="1C3A36"/>
                <w:sz w:val="15"/>
              </w:rPr>
              <w:t>0.059</w:t>
            </w:r>
          </w:p>
        </w:tc>
        <w:tc>
          <w:tcPr>
            <w:tcW w:type="dxa" w:w="842"/>
          </w:tcPr>
          <w:p>
            <w:pPr>
              <w:spacing w:after="20"/>
              <w:jc w:val="right"/>
            </w:pPr>
            <w:r>
              <w:rPr>
                <w:color w:val="1C3A36"/>
                <w:sz w:val="15"/>
              </w:rPr>
              <w:t>0.156</w:t>
            </w:r>
          </w:p>
        </w:tc>
        <w:tc>
          <w:tcPr>
            <w:tcW w:type="dxa" w:w="842"/>
          </w:tcPr>
          <w:p>
            <w:pPr>
              <w:spacing w:after="20"/>
              <w:jc w:val="right"/>
            </w:pPr>
            <w:r>
              <w:rPr>
                <w:color w:val="1C3A36"/>
                <w:sz w:val="15"/>
              </w:rPr>
              <w:t>0.196</w:t>
            </w:r>
          </w:p>
        </w:tc>
        <w:tc>
          <w:tcPr>
            <w:tcW w:type="dxa" w:w="842"/>
          </w:tcPr>
          <w:p>
            <w:pPr>
              <w:spacing w:after="20"/>
              <w:jc w:val="right"/>
            </w:pPr>
            <w:r>
              <w:rPr>
                <w:color w:val="1C3A36"/>
                <w:sz w:val="15"/>
              </w:rPr>
              <w:t>0.234</w:t>
            </w:r>
          </w:p>
        </w:tc>
        <w:tc>
          <w:tcPr>
            <w:tcW w:type="dxa" w:w="842"/>
          </w:tcPr>
          <w:p>
            <w:pPr>
              <w:spacing w:after="20"/>
              <w:jc w:val="right"/>
            </w:pPr>
            <w:r>
              <w:rPr>
                <w:color w:val="1C3A36"/>
                <w:sz w:val="15"/>
              </w:rPr>
              <w:t>0.273</w:t>
            </w:r>
          </w:p>
        </w:tc>
      </w:tr>
      <w:tr>
        <w:tc>
          <w:tcPr>
            <w:tcW w:type="dxa" w:w="2664"/>
          </w:tcPr>
          <w:p>
            <w:pPr>
              <w:spacing w:after="20"/>
            </w:pPr>
            <w:r>
              <w:rPr>
                <w:b/>
                <w:color w:val="1C3A36"/>
                <w:sz w:val="15"/>
              </w:rPr>
              <w:t>Memo: employees’ appropriation (cash)</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(21.0)</w:t>
            </w:r>
          </w:p>
        </w:tc>
        <w:tc>
          <w:tcPr>
            <w:tcW w:type="dxa" w:w="842"/>
          </w:tcPr>
          <w:p>
            <w:pPr>
              <w:spacing w:after="20"/>
              <w:jc w:val="right"/>
            </w:pPr>
            <w:r>
              <w:rPr>
                <w:color w:val="1C3A36"/>
                <w:sz w:val="15"/>
              </w:rPr>
              <w:t>(21)</w:t>
            </w:r>
          </w:p>
        </w:tc>
        <w:tc>
          <w:tcPr>
            <w:tcW w:type="dxa" w:w="842"/>
          </w:tcPr>
          <w:p>
            <w:pPr>
              <w:spacing w:after="20"/>
              <w:jc w:val="right"/>
            </w:pPr>
            <w:r>
              <w:rPr>
                <w:color w:val="1C3A36"/>
                <w:sz w:val="15"/>
              </w:rPr>
              <w:t>(39)</w:t>
            </w:r>
          </w:p>
        </w:tc>
        <w:tc>
          <w:tcPr>
            <w:tcW w:type="dxa" w:w="842"/>
          </w:tcPr>
          <w:p>
            <w:pPr>
              <w:spacing w:after="20"/>
              <w:jc w:val="right"/>
            </w:pPr>
            <w:r>
              <w:rPr>
                <w:color w:val="1C3A36"/>
                <w:sz w:val="15"/>
              </w:rPr>
              <w:t>(53)</w:t>
            </w:r>
          </w:p>
        </w:tc>
        <w:tc>
          <w:tcPr>
            <w:tcW w:type="dxa" w:w="842"/>
          </w:tcPr>
          <w:p>
            <w:pPr>
              <w:spacing w:after="20"/>
              <w:jc w:val="right"/>
            </w:pPr>
            <w:r>
              <w:rPr>
                <w:color w:val="1C3A36"/>
                <w:sz w:val="15"/>
              </w:rPr>
              <w:t>(67)</w:t>
            </w:r>
          </w:p>
        </w:tc>
        <w:tc>
          <w:tcPr>
            <w:tcW w:type="dxa" w:w="842"/>
          </w:tcPr>
          <w:p>
            <w:pPr>
              <w:spacing w:after="20"/>
              <w:jc w:val="right"/>
            </w:pPr>
            <w:r>
              <w:rPr>
                <w:color w:val="1C3A36"/>
                <w:sz w:val="15"/>
              </w:rPr>
              <w:t>(80)</w:t>
            </w:r>
          </w:p>
        </w:tc>
      </w:tr>
      <w:tr>
        <w:tc>
          <w:tcPr>
            <w:tcW w:type="dxa" w:w="2664"/>
          </w:tcPr>
          <w:p>
            <w:pPr>
              <w:spacing w:after="20"/>
            </w:pPr>
            <w:r>
              <w:rPr>
                <w:b/>
                <w:color w:val="1C3A36"/>
                <w:sz w:val="15"/>
              </w:rPr>
              <w:t>Memo: share-based payments (non-cash, in opex)</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(64)</w:t>
            </w:r>
          </w:p>
        </w:tc>
        <w:tc>
          <w:tcPr>
            <w:tcW w:type="dxa" w:w="842"/>
          </w:tcPr>
          <w:p>
            <w:pPr>
              <w:spacing w:after="20"/>
              <w:jc w:val="right"/>
            </w:pPr>
            <w:r>
              <w:rPr>
                <w:color w:val="1C3A36"/>
                <w:sz w:val="15"/>
              </w:rPr>
              <w:t>(48)</w:t>
            </w:r>
          </w:p>
        </w:tc>
        <w:tc>
          <w:tcPr>
            <w:tcW w:type="dxa" w:w="842"/>
          </w:tcPr>
          <w:p>
            <w:pPr>
              <w:spacing w:after="20"/>
              <w:jc w:val="right"/>
            </w:pPr>
            <w:r>
              <w:rPr>
                <w:color w:val="1C3A36"/>
                <w:sz w:val="15"/>
              </w:rPr>
              <w:t>(24)</w:t>
            </w:r>
          </w:p>
        </w:tc>
        <w:tc>
          <w:tcPr>
            <w:tcW w:type="dxa" w:w="842"/>
          </w:tcPr>
          <w:p>
            <w:pPr>
              <w:spacing w:after="20"/>
              <w:jc w:val="right"/>
            </w:pPr>
            <w:r>
              <w:rPr>
                <w:color w:val="1C3A36"/>
                <w:sz w:val="15"/>
              </w:rPr>
              <w:t>(0)</w:t>
            </w:r>
          </w:p>
        </w:tc>
        <w:tc>
          <w:tcPr>
            <w:tcW w:type="dxa" w:w="842"/>
          </w:tcPr>
          <w:p>
            <w:pPr>
              <w:spacing w:after="20"/>
              <w:jc w:val="right"/>
            </w:pPr>
            <w:r>
              <w:rPr>
                <w:color w:val="1C3A36"/>
                <w:sz w:val="15"/>
              </w:rPr>
              <w:t>(0)</w:t>
            </w:r>
          </w:p>
        </w:tc>
      </w:tr>
    </w:tbl>
    <w:p>
      <w:pPr>
        <w:spacing w:after="40"/>
      </w:pPr>
    </w:p>
    <w:p>
      <w:pPr>
        <w:spacing w:after="200" w:before="0"/>
      </w:pPr>
      <w:r>
        <w:rPr>
          <w:b w:val="0"/>
          <w:i/>
          <w:color w:val="6E7B77"/>
          <w:sz w:val="17"/>
        </w:rPr>
        <w:t>3 actual + 5 forecast columns. FY23–FY25 audited as disclosed; impairment/FX sit below EBIT per the company’s own layout (FY25 impairment is the EGP 99mn UCP/MEC provision plus routine ECL). Forecast is modelled from EBITDA down (the driver tree of §1.6); cost-line splits are not forecast — the model does not manufacture volume/ASP or cost splits the company does not disclose (data-discipline guard). Forecast NI is consolidated; NCI averaged ~4–5% of NI historically. Historical per-share rows are on the 2,000mn count then in issue; forecast rows are on 2,032.8mn (post the 6-Jul-2026 ESOP listing). One basis per row; the FY25 dividend declared FROM 2025 profit was EGP 60mn to shareholders (0.030/sh) + 21mn to employees, paid during 2026. Forecast cost lines: GM and G&amp;A are sourced drivers; S&amp;M is the derived residual, asserted ~19.2% and non-increasing against the 1Q26 actual 18.9%; the appropriation (6.7% of prior-year NI) is charged in FCFF.</w:t>
      </w:r>
    </w:p>
    <w:p>
      <w:pPr>
        <w:spacing w:after="80" w:before="200"/>
      </w:pPr>
      <w:r>
        <w:rPr>
          <w:b/>
          <w:i w:val="0"/>
          <w:color w:val="1C3A36"/>
          <w:sz w:val="24"/>
        </w:rPr>
        <w:t>A.2  Balance sheet — 3 actual + 5 forecast columns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664"/>
            <w:shd w:val="clear" w:color="auto" w:fill="EAF0EE"/>
          </w:tcPr>
          <w:p>
            <w:pPr>
              <w:spacing w:after="20"/>
            </w:pPr>
            <w:r>
              <w:rPr>
                <w:b/>
                <w:color w:val="1C3A36"/>
                <w:sz w:val="15"/>
              </w:rPr>
              <w:t>Line</w:t>
            </w:r>
          </w:p>
        </w:tc>
        <w:tc>
          <w:tcPr>
            <w:tcW w:type="dxa" w:w="842"/>
            <w:shd w:val="clear" w:color="auto" w:fill="EAF0EE"/>
          </w:tcPr>
          <w:p>
            <w:pPr>
              <w:spacing w:after="20"/>
            </w:pPr>
            <w:r>
              <w:rPr>
                <w:b/>
                <w:color w:val="1C3A36"/>
                <w:sz w:val="15"/>
              </w:rPr>
              <w:t>FY23</w:t>
            </w:r>
          </w:p>
        </w:tc>
        <w:tc>
          <w:tcPr>
            <w:tcW w:type="dxa" w:w="842"/>
            <w:shd w:val="clear" w:color="auto" w:fill="EAF0EE"/>
          </w:tcPr>
          <w:p>
            <w:pPr>
              <w:spacing w:after="20"/>
            </w:pPr>
            <w:r>
              <w:rPr>
                <w:b/>
                <w:color w:val="1C3A36"/>
                <w:sz w:val="15"/>
              </w:rPr>
              <w:t>FY24</w:t>
            </w:r>
          </w:p>
        </w:tc>
        <w:tc>
          <w:tcPr>
            <w:tcW w:type="dxa" w:w="842"/>
            <w:shd w:val="clear" w:color="auto" w:fill="EAF0EE"/>
          </w:tcPr>
          <w:p>
            <w:pPr>
              <w:spacing w:after="20"/>
            </w:pPr>
            <w:r>
              <w:rPr>
                <w:b/>
                <w:color w:val="1C3A36"/>
                <w:sz w:val="15"/>
              </w:rPr>
              <w:t>FY25</w:t>
            </w:r>
          </w:p>
        </w:tc>
        <w:tc>
          <w:tcPr>
            <w:tcW w:type="dxa" w:w="842"/>
            <w:shd w:val="clear" w:color="auto" w:fill="EAF0EE"/>
          </w:tcPr>
          <w:p>
            <w:pPr>
              <w:spacing w:after="20"/>
            </w:pPr>
            <w:r>
              <w:rPr>
                <w:b/>
                <w:color w:val="1C3A36"/>
                <w:sz w:val="15"/>
              </w:rPr>
              <w:t>FY26E</w:t>
            </w:r>
          </w:p>
        </w:tc>
        <w:tc>
          <w:tcPr>
            <w:tcW w:type="dxa" w:w="842"/>
            <w:shd w:val="clear" w:color="auto" w:fill="EAF0EE"/>
          </w:tcPr>
          <w:p>
            <w:pPr>
              <w:spacing w:after="20"/>
            </w:pPr>
            <w:r>
              <w:rPr>
                <w:b/>
                <w:color w:val="1C3A36"/>
                <w:sz w:val="15"/>
              </w:rPr>
              <w:t>FY27E</w:t>
            </w:r>
          </w:p>
        </w:tc>
        <w:tc>
          <w:tcPr>
            <w:tcW w:type="dxa" w:w="842"/>
            <w:shd w:val="clear" w:color="auto" w:fill="EAF0EE"/>
          </w:tcPr>
          <w:p>
            <w:pPr>
              <w:spacing w:after="20"/>
            </w:pPr>
            <w:r>
              <w:rPr>
                <w:b/>
                <w:color w:val="1C3A36"/>
                <w:sz w:val="15"/>
              </w:rPr>
              <w:t>FY28E</w:t>
            </w:r>
          </w:p>
        </w:tc>
        <w:tc>
          <w:tcPr>
            <w:tcW w:type="dxa" w:w="842"/>
            <w:shd w:val="clear" w:color="auto" w:fill="EAF0EE"/>
          </w:tcPr>
          <w:p>
            <w:pPr>
              <w:spacing w:after="20"/>
            </w:pPr>
            <w:r>
              <w:rPr>
                <w:b/>
                <w:color w:val="1C3A36"/>
                <w:sz w:val="15"/>
              </w:rPr>
              <w:t>FY29E</w:t>
            </w:r>
          </w:p>
        </w:tc>
        <w:tc>
          <w:tcPr>
            <w:tcW w:type="dxa" w:w="842"/>
            <w:shd w:val="clear" w:color="auto" w:fill="EAF0EE"/>
          </w:tcPr>
          <w:p>
            <w:pPr>
              <w:spacing w:after="20"/>
            </w:pPr>
            <w:r>
              <w:rPr>
                <w:b/>
                <w:color w:val="1C3A36"/>
                <w:sz w:val="15"/>
              </w:rPr>
              <w:t>FY30E</w:t>
            </w:r>
          </w:p>
        </w:tc>
      </w:tr>
      <w:tr>
        <w:tc>
          <w:tcPr>
            <w:tcW w:type="dxa" w:w="2664"/>
          </w:tcPr>
          <w:p>
            <w:pPr>
              <w:spacing w:after="20"/>
            </w:pPr>
            <w:r>
              <w:rPr>
                <w:b/>
                <w:color w:val="1C3A36"/>
                <w:sz w:val="15"/>
              </w:rPr>
              <w:t>Fixed assets (PP&amp;E)</w:t>
            </w:r>
          </w:p>
        </w:tc>
        <w:tc>
          <w:tcPr>
            <w:tcW w:type="dxa" w:w="842"/>
          </w:tcPr>
          <w:p>
            <w:pPr>
              <w:spacing w:after="20"/>
              <w:jc w:val="right"/>
            </w:pPr>
            <w:r>
              <w:rPr>
                <w:color w:val="1C3A36"/>
                <w:sz w:val="15"/>
              </w:rPr>
              <w:t>594</w:t>
            </w:r>
          </w:p>
        </w:tc>
        <w:tc>
          <w:tcPr>
            <w:tcW w:type="dxa" w:w="842"/>
          </w:tcPr>
          <w:p>
            <w:pPr>
              <w:spacing w:after="20"/>
              <w:jc w:val="right"/>
            </w:pPr>
            <w:r>
              <w:rPr>
                <w:color w:val="1C3A36"/>
                <w:sz w:val="15"/>
              </w:rPr>
              <w:t>613</w:t>
            </w:r>
          </w:p>
        </w:tc>
        <w:tc>
          <w:tcPr>
            <w:tcW w:type="dxa" w:w="842"/>
          </w:tcPr>
          <w:p>
            <w:pPr>
              <w:spacing w:after="20"/>
              <w:jc w:val="right"/>
            </w:pPr>
            <w:r>
              <w:rPr>
                <w:color w:val="1C3A36"/>
                <w:sz w:val="15"/>
              </w:rPr>
              <w:t>720</w:t>
            </w:r>
          </w:p>
        </w:tc>
        <w:tc>
          <w:tcPr>
            <w:tcW w:type="dxa" w:w="842"/>
          </w:tcPr>
          <w:p>
            <w:pPr>
              <w:spacing w:after="20"/>
              <w:jc w:val="right"/>
            </w:pPr>
            <w:r>
              <w:rPr>
                <w:color w:val="1C3A36"/>
                <w:sz w:val="15"/>
              </w:rPr>
              <w:t>796</w:t>
            </w:r>
          </w:p>
        </w:tc>
        <w:tc>
          <w:tcPr>
            <w:tcW w:type="dxa" w:w="842"/>
          </w:tcPr>
          <w:p>
            <w:pPr>
              <w:spacing w:after="20"/>
              <w:jc w:val="right"/>
            </w:pPr>
            <w:r>
              <w:rPr>
                <w:color w:val="1C3A36"/>
                <w:sz w:val="15"/>
              </w:rPr>
              <w:t>871</w:t>
            </w:r>
          </w:p>
        </w:tc>
        <w:tc>
          <w:tcPr>
            <w:tcW w:type="dxa" w:w="842"/>
          </w:tcPr>
          <w:p>
            <w:pPr>
              <w:spacing w:after="20"/>
              <w:jc w:val="right"/>
            </w:pPr>
            <w:r>
              <w:rPr>
                <w:color w:val="1C3A36"/>
                <w:sz w:val="15"/>
              </w:rPr>
              <w:t>942</w:t>
            </w:r>
          </w:p>
        </w:tc>
        <w:tc>
          <w:tcPr>
            <w:tcW w:type="dxa" w:w="842"/>
          </w:tcPr>
          <w:p>
            <w:pPr>
              <w:spacing w:after="20"/>
              <w:jc w:val="right"/>
            </w:pPr>
            <w:r>
              <w:rPr>
                <w:color w:val="1C3A36"/>
                <w:sz w:val="15"/>
              </w:rPr>
              <w:t>1,013</w:t>
            </w:r>
          </w:p>
        </w:tc>
        <w:tc>
          <w:tcPr>
            <w:tcW w:type="dxa" w:w="842"/>
          </w:tcPr>
          <w:p>
            <w:pPr>
              <w:spacing w:after="20"/>
              <w:jc w:val="right"/>
            </w:pPr>
            <w:r>
              <w:rPr>
                <w:color w:val="1C3A36"/>
                <w:sz w:val="15"/>
              </w:rPr>
              <w:t>1,089</w:t>
            </w:r>
          </w:p>
        </w:tc>
      </w:tr>
      <w:tr>
        <w:tc>
          <w:tcPr>
            <w:tcW w:type="dxa" w:w="2664"/>
          </w:tcPr>
          <w:p>
            <w:pPr>
              <w:spacing w:after="20"/>
            </w:pPr>
            <w:r>
              <w:rPr>
                <w:b/>
                <w:color w:val="1C3A36"/>
                <w:sz w:val="15"/>
              </w:rPr>
              <w:t>Right-of-use assets</w:t>
            </w:r>
          </w:p>
        </w:tc>
        <w:tc>
          <w:tcPr>
            <w:tcW w:type="dxa" w:w="842"/>
          </w:tcPr>
          <w:p>
            <w:pPr>
              <w:spacing w:after="20"/>
              <w:jc w:val="right"/>
            </w:pPr>
            <w:r>
              <w:rPr>
                <w:color w:val="1C3A36"/>
                <w:sz w:val="15"/>
              </w:rPr>
              <w:t>12</w:t>
            </w:r>
          </w:p>
        </w:tc>
        <w:tc>
          <w:tcPr>
            <w:tcW w:type="dxa" w:w="842"/>
          </w:tcPr>
          <w:p>
            <w:pPr>
              <w:spacing w:after="20"/>
              <w:jc w:val="right"/>
            </w:pPr>
            <w:r>
              <w:rPr>
                <w:color w:val="1C3A36"/>
                <w:sz w:val="15"/>
              </w:rPr>
              <w:t>8</w:t>
            </w:r>
          </w:p>
        </w:tc>
        <w:tc>
          <w:tcPr>
            <w:tcW w:type="dxa" w:w="842"/>
          </w:tcPr>
          <w:p>
            <w:pPr>
              <w:spacing w:after="20"/>
              <w:jc w:val="right"/>
            </w:pPr>
            <w:r>
              <w:rPr>
                <w:color w:val="1C3A36"/>
                <w:sz w:val="15"/>
              </w:rPr>
              <w:t>72</w:t>
            </w:r>
          </w:p>
        </w:tc>
        <w:tc>
          <w:tcPr>
            <w:tcW w:type="dxa" w:w="842"/>
          </w:tcPr>
          <w:p>
            <w:pPr>
              <w:spacing w:after="20"/>
              <w:jc w:val="right"/>
            </w:pPr>
            <w:r>
              <w:rPr>
                <w:color w:val="1C3A36"/>
                <w:sz w:val="15"/>
              </w:rPr>
              <w:t>72</w:t>
            </w:r>
          </w:p>
        </w:tc>
        <w:tc>
          <w:tcPr>
            <w:tcW w:type="dxa" w:w="842"/>
          </w:tcPr>
          <w:p>
            <w:pPr>
              <w:spacing w:after="20"/>
              <w:jc w:val="right"/>
            </w:pPr>
            <w:r>
              <w:rPr>
                <w:color w:val="1C3A36"/>
                <w:sz w:val="15"/>
              </w:rPr>
              <w:t>72</w:t>
            </w:r>
          </w:p>
        </w:tc>
        <w:tc>
          <w:tcPr>
            <w:tcW w:type="dxa" w:w="842"/>
          </w:tcPr>
          <w:p>
            <w:pPr>
              <w:spacing w:after="20"/>
              <w:jc w:val="right"/>
            </w:pPr>
            <w:r>
              <w:rPr>
                <w:color w:val="1C3A36"/>
                <w:sz w:val="15"/>
              </w:rPr>
              <w:t>72</w:t>
            </w:r>
          </w:p>
        </w:tc>
        <w:tc>
          <w:tcPr>
            <w:tcW w:type="dxa" w:w="842"/>
          </w:tcPr>
          <w:p>
            <w:pPr>
              <w:spacing w:after="20"/>
              <w:jc w:val="right"/>
            </w:pPr>
            <w:r>
              <w:rPr>
                <w:color w:val="1C3A36"/>
                <w:sz w:val="15"/>
              </w:rPr>
              <w:t>72</w:t>
            </w:r>
          </w:p>
        </w:tc>
        <w:tc>
          <w:tcPr>
            <w:tcW w:type="dxa" w:w="842"/>
          </w:tcPr>
          <w:p>
            <w:pPr>
              <w:spacing w:after="20"/>
              <w:jc w:val="right"/>
            </w:pPr>
            <w:r>
              <w:rPr>
                <w:color w:val="1C3A36"/>
                <w:sz w:val="15"/>
              </w:rPr>
              <w:t>72</w:t>
            </w:r>
          </w:p>
        </w:tc>
      </w:tr>
      <w:tr>
        <w:tc>
          <w:tcPr>
            <w:tcW w:type="dxa" w:w="2664"/>
          </w:tcPr>
          <w:p>
            <w:pPr>
              <w:spacing w:after="20"/>
            </w:pPr>
            <w:r>
              <w:rPr>
                <w:b/>
                <w:color w:val="1C3A36"/>
                <w:sz w:val="15"/>
              </w:rPr>
              <w:t>Intangibles &amp; goodwill</w:t>
            </w:r>
          </w:p>
        </w:tc>
        <w:tc>
          <w:tcPr>
            <w:tcW w:type="dxa" w:w="842"/>
          </w:tcPr>
          <w:p>
            <w:pPr>
              <w:spacing w:after="20"/>
              <w:jc w:val="right"/>
            </w:pPr>
            <w:r>
              <w:rPr>
                <w:color w:val="1C3A36"/>
                <w:sz w:val="15"/>
              </w:rPr>
              <w:t>589</w:t>
            </w:r>
          </w:p>
        </w:tc>
        <w:tc>
          <w:tcPr>
            <w:tcW w:type="dxa" w:w="842"/>
          </w:tcPr>
          <w:p>
            <w:pPr>
              <w:spacing w:after="20"/>
              <w:jc w:val="right"/>
            </w:pPr>
            <w:r>
              <w:rPr>
                <w:color w:val="1C3A36"/>
                <w:sz w:val="15"/>
              </w:rPr>
              <w:t>553</w:t>
            </w:r>
          </w:p>
        </w:tc>
        <w:tc>
          <w:tcPr>
            <w:tcW w:type="dxa" w:w="842"/>
          </w:tcPr>
          <w:p>
            <w:pPr>
              <w:spacing w:after="20"/>
              <w:jc w:val="right"/>
            </w:pPr>
            <w:r>
              <w:rPr>
                <w:color w:val="1C3A36"/>
                <w:sz w:val="15"/>
              </w:rPr>
              <w:t>1,111</w:t>
            </w:r>
          </w:p>
        </w:tc>
        <w:tc>
          <w:tcPr>
            <w:tcW w:type="dxa" w:w="842"/>
          </w:tcPr>
          <w:p>
            <w:pPr>
              <w:spacing w:after="20"/>
              <w:jc w:val="right"/>
            </w:pPr>
            <w:r>
              <w:rPr>
                <w:color w:val="1C3A36"/>
                <w:sz w:val="15"/>
              </w:rPr>
              <w:t>1,054</w:t>
            </w:r>
          </w:p>
        </w:tc>
        <w:tc>
          <w:tcPr>
            <w:tcW w:type="dxa" w:w="842"/>
          </w:tcPr>
          <w:p>
            <w:pPr>
              <w:spacing w:after="20"/>
              <w:jc w:val="right"/>
            </w:pPr>
            <w:r>
              <w:rPr>
                <w:color w:val="1C3A36"/>
                <w:sz w:val="15"/>
              </w:rPr>
              <w:t>990</w:t>
            </w:r>
          </w:p>
        </w:tc>
        <w:tc>
          <w:tcPr>
            <w:tcW w:type="dxa" w:w="842"/>
          </w:tcPr>
          <w:p>
            <w:pPr>
              <w:spacing w:after="20"/>
              <w:jc w:val="right"/>
            </w:pPr>
            <w:r>
              <w:rPr>
                <w:color w:val="1C3A36"/>
                <w:sz w:val="15"/>
              </w:rPr>
              <w:t>919</w:t>
            </w:r>
          </w:p>
        </w:tc>
        <w:tc>
          <w:tcPr>
            <w:tcW w:type="dxa" w:w="842"/>
          </w:tcPr>
          <w:p>
            <w:pPr>
              <w:spacing w:after="20"/>
              <w:jc w:val="right"/>
            </w:pPr>
            <w:r>
              <w:rPr>
                <w:color w:val="1C3A36"/>
                <w:sz w:val="15"/>
              </w:rPr>
              <w:t>842</w:t>
            </w:r>
          </w:p>
        </w:tc>
        <w:tc>
          <w:tcPr>
            <w:tcW w:type="dxa" w:w="842"/>
          </w:tcPr>
          <w:p>
            <w:pPr>
              <w:spacing w:after="20"/>
              <w:jc w:val="right"/>
            </w:pPr>
            <w:r>
              <w:rPr>
                <w:color w:val="1C3A36"/>
                <w:sz w:val="15"/>
              </w:rPr>
              <w:t>758</w:t>
            </w:r>
          </w:p>
        </w:tc>
      </w:tr>
      <w:tr>
        <w:tc>
          <w:tcPr>
            <w:tcW w:type="dxa" w:w="2664"/>
          </w:tcPr>
          <w:p>
            <w:pPr>
              <w:spacing w:after="20"/>
            </w:pPr>
            <w:r>
              <w:rPr>
                <w:b/>
                <w:color w:val="1C3A36"/>
                <w:sz w:val="15"/>
              </w:rPr>
              <w:t>Other non-current</w:t>
            </w:r>
          </w:p>
        </w:tc>
        <w:tc>
          <w:tcPr>
            <w:tcW w:type="dxa" w:w="842"/>
          </w:tcPr>
          <w:p>
            <w:pPr>
              <w:spacing w:after="20"/>
              <w:jc w:val="right"/>
            </w:pPr>
            <w:r>
              <w:rPr>
                <w:color w:val="1C3A36"/>
                <w:sz w:val="15"/>
              </w:rPr>
              <w:t>0</w:t>
            </w:r>
          </w:p>
        </w:tc>
        <w:tc>
          <w:tcPr>
            <w:tcW w:type="dxa" w:w="842"/>
          </w:tcPr>
          <w:p>
            <w:pPr>
              <w:spacing w:after="20"/>
              <w:jc w:val="right"/>
            </w:pPr>
            <w:r>
              <w:rPr>
                <w:color w:val="1C3A36"/>
                <w:sz w:val="15"/>
              </w:rPr>
              <w:t>94</w:t>
            </w:r>
          </w:p>
        </w:tc>
        <w:tc>
          <w:tcPr>
            <w:tcW w:type="dxa" w:w="842"/>
          </w:tcPr>
          <w:p>
            <w:pPr>
              <w:spacing w:after="20"/>
              <w:jc w:val="right"/>
            </w:pPr>
            <w:r>
              <w:rPr>
                <w:color w:val="1C3A36"/>
                <w:sz w:val="15"/>
              </w:rPr>
              <w:t>94</w:t>
            </w:r>
          </w:p>
        </w:tc>
        <w:tc>
          <w:tcPr>
            <w:tcW w:type="dxa" w:w="842"/>
          </w:tcPr>
          <w:p>
            <w:pPr>
              <w:spacing w:after="20"/>
              <w:jc w:val="right"/>
            </w:pPr>
            <w:r>
              <w:rPr>
                <w:color w:val="1C3A36"/>
                <w:sz w:val="15"/>
              </w:rPr>
              <w:t>94</w:t>
            </w:r>
          </w:p>
        </w:tc>
        <w:tc>
          <w:tcPr>
            <w:tcW w:type="dxa" w:w="842"/>
          </w:tcPr>
          <w:p>
            <w:pPr>
              <w:spacing w:after="20"/>
              <w:jc w:val="right"/>
            </w:pPr>
            <w:r>
              <w:rPr>
                <w:color w:val="1C3A36"/>
                <w:sz w:val="15"/>
              </w:rPr>
              <w:t>94</w:t>
            </w:r>
          </w:p>
        </w:tc>
        <w:tc>
          <w:tcPr>
            <w:tcW w:type="dxa" w:w="842"/>
          </w:tcPr>
          <w:p>
            <w:pPr>
              <w:spacing w:after="20"/>
              <w:jc w:val="right"/>
            </w:pPr>
            <w:r>
              <w:rPr>
                <w:color w:val="1C3A36"/>
                <w:sz w:val="15"/>
              </w:rPr>
              <w:t>94</w:t>
            </w:r>
          </w:p>
        </w:tc>
        <w:tc>
          <w:tcPr>
            <w:tcW w:type="dxa" w:w="842"/>
          </w:tcPr>
          <w:p>
            <w:pPr>
              <w:spacing w:after="20"/>
              <w:jc w:val="right"/>
            </w:pPr>
            <w:r>
              <w:rPr>
                <w:color w:val="1C3A36"/>
                <w:sz w:val="15"/>
              </w:rPr>
              <w:t>94</w:t>
            </w:r>
          </w:p>
        </w:tc>
        <w:tc>
          <w:tcPr>
            <w:tcW w:type="dxa" w:w="842"/>
          </w:tcPr>
          <w:p>
            <w:pPr>
              <w:spacing w:after="20"/>
              <w:jc w:val="right"/>
            </w:pPr>
            <w:r>
              <w:rPr>
                <w:color w:val="1C3A36"/>
                <w:sz w:val="15"/>
              </w:rPr>
              <w:t>94</w:t>
            </w:r>
          </w:p>
        </w:tc>
      </w:tr>
      <w:tr>
        <w:tc>
          <w:tcPr>
            <w:tcW w:type="dxa" w:w="2664"/>
          </w:tcPr>
          <w:p>
            <w:pPr>
              <w:spacing w:after="20"/>
            </w:pPr>
            <w:r>
              <w:rPr>
                <w:b/>
                <w:color w:val="1C3A36"/>
                <w:sz w:val="15"/>
              </w:rPr>
              <w:t>Inventories</w:t>
            </w:r>
          </w:p>
        </w:tc>
        <w:tc>
          <w:tcPr>
            <w:tcW w:type="dxa" w:w="842"/>
          </w:tcPr>
          <w:p>
            <w:pPr>
              <w:spacing w:after="20"/>
              <w:jc w:val="right"/>
            </w:pPr>
            <w:r>
              <w:rPr>
                <w:color w:val="1C3A36"/>
                <w:sz w:val="15"/>
              </w:rPr>
              <w:t>303</w:t>
            </w:r>
          </w:p>
        </w:tc>
        <w:tc>
          <w:tcPr>
            <w:tcW w:type="dxa" w:w="842"/>
          </w:tcPr>
          <w:p>
            <w:pPr>
              <w:spacing w:after="20"/>
              <w:jc w:val="right"/>
            </w:pPr>
            <w:r>
              <w:rPr>
                <w:color w:val="1C3A36"/>
                <w:sz w:val="15"/>
              </w:rPr>
              <w:t>751</w:t>
            </w:r>
          </w:p>
        </w:tc>
        <w:tc>
          <w:tcPr>
            <w:tcW w:type="dxa" w:w="842"/>
          </w:tcPr>
          <w:p>
            <w:pPr>
              <w:spacing w:after="20"/>
              <w:jc w:val="right"/>
            </w:pPr>
            <w:r>
              <w:rPr>
                <w:color w:val="1C3A36"/>
                <w:sz w:val="15"/>
              </w:rPr>
              <w:t>1,031</w:t>
            </w:r>
          </w:p>
        </w:tc>
        <w:tc>
          <w:tcPr>
            <w:tcW w:type="dxa" w:w="842"/>
          </w:tcPr>
          <w:p>
            <w:pPr>
              <w:spacing w:after="20"/>
              <w:jc w:val="right"/>
            </w:pPr>
            <w:r>
              <w:rPr>
                <w:color w:val="1C3A36"/>
                <w:sz w:val="15"/>
              </w:rPr>
              <w:t>1,142</w:t>
            </w:r>
          </w:p>
        </w:tc>
        <w:tc>
          <w:tcPr>
            <w:tcW w:type="dxa" w:w="842"/>
          </w:tcPr>
          <w:p>
            <w:pPr>
              <w:spacing w:after="20"/>
              <w:jc w:val="right"/>
            </w:pPr>
            <w:r>
              <w:rPr>
                <w:color w:val="1C3A36"/>
                <w:sz w:val="15"/>
              </w:rPr>
              <w:t>1,241</w:t>
            </w:r>
          </w:p>
        </w:tc>
        <w:tc>
          <w:tcPr>
            <w:tcW w:type="dxa" w:w="842"/>
          </w:tcPr>
          <w:p>
            <w:pPr>
              <w:spacing w:after="20"/>
              <w:jc w:val="right"/>
            </w:pPr>
            <w:r>
              <w:rPr>
                <w:color w:val="1C3A36"/>
                <w:sz w:val="15"/>
              </w:rPr>
              <w:t>1,335</w:t>
            </w:r>
          </w:p>
        </w:tc>
        <w:tc>
          <w:tcPr>
            <w:tcW w:type="dxa" w:w="842"/>
          </w:tcPr>
          <w:p>
            <w:pPr>
              <w:spacing w:after="20"/>
              <w:jc w:val="right"/>
            </w:pPr>
            <w:r>
              <w:rPr>
                <w:color w:val="1C3A36"/>
                <w:sz w:val="15"/>
              </w:rPr>
              <w:t>1,429</w:t>
            </w:r>
          </w:p>
        </w:tc>
        <w:tc>
          <w:tcPr>
            <w:tcW w:type="dxa" w:w="842"/>
          </w:tcPr>
          <w:p>
            <w:pPr>
              <w:spacing w:after="20"/>
              <w:jc w:val="right"/>
            </w:pPr>
            <w:r>
              <w:rPr>
                <w:color w:val="1C3A36"/>
                <w:sz w:val="15"/>
              </w:rPr>
              <w:t>1,532</w:t>
            </w:r>
          </w:p>
        </w:tc>
      </w:tr>
      <w:tr>
        <w:tc>
          <w:tcPr>
            <w:tcW w:type="dxa" w:w="2664"/>
          </w:tcPr>
          <w:p>
            <w:pPr>
              <w:spacing w:after="20"/>
            </w:pPr>
            <w:r>
              <w:rPr>
                <w:b/>
                <w:color w:val="1C3A36"/>
                <w:sz w:val="15"/>
              </w:rPr>
              <w:t>Trade &amp; other receivables</w:t>
            </w:r>
          </w:p>
        </w:tc>
        <w:tc>
          <w:tcPr>
            <w:tcW w:type="dxa" w:w="842"/>
          </w:tcPr>
          <w:p>
            <w:pPr>
              <w:spacing w:after="20"/>
              <w:jc w:val="right"/>
            </w:pPr>
            <w:r>
              <w:rPr>
                <w:color w:val="1C3A36"/>
                <w:sz w:val="15"/>
              </w:rPr>
              <w:t>1,272</w:t>
            </w:r>
          </w:p>
        </w:tc>
        <w:tc>
          <w:tcPr>
            <w:tcW w:type="dxa" w:w="842"/>
          </w:tcPr>
          <w:p>
            <w:pPr>
              <w:spacing w:after="20"/>
              <w:jc w:val="right"/>
            </w:pPr>
            <w:r>
              <w:rPr>
                <w:color w:val="1C3A36"/>
                <w:sz w:val="15"/>
              </w:rPr>
              <w:t>1,479</w:t>
            </w:r>
          </w:p>
        </w:tc>
        <w:tc>
          <w:tcPr>
            <w:tcW w:type="dxa" w:w="842"/>
          </w:tcPr>
          <w:p>
            <w:pPr>
              <w:spacing w:after="20"/>
              <w:jc w:val="right"/>
            </w:pPr>
            <w:r>
              <w:rPr>
                <w:color w:val="1C3A36"/>
                <w:sz w:val="15"/>
              </w:rPr>
              <w:t>2,115</w:t>
            </w:r>
          </w:p>
        </w:tc>
        <w:tc>
          <w:tcPr>
            <w:tcW w:type="dxa" w:w="842"/>
          </w:tcPr>
          <w:p>
            <w:pPr>
              <w:spacing w:after="20"/>
              <w:jc w:val="right"/>
            </w:pPr>
            <w:r>
              <w:rPr>
                <w:color w:val="1C3A36"/>
                <w:sz w:val="15"/>
              </w:rPr>
              <w:t>2,341</w:t>
            </w:r>
          </w:p>
        </w:tc>
        <w:tc>
          <w:tcPr>
            <w:tcW w:type="dxa" w:w="842"/>
          </w:tcPr>
          <w:p>
            <w:pPr>
              <w:spacing w:after="20"/>
              <w:jc w:val="right"/>
            </w:pPr>
            <w:r>
              <w:rPr>
                <w:color w:val="1C3A36"/>
                <w:sz w:val="15"/>
              </w:rPr>
              <w:t>2,544</w:t>
            </w:r>
          </w:p>
        </w:tc>
        <w:tc>
          <w:tcPr>
            <w:tcW w:type="dxa" w:w="842"/>
          </w:tcPr>
          <w:p>
            <w:pPr>
              <w:spacing w:after="20"/>
              <w:jc w:val="right"/>
            </w:pPr>
            <w:r>
              <w:rPr>
                <w:color w:val="1C3A36"/>
                <w:sz w:val="15"/>
              </w:rPr>
              <w:t>2,737</w:t>
            </w:r>
          </w:p>
        </w:tc>
        <w:tc>
          <w:tcPr>
            <w:tcW w:type="dxa" w:w="842"/>
          </w:tcPr>
          <w:p>
            <w:pPr>
              <w:spacing w:after="20"/>
              <w:jc w:val="right"/>
            </w:pPr>
            <w:r>
              <w:rPr>
                <w:color w:val="1C3A36"/>
                <w:sz w:val="15"/>
              </w:rPr>
              <w:t>2,930</w:t>
            </w:r>
          </w:p>
        </w:tc>
        <w:tc>
          <w:tcPr>
            <w:tcW w:type="dxa" w:w="842"/>
          </w:tcPr>
          <w:p>
            <w:pPr>
              <w:spacing w:after="20"/>
              <w:jc w:val="right"/>
            </w:pPr>
            <w:r>
              <w:rPr>
                <w:color w:val="1C3A36"/>
                <w:sz w:val="15"/>
              </w:rPr>
              <w:t>3,142</w:t>
            </w:r>
          </w:p>
        </w:tc>
      </w:tr>
      <w:tr>
        <w:tc>
          <w:tcPr>
            <w:tcW w:type="dxa" w:w="2664"/>
          </w:tcPr>
          <w:p>
            <w:pPr>
              <w:spacing w:after="20"/>
            </w:pPr>
            <w:r>
              <w:rPr>
                <w:b/>
                <w:color w:val="1C3A36"/>
                <w:sz w:val="15"/>
              </w:rPr>
              <w:t>Treasury bills</w:t>
            </w:r>
          </w:p>
        </w:tc>
        <w:tc>
          <w:tcPr>
            <w:tcW w:type="dxa" w:w="842"/>
          </w:tcPr>
          <w:p>
            <w:pPr>
              <w:spacing w:after="20"/>
              <w:jc w:val="right"/>
            </w:pPr>
            <w:r>
              <w:rPr>
                <w:color w:val="1C3A36"/>
                <w:sz w:val="15"/>
              </w:rPr>
              <w:t>261</w:t>
            </w:r>
          </w:p>
        </w:tc>
        <w:tc>
          <w:tcPr>
            <w:tcW w:type="dxa" w:w="842"/>
          </w:tcPr>
          <w:p>
            <w:pPr>
              <w:spacing w:after="20"/>
              <w:jc w:val="right"/>
            </w:pPr>
            <w:r>
              <w:rPr>
                <w:color w:val="1C3A36"/>
                <w:sz w:val="15"/>
              </w:rPr>
              <w:t>190</w:t>
            </w:r>
          </w:p>
        </w:tc>
        <w:tc>
          <w:tcPr>
            <w:tcW w:type="dxa" w:w="842"/>
          </w:tcPr>
          <w:p>
            <w:pPr>
              <w:spacing w:after="20"/>
              <w:jc w:val="right"/>
            </w:pPr>
            <w:r>
              <w:rPr>
                <w:color w:val="1C3A36"/>
                <w:sz w:val="15"/>
              </w:rPr>
              <w:t>0</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r>
      <w:tr>
        <w:tc>
          <w:tcPr>
            <w:tcW w:type="dxa" w:w="2664"/>
          </w:tcPr>
          <w:p>
            <w:pPr>
              <w:spacing w:after="20"/>
            </w:pPr>
            <w:r>
              <w:rPr>
                <w:b/>
                <w:color w:val="1C3A36"/>
                <w:sz w:val="15"/>
              </w:rPr>
              <w:t>Prepayments &amp; other</w:t>
            </w:r>
          </w:p>
        </w:tc>
        <w:tc>
          <w:tcPr>
            <w:tcW w:type="dxa" w:w="842"/>
          </w:tcPr>
          <w:p>
            <w:pPr>
              <w:spacing w:after="20"/>
              <w:jc w:val="right"/>
            </w:pPr>
            <w:r>
              <w:rPr>
                <w:color w:val="1C3A36"/>
                <w:sz w:val="15"/>
              </w:rPr>
              <w:t>135</w:t>
            </w:r>
          </w:p>
        </w:tc>
        <w:tc>
          <w:tcPr>
            <w:tcW w:type="dxa" w:w="842"/>
          </w:tcPr>
          <w:p>
            <w:pPr>
              <w:spacing w:after="20"/>
              <w:jc w:val="right"/>
            </w:pPr>
            <w:r>
              <w:rPr>
                <w:color w:val="1C3A36"/>
                <w:sz w:val="15"/>
              </w:rPr>
              <w:t>559</w:t>
            </w:r>
          </w:p>
        </w:tc>
        <w:tc>
          <w:tcPr>
            <w:tcW w:type="dxa" w:w="842"/>
          </w:tcPr>
          <w:p>
            <w:pPr>
              <w:spacing w:after="20"/>
              <w:jc w:val="right"/>
            </w:pPr>
            <w:r>
              <w:rPr>
                <w:color w:val="1C3A36"/>
                <w:sz w:val="15"/>
              </w:rPr>
              <w:t>158</w:t>
            </w:r>
          </w:p>
        </w:tc>
        <w:tc>
          <w:tcPr>
            <w:tcW w:type="dxa" w:w="842"/>
          </w:tcPr>
          <w:p>
            <w:pPr>
              <w:spacing w:after="20"/>
              <w:jc w:val="right"/>
            </w:pPr>
            <w:r>
              <w:rPr>
                <w:color w:val="1C3A36"/>
                <w:sz w:val="15"/>
              </w:rPr>
              <w:t>175</w:t>
            </w:r>
          </w:p>
        </w:tc>
        <w:tc>
          <w:tcPr>
            <w:tcW w:type="dxa" w:w="842"/>
          </w:tcPr>
          <w:p>
            <w:pPr>
              <w:spacing w:after="20"/>
              <w:jc w:val="right"/>
            </w:pPr>
            <w:r>
              <w:rPr>
                <w:color w:val="1C3A36"/>
                <w:sz w:val="15"/>
              </w:rPr>
              <w:t>190</w:t>
            </w:r>
          </w:p>
        </w:tc>
        <w:tc>
          <w:tcPr>
            <w:tcW w:type="dxa" w:w="842"/>
          </w:tcPr>
          <w:p>
            <w:pPr>
              <w:spacing w:after="20"/>
              <w:jc w:val="right"/>
            </w:pPr>
            <w:r>
              <w:rPr>
                <w:color w:val="1C3A36"/>
                <w:sz w:val="15"/>
              </w:rPr>
              <w:t>204</w:t>
            </w:r>
          </w:p>
        </w:tc>
        <w:tc>
          <w:tcPr>
            <w:tcW w:type="dxa" w:w="842"/>
          </w:tcPr>
          <w:p>
            <w:pPr>
              <w:spacing w:after="20"/>
              <w:jc w:val="right"/>
            </w:pPr>
            <w:r>
              <w:rPr>
                <w:color w:val="1C3A36"/>
                <w:sz w:val="15"/>
              </w:rPr>
              <w:t>219</w:t>
            </w:r>
          </w:p>
        </w:tc>
        <w:tc>
          <w:tcPr>
            <w:tcW w:type="dxa" w:w="842"/>
          </w:tcPr>
          <w:p>
            <w:pPr>
              <w:spacing w:after="20"/>
              <w:jc w:val="right"/>
            </w:pPr>
            <w:r>
              <w:rPr>
                <w:color w:val="1C3A36"/>
                <w:sz w:val="15"/>
              </w:rPr>
              <w:t>234</w:t>
            </w:r>
          </w:p>
        </w:tc>
      </w:tr>
      <w:tr>
        <w:tc>
          <w:tcPr>
            <w:tcW w:type="dxa" w:w="2664"/>
          </w:tcPr>
          <w:p>
            <w:pPr>
              <w:spacing w:after="20"/>
            </w:pPr>
            <w:r>
              <w:rPr>
                <w:b/>
                <w:color w:val="1C3A36"/>
                <w:sz w:val="15"/>
              </w:rPr>
              <w:t>Cash &amp; equivalents</w:t>
            </w:r>
          </w:p>
        </w:tc>
        <w:tc>
          <w:tcPr>
            <w:tcW w:type="dxa" w:w="842"/>
          </w:tcPr>
          <w:p>
            <w:pPr>
              <w:spacing w:after="20"/>
              <w:jc w:val="right"/>
            </w:pPr>
            <w:r>
              <w:rPr>
                <w:color w:val="1C3A36"/>
                <w:sz w:val="15"/>
              </w:rPr>
              <w:t>52</w:t>
            </w:r>
          </w:p>
        </w:tc>
        <w:tc>
          <w:tcPr>
            <w:tcW w:type="dxa" w:w="842"/>
          </w:tcPr>
          <w:p>
            <w:pPr>
              <w:spacing w:after="20"/>
              <w:jc w:val="right"/>
            </w:pPr>
            <w:r>
              <w:rPr>
                <w:color w:val="1C3A36"/>
                <w:sz w:val="15"/>
              </w:rPr>
              <w:t>65</w:t>
            </w:r>
          </w:p>
        </w:tc>
        <w:tc>
          <w:tcPr>
            <w:tcW w:type="dxa" w:w="842"/>
          </w:tcPr>
          <w:p>
            <w:pPr>
              <w:spacing w:after="20"/>
              <w:jc w:val="right"/>
            </w:pPr>
            <w:r>
              <w:rPr>
                <w:color w:val="1C3A36"/>
                <w:sz w:val="15"/>
              </w:rPr>
              <w:t>36</w:t>
            </w:r>
          </w:p>
        </w:tc>
        <w:tc>
          <w:tcPr>
            <w:tcW w:type="dxa" w:w="842"/>
          </w:tcPr>
          <w:p>
            <w:pPr>
              <w:spacing w:after="20"/>
              <w:jc w:val="right"/>
            </w:pPr>
            <w:r>
              <w:rPr>
                <w:color w:val="1C3A36"/>
                <w:sz w:val="15"/>
              </w:rPr>
              <w:t>58</w:t>
            </w:r>
          </w:p>
        </w:tc>
        <w:tc>
          <w:tcPr>
            <w:tcW w:type="dxa" w:w="842"/>
          </w:tcPr>
          <w:p>
            <w:pPr>
              <w:spacing w:after="20"/>
              <w:jc w:val="right"/>
            </w:pPr>
            <w:r>
              <w:rPr>
                <w:color w:val="1C3A36"/>
                <w:sz w:val="15"/>
              </w:rPr>
              <w:t>66</w:t>
            </w:r>
          </w:p>
        </w:tc>
        <w:tc>
          <w:tcPr>
            <w:tcW w:type="dxa" w:w="842"/>
          </w:tcPr>
          <w:p>
            <w:pPr>
              <w:spacing w:after="20"/>
              <w:jc w:val="right"/>
            </w:pPr>
            <w:r>
              <w:rPr>
                <w:color w:val="1C3A36"/>
                <w:sz w:val="15"/>
              </w:rPr>
              <w:t>73</w:t>
            </w:r>
          </w:p>
        </w:tc>
        <w:tc>
          <w:tcPr>
            <w:tcW w:type="dxa" w:w="842"/>
          </w:tcPr>
          <w:p>
            <w:pPr>
              <w:spacing w:after="20"/>
              <w:jc w:val="right"/>
            </w:pPr>
            <w:r>
              <w:rPr>
                <w:color w:val="1C3A36"/>
                <w:sz w:val="15"/>
              </w:rPr>
              <w:t>79</w:t>
            </w:r>
          </w:p>
        </w:tc>
        <w:tc>
          <w:tcPr>
            <w:tcW w:type="dxa" w:w="842"/>
          </w:tcPr>
          <w:p>
            <w:pPr>
              <w:spacing w:after="20"/>
              <w:jc w:val="right"/>
            </w:pPr>
            <w:r>
              <w:rPr>
                <w:color w:val="1C3A36"/>
                <w:sz w:val="15"/>
              </w:rPr>
              <w:t>86</w:t>
            </w:r>
          </w:p>
        </w:tc>
      </w:tr>
      <w:tr>
        <w:tc>
          <w:tcPr>
            <w:tcW w:type="dxa" w:w="2664"/>
          </w:tcPr>
          <w:p>
            <w:pPr>
              <w:spacing w:after="20"/>
            </w:pPr>
            <w:r>
              <w:rPr>
                <w:b/>
                <w:color w:val="1C3A36"/>
                <w:sz w:val="15"/>
              </w:rPr>
              <w:t>TOTAL ASSETS</w:t>
            </w:r>
          </w:p>
        </w:tc>
        <w:tc>
          <w:tcPr>
            <w:tcW w:type="dxa" w:w="842"/>
          </w:tcPr>
          <w:p>
            <w:pPr>
              <w:spacing w:after="20"/>
              <w:jc w:val="right"/>
            </w:pPr>
            <w:r>
              <w:rPr>
                <w:color w:val="1C3A36"/>
                <w:sz w:val="15"/>
              </w:rPr>
              <w:t>3,218</w:t>
            </w:r>
          </w:p>
        </w:tc>
        <w:tc>
          <w:tcPr>
            <w:tcW w:type="dxa" w:w="842"/>
          </w:tcPr>
          <w:p>
            <w:pPr>
              <w:spacing w:after="20"/>
              <w:jc w:val="right"/>
            </w:pPr>
            <w:r>
              <w:rPr>
                <w:color w:val="1C3A36"/>
                <w:sz w:val="15"/>
              </w:rPr>
              <w:t>4,311</w:t>
            </w:r>
          </w:p>
        </w:tc>
        <w:tc>
          <w:tcPr>
            <w:tcW w:type="dxa" w:w="842"/>
          </w:tcPr>
          <w:p>
            <w:pPr>
              <w:spacing w:after="20"/>
              <w:jc w:val="right"/>
            </w:pPr>
            <w:r>
              <w:rPr>
                <w:color w:val="1C3A36"/>
                <w:sz w:val="15"/>
              </w:rPr>
              <w:t>5,338</w:t>
            </w:r>
          </w:p>
        </w:tc>
        <w:tc>
          <w:tcPr>
            <w:tcW w:type="dxa" w:w="842"/>
          </w:tcPr>
          <w:p>
            <w:pPr>
              <w:spacing w:after="20"/>
              <w:jc w:val="right"/>
            </w:pPr>
            <w:r>
              <w:rPr>
                <w:color w:val="1C3A36"/>
                <w:sz w:val="15"/>
              </w:rPr>
              <w:t>5,732</w:t>
            </w:r>
          </w:p>
        </w:tc>
        <w:tc>
          <w:tcPr>
            <w:tcW w:type="dxa" w:w="842"/>
          </w:tcPr>
          <w:p>
            <w:pPr>
              <w:spacing w:after="20"/>
              <w:jc w:val="right"/>
            </w:pPr>
            <w:r>
              <w:rPr>
                <w:color w:val="1C3A36"/>
                <w:sz w:val="15"/>
              </w:rPr>
              <w:t>6,067</w:t>
            </w:r>
          </w:p>
        </w:tc>
        <w:tc>
          <w:tcPr>
            <w:tcW w:type="dxa" w:w="842"/>
          </w:tcPr>
          <w:p>
            <w:pPr>
              <w:spacing w:after="20"/>
              <w:jc w:val="right"/>
            </w:pPr>
            <w:r>
              <w:rPr>
                <w:color w:val="1C3A36"/>
                <w:sz w:val="15"/>
              </w:rPr>
              <w:t>6,376</w:t>
            </w:r>
          </w:p>
        </w:tc>
        <w:tc>
          <w:tcPr>
            <w:tcW w:type="dxa" w:w="842"/>
          </w:tcPr>
          <w:p>
            <w:pPr>
              <w:spacing w:after="20"/>
              <w:jc w:val="right"/>
            </w:pPr>
            <w:r>
              <w:rPr>
                <w:color w:val="1C3A36"/>
                <w:sz w:val="15"/>
              </w:rPr>
              <w:t>6,677</w:t>
            </w:r>
          </w:p>
        </w:tc>
        <w:tc>
          <w:tcPr>
            <w:tcW w:type="dxa" w:w="842"/>
          </w:tcPr>
          <w:p>
            <w:pPr>
              <w:spacing w:after="20"/>
              <w:jc w:val="right"/>
            </w:pPr>
            <w:r>
              <w:rPr>
                <w:color w:val="1C3A36"/>
                <w:sz w:val="15"/>
              </w:rPr>
              <w:t>7,008</w:t>
            </w:r>
          </w:p>
        </w:tc>
      </w:tr>
      <w:tr>
        <w:tc>
          <w:tcPr>
            <w:tcW w:type="dxa" w:w="2664"/>
          </w:tcPr>
          <w:p>
            <w:pPr>
              <w:spacing w:after="20"/>
            </w:pPr>
            <w:r>
              <w:rPr>
                <w:b/>
                <w:color w:val="1C3A36"/>
                <w:sz w:val="15"/>
              </w:rPr>
              <w:t>Bank facilities &amp; borrowings</w:t>
            </w:r>
          </w:p>
        </w:tc>
        <w:tc>
          <w:tcPr>
            <w:tcW w:type="dxa" w:w="842"/>
          </w:tcPr>
          <w:p>
            <w:pPr>
              <w:spacing w:after="20"/>
              <w:jc w:val="right"/>
            </w:pPr>
            <w:r>
              <w:rPr>
                <w:color w:val="1C3A36"/>
                <w:sz w:val="15"/>
              </w:rPr>
              <w:t>1,060</w:t>
            </w:r>
          </w:p>
        </w:tc>
        <w:tc>
          <w:tcPr>
            <w:tcW w:type="dxa" w:w="842"/>
          </w:tcPr>
          <w:p>
            <w:pPr>
              <w:spacing w:after="20"/>
              <w:jc w:val="right"/>
            </w:pPr>
            <w:r>
              <w:rPr>
                <w:color w:val="1C3A36"/>
                <w:sz w:val="15"/>
              </w:rPr>
              <w:t>1,507</w:t>
            </w:r>
          </w:p>
        </w:tc>
        <w:tc>
          <w:tcPr>
            <w:tcW w:type="dxa" w:w="842"/>
          </w:tcPr>
          <w:p>
            <w:pPr>
              <w:spacing w:after="20"/>
              <w:jc w:val="right"/>
            </w:pPr>
            <w:r>
              <w:rPr>
                <w:color w:val="1C3A36"/>
                <w:sz w:val="15"/>
              </w:rPr>
              <w:t>2,261</w:t>
            </w:r>
          </w:p>
        </w:tc>
        <w:tc>
          <w:tcPr>
            <w:tcW w:type="dxa" w:w="842"/>
          </w:tcPr>
          <w:p>
            <w:pPr>
              <w:spacing w:after="20"/>
              <w:jc w:val="right"/>
            </w:pPr>
            <w:r>
              <w:rPr>
                <w:color w:val="1C3A36"/>
                <w:sz w:val="15"/>
              </w:rPr>
              <w:t>2,090</w:t>
            </w:r>
          </w:p>
        </w:tc>
        <w:tc>
          <w:tcPr>
            <w:tcW w:type="dxa" w:w="842"/>
          </w:tcPr>
          <w:p>
            <w:pPr>
              <w:spacing w:after="20"/>
              <w:jc w:val="right"/>
            </w:pPr>
            <w:r>
              <w:rPr>
                <w:color w:val="1C3A36"/>
                <w:sz w:val="15"/>
              </w:rPr>
              <w:t>1,863</w:t>
            </w:r>
          </w:p>
        </w:tc>
        <w:tc>
          <w:tcPr>
            <w:tcW w:type="dxa" w:w="842"/>
          </w:tcPr>
          <w:p>
            <w:pPr>
              <w:spacing w:after="20"/>
              <w:jc w:val="right"/>
            </w:pPr>
            <w:r>
              <w:rPr>
                <w:color w:val="1C3A36"/>
                <w:sz w:val="15"/>
              </w:rPr>
              <w:t>1,492</w:t>
            </w:r>
          </w:p>
        </w:tc>
        <w:tc>
          <w:tcPr>
            <w:tcW w:type="dxa" w:w="842"/>
          </w:tcPr>
          <w:p>
            <w:pPr>
              <w:spacing w:after="20"/>
              <w:jc w:val="right"/>
            </w:pPr>
            <w:r>
              <w:rPr>
                <w:color w:val="1C3A36"/>
                <w:sz w:val="15"/>
              </w:rPr>
              <w:t>998</w:t>
            </w:r>
          </w:p>
        </w:tc>
        <w:tc>
          <w:tcPr>
            <w:tcW w:type="dxa" w:w="842"/>
          </w:tcPr>
          <w:p>
            <w:pPr>
              <w:spacing w:after="20"/>
              <w:jc w:val="right"/>
            </w:pPr>
            <w:r>
              <w:rPr>
                <w:color w:val="1C3A36"/>
                <w:sz w:val="15"/>
              </w:rPr>
              <w:t>415</w:t>
            </w:r>
          </w:p>
        </w:tc>
      </w:tr>
      <w:tr>
        <w:tc>
          <w:tcPr>
            <w:tcW w:type="dxa" w:w="2664"/>
          </w:tcPr>
          <w:p>
            <w:pPr>
              <w:spacing w:after="20"/>
            </w:pPr>
            <w:r>
              <w:rPr>
                <w:b/>
                <w:color w:val="1C3A36"/>
                <w:sz w:val="15"/>
              </w:rPr>
              <w:t>Lease liabilities</w:t>
            </w:r>
          </w:p>
        </w:tc>
        <w:tc>
          <w:tcPr>
            <w:tcW w:type="dxa" w:w="842"/>
          </w:tcPr>
          <w:p>
            <w:pPr>
              <w:spacing w:after="20"/>
              <w:jc w:val="right"/>
            </w:pPr>
            <w:r>
              <w:rPr>
                <w:color w:val="1C3A36"/>
                <w:sz w:val="15"/>
              </w:rPr>
              <w:t>17</w:t>
            </w:r>
          </w:p>
        </w:tc>
        <w:tc>
          <w:tcPr>
            <w:tcW w:type="dxa" w:w="842"/>
          </w:tcPr>
          <w:p>
            <w:pPr>
              <w:spacing w:after="20"/>
              <w:jc w:val="right"/>
            </w:pPr>
            <w:r>
              <w:rPr>
                <w:color w:val="1C3A36"/>
                <w:sz w:val="15"/>
              </w:rPr>
              <w:t>12</w:t>
            </w:r>
          </w:p>
        </w:tc>
        <w:tc>
          <w:tcPr>
            <w:tcW w:type="dxa" w:w="842"/>
          </w:tcPr>
          <w:p>
            <w:pPr>
              <w:spacing w:after="20"/>
              <w:jc w:val="right"/>
            </w:pPr>
            <w:r>
              <w:rPr>
                <w:color w:val="1C3A36"/>
                <w:sz w:val="15"/>
              </w:rPr>
              <w:t>82</w:t>
            </w:r>
          </w:p>
        </w:tc>
        <w:tc>
          <w:tcPr>
            <w:tcW w:type="dxa" w:w="842"/>
          </w:tcPr>
          <w:p>
            <w:pPr>
              <w:spacing w:after="20"/>
              <w:jc w:val="right"/>
            </w:pPr>
            <w:r>
              <w:rPr>
                <w:color w:val="1C3A36"/>
                <w:sz w:val="15"/>
              </w:rPr>
              <w:t>82</w:t>
            </w:r>
          </w:p>
        </w:tc>
        <w:tc>
          <w:tcPr>
            <w:tcW w:type="dxa" w:w="842"/>
          </w:tcPr>
          <w:p>
            <w:pPr>
              <w:spacing w:after="20"/>
              <w:jc w:val="right"/>
            </w:pPr>
            <w:r>
              <w:rPr>
                <w:color w:val="1C3A36"/>
                <w:sz w:val="15"/>
              </w:rPr>
              <w:t>82</w:t>
            </w:r>
          </w:p>
        </w:tc>
        <w:tc>
          <w:tcPr>
            <w:tcW w:type="dxa" w:w="842"/>
          </w:tcPr>
          <w:p>
            <w:pPr>
              <w:spacing w:after="20"/>
              <w:jc w:val="right"/>
            </w:pPr>
            <w:r>
              <w:rPr>
                <w:color w:val="1C3A36"/>
                <w:sz w:val="15"/>
              </w:rPr>
              <w:t>82</w:t>
            </w:r>
          </w:p>
        </w:tc>
        <w:tc>
          <w:tcPr>
            <w:tcW w:type="dxa" w:w="842"/>
          </w:tcPr>
          <w:p>
            <w:pPr>
              <w:spacing w:after="20"/>
              <w:jc w:val="right"/>
            </w:pPr>
            <w:r>
              <w:rPr>
                <w:color w:val="1C3A36"/>
                <w:sz w:val="15"/>
              </w:rPr>
              <w:t>82</w:t>
            </w:r>
          </w:p>
        </w:tc>
        <w:tc>
          <w:tcPr>
            <w:tcW w:type="dxa" w:w="842"/>
          </w:tcPr>
          <w:p>
            <w:pPr>
              <w:spacing w:after="20"/>
              <w:jc w:val="right"/>
            </w:pPr>
            <w:r>
              <w:rPr>
                <w:color w:val="1C3A36"/>
                <w:sz w:val="15"/>
              </w:rPr>
              <w:t>82</w:t>
            </w:r>
          </w:p>
        </w:tc>
      </w:tr>
      <w:tr>
        <w:tc>
          <w:tcPr>
            <w:tcW w:type="dxa" w:w="2664"/>
          </w:tcPr>
          <w:p>
            <w:pPr>
              <w:spacing w:after="20"/>
            </w:pPr>
            <w:r>
              <w:rPr>
                <w:b/>
                <w:color w:val="1C3A36"/>
                <w:sz w:val="15"/>
              </w:rPr>
              <w:t>Trade &amp; other payables</w:t>
            </w:r>
          </w:p>
        </w:tc>
        <w:tc>
          <w:tcPr>
            <w:tcW w:type="dxa" w:w="842"/>
          </w:tcPr>
          <w:p>
            <w:pPr>
              <w:spacing w:after="20"/>
              <w:jc w:val="right"/>
            </w:pPr>
            <w:r>
              <w:rPr>
                <w:color w:val="1C3A36"/>
                <w:sz w:val="15"/>
              </w:rPr>
              <w:t>232</w:t>
            </w:r>
          </w:p>
        </w:tc>
        <w:tc>
          <w:tcPr>
            <w:tcW w:type="dxa" w:w="842"/>
          </w:tcPr>
          <w:p>
            <w:pPr>
              <w:spacing w:after="20"/>
              <w:jc w:val="right"/>
            </w:pPr>
            <w:r>
              <w:rPr>
                <w:color w:val="1C3A36"/>
                <w:sz w:val="15"/>
              </w:rPr>
              <w:t>527</w:t>
            </w:r>
          </w:p>
        </w:tc>
        <w:tc>
          <w:tcPr>
            <w:tcW w:type="dxa" w:w="842"/>
          </w:tcPr>
          <w:p>
            <w:pPr>
              <w:spacing w:after="20"/>
              <w:jc w:val="right"/>
            </w:pPr>
            <w:r>
              <w:rPr>
                <w:color w:val="1C3A36"/>
                <w:sz w:val="15"/>
              </w:rPr>
              <w:t>584</w:t>
            </w:r>
          </w:p>
        </w:tc>
        <w:tc>
          <w:tcPr>
            <w:tcW w:type="dxa" w:w="842"/>
          </w:tcPr>
          <w:p>
            <w:pPr>
              <w:spacing w:after="20"/>
              <w:jc w:val="right"/>
            </w:pPr>
            <w:r>
              <w:rPr>
                <w:color w:val="1C3A36"/>
                <w:sz w:val="15"/>
              </w:rPr>
              <w:t>693</w:t>
            </w:r>
          </w:p>
        </w:tc>
        <w:tc>
          <w:tcPr>
            <w:tcW w:type="dxa" w:w="842"/>
          </w:tcPr>
          <w:p>
            <w:pPr>
              <w:spacing w:after="20"/>
              <w:jc w:val="right"/>
            </w:pPr>
            <w:r>
              <w:rPr>
                <w:color w:val="1C3A36"/>
                <w:sz w:val="15"/>
              </w:rPr>
              <w:t>779</w:t>
            </w:r>
          </w:p>
        </w:tc>
        <w:tc>
          <w:tcPr>
            <w:tcW w:type="dxa" w:w="842"/>
          </w:tcPr>
          <w:p>
            <w:pPr>
              <w:spacing w:after="20"/>
              <w:jc w:val="right"/>
            </w:pPr>
            <w:r>
              <w:rPr>
                <w:color w:val="1C3A36"/>
                <w:sz w:val="15"/>
              </w:rPr>
              <w:t>862</w:t>
            </w:r>
          </w:p>
        </w:tc>
        <w:tc>
          <w:tcPr>
            <w:tcW w:type="dxa" w:w="842"/>
          </w:tcPr>
          <w:p>
            <w:pPr>
              <w:spacing w:after="20"/>
              <w:jc w:val="right"/>
            </w:pPr>
            <w:r>
              <w:rPr>
                <w:color w:val="1C3A36"/>
                <w:sz w:val="15"/>
              </w:rPr>
              <w:t>942</w:t>
            </w:r>
          </w:p>
        </w:tc>
        <w:tc>
          <w:tcPr>
            <w:tcW w:type="dxa" w:w="842"/>
          </w:tcPr>
          <w:p>
            <w:pPr>
              <w:spacing w:after="20"/>
              <w:jc w:val="right"/>
            </w:pPr>
            <w:r>
              <w:rPr>
                <w:color w:val="1C3A36"/>
                <w:sz w:val="15"/>
              </w:rPr>
              <w:t>1,025</w:t>
            </w:r>
          </w:p>
        </w:tc>
      </w:tr>
      <w:tr>
        <w:tc>
          <w:tcPr>
            <w:tcW w:type="dxa" w:w="2664"/>
          </w:tcPr>
          <w:p>
            <w:pPr>
              <w:spacing w:after="20"/>
            </w:pPr>
            <w:r>
              <w:rPr>
                <w:b/>
                <w:color w:val="1C3A36"/>
                <w:sz w:val="15"/>
              </w:rPr>
              <w:t>Provisions</w:t>
            </w:r>
          </w:p>
        </w:tc>
        <w:tc>
          <w:tcPr>
            <w:tcW w:type="dxa" w:w="842"/>
          </w:tcPr>
          <w:p>
            <w:pPr>
              <w:spacing w:after="20"/>
              <w:jc w:val="right"/>
            </w:pPr>
            <w:r>
              <w:rPr>
                <w:color w:val="1C3A36"/>
                <w:sz w:val="15"/>
              </w:rPr>
              <w:t>15</w:t>
            </w:r>
          </w:p>
        </w:tc>
        <w:tc>
          <w:tcPr>
            <w:tcW w:type="dxa" w:w="842"/>
          </w:tcPr>
          <w:p>
            <w:pPr>
              <w:spacing w:after="20"/>
              <w:jc w:val="right"/>
            </w:pPr>
            <w:r>
              <w:rPr>
                <w:color w:val="1C3A36"/>
                <w:sz w:val="15"/>
              </w:rPr>
              <w:t>17</w:t>
            </w:r>
          </w:p>
        </w:tc>
        <w:tc>
          <w:tcPr>
            <w:tcW w:type="dxa" w:w="842"/>
          </w:tcPr>
          <w:p>
            <w:pPr>
              <w:spacing w:after="20"/>
              <w:jc w:val="right"/>
            </w:pPr>
            <w:r>
              <w:rPr>
                <w:color w:val="1C3A36"/>
                <w:sz w:val="15"/>
              </w:rPr>
              <w:t>15</w:t>
            </w:r>
          </w:p>
        </w:tc>
        <w:tc>
          <w:tcPr>
            <w:tcW w:type="dxa" w:w="842"/>
          </w:tcPr>
          <w:p>
            <w:pPr>
              <w:spacing w:after="20"/>
              <w:jc w:val="right"/>
            </w:pPr>
            <w:r>
              <w:rPr>
                <w:color w:val="1C3A36"/>
                <w:sz w:val="15"/>
              </w:rPr>
              <w:t>15</w:t>
            </w:r>
          </w:p>
        </w:tc>
        <w:tc>
          <w:tcPr>
            <w:tcW w:type="dxa" w:w="842"/>
          </w:tcPr>
          <w:p>
            <w:pPr>
              <w:spacing w:after="20"/>
              <w:jc w:val="right"/>
            </w:pPr>
            <w:r>
              <w:rPr>
                <w:color w:val="1C3A36"/>
                <w:sz w:val="15"/>
              </w:rPr>
              <w:t>15</w:t>
            </w:r>
          </w:p>
        </w:tc>
        <w:tc>
          <w:tcPr>
            <w:tcW w:type="dxa" w:w="842"/>
          </w:tcPr>
          <w:p>
            <w:pPr>
              <w:spacing w:after="20"/>
              <w:jc w:val="right"/>
            </w:pPr>
            <w:r>
              <w:rPr>
                <w:color w:val="1C3A36"/>
                <w:sz w:val="15"/>
              </w:rPr>
              <w:t>15</w:t>
            </w:r>
          </w:p>
        </w:tc>
        <w:tc>
          <w:tcPr>
            <w:tcW w:type="dxa" w:w="842"/>
          </w:tcPr>
          <w:p>
            <w:pPr>
              <w:spacing w:after="20"/>
              <w:jc w:val="right"/>
            </w:pPr>
            <w:r>
              <w:rPr>
                <w:color w:val="1C3A36"/>
                <w:sz w:val="15"/>
              </w:rPr>
              <w:t>15</w:t>
            </w:r>
          </w:p>
        </w:tc>
        <w:tc>
          <w:tcPr>
            <w:tcW w:type="dxa" w:w="842"/>
          </w:tcPr>
          <w:p>
            <w:pPr>
              <w:spacing w:after="20"/>
              <w:jc w:val="right"/>
            </w:pPr>
            <w:r>
              <w:rPr>
                <w:color w:val="1C3A36"/>
                <w:sz w:val="15"/>
              </w:rPr>
              <w:t>15</w:t>
            </w:r>
          </w:p>
        </w:tc>
      </w:tr>
      <w:tr>
        <w:tc>
          <w:tcPr>
            <w:tcW w:type="dxa" w:w="2664"/>
          </w:tcPr>
          <w:p>
            <w:pPr>
              <w:spacing w:after="20"/>
            </w:pPr>
            <w:r>
              <w:rPr>
                <w:b/>
                <w:color w:val="1C3A36"/>
                <w:sz w:val="15"/>
              </w:rPr>
              <w:t>Deferred tax liability</w:t>
            </w:r>
          </w:p>
        </w:tc>
        <w:tc>
          <w:tcPr>
            <w:tcW w:type="dxa" w:w="842"/>
          </w:tcPr>
          <w:p>
            <w:pPr>
              <w:spacing w:after="20"/>
              <w:jc w:val="right"/>
            </w:pPr>
            <w:r>
              <w:rPr>
                <w:color w:val="1C3A36"/>
                <w:sz w:val="15"/>
              </w:rPr>
              <w:t>58</w:t>
            </w:r>
          </w:p>
        </w:tc>
        <w:tc>
          <w:tcPr>
            <w:tcW w:type="dxa" w:w="842"/>
          </w:tcPr>
          <w:p>
            <w:pPr>
              <w:spacing w:after="20"/>
              <w:jc w:val="right"/>
            </w:pPr>
            <w:r>
              <w:rPr>
                <w:color w:val="1C3A36"/>
                <w:sz w:val="15"/>
              </w:rPr>
              <w:t>77</w:t>
            </w:r>
          </w:p>
        </w:tc>
        <w:tc>
          <w:tcPr>
            <w:tcW w:type="dxa" w:w="842"/>
          </w:tcPr>
          <w:p>
            <w:pPr>
              <w:spacing w:after="20"/>
              <w:jc w:val="right"/>
            </w:pPr>
            <w:r>
              <w:rPr>
                <w:color w:val="1C3A36"/>
                <w:sz w:val="15"/>
              </w:rPr>
              <w:t>69</w:t>
            </w:r>
          </w:p>
        </w:tc>
        <w:tc>
          <w:tcPr>
            <w:tcW w:type="dxa" w:w="842"/>
          </w:tcPr>
          <w:p>
            <w:pPr>
              <w:spacing w:after="20"/>
              <w:jc w:val="right"/>
            </w:pPr>
            <w:r>
              <w:rPr>
                <w:color w:val="1C3A36"/>
                <w:sz w:val="15"/>
              </w:rPr>
              <w:t>69</w:t>
            </w:r>
          </w:p>
        </w:tc>
        <w:tc>
          <w:tcPr>
            <w:tcW w:type="dxa" w:w="842"/>
          </w:tcPr>
          <w:p>
            <w:pPr>
              <w:spacing w:after="20"/>
              <w:jc w:val="right"/>
            </w:pPr>
            <w:r>
              <w:rPr>
                <w:color w:val="1C3A36"/>
                <w:sz w:val="15"/>
              </w:rPr>
              <w:t>69</w:t>
            </w:r>
          </w:p>
        </w:tc>
        <w:tc>
          <w:tcPr>
            <w:tcW w:type="dxa" w:w="842"/>
          </w:tcPr>
          <w:p>
            <w:pPr>
              <w:spacing w:after="20"/>
              <w:jc w:val="right"/>
            </w:pPr>
            <w:r>
              <w:rPr>
                <w:color w:val="1C3A36"/>
                <w:sz w:val="15"/>
              </w:rPr>
              <w:t>69</w:t>
            </w:r>
          </w:p>
        </w:tc>
        <w:tc>
          <w:tcPr>
            <w:tcW w:type="dxa" w:w="842"/>
          </w:tcPr>
          <w:p>
            <w:pPr>
              <w:spacing w:after="20"/>
              <w:jc w:val="right"/>
            </w:pPr>
            <w:r>
              <w:rPr>
                <w:color w:val="1C3A36"/>
                <w:sz w:val="15"/>
              </w:rPr>
              <w:t>69</w:t>
            </w:r>
          </w:p>
        </w:tc>
        <w:tc>
          <w:tcPr>
            <w:tcW w:type="dxa" w:w="842"/>
          </w:tcPr>
          <w:p>
            <w:pPr>
              <w:spacing w:after="20"/>
              <w:jc w:val="right"/>
            </w:pPr>
            <w:r>
              <w:rPr>
                <w:color w:val="1C3A36"/>
                <w:sz w:val="15"/>
              </w:rPr>
              <w:t>69</w:t>
            </w:r>
          </w:p>
        </w:tc>
      </w:tr>
      <w:tr>
        <w:tc>
          <w:tcPr>
            <w:tcW w:type="dxa" w:w="2664"/>
          </w:tcPr>
          <w:p>
            <w:pPr>
              <w:spacing w:after="20"/>
            </w:pPr>
            <w:r>
              <w:rPr>
                <w:b/>
                <w:color w:val="1C3A36"/>
                <w:sz w:val="15"/>
              </w:rPr>
              <w:t>Income tax payable (derived)</w:t>
            </w:r>
          </w:p>
        </w:tc>
        <w:tc>
          <w:tcPr>
            <w:tcW w:type="dxa" w:w="842"/>
          </w:tcPr>
          <w:p>
            <w:pPr>
              <w:spacing w:after="20"/>
              <w:jc w:val="right"/>
            </w:pPr>
            <w:r>
              <w:rPr>
                <w:color w:val="1C3A36"/>
                <w:sz w:val="15"/>
              </w:rPr>
              <w:t>61</w:t>
            </w:r>
          </w:p>
        </w:tc>
        <w:tc>
          <w:tcPr>
            <w:tcW w:type="dxa" w:w="842"/>
          </w:tcPr>
          <w:p>
            <w:pPr>
              <w:spacing w:after="20"/>
              <w:jc w:val="right"/>
            </w:pPr>
            <w:r>
              <w:rPr>
                <w:color w:val="1C3A36"/>
                <w:sz w:val="15"/>
              </w:rPr>
              <w:t>99</w:t>
            </w:r>
          </w:p>
        </w:tc>
        <w:tc>
          <w:tcPr>
            <w:tcW w:type="dxa" w:w="842"/>
          </w:tcPr>
          <w:p>
            <w:pPr>
              <w:spacing w:after="20"/>
              <w:jc w:val="right"/>
            </w:pPr>
            <w:r>
              <w:rPr>
                <w:color w:val="1C3A36"/>
                <w:sz w:val="15"/>
              </w:rPr>
              <w:t>117</w:t>
            </w:r>
          </w:p>
        </w:tc>
        <w:tc>
          <w:tcPr>
            <w:tcW w:type="dxa" w:w="842"/>
          </w:tcPr>
          <w:p>
            <w:pPr>
              <w:spacing w:after="20"/>
              <w:jc w:val="right"/>
            </w:pPr>
            <w:r>
              <w:rPr>
                <w:color w:val="1C3A36"/>
                <w:sz w:val="15"/>
              </w:rPr>
              <w:t>117</w:t>
            </w:r>
          </w:p>
        </w:tc>
        <w:tc>
          <w:tcPr>
            <w:tcW w:type="dxa" w:w="842"/>
          </w:tcPr>
          <w:p>
            <w:pPr>
              <w:spacing w:after="20"/>
              <w:jc w:val="right"/>
            </w:pPr>
            <w:r>
              <w:rPr>
                <w:color w:val="1C3A36"/>
                <w:sz w:val="15"/>
              </w:rPr>
              <w:t>117</w:t>
            </w:r>
          </w:p>
        </w:tc>
        <w:tc>
          <w:tcPr>
            <w:tcW w:type="dxa" w:w="842"/>
          </w:tcPr>
          <w:p>
            <w:pPr>
              <w:spacing w:after="20"/>
              <w:jc w:val="right"/>
            </w:pPr>
            <w:r>
              <w:rPr>
                <w:color w:val="1C3A36"/>
                <w:sz w:val="15"/>
              </w:rPr>
              <w:t>117</w:t>
            </w:r>
          </w:p>
        </w:tc>
        <w:tc>
          <w:tcPr>
            <w:tcW w:type="dxa" w:w="842"/>
          </w:tcPr>
          <w:p>
            <w:pPr>
              <w:spacing w:after="20"/>
              <w:jc w:val="right"/>
            </w:pPr>
            <w:r>
              <w:rPr>
                <w:color w:val="1C3A36"/>
                <w:sz w:val="15"/>
              </w:rPr>
              <w:t>117</w:t>
            </w:r>
          </w:p>
        </w:tc>
        <w:tc>
          <w:tcPr>
            <w:tcW w:type="dxa" w:w="842"/>
          </w:tcPr>
          <w:p>
            <w:pPr>
              <w:spacing w:after="20"/>
              <w:jc w:val="right"/>
            </w:pPr>
            <w:r>
              <w:rPr>
                <w:color w:val="1C3A36"/>
                <w:sz w:val="15"/>
              </w:rPr>
              <w:t>117</w:t>
            </w:r>
          </w:p>
        </w:tc>
      </w:tr>
      <w:tr>
        <w:tc>
          <w:tcPr>
            <w:tcW w:type="dxa" w:w="2664"/>
          </w:tcPr>
          <w:p>
            <w:pPr>
              <w:spacing w:after="20"/>
            </w:pPr>
            <w:r>
              <w:rPr>
                <w:b/>
                <w:color w:val="1C3A36"/>
                <w:sz w:val="15"/>
              </w:rPr>
              <w:t>Total equity (incl. NCI)</w:t>
            </w:r>
          </w:p>
        </w:tc>
        <w:tc>
          <w:tcPr>
            <w:tcW w:type="dxa" w:w="842"/>
          </w:tcPr>
          <w:p>
            <w:pPr>
              <w:spacing w:after="20"/>
              <w:jc w:val="right"/>
            </w:pPr>
            <w:r>
              <w:rPr>
                <w:color w:val="1C3A36"/>
                <w:sz w:val="15"/>
              </w:rPr>
              <w:t>1,775</w:t>
            </w:r>
          </w:p>
        </w:tc>
        <w:tc>
          <w:tcPr>
            <w:tcW w:type="dxa" w:w="842"/>
          </w:tcPr>
          <w:p>
            <w:pPr>
              <w:spacing w:after="20"/>
              <w:jc w:val="right"/>
            </w:pPr>
            <w:r>
              <w:rPr>
                <w:color w:val="1C3A36"/>
                <w:sz w:val="15"/>
              </w:rPr>
              <w:t>2,072</w:t>
            </w:r>
          </w:p>
        </w:tc>
        <w:tc>
          <w:tcPr>
            <w:tcW w:type="dxa" w:w="842"/>
          </w:tcPr>
          <w:p>
            <w:pPr>
              <w:spacing w:after="20"/>
              <w:jc w:val="right"/>
            </w:pPr>
            <w:r>
              <w:rPr>
                <w:color w:val="1C3A36"/>
                <w:sz w:val="15"/>
              </w:rPr>
              <w:t>2,210</w:t>
            </w:r>
          </w:p>
        </w:tc>
        <w:tc>
          <w:tcPr>
            <w:tcW w:type="dxa" w:w="842"/>
          </w:tcPr>
          <w:p>
            <w:pPr>
              <w:spacing w:after="20"/>
              <w:jc w:val="right"/>
            </w:pPr>
            <w:r>
              <w:rPr>
                <w:color w:val="1C3A36"/>
                <w:sz w:val="15"/>
              </w:rPr>
              <w:t>2,666</w:t>
            </w:r>
          </w:p>
        </w:tc>
        <w:tc>
          <w:tcPr>
            <w:tcW w:type="dxa" w:w="842"/>
          </w:tcPr>
          <w:p>
            <w:pPr>
              <w:spacing w:after="20"/>
              <w:jc w:val="right"/>
            </w:pPr>
            <w:r>
              <w:rPr>
                <w:color w:val="1C3A36"/>
                <w:sz w:val="15"/>
              </w:rPr>
              <w:t>3,142</w:t>
            </w:r>
          </w:p>
        </w:tc>
        <w:tc>
          <w:tcPr>
            <w:tcW w:type="dxa" w:w="842"/>
          </w:tcPr>
          <w:p>
            <w:pPr>
              <w:spacing w:after="20"/>
              <w:jc w:val="right"/>
            </w:pPr>
            <w:r>
              <w:rPr>
                <w:color w:val="1C3A36"/>
                <w:sz w:val="15"/>
              </w:rPr>
              <w:t>3,739</w:t>
            </w:r>
          </w:p>
        </w:tc>
        <w:tc>
          <w:tcPr>
            <w:tcW w:type="dxa" w:w="842"/>
          </w:tcPr>
          <w:p>
            <w:pPr>
              <w:spacing w:after="20"/>
              <w:jc w:val="right"/>
            </w:pPr>
            <w:r>
              <w:rPr>
                <w:color w:val="1C3A36"/>
                <w:sz w:val="15"/>
              </w:rPr>
              <w:t>4,454</w:t>
            </w:r>
          </w:p>
        </w:tc>
        <w:tc>
          <w:tcPr>
            <w:tcW w:type="dxa" w:w="842"/>
          </w:tcPr>
          <w:p>
            <w:pPr>
              <w:spacing w:after="20"/>
              <w:jc w:val="right"/>
            </w:pPr>
            <w:r>
              <w:rPr>
                <w:color w:val="1C3A36"/>
                <w:sz w:val="15"/>
              </w:rPr>
              <w:t>5,285</w:t>
            </w:r>
          </w:p>
        </w:tc>
      </w:tr>
      <w:tr>
        <w:tc>
          <w:tcPr>
            <w:tcW w:type="dxa" w:w="2664"/>
          </w:tcPr>
          <w:p>
            <w:pPr>
              <w:spacing w:after="20"/>
            </w:pPr>
            <w:r>
              <w:rPr>
                <w:b/>
                <w:color w:val="1C3A36"/>
                <w:sz w:val="15"/>
              </w:rPr>
              <w:t>— of which NCI</w:t>
            </w:r>
          </w:p>
        </w:tc>
        <w:tc>
          <w:tcPr>
            <w:tcW w:type="dxa" w:w="842"/>
          </w:tcPr>
          <w:p>
            <w:pPr>
              <w:spacing w:after="20"/>
              <w:jc w:val="right"/>
            </w:pPr>
            <w:r>
              <w:rPr>
                <w:color w:val="1C3A36"/>
                <w:sz w:val="15"/>
              </w:rPr>
              <w:t>13</w:t>
            </w:r>
          </w:p>
        </w:tc>
        <w:tc>
          <w:tcPr>
            <w:tcW w:type="dxa" w:w="842"/>
          </w:tcPr>
          <w:p>
            <w:pPr>
              <w:spacing w:after="20"/>
              <w:jc w:val="right"/>
            </w:pPr>
            <w:r>
              <w:rPr>
                <w:color w:val="1C3A36"/>
                <w:sz w:val="15"/>
              </w:rPr>
              <w:t>27</w:t>
            </w:r>
          </w:p>
        </w:tc>
        <w:tc>
          <w:tcPr>
            <w:tcW w:type="dxa" w:w="842"/>
          </w:tcPr>
          <w:p>
            <w:pPr>
              <w:spacing w:after="20"/>
              <w:jc w:val="right"/>
            </w:pPr>
            <w:r>
              <w:rPr>
                <w:color w:val="1C3A36"/>
                <w:sz w:val="15"/>
              </w:rPr>
              <w:t>42</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c>
          <w:tcPr>
            <w:tcW w:type="dxa" w:w="842"/>
          </w:tcPr>
          <w:p>
            <w:pPr>
              <w:spacing w:after="20"/>
              <w:jc w:val="right"/>
            </w:pPr>
            <w:r>
              <w:rPr>
                <w:color w:val="1C3A36"/>
                <w:sz w:val="15"/>
              </w:rPr>
              <w:t>—</w:t>
            </w:r>
          </w:p>
        </w:tc>
      </w:tr>
      <w:tr>
        <w:tc>
          <w:tcPr>
            <w:tcW w:type="dxa" w:w="2664"/>
          </w:tcPr>
          <w:p>
            <w:pPr>
              <w:spacing w:after="20"/>
            </w:pPr>
            <w:r>
              <w:rPr>
                <w:b/>
                <w:color w:val="1C3A36"/>
                <w:sz w:val="15"/>
              </w:rPr>
              <w:t>Balance check (A − L − E)</w:t>
            </w:r>
          </w:p>
        </w:tc>
        <w:tc>
          <w:tcPr>
            <w:tcW w:type="dxa" w:w="842"/>
          </w:tcPr>
          <w:p>
            <w:pPr>
              <w:spacing w:after="20"/>
              <w:jc w:val="right"/>
            </w:pPr>
            <w:r>
              <w:rPr>
                <w:color w:val="1C3A36"/>
                <w:sz w:val="15"/>
              </w:rPr>
              <w:t>0.00</w:t>
            </w:r>
          </w:p>
        </w:tc>
        <w:tc>
          <w:tcPr>
            <w:tcW w:type="dxa" w:w="842"/>
          </w:tcPr>
          <w:p>
            <w:pPr>
              <w:spacing w:after="20"/>
              <w:jc w:val="right"/>
            </w:pPr>
            <w:r>
              <w:rPr>
                <w:color w:val="1C3A36"/>
                <w:sz w:val="15"/>
              </w:rPr>
              <w:t>0.00</w:t>
            </w:r>
          </w:p>
        </w:tc>
        <w:tc>
          <w:tcPr>
            <w:tcW w:type="dxa" w:w="842"/>
          </w:tcPr>
          <w:p>
            <w:pPr>
              <w:spacing w:after="20"/>
              <w:jc w:val="right"/>
            </w:pPr>
            <w:r>
              <w:rPr>
                <w:color w:val="1C3A36"/>
                <w:sz w:val="15"/>
              </w:rPr>
              <w:t>0.00</w:t>
            </w:r>
          </w:p>
        </w:tc>
        <w:tc>
          <w:tcPr>
            <w:tcW w:type="dxa" w:w="842"/>
          </w:tcPr>
          <w:p>
            <w:pPr>
              <w:spacing w:after="20"/>
              <w:jc w:val="right"/>
            </w:pPr>
            <w:r>
              <w:rPr>
                <w:color w:val="1C3A36"/>
                <w:sz w:val="15"/>
              </w:rPr>
              <w:t>0.00</w:t>
            </w:r>
          </w:p>
        </w:tc>
        <w:tc>
          <w:tcPr>
            <w:tcW w:type="dxa" w:w="842"/>
          </w:tcPr>
          <w:p>
            <w:pPr>
              <w:spacing w:after="20"/>
              <w:jc w:val="right"/>
            </w:pPr>
            <w:r>
              <w:rPr>
                <w:color w:val="1C3A36"/>
                <w:sz w:val="15"/>
              </w:rPr>
              <w:t>0.00</w:t>
            </w:r>
          </w:p>
        </w:tc>
        <w:tc>
          <w:tcPr>
            <w:tcW w:type="dxa" w:w="842"/>
          </w:tcPr>
          <w:p>
            <w:pPr>
              <w:spacing w:after="20"/>
              <w:jc w:val="right"/>
            </w:pPr>
            <w:r>
              <w:rPr>
                <w:color w:val="1C3A36"/>
                <w:sz w:val="15"/>
              </w:rPr>
              <w:t>0.00</w:t>
            </w:r>
          </w:p>
        </w:tc>
        <w:tc>
          <w:tcPr>
            <w:tcW w:type="dxa" w:w="842"/>
          </w:tcPr>
          <w:p>
            <w:pPr>
              <w:spacing w:after="20"/>
              <w:jc w:val="right"/>
            </w:pPr>
            <w:r>
              <w:rPr>
                <w:color w:val="1C3A36"/>
                <w:sz w:val="15"/>
              </w:rPr>
              <w:t>0.00</w:t>
            </w:r>
          </w:p>
        </w:tc>
        <w:tc>
          <w:tcPr>
            <w:tcW w:type="dxa" w:w="842"/>
          </w:tcPr>
          <w:p>
            <w:pPr>
              <w:spacing w:after="20"/>
              <w:jc w:val="right"/>
            </w:pPr>
            <w:r>
              <w:rPr>
                <w:color w:val="1C3A36"/>
                <w:sz w:val="15"/>
              </w:rPr>
              <w:t>0.00</w:t>
            </w:r>
          </w:p>
        </w:tc>
      </w:tr>
    </w:tbl>
    <w:p>
      <w:pPr>
        <w:spacing w:after="40"/>
      </w:pPr>
    </w:p>
    <w:p>
      <w:pPr>
        <w:spacing w:after="200" w:before="0"/>
      </w:pPr>
      <w:r>
        <w:rPr>
          <w:b w:val="0"/>
          <w:i/>
          <w:color w:val="6E7B77"/>
          <w:sz w:val="17"/>
        </w:rPr>
        <w:t>3 actual + 5 forecast columns. Income-tax payable is the audited balancing derivation (60.6 / 98.8 / 116.5) that closes the disclosed FY23–FY25 statements exactly — stated as derived per the provenance rule. Treasury bills (FY23–FY24 holdings) fold into cash in the forecast. The balance check is 0.00 in every column by construction: compute.py raises and emits nothing unless all eight columns balance (assertion log in A.4); the Excel carries the live check-row formulas.</w:t>
      </w:r>
    </w:p>
    <w:p>
      <w:pPr>
        <w:spacing w:after="80" w:before="200"/>
      </w:pPr>
      <w:r>
        <w:rPr>
          <w:b/>
          <w:i w:val="0"/>
          <w:color w:val="1C3A36"/>
          <w:sz w:val="24"/>
        </w:rPr>
        <w:t>A.3  Cash flow — disclosed history, and the model’s cash lines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3096"/>
            <w:shd w:val="clear" w:color="auto" w:fill="EAF0EE"/>
          </w:tcPr>
          <w:p>
            <w:pPr>
              <w:spacing w:after="20"/>
            </w:pPr>
            <w:r>
              <w:rPr>
                <w:b/>
                <w:color w:val="1C3A36"/>
                <w:sz w:val="15"/>
              </w:rPr>
              <w:t>Line</w:t>
            </w:r>
          </w:p>
        </w:tc>
        <w:tc>
          <w:tcPr>
            <w:tcW w:type="dxa" w:w="789"/>
            <w:shd w:val="clear" w:color="auto" w:fill="EAF0EE"/>
          </w:tcPr>
          <w:p>
            <w:pPr>
              <w:spacing w:after="20"/>
            </w:pPr>
            <w:r>
              <w:rPr>
                <w:b/>
                <w:color w:val="1C3A36"/>
                <w:sz w:val="15"/>
              </w:rPr>
              <w:t>FY23</w:t>
            </w:r>
          </w:p>
        </w:tc>
        <w:tc>
          <w:tcPr>
            <w:tcW w:type="dxa" w:w="789"/>
            <w:shd w:val="clear" w:color="auto" w:fill="EAF0EE"/>
          </w:tcPr>
          <w:p>
            <w:pPr>
              <w:spacing w:after="20"/>
            </w:pPr>
            <w:r>
              <w:rPr>
                <w:b/>
                <w:color w:val="1C3A36"/>
                <w:sz w:val="15"/>
              </w:rPr>
              <w:t>FY24</w:t>
            </w:r>
          </w:p>
        </w:tc>
        <w:tc>
          <w:tcPr>
            <w:tcW w:type="dxa" w:w="789"/>
            <w:shd w:val="clear" w:color="auto" w:fill="EAF0EE"/>
          </w:tcPr>
          <w:p>
            <w:pPr>
              <w:spacing w:after="20"/>
            </w:pPr>
            <w:r>
              <w:rPr>
                <w:b/>
                <w:color w:val="1C3A36"/>
                <w:sz w:val="15"/>
              </w:rPr>
              <w:t>FY25</w:t>
            </w:r>
          </w:p>
        </w:tc>
        <w:tc>
          <w:tcPr>
            <w:tcW w:type="dxa" w:w="789"/>
            <w:shd w:val="clear" w:color="auto" w:fill="EAF0EE"/>
          </w:tcPr>
          <w:p>
            <w:pPr>
              <w:spacing w:after="20"/>
            </w:pPr>
            <w:r>
              <w:rPr>
                <w:b/>
                <w:color w:val="1C3A36"/>
                <w:sz w:val="15"/>
              </w:rPr>
              <w:t>FY26E</w:t>
            </w:r>
          </w:p>
        </w:tc>
        <w:tc>
          <w:tcPr>
            <w:tcW w:type="dxa" w:w="789"/>
            <w:shd w:val="clear" w:color="auto" w:fill="EAF0EE"/>
          </w:tcPr>
          <w:p>
            <w:pPr>
              <w:spacing w:after="20"/>
            </w:pPr>
            <w:r>
              <w:rPr>
                <w:b/>
                <w:color w:val="1C3A36"/>
                <w:sz w:val="15"/>
              </w:rPr>
              <w:t>FY27E</w:t>
            </w:r>
          </w:p>
        </w:tc>
        <w:tc>
          <w:tcPr>
            <w:tcW w:type="dxa" w:w="789"/>
            <w:shd w:val="clear" w:color="auto" w:fill="EAF0EE"/>
          </w:tcPr>
          <w:p>
            <w:pPr>
              <w:spacing w:after="20"/>
            </w:pPr>
            <w:r>
              <w:rPr>
                <w:b/>
                <w:color w:val="1C3A36"/>
                <w:sz w:val="15"/>
              </w:rPr>
              <w:t>FY28E</w:t>
            </w:r>
          </w:p>
        </w:tc>
        <w:tc>
          <w:tcPr>
            <w:tcW w:type="dxa" w:w="789"/>
            <w:shd w:val="clear" w:color="auto" w:fill="EAF0EE"/>
          </w:tcPr>
          <w:p>
            <w:pPr>
              <w:spacing w:after="20"/>
            </w:pPr>
            <w:r>
              <w:rPr>
                <w:b/>
                <w:color w:val="1C3A36"/>
                <w:sz w:val="15"/>
              </w:rPr>
              <w:t>FY29E</w:t>
            </w:r>
          </w:p>
        </w:tc>
        <w:tc>
          <w:tcPr>
            <w:tcW w:type="dxa" w:w="789"/>
            <w:shd w:val="clear" w:color="auto" w:fill="EAF0EE"/>
          </w:tcPr>
          <w:p>
            <w:pPr>
              <w:spacing w:after="20"/>
            </w:pPr>
            <w:r>
              <w:rPr>
                <w:b/>
                <w:color w:val="1C3A36"/>
                <w:sz w:val="15"/>
              </w:rPr>
              <w:t>FY30E</w:t>
            </w:r>
          </w:p>
        </w:tc>
      </w:tr>
      <w:tr>
        <w:tc>
          <w:tcPr>
            <w:tcW w:type="dxa" w:w="3096"/>
          </w:tcPr>
          <w:p>
            <w:pPr>
              <w:spacing w:after="20"/>
            </w:pPr>
            <w:r>
              <w:rPr>
                <w:b/>
                <w:color w:val="1C3A36"/>
                <w:sz w:val="15"/>
              </w:rPr>
              <w:t>Operating cash flow (disclosed)</w:t>
            </w:r>
          </w:p>
        </w:tc>
        <w:tc>
          <w:tcPr>
            <w:tcW w:type="dxa" w:w="789"/>
          </w:tcPr>
          <w:p>
            <w:pPr>
              <w:spacing w:after="20"/>
              <w:jc w:val="right"/>
            </w:pPr>
            <w:r>
              <w:rPr>
                <w:color w:val="1C3A36"/>
                <w:sz w:val="15"/>
              </w:rPr>
              <w:t>-44</w:t>
            </w:r>
          </w:p>
        </w:tc>
        <w:tc>
          <w:tcPr>
            <w:tcW w:type="dxa" w:w="789"/>
          </w:tcPr>
          <w:p>
            <w:pPr>
              <w:spacing w:after="20"/>
              <w:jc w:val="right"/>
            </w:pPr>
            <w:r>
              <w:rPr>
                <w:color w:val="1C3A36"/>
                <w:sz w:val="15"/>
              </w:rPr>
              <w:t>-307</w:t>
            </w:r>
          </w:p>
        </w:tc>
        <w:tc>
          <w:tcPr>
            <w:tcW w:type="dxa" w:w="789"/>
          </w:tcPr>
          <w:p>
            <w:pPr>
              <w:spacing w:after="20"/>
              <w:jc w:val="right"/>
            </w:pPr>
            <w:r>
              <w:rPr>
                <w:color w:val="1C3A36"/>
                <w:sz w:val="15"/>
              </w:rPr>
              <w:t>-44</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r>
      <w:tr>
        <w:tc>
          <w:tcPr>
            <w:tcW w:type="dxa" w:w="3096"/>
          </w:tcPr>
          <w:p>
            <w:pPr>
              <w:spacing w:after="20"/>
            </w:pPr>
            <w:r>
              <w:rPr>
                <w:b/>
                <w:color w:val="1C3A36"/>
                <w:sz w:val="15"/>
              </w:rPr>
              <w:t>D&amp;A</w:t>
            </w:r>
          </w:p>
        </w:tc>
        <w:tc>
          <w:tcPr>
            <w:tcW w:type="dxa" w:w="789"/>
          </w:tcPr>
          <w:p>
            <w:pPr>
              <w:spacing w:after="20"/>
              <w:jc w:val="right"/>
            </w:pPr>
            <w:r>
              <w:rPr>
                <w:color w:val="1C3A36"/>
                <w:sz w:val="15"/>
              </w:rPr>
              <w:t>73</w:t>
            </w:r>
          </w:p>
        </w:tc>
        <w:tc>
          <w:tcPr>
            <w:tcW w:type="dxa" w:w="789"/>
          </w:tcPr>
          <w:p>
            <w:pPr>
              <w:spacing w:after="20"/>
              <w:jc w:val="right"/>
            </w:pPr>
            <w:r>
              <w:rPr>
                <w:color w:val="1C3A36"/>
                <w:sz w:val="15"/>
              </w:rPr>
              <w:t>83</w:t>
            </w:r>
          </w:p>
        </w:tc>
        <w:tc>
          <w:tcPr>
            <w:tcW w:type="dxa" w:w="789"/>
          </w:tcPr>
          <w:p>
            <w:pPr>
              <w:spacing w:after="20"/>
              <w:jc w:val="right"/>
            </w:pPr>
            <w:r>
              <w:rPr>
                <w:color w:val="1C3A36"/>
                <w:sz w:val="15"/>
              </w:rPr>
              <w:t>92</w:t>
            </w:r>
          </w:p>
        </w:tc>
        <w:tc>
          <w:tcPr>
            <w:tcW w:type="dxa" w:w="789"/>
          </w:tcPr>
          <w:p>
            <w:pPr>
              <w:spacing w:after="20"/>
              <w:jc w:val="right"/>
            </w:pPr>
            <w:r>
              <w:rPr>
                <w:color w:val="1C3A36"/>
                <w:sz w:val="15"/>
              </w:rPr>
              <w:t>126</w:t>
            </w:r>
          </w:p>
        </w:tc>
        <w:tc>
          <w:tcPr>
            <w:tcW w:type="dxa" w:w="789"/>
          </w:tcPr>
          <w:p>
            <w:pPr>
              <w:spacing w:after="20"/>
              <w:jc w:val="right"/>
            </w:pPr>
            <w:r>
              <w:rPr>
                <w:color w:val="1C3A36"/>
                <w:sz w:val="15"/>
              </w:rPr>
              <w:t>142</w:t>
            </w:r>
          </w:p>
        </w:tc>
        <w:tc>
          <w:tcPr>
            <w:tcW w:type="dxa" w:w="789"/>
          </w:tcPr>
          <w:p>
            <w:pPr>
              <w:spacing w:after="20"/>
              <w:jc w:val="right"/>
            </w:pPr>
            <w:r>
              <w:rPr>
                <w:color w:val="1C3A36"/>
                <w:sz w:val="15"/>
              </w:rPr>
              <w:t>157</w:t>
            </w:r>
          </w:p>
        </w:tc>
        <w:tc>
          <w:tcPr>
            <w:tcW w:type="dxa" w:w="789"/>
          </w:tcPr>
          <w:p>
            <w:pPr>
              <w:spacing w:after="20"/>
              <w:jc w:val="right"/>
            </w:pPr>
            <w:r>
              <w:rPr>
                <w:color w:val="1C3A36"/>
                <w:sz w:val="15"/>
              </w:rPr>
              <w:t>172</w:t>
            </w:r>
          </w:p>
        </w:tc>
        <w:tc>
          <w:tcPr>
            <w:tcW w:type="dxa" w:w="789"/>
          </w:tcPr>
          <w:p>
            <w:pPr>
              <w:spacing w:after="20"/>
              <w:jc w:val="right"/>
            </w:pPr>
            <w:r>
              <w:rPr>
                <w:color w:val="1C3A36"/>
                <w:sz w:val="15"/>
              </w:rPr>
              <w:t>187</w:t>
            </w:r>
          </w:p>
        </w:tc>
      </w:tr>
      <w:tr>
        <w:tc>
          <w:tcPr>
            <w:tcW w:type="dxa" w:w="3096"/>
          </w:tcPr>
          <w:p>
            <w:pPr>
              <w:spacing w:after="20"/>
            </w:pPr>
            <w:r>
              <w:rPr>
                <w:b/>
                <w:color w:val="1C3A36"/>
                <w:sz w:val="15"/>
              </w:rPr>
              <w:t>Capex — tangible</w:t>
            </w:r>
          </w:p>
        </w:tc>
        <w:tc>
          <w:tcPr>
            <w:tcW w:type="dxa" w:w="789"/>
          </w:tcPr>
          <w:p>
            <w:pPr>
              <w:spacing w:after="20"/>
              <w:jc w:val="right"/>
            </w:pPr>
            <w:r>
              <w:rPr>
                <w:color w:val="1C3A36"/>
                <w:sz w:val="15"/>
              </w:rPr>
              <w:t>(91)</w:t>
            </w:r>
          </w:p>
        </w:tc>
        <w:tc>
          <w:tcPr>
            <w:tcW w:type="dxa" w:w="789"/>
          </w:tcPr>
          <w:p>
            <w:pPr>
              <w:spacing w:after="20"/>
              <w:jc w:val="right"/>
            </w:pPr>
            <w:r>
              <w:rPr>
                <w:color w:val="1C3A36"/>
                <w:sz w:val="15"/>
              </w:rPr>
              <w:t>(65)</w:t>
            </w:r>
          </w:p>
        </w:tc>
        <w:tc>
          <w:tcPr>
            <w:tcW w:type="dxa" w:w="789"/>
          </w:tcPr>
          <w:p>
            <w:pPr>
              <w:spacing w:after="20"/>
              <w:jc w:val="right"/>
            </w:pPr>
            <w:r>
              <w:rPr>
                <w:color w:val="1C3A36"/>
                <w:sz w:val="15"/>
              </w:rPr>
              <w:t>(156)</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r>
      <w:tr>
        <w:tc>
          <w:tcPr>
            <w:tcW w:type="dxa" w:w="3096"/>
          </w:tcPr>
          <w:p>
            <w:pPr>
              <w:spacing w:after="20"/>
            </w:pPr>
            <w:r>
              <w:rPr>
                <w:b/>
                <w:color w:val="1C3A36"/>
                <w:sz w:val="15"/>
              </w:rPr>
              <w:t>Capex — intangible (portfolio buys)</w:t>
            </w:r>
          </w:p>
        </w:tc>
        <w:tc>
          <w:tcPr>
            <w:tcW w:type="dxa" w:w="789"/>
          </w:tcPr>
          <w:p>
            <w:pPr>
              <w:spacing w:after="20"/>
              <w:jc w:val="right"/>
            </w:pPr>
            <w:r>
              <w:rPr>
                <w:color w:val="1C3A36"/>
                <w:sz w:val="15"/>
              </w:rPr>
              <w:t>(162)</w:t>
            </w:r>
          </w:p>
        </w:tc>
        <w:tc>
          <w:tcPr>
            <w:tcW w:type="dxa" w:w="789"/>
          </w:tcPr>
          <w:p>
            <w:pPr>
              <w:spacing w:after="20"/>
              <w:jc w:val="right"/>
            </w:pPr>
            <w:r>
              <w:rPr>
                <w:color w:val="1C3A36"/>
                <w:sz w:val="15"/>
              </w:rPr>
              <w:t>(2)</w:t>
            </w:r>
          </w:p>
        </w:tc>
        <w:tc>
          <w:tcPr>
            <w:tcW w:type="dxa" w:w="789"/>
          </w:tcPr>
          <w:p>
            <w:pPr>
              <w:spacing w:after="20"/>
              <w:jc w:val="right"/>
            </w:pPr>
            <w:r>
              <w:rPr>
                <w:color w:val="1C3A36"/>
                <w:sz w:val="15"/>
              </w:rPr>
              <w:t>(595)</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r>
      <w:tr>
        <w:tc>
          <w:tcPr>
            <w:tcW w:type="dxa" w:w="3096"/>
          </w:tcPr>
          <w:p>
            <w:pPr>
              <w:spacing w:after="20"/>
            </w:pPr>
            <w:r>
              <w:rPr>
                <w:b/>
                <w:color w:val="1C3A36"/>
                <w:sz w:val="15"/>
              </w:rPr>
              <w:t>Capex — total (model, maintenance-led)</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(146)</w:t>
            </w:r>
          </w:p>
        </w:tc>
        <w:tc>
          <w:tcPr>
            <w:tcW w:type="dxa" w:w="789"/>
          </w:tcPr>
          <w:p>
            <w:pPr>
              <w:spacing w:after="20"/>
              <w:jc w:val="right"/>
            </w:pPr>
            <w:r>
              <w:rPr>
                <w:color w:val="1C3A36"/>
                <w:sz w:val="15"/>
              </w:rPr>
              <w:t>(153)</w:t>
            </w:r>
          </w:p>
        </w:tc>
        <w:tc>
          <w:tcPr>
            <w:tcW w:type="dxa" w:w="789"/>
          </w:tcPr>
          <w:p>
            <w:pPr>
              <w:spacing w:after="20"/>
              <w:jc w:val="right"/>
            </w:pPr>
            <w:r>
              <w:rPr>
                <w:color w:val="1C3A36"/>
                <w:sz w:val="15"/>
              </w:rPr>
              <w:t>(157)</w:t>
            </w:r>
          </w:p>
        </w:tc>
        <w:tc>
          <w:tcPr>
            <w:tcW w:type="dxa" w:w="789"/>
          </w:tcPr>
          <w:p>
            <w:pPr>
              <w:spacing w:after="20"/>
              <w:jc w:val="right"/>
            </w:pPr>
            <w:r>
              <w:rPr>
                <w:color w:val="1C3A36"/>
                <w:sz w:val="15"/>
              </w:rPr>
              <w:t>(165)</w:t>
            </w:r>
          </w:p>
        </w:tc>
        <w:tc>
          <w:tcPr>
            <w:tcW w:type="dxa" w:w="789"/>
          </w:tcPr>
          <w:p>
            <w:pPr>
              <w:spacing w:after="20"/>
              <w:jc w:val="right"/>
            </w:pPr>
            <w:r>
              <w:rPr>
                <w:color w:val="1C3A36"/>
                <w:sz w:val="15"/>
              </w:rPr>
              <w:t>(180)</w:t>
            </w:r>
          </w:p>
        </w:tc>
      </w:tr>
      <w:tr>
        <w:tc>
          <w:tcPr>
            <w:tcW w:type="dxa" w:w="3096"/>
          </w:tcPr>
          <w:p>
            <w:pPr>
              <w:spacing w:after="20"/>
            </w:pPr>
            <w:r>
              <w:rPr>
                <w:b/>
                <w:color w:val="1C3A36"/>
                <w:sz w:val="15"/>
              </w:rPr>
              <w:t>Interest paid</w:t>
            </w:r>
          </w:p>
        </w:tc>
        <w:tc>
          <w:tcPr>
            <w:tcW w:type="dxa" w:w="789"/>
          </w:tcPr>
          <w:p>
            <w:pPr>
              <w:spacing w:after="20"/>
              <w:jc w:val="right"/>
            </w:pPr>
            <w:r>
              <w:rPr>
                <w:color w:val="1C3A36"/>
                <w:sz w:val="15"/>
              </w:rPr>
              <w:t>(187)</w:t>
            </w:r>
          </w:p>
        </w:tc>
        <w:tc>
          <w:tcPr>
            <w:tcW w:type="dxa" w:w="789"/>
          </w:tcPr>
          <w:p>
            <w:pPr>
              <w:spacing w:after="20"/>
              <w:jc w:val="right"/>
            </w:pPr>
            <w:r>
              <w:rPr>
                <w:color w:val="1C3A36"/>
                <w:sz w:val="15"/>
              </w:rPr>
              <w:t>(295)</w:t>
            </w:r>
          </w:p>
        </w:tc>
        <w:tc>
          <w:tcPr>
            <w:tcW w:type="dxa" w:w="789"/>
          </w:tcPr>
          <w:p>
            <w:pPr>
              <w:spacing w:after="20"/>
              <w:jc w:val="right"/>
            </w:pPr>
            <w:r>
              <w:rPr>
                <w:color w:val="1C3A36"/>
                <w:sz w:val="15"/>
              </w:rPr>
              <w:t>(527)</w:t>
            </w:r>
          </w:p>
        </w:tc>
        <w:tc>
          <w:tcPr>
            <w:tcW w:type="dxa" w:w="789"/>
          </w:tcPr>
          <w:p>
            <w:pPr>
              <w:spacing w:after="20"/>
              <w:jc w:val="right"/>
            </w:pPr>
            <w:r>
              <w:rPr>
                <w:color w:val="1C3A36"/>
                <w:sz w:val="15"/>
              </w:rPr>
              <w:t>(520)</w:t>
            </w:r>
          </w:p>
        </w:tc>
        <w:tc>
          <w:tcPr>
            <w:tcW w:type="dxa" w:w="789"/>
          </w:tcPr>
          <w:p>
            <w:pPr>
              <w:spacing w:after="20"/>
              <w:jc w:val="right"/>
            </w:pPr>
            <w:r>
              <w:rPr>
                <w:color w:val="1C3A36"/>
                <w:sz w:val="15"/>
              </w:rPr>
              <w:t>(428)</w:t>
            </w:r>
          </w:p>
        </w:tc>
        <w:tc>
          <w:tcPr>
            <w:tcW w:type="dxa" w:w="789"/>
          </w:tcPr>
          <w:p>
            <w:pPr>
              <w:spacing w:after="20"/>
              <w:jc w:val="right"/>
            </w:pPr>
            <w:r>
              <w:rPr>
                <w:color w:val="1C3A36"/>
                <w:sz w:val="15"/>
              </w:rPr>
              <w:t>(345)</w:t>
            </w:r>
          </w:p>
        </w:tc>
        <w:tc>
          <w:tcPr>
            <w:tcW w:type="dxa" w:w="789"/>
          </w:tcPr>
          <w:p>
            <w:pPr>
              <w:spacing w:after="20"/>
              <w:jc w:val="right"/>
            </w:pPr>
            <w:r>
              <w:rPr>
                <w:color w:val="1C3A36"/>
                <w:sz w:val="15"/>
              </w:rPr>
              <w:t>(254)</w:t>
            </w:r>
          </w:p>
        </w:tc>
        <w:tc>
          <w:tcPr>
            <w:tcW w:type="dxa" w:w="789"/>
          </w:tcPr>
          <w:p>
            <w:pPr>
              <w:spacing w:after="20"/>
              <w:jc w:val="right"/>
            </w:pPr>
            <w:r>
              <w:rPr>
                <w:color w:val="1C3A36"/>
                <w:sz w:val="15"/>
              </w:rPr>
              <w:t>(160)</w:t>
            </w:r>
          </w:p>
        </w:tc>
      </w:tr>
      <w:tr>
        <w:tc>
          <w:tcPr>
            <w:tcW w:type="dxa" w:w="3096"/>
          </w:tcPr>
          <w:p>
            <w:pPr>
              <w:spacing w:after="20"/>
            </w:pPr>
            <w:r>
              <w:rPr>
                <w:b/>
                <w:color w:val="1C3A36"/>
                <w:sz w:val="15"/>
              </w:rPr>
              <w:t>Tax paid</w:t>
            </w:r>
          </w:p>
        </w:tc>
        <w:tc>
          <w:tcPr>
            <w:tcW w:type="dxa" w:w="789"/>
          </w:tcPr>
          <w:p>
            <w:pPr>
              <w:spacing w:after="20"/>
              <w:jc w:val="right"/>
            </w:pPr>
            <w:r>
              <w:rPr>
                <w:color w:val="1C3A36"/>
                <w:sz w:val="15"/>
              </w:rPr>
              <w:t>(61)</w:t>
            </w:r>
          </w:p>
        </w:tc>
        <w:tc>
          <w:tcPr>
            <w:tcW w:type="dxa" w:w="789"/>
          </w:tcPr>
          <w:p>
            <w:pPr>
              <w:spacing w:after="20"/>
              <w:jc w:val="right"/>
            </w:pPr>
            <w:r>
              <w:rPr>
                <w:color w:val="1C3A36"/>
                <w:sz w:val="15"/>
              </w:rPr>
              <w:t>(67)</w:t>
            </w:r>
          </w:p>
        </w:tc>
        <w:tc>
          <w:tcPr>
            <w:tcW w:type="dxa" w:w="789"/>
          </w:tcPr>
          <w:p>
            <w:pPr>
              <w:spacing w:after="20"/>
              <w:jc w:val="right"/>
            </w:pPr>
            <w:r>
              <w:rPr>
                <w:color w:val="1C3A36"/>
                <w:sz w:val="15"/>
              </w:rPr>
              <w:t>(102)</w:t>
            </w:r>
          </w:p>
        </w:tc>
        <w:tc>
          <w:tcPr>
            <w:tcW w:type="dxa" w:w="789"/>
          </w:tcPr>
          <w:p>
            <w:pPr>
              <w:spacing w:after="20"/>
              <w:jc w:val="right"/>
            </w:pPr>
            <w:r>
              <w:rPr>
                <w:color w:val="1C3A36"/>
                <w:sz w:val="15"/>
              </w:rPr>
              <w:t>(182)</w:t>
            </w:r>
          </w:p>
        </w:tc>
        <w:tc>
          <w:tcPr>
            <w:tcW w:type="dxa" w:w="789"/>
          </w:tcPr>
          <w:p>
            <w:pPr>
              <w:spacing w:after="20"/>
              <w:jc w:val="right"/>
            </w:pPr>
            <w:r>
              <w:rPr>
                <w:color w:val="1C3A36"/>
                <w:sz w:val="15"/>
              </w:rPr>
              <w:t>(251)</w:t>
            </w:r>
          </w:p>
        </w:tc>
        <w:tc>
          <w:tcPr>
            <w:tcW w:type="dxa" w:w="789"/>
          </w:tcPr>
          <w:p>
            <w:pPr>
              <w:spacing w:after="20"/>
              <w:jc w:val="right"/>
            </w:pPr>
            <w:r>
              <w:rPr>
                <w:color w:val="1C3A36"/>
                <w:sz w:val="15"/>
              </w:rPr>
              <w:t>(314)</w:t>
            </w:r>
          </w:p>
        </w:tc>
        <w:tc>
          <w:tcPr>
            <w:tcW w:type="dxa" w:w="789"/>
          </w:tcPr>
          <w:p>
            <w:pPr>
              <w:spacing w:after="20"/>
              <w:jc w:val="right"/>
            </w:pPr>
            <w:r>
              <w:rPr>
                <w:color w:val="1C3A36"/>
                <w:sz w:val="15"/>
              </w:rPr>
              <w:t>(376)</w:t>
            </w:r>
          </w:p>
        </w:tc>
        <w:tc>
          <w:tcPr>
            <w:tcW w:type="dxa" w:w="789"/>
          </w:tcPr>
          <w:p>
            <w:pPr>
              <w:spacing w:after="20"/>
              <w:jc w:val="right"/>
            </w:pPr>
            <w:r>
              <w:rPr>
                <w:color w:val="1C3A36"/>
                <w:sz w:val="15"/>
              </w:rPr>
              <w:t>(437)</w:t>
            </w:r>
          </w:p>
        </w:tc>
      </w:tr>
      <w:tr>
        <w:tc>
          <w:tcPr>
            <w:tcW w:type="dxa" w:w="3096"/>
          </w:tcPr>
          <w:p>
            <w:pPr>
              <w:spacing w:after="20"/>
            </w:pPr>
            <w:r>
              <w:rPr>
                <w:b/>
                <w:color w:val="1C3A36"/>
                <w:sz w:val="15"/>
              </w:rPr>
              <w:t>Dividends paid</w:t>
            </w:r>
          </w:p>
        </w:tc>
        <w:tc>
          <w:tcPr>
            <w:tcW w:type="dxa" w:w="789"/>
          </w:tcPr>
          <w:p>
            <w:pPr>
              <w:spacing w:after="20"/>
              <w:jc w:val="right"/>
            </w:pPr>
            <w:r>
              <w:rPr>
                <w:color w:val="1C3A36"/>
                <w:sz w:val="15"/>
              </w:rPr>
              <w:t>(17)</w:t>
            </w:r>
          </w:p>
        </w:tc>
        <w:tc>
          <w:tcPr>
            <w:tcW w:type="dxa" w:w="789"/>
          </w:tcPr>
          <w:p>
            <w:pPr>
              <w:spacing w:after="20"/>
              <w:jc w:val="right"/>
            </w:pPr>
            <w:r>
              <w:rPr>
                <w:color w:val="1C3A36"/>
                <w:sz w:val="15"/>
              </w:rPr>
              <w:t>(121)</w:t>
            </w:r>
          </w:p>
        </w:tc>
        <w:tc>
          <w:tcPr>
            <w:tcW w:type="dxa" w:w="789"/>
          </w:tcPr>
          <w:p>
            <w:pPr>
              <w:spacing w:after="20"/>
              <w:jc w:val="right"/>
            </w:pPr>
            <w:r>
              <w:rPr>
                <w:color w:val="1C3A36"/>
                <w:sz w:val="15"/>
              </w:rPr>
              <w:t>(189)</w:t>
            </w:r>
          </w:p>
        </w:tc>
        <w:tc>
          <w:tcPr>
            <w:tcW w:type="dxa" w:w="789"/>
          </w:tcPr>
          <w:p>
            <w:pPr>
              <w:spacing w:after="20"/>
              <w:jc w:val="right"/>
            </w:pPr>
            <w:r>
              <w:rPr>
                <w:color w:val="1C3A36"/>
                <w:sz w:val="15"/>
              </w:rPr>
              <w:t>(120)</w:t>
            </w:r>
          </w:p>
        </w:tc>
        <w:tc>
          <w:tcPr>
            <w:tcW w:type="dxa" w:w="789"/>
          </w:tcPr>
          <w:p>
            <w:pPr>
              <w:spacing w:after="20"/>
              <w:jc w:val="right"/>
            </w:pPr>
            <w:r>
              <w:rPr>
                <w:color w:val="1C3A36"/>
                <w:sz w:val="15"/>
              </w:rPr>
              <w:t>(317)</w:t>
            </w:r>
          </w:p>
        </w:tc>
        <w:tc>
          <w:tcPr>
            <w:tcW w:type="dxa" w:w="789"/>
          </w:tcPr>
          <w:p>
            <w:pPr>
              <w:spacing w:after="20"/>
              <w:jc w:val="right"/>
            </w:pPr>
            <w:r>
              <w:rPr>
                <w:color w:val="1C3A36"/>
                <w:sz w:val="15"/>
              </w:rPr>
              <w:t>(398)</w:t>
            </w:r>
          </w:p>
        </w:tc>
        <w:tc>
          <w:tcPr>
            <w:tcW w:type="dxa" w:w="789"/>
          </w:tcPr>
          <w:p>
            <w:pPr>
              <w:spacing w:after="20"/>
              <w:jc w:val="right"/>
            </w:pPr>
            <w:r>
              <w:rPr>
                <w:color w:val="1C3A36"/>
                <w:sz w:val="15"/>
              </w:rPr>
              <w:t>(477)</w:t>
            </w:r>
          </w:p>
        </w:tc>
        <w:tc>
          <w:tcPr>
            <w:tcW w:type="dxa" w:w="789"/>
          </w:tcPr>
          <w:p>
            <w:pPr>
              <w:spacing w:after="20"/>
              <w:jc w:val="right"/>
            </w:pPr>
            <w:r>
              <w:rPr>
                <w:color w:val="1C3A36"/>
                <w:sz w:val="15"/>
              </w:rPr>
              <w:t>(554)</w:t>
            </w:r>
          </w:p>
        </w:tc>
      </w:tr>
      <w:tr>
        <w:tc>
          <w:tcPr>
            <w:tcW w:type="dxa" w:w="3096"/>
          </w:tcPr>
          <w:p>
            <w:pPr>
              <w:spacing w:after="20"/>
            </w:pPr>
            <w:r>
              <w:rPr>
                <w:b/>
                <w:color w:val="1C3A36"/>
                <w:sz w:val="15"/>
              </w:rPr>
              <w:t>FCFF (model)</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w:t>
            </w:r>
          </w:p>
        </w:tc>
        <w:tc>
          <w:tcPr>
            <w:tcW w:type="dxa" w:w="789"/>
          </w:tcPr>
          <w:p>
            <w:pPr>
              <w:spacing w:after="20"/>
              <w:jc w:val="right"/>
            </w:pPr>
            <w:r>
              <w:rPr>
                <w:color w:val="1C3A36"/>
                <w:sz w:val="15"/>
              </w:rPr>
              <w:t>683</w:t>
            </w:r>
          </w:p>
        </w:tc>
        <w:tc>
          <w:tcPr>
            <w:tcW w:type="dxa" w:w="789"/>
          </w:tcPr>
          <w:p>
            <w:pPr>
              <w:spacing w:after="20"/>
              <w:jc w:val="right"/>
            </w:pPr>
            <w:r>
              <w:rPr>
                <w:color w:val="1C3A36"/>
                <w:sz w:val="15"/>
              </w:rPr>
              <w:t>832</w:t>
            </w:r>
          </w:p>
        </w:tc>
        <w:tc>
          <w:tcPr>
            <w:tcW w:type="dxa" w:w="789"/>
          </w:tcPr>
          <w:p>
            <w:pPr>
              <w:spacing w:after="20"/>
              <w:jc w:val="right"/>
            </w:pPr>
            <w:r>
              <w:rPr>
                <w:color w:val="1C3A36"/>
                <w:sz w:val="15"/>
              </w:rPr>
              <w:t>977</w:t>
            </w:r>
          </w:p>
        </w:tc>
        <w:tc>
          <w:tcPr>
            <w:tcW w:type="dxa" w:w="789"/>
          </w:tcPr>
          <w:p>
            <w:pPr>
              <w:spacing w:after="20"/>
              <w:jc w:val="right"/>
            </w:pPr>
            <w:r>
              <w:rPr>
                <w:color w:val="1C3A36"/>
                <w:sz w:val="15"/>
              </w:rPr>
              <w:t>1,096</w:t>
            </w:r>
          </w:p>
        </w:tc>
        <w:tc>
          <w:tcPr>
            <w:tcW w:type="dxa" w:w="789"/>
          </w:tcPr>
          <w:p>
            <w:pPr>
              <w:spacing w:after="20"/>
              <w:jc w:val="right"/>
            </w:pPr>
            <w:r>
              <w:rPr>
                <w:color w:val="1C3A36"/>
                <w:sz w:val="15"/>
              </w:rPr>
              <w:t>1,177</w:t>
            </w:r>
          </w:p>
        </w:tc>
      </w:tr>
    </w:tbl>
    <w:p>
      <w:pPr>
        <w:spacing w:after="40"/>
      </w:pPr>
    </w:p>
    <w:p>
      <w:pPr>
        <w:spacing w:after="200" w:before="0"/>
      </w:pPr>
      <w:r>
        <w:rPr>
          <w:b w:val="0"/>
          <w:i/>
          <w:color w:val="6E7B77"/>
          <w:sz w:val="17"/>
        </w:rPr>
        <w:t>Dual framing, stated: disclosed FY25 OCF is NEGATIVE (−44) after EGP 527mn of interest paid inside operating activities and the receivable build — while model FCFF (pre-interest, by definition) is strongly positive. Both are true; the gap IS the §1.7 crux. Historical intangible capex is dominated by the acquired product portfolios (EGP 595mn FY25); the forecast runs maintenance-led capex and treats further portfolio deals as event risk (§5), not a base-case line.</w:t>
      </w:r>
    </w:p>
    <w:p>
      <w:pPr>
        <w:spacing w:after="80" w:before="200"/>
      </w:pPr>
      <w:r>
        <w:rPr>
          <w:b/>
          <w:i w:val="0"/>
          <w:color w:val="1C3A36"/>
          <w:sz w:val="24"/>
        </w:rPr>
        <w:t>A.4  The assertion log — the numbers’ own receipt</w:t>
      </w:r>
    </w:p>
    <w:p>
      <w:pPr>
        <w:spacing w:after="120" w:before="0"/>
      </w:pPr>
      <w:r>
        <w:rPr>
          <w:b w:val="0"/>
          <w:i w:val="0"/>
          <w:color w:val="1C3A36"/>
          <w:sz w:val="19"/>
        </w:rPr>
        <w:t>No financial arithmetic in this study exists outside executed code: compute.py builds every figure from four-field provenance inputs {value, source, date, ring}, raises on any failed check, and emits study_numbers.json only when the full assertion suite passes — the EV→equity bridge closing exactly, the terminal value computed and disclosed as % of EV, every balance sheet balancing, the audited FY25 GP/PBT/NI tie, and the implied FV/spot plausibility band. The printed ASSERT output is filed verbatim with this study’s quality-control records; the Word document and the Excel model are both pure renderers of that one JSON.</w:t>
      </w:r>
    </w:p>
    <w:p>
      <w:pPr>
        <w:spacing w:after="120" w:before="280"/>
      </w:pPr>
      <w:r>
        <w:rPr>
          <w:b/>
          <w:i w:val="0"/>
          <w:color w:val="1C3A36"/>
          <w:sz w:val="30"/>
        </w:rPr>
        <w:t>Appendix B  Sector structure, peers, and the risk register</w:t>
      </w:r>
    </w:p>
    <w:p>
      <w:pPr>
        <w:spacing w:after="120" w:before="0"/>
      </w:pPr>
      <w:r>
        <w:rPr>
          <w:b w:val="0"/>
          <w:i w:val="0"/>
          <w:color w:val="1C3A36"/>
          <w:sz w:val="21"/>
        </w:rPr>
        <w:t>Rameda operates in a defensive, administered-price, volume-growth market. Egyptian pharma demand is structurally underpinned by demographics (107mn people, high birth rate) and universal-health-insurance rollout; pricing is set by the Egyptian Drug Authority, which historically lags inflation and then catches up in steps — the FY25 revenue surge is that catch-up regime plus a 40% ex-toll volume gain, not FX arithmetic. Local manufacturers (Rameda, EIPICO, Ibnsina-distributed brands, Amoun, multinational toll partners) compete on portfolio breadth, EDA file speed and channel reach; Rameda’s differentiation is an acquisition-led portfolio machine — buying approved molecules and re-launching them through its own plants — which converts balance-sheet capacity directly into revenue, and is exactly why the interest bill became the income statement’s swing line. Same-name context per §1.3: the market pays 10.7× trailing / 8.9× forward EV/EBITDA for this engine today; the relative lens’s 6.5–9.5× band deliberately sits below the forward print (§1.3 states why). Peer multiples from aggregators are context only and are never model inputs (sourcing rule).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448"/>
            <w:shd w:val="clear" w:color="auto" w:fill="EAF0EE"/>
          </w:tcPr>
          <w:p>
            <w:pPr>
              <w:spacing w:after="20"/>
            </w:pPr>
            <w:r>
              <w:rPr>
                <w:b/>
                <w:color w:val="1C3A36"/>
                <w:sz w:val="17"/>
              </w:rPr>
              <w:t>Risk</w:t>
            </w:r>
          </w:p>
        </w:tc>
        <w:tc>
          <w:tcPr>
            <w:tcW w:type="dxa" w:w="3888"/>
            <w:shd w:val="clear" w:color="auto" w:fill="EAF0EE"/>
          </w:tcPr>
          <w:p>
            <w:pPr>
              <w:spacing w:after="20"/>
            </w:pPr>
            <w:r>
              <w:rPr>
                <w:b/>
                <w:color w:val="1C3A36"/>
                <w:sz w:val="17"/>
              </w:rPr>
              <w:t>Mechanism</w:t>
            </w:r>
          </w:p>
        </w:tc>
        <w:tc>
          <w:tcPr>
            <w:tcW w:type="dxa" w:w="3600"/>
            <w:shd w:val="clear" w:color="auto" w:fill="EAF0EE"/>
          </w:tcPr>
          <w:p>
            <w:pPr>
              <w:spacing w:after="20"/>
            </w:pPr>
            <w:r>
              <w:rPr>
                <w:b/>
                <w:color w:val="1C3A36"/>
                <w:sz w:val="17"/>
              </w:rPr>
              <w:t>Where it is priced in this study</w:t>
            </w:r>
          </w:p>
        </w:tc>
      </w:tr>
      <w:tr>
        <w:tc>
          <w:tcPr>
            <w:tcW w:type="dxa" w:w="2448"/>
          </w:tcPr>
          <w:p>
            <w:pPr>
              <w:spacing w:after="20"/>
            </w:pPr>
            <w:r>
              <w:rPr>
                <w:b/>
                <w:color w:val="1C3A36"/>
                <w:sz w:val="17"/>
              </w:rPr>
              <w:t>Rate path stays high</w:t>
            </w:r>
          </w:p>
        </w:tc>
        <w:tc>
          <w:tcPr>
            <w:tcW w:type="dxa" w:w="3888"/>
          </w:tcPr>
          <w:p>
            <w:pPr>
              <w:spacing w:after="20"/>
              <w:jc w:val="right"/>
            </w:pPr>
            <w:r>
              <w:rPr>
                <w:color w:val="1C3A36"/>
                <w:sz w:val="17"/>
              </w:rPr>
              <w:t>Interest eats the EBITDA gain; DCF stays low</w:t>
            </w:r>
          </w:p>
        </w:tc>
        <w:tc>
          <w:tcPr>
            <w:tcW w:type="dxa" w:w="3600"/>
          </w:tcPr>
          <w:p>
            <w:pPr>
              <w:spacing w:after="20"/>
              <w:jc w:val="right"/>
            </w:pPr>
            <w:r>
              <w:rPr>
                <w:color w:val="1C3A36"/>
                <w:sz w:val="17"/>
              </w:rPr>
              <w:t>§1.7 crux; §1.9 WACC row; the verdict itself</w:t>
            </w:r>
          </w:p>
        </w:tc>
      </w:tr>
      <w:tr>
        <w:tc>
          <w:tcPr>
            <w:tcW w:type="dxa" w:w="2448"/>
          </w:tcPr>
          <w:p>
            <w:pPr>
              <w:spacing w:after="20"/>
            </w:pPr>
            <w:r>
              <w:rPr>
                <w:b/>
                <w:color w:val="1C3A36"/>
                <w:sz w:val="17"/>
              </w:rPr>
              <w:t>EGP step-devaluation</w:t>
            </w:r>
          </w:p>
        </w:tc>
        <w:tc>
          <w:tcPr>
            <w:tcW w:type="dxa" w:w="3888"/>
          </w:tcPr>
          <w:p>
            <w:pPr>
              <w:spacing w:after="20"/>
              <w:jc w:val="right"/>
            </w:pPr>
            <w:r>
              <w:rPr>
                <w:color w:val="1C3A36"/>
                <w:sz w:val="17"/>
              </w:rPr>
              <w:t>USD API costs jump; pricing catches up with a lag</w:t>
            </w:r>
          </w:p>
        </w:tc>
        <w:tc>
          <w:tcPr>
            <w:tcW w:type="dxa" w:w="3600"/>
          </w:tcPr>
          <w:p>
            <w:pPr>
              <w:spacing w:after="20"/>
              <w:jc w:val="right"/>
            </w:pPr>
            <w:r>
              <w:rPr>
                <w:color w:val="1C3A36"/>
                <w:sz w:val="17"/>
              </w:rPr>
              <w:t>§5 map (10%, −3%); fat-tailed ν in the cone</w:t>
            </w:r>
          </w:p>
        </w:tc>
      </w:tr>
      <w:tr>
        <w:tc>
          <w:tcPr>
            <w:tcW w:type="dxa" w:w="2448"/>
          </w:tcPr>
          <w:p>
            <w:pPr>
              <w:spacing w:after="20"/>
            </w:pPr>
            <w:r>
              <w:rPr>
                <w:b/>
                <w:color w:val="1C3A36"/>
                <w:sz w:val="17"/>
              </w:rPr>
              <w:t>EDA pricing freeze</w:t>
            </w:r>
          </w:p>
        </w:tc>
        <w:tc>
          <w:tcPr>
            <w:tcW w:type="dxa" w:w="3888"/>
          </w:tcPr>
          <w:p>
            <w:pPr>
              <w:spacing w:after="20"/>
              <w:jc w:val="right"/>
            </w:pPr>
            <w:r>
              <w:rPr>
                <w:color w:val="1C3A36"/>
                <w:sz w:val="17"/>
              </w:rPr>
              <w:t>Margin glide reverses toward FY23’s 20%</w:t>
            </w:r>
          </w:p>
        </w:tc>
        <w:tc>
          <w:tcPr>
            <w:tcW w:type="dxa" w:w="3600"/>
          </w:tcPr>
          <w:p>
            <w:pPr>
              <w:spacing w:after="20"/>
              <w:jc w:val="right"/>
            </w:pPr>
            <w:r>
              <w:rPr>
                <w:color w:val="1C3A36"/>
                <w:sz w:val="17"/>
              </w:rPr>
              <w:t>§1.9 margin grid (−2pp column)</w:t>
            </w:r>
          </w:p>
        </w:tc>
      </w:tr>
      <w:tr>
        <w:tc>
          <w:tcPr>
            <w:tcW w:type="dxa" w:w="2448"/>
          </w:tcPr>
          <w:p>
            <w:pPr>
              <w:spacing w:after="20"/>
            </w:pPr>
            <w:r>
              <w:rPr>
                <w:b/>
                <w:color w:val="1C3A36"/>
                <w:sz w:val="17"/>
              </w:rPr>
              <w:t>Working-capital relapse</w:t>
            </w:r>
          </w:p>
        </w:tc>
        <w:tc>
          <w:tcPr>
            <w:tcW w:type="dxa" w:w="3888"/>
          </w:tcPr>
          <w:p>
            <w:pPr>
              <w:spacing w:after="20"/>
              <w:jc w:val="right"/>
            </w:pPr>
            <w:r>
              <w:rPr>
                <w:color w:val="1C3A36"/>
                <w:sz w:val="17"/>
              </w:rPr>
              <w:t>Tender cycle rebuilds receivables; debt glide stalls</w:t>
            </w:r>
          </w:p>
        </w:tc>
        <w:tc>
          <w:tcPr>
            <w:tcW w:type="dxa" w:w="3600"/>
          </w:tcPr>
          <w:p>
            <w:pPr>
              <w:spacing w:after="20"/>
              <w:jc w:val="right"/>
            </w:pPr>
            <w:r>
              <w:rPr>
                <w:color w:val="1C3A36"/>
                <w:sz w:val="17"/>
              </w:rPr>
              <w:t>§1.9 NWC grid; caveat 4</w:t>
            </w:r>
          </w:p>
        </w:tc>
      </w:tr>
      <w:tr>
        <w:tc>
          <w:tcPr>
            <w:tcW w:type="dxa" w:w="2448"/>
          </w:tcPr>
          <w:p>
            <w:pPr>
              <w:spacing w:after="20"/>
            </w:pPr>
            <w:r>
              <w:rPr>
                <w:b/>
                <w:color w:val="1C3A36"/>
                <w:sz w:val="17"/>
              </w:rPr>
              <w:t>Portfolio deal at a bad price</w:t>
            </w:r>
          </w:p>
        </w:tc>
        <w:tc>
          <w:tcPr>
            <w:tcW w:type="dxa" w:w="3888"/>
          </w:tcPr>
          <w:p>
            <w:pPr>
              <w:spacing w:after="20"/>
              <w:jc w:val="right"/>
            </w:pPr>
            <w:r>
              <w:rPr>
                <w:color w:val="1C3A36"/>
                <w:sz w:val="17"/>
              </w:rPr>
              <w:t>Leverage re-tightens; FY25 replays</w:t>
            </w:r>
          </w:p>
        </w:tc>
        <w:tc>
          <w:tcPr>
            <w:tcW w:type="dxa" w:w="3600"/>
          </w:tcPr>
          <w:p>
            <w:pPr>
              <w:spacing w:after="20"/>
              <w:jc w:val="right"/>
            </w:pPr>
            <w:r>
              <w:rPr>
                <w:color w:val="1C3A36"/>
                <w:sz w:val="17"/>
              </w:rPr>
              <w:t>§5 event (35%, direction price-dependent)</w:t>
            </w:r>
          </w:p>
        </w:tc>
      </w:tr>
      <w:tr>
        <w:tc>
          <w:tcPr>
            <w:tcW w:type="dxa" w:w="2448"/>
          </w:tcPr>
          <w:p>
            <w:pPr>
              <w:spacing w:after="20"/>
            </w:pPr>
            <w:r>
              <w:rPr>
                <w:b/>
                <w:color w:val="1C3A36"/>
                <w:sz w:val="17"/>
              </w:rPr>
              <w:t>Injectables/regulatory drag</w:t>
            </w:r>
          </w:p>
        </w:tc>
        <w:tc>
          <w:tcPr>
            <w:tcW w:type="dxa" w:w="3888"/>
          </w:tcPr>
          <w:p>
            <w:pPr>
              <w:spacing w:after="20"/>
              <w:jc w:val="right"/>
            </w:pPr>
            <w:r>
              <w:rPr>
                <w:color w:val="1C3A36"/>
                <w:sz w:val="17"/>
              </w:rPr>
              <w:t>Licence or GMP issue idles a line</w:t>
            </w:r>
          </w:p>
        </w:tc>
        <w:tc>
          <w:tcPr>
            <w:tcW w:type="dxa" w:w="3600"/>
          </w:tcPr>
          <w:p>
            <w:pPr>
              <w:spacing w:after="20"/>
              <w:jc w:val="right"/>
            </w:pPr>
            <w:r>
              <w:rPr>
                <w:color w:val="1C3A36"/>
                <w:sz w:val="17"/>
              </w:rPr>
              <w:t>§5 event (15%, −0.8%)</w:t>
            </w:r>
          </w:p>
        </w:tc>
      </w:tr>
      <w:tr>
        <w:tc>
          <w:tcPr>
            <w:tcW w:type="dxa" w:w="2448"/>
          </w:tcPr>
          <w:p>
            <w:pPr>
              <w:spacing w:after="20"/>
            </w:pPr>
            <w:r>
              <w:rPr>
                <w:b/>
                <w:color w:val="1C3A36"/>
                <w:sz w:val="17"/>
              </w:rPr>
              <w:t>Toll-manufacturing churn</w:t>
            </w:r>
          </w:p>
        </w:tc>
        <w:tc>
          <w:tcPr>
            <w:tcW w:type="dxa" w:w="3888"/>
          </w:tcPr>
          <w:p>
            <w:pPr>
              <w:spacing w:after="20"/>
              <w:jc w:val="right"/>
            </w:pPr>
            <w:r>
              <w:rPr>
                <w:color w:val="1C3A36"/>
                <w:sz w:val="17"/>
              </w:rPr>
              <w:t>Partner in-sources; utilization gap</w:t>
            </w:r>
          </w:p>
        </w:tc>
        <w:tc>
          <w:tcPr>
            <w:tcW w:type="dxa" w:w="3600"/>
          </w:tcPr>
          <w:p>
            <w:pPr>
              <w:spacing w:after="20"/>
              <w:jc w:val="right"/>
            </w:pPr>
            <w:r>
              <w:rPr>
                <w:color w:val="1C3A36"/>
                <w:sz w:val="17"/>
              </w:rPr>
              <w:t>Driver table: toll +30% near term, tapering to +10%</w:t>
            </w:r>
          </w:p>
        </w:tc>
      </w:tr>
      <w:tr>
        <w:tc>
          <w:tcPr>
            <w:tcW w:type="dxa" w:w="2448"/>
          </w:tcPr>
          <w:p>
            <w:pPr>
              <w:spacing w:after="20"/>
            </w:pPr>
            <w:r>
              <w:rPr>
                <w:b/>
                <w:color w:val="1C3A36"/>
                <w:sz w:val="17"/>
              </w:rPr>
              <w:t>Liquidity &amp; flow risk (EGX small-cap)</w:t>
            </w:r>
          </w:p>
        </w:tc>
        <w:tc>
          <w:tcPr>
            <w:tcW w:type="dxa" w:w="3888"/>
          </w:tcPr>
          <w:p>
            <w:pPr>
              <w:spacing w:after="20"/>
              <w:jc w:val="right"/>
            </w:pPr>
            <w:r>
              <w:rPr>
                <w:color w:val="1C3A36"/>
                <w:sz w:val="17"/>
              </w:rPr>
              <w:t>Wide daily moves on thin volume</w:t>
            </w:r>
          </w:p>
        </w:tc>
        <w:tc>
          <w:tcPr>
            <w:tcW w:type="dxa" w:w="3600"/>
          </w:tcPr>
          <w:p>
            <w:pPr>
              <w:spacing w:after="20"/>
              <w:jc w:val="right"/>
            </w:pPr>
            <w:r>
              <w:rPr>
                <w:color w:val="1C3A36"/>
                <w:sz w:val="17"/>
              </w:rPr>
              <w:t>The 30-vol cone width; §2</w:t>
            </w:r>
          </w:p>
        </w:tc>
      </w:tr>
    </w:tbl>
    <w:p>
      <w:pPr>
        <w:spacing w:after="40"/>
      </w:pPr>
    </w:p>
    <w:p>
      <w:pPr>
        <w:spacing w:after="120" w:before="280"/>
      </w:pPr>
      <w:r>
        <w:rPr>
          <w:b/>
          <w:i w:val="0"/>
          <w:color w:val="1C3A36"/>
          <w:sz w:val="30"/>
        </w:rPr>
        <w:t>Appendix C  The expert valuation panel</w:t>
      </w:r>
    </w:p>
    <w:p>
      <w:pPr>
        <w:spacing w:after="120" w:before="0"/>
      </w:pPr>
      <w:r>
        <w:rPr>
          <w:b w:val="0"/>
          <w:i w:val="0"/>
          <w:color w:val="1C3A36"/>
          <w:sz w:val="21"/>
        </w:rPr>
        <w:t>Every Testahil study closes with a panel of standing expert personas — drawn from the house Expert Persona Library, not invented for the occasion, so each accumulates a track record across studies. For Rameda we cast the operating-company trio: cash-returns (economic profit against the cost of capital), earnings-power (normalized earnings × justified multiple), and macro-policy (a scenario tree on the one variable that dominates — the Egyptian rate path). Labels are "Expert 1 / 2 / 3" per house rule. Each runs a genuinely different method, shows workings, and states a falsification condition.</w:t>
      </w:r>
    </w:p>
    <w:p>
      <w:pPr>
        <w:spacing w:after="80" w:before="200"/>
      </w:pPr>
      <w:r>
        <w:rPr>
          <w:b/>
          <w:i w:val="0"/>
          <w:color w:val="1C3A36"/>
          <w:sz w:val="24"/>
        </w:rPr>
        <w:t>C.1  Expert 1 — cash returns: ROIC against the cost of capital</w:t>
      </w:r>
    </w:p>
    <w:p>
      <w:pPr>
        <w:spacing w:after="120" w:before="0"/>
      </w:pPr>
      <w:r>
        <w:rPr>
          <w:b w:val="0"/>
          <w:i w:val="0"/>
          <w:color w:val="1C3A36"/>
          <w:sz w:val="19"/>
        </w:rPr>
        <w:t>Worldview. A business creates value only when a pound of capital earns above its cost — accounting growth that fails that test is expensive motion. He is the panel’s cold shower, and on a 29% cost of capital the water is icy.</w:t>
      </w:r>
    </w:p>
    <w:p>
      <w:pPr>
        <w:spacing w:after="120" w:before="0"/>
      </w:pPr>
      <w:r>
        <w:rPr>
          <w:b w:val="0"/>
          <w:i w:val="0"/>
          <w:color w:val="1C3A36"/>
          <w:sz w:val="19"/>
        </w:rPr>
        <w:t>When it works / fails. Best where the returns-vs-cost spread is the crux — precisely a leveraged EGP business today. Fails when the discount rate itself is the transient: if Egyptian rates normalize, his charge on capital is a snapshot of the worst year, not the life of the firm — he accepts this openly.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1’s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Invested capital (equity + net debt, FY25)</w:t>
            </w:r>
          </w:p>
        </w:tc>
        <w:tc>
          <w:tcPr>
            <w:tcW w:type="dxa" w:w="2448"/>
          </w:tcPr>
          <w:p>
            <w:pPr>
              <w:spacing w:after="20"/>
              <w:jc w:val="right"/>
            </w:pPr>
            <w:r>
              <w:rPr>
                <w:color w:val="1C3A36"/>
                <w:sz w:val="18"/>
              </w:rPr>
              <w:t>EGP 4,517 mn</w:t>
            </w:r>
          </w:p>
        </w:tc>
      </w:tr>
      <w:tr>
        <w:tc>
          <w:tcPr>
            <w:tcW w:type="dxa" w:w="6336"/>
          </w:tcPr>
          <w:p>
            <w:pPr>
              <w:spacing w:after="20"/>
            </w:pPr>
            <w:r>
              <w:rPr>
                <w:b/>
                <w:color w:val="1C3A36"/>
                <w:sz w:val="18"/>
              </w:rPr>
              <w:t>FY26E NOPAT → ROIC</w:t>
            </w:r>
          </w:p>
        </w:tc>
        <w:tc>
          <w:tcPr>
            <w:tcW w:type="dxa" w:w="2448"/>
          </w:tcPr>
          <w:p>
            <w:pPr>
              <w:spacing w:after="20"/>
              <w:jc w:val="right"/>
            </w:pPr>
            <w:r>
              <w:rPr>
                <w:color w:val="1C3A36"/>
                <w:sz w:val="18"/>
              </w:rPr>
              <w:t>EGP 968 mn → 21.4%</w:t>
            </w:r>
          </w:p>
        </w:tc>
      </w:tr>
      <w:tr>
        <w:tc>
          <w:tcPr>
            <w:tcW w:type="dxa" w:w="6336"/>
          </w:tcPr>
          <w:p>
            <w:pPr>
              <w:spacing w:after="20"/>
            </w:pPr>
            <w:r>
              <w:rPr>
                <w:b/>
                <w:color w:val="1C3A36"/>
                <w:sz w:val="18"/>
              </w:rPr>
              <w:t>WACC charge on opening capital (accepts the §1.8 build)</w:t>
            </w:r>
          </w:p>
        </w:tc>
        <w:tc>
          <w:tcPr>
            <w:tcW w:type="dxa" w:w="2448"/>
          </w:tcPr>
          <w:p>
            <w:pPr>
              <w:spacing w:after="20"/>
              <w:jc w:val="right"/>
            </w:pPr>
            <w:r>
              <w:rPr>
                <w:color w:val="1C3A36"/>
                <w:sz w:val="18"/>
              </w:rPr>
              <w:t>26.60% × IC each year (explicit-window rate)</w:t>
            </w:r>
          </w:p>
        </w:tc>
      </w:tr>
      <w:tr>
        <w:tc>
          <w:tcPr>
            <w:tcW w:type="dxa" w:w="6336"/>
          </w:tcPr>
          <w:p>
            <w:pPr>
              <w:spacing w:after="20"/>
            </w:pPr>
            <w:r>
              <w:rPr>
                <w:b/>
                <w:color w:val="1C3A36"/>
                <w:sz w:val="18"/>
              </w:rPr>
              <w:t>EP path on the model’s own forecast (FY26E→FY30E, EGP mn)</w:t>
            </w:r>
          </w:p>
        </w:tc>
        <w:tc>
          <w:tcPr>
            <w:tcW w:type="dxa" w:w="2448"/>
          </w:tcPr>
          <w:p>
            <w:pPr>
              <w:spacing w:after="20"/>
              <w:jc w:val="right"/>
            </w:pPr>
            <w:r>
              <w:rPr>
                <w:color w:val="1C3A36"/>
                <w:sz w:val="18"/>
              </w:rPr>
              <w:t>-234 / -137 / -65 / +4 / +68</w:t>
            </w:r>
          </w:p>
        </w:tc>
      </w:tr>
      <w:tr>
        <w:tc>
          <w:tcPr>
            <w:tcW w:type="dxa" w:w="6336"/>
          </w:tcPr>
          <w:p>
            <w:pPr>
              <w:spacing w:after="20"/>
            </w:pPr>
            <w:r>
              <w:rPr>
                <w:b/>
                <w:color w:val="1C3A36"/>
                <w:sz w:val="18"/>
              </w:rPr>
              <w:t>First value-creating year</w:t>
            </w:r>
          </w:p>
        </w:tc>
        <w:tc>
          <w:tcPr>
            <w:tcW w:type="dxa" w:w="2448"/>
          </w:tcPr>
          <w:p>
            <w:pPr>
              <w:spacing w:after="20"/>
              <w:jc w:val="right"/>
            </w:pPr>
            <w:r>
              <w:rPr>
                <w:color w:val="1C3A36"/>
                <w:sz w:val="18"/>
              </w:rPr>
              <w:t>FY29E — the spread turns positive as debt glides off</w:t>
            </w:r>
          </w:p>
        </w:tc>
      </w:tr>
      <w:tr>
        <w:tc>
          <w:tcPr>
            <w:tcW w:type="dxa" w:w="6336"/>
          </w:tcPr>
          <w:p>
            <w:pPr>
              <w:spacing w:after="20"/>
            </w:pPr>
            <w:r>
              <w:rPr>
                <w:b/>
                <w:color w:val="1C3A36"/>
                <w:sz w:val="18"/>
              </w:rPr>
              <w:t>Terminal value creation credited</w:t>
            </w:r>
          </w:p>
        </w:tc>
        <w:tc>
          <w:tcPr>
            <w:tcW w:type="dxa" w:w="2448"/>
          </w:tcPr>
          <w:p>
            <w:pPr>
              <w:spacing w:after="20"/>
              <w:jc w:val="right"/>
            </w:pPr>
            <w:r>
              <w:rPr>
                <w:color w:val="1C3A36"/>
                <w:sz w:val="18"/>
              </w:rPr>
              <w:t>ZERO — beyond FY30 the firm earns exactly its cost of capital</w:t>
            </w:r>
          </w:p>
        </w:tc>
      </w:tr>
      <w:tr>
        <w:tc>
          <w:tcPr>
            <w:tcW w:type="dxa" w:w="6336"/>
          </w:tcPr>
          <w:p>
            <w:pPr>
              <w:spacing w:after="20"/>
            </w:pPr>
            <w:r>
              <w:rPr>
                <w:b/>
                <w:color w:val="1C3A36"/>
                <w:sz w:val="18"/>
              </w:rPr>
              <w:t>Fair value = IC + Σ PV(EP)</w:t>
            </w:r>
          </w:p>
        </w:tc>
        <w:tc>
          <w:tcPr>
            <w:tcW w:type="dxa" w:w="2448"/>
          </w:tcPr>
          <w:p>
            <w:pPr>
              <w:spacing w:after="20"/>
              <w:jc w:val="right"/>
            </w:pPr>
            <w:r>
              <w:rPr>
                <w:color w:val="1C3A36"/>
                <w:sz w:val="18"/>
              </w:rPr>
              <w:t>→ EGP 0.97/share</w:t>
            </w:r>
          </w:p>
        </w:tc>
      </w:tr>
    </w:tbl>
    <w:p>
      <w:pPr>
        <w:spacing w:after="40"/>
      </w:pPr>
    </w:p>
    <w:p>
      <w:pPr>
        <w:spacing w:after="120" w:before="0"/>
      </w:pPr>
      <w:r>
        <w:rPr>
          <w:b w:val="0"/>
          <w:i w:val="0"/>
          <w:color w:val="1C3A36"/>
          <w:sz w:val="19"/>
        </w:rPr>
        <w:t>Sensitivity (swing = whether the spread closes at all): hold today’s negative spread as a flat perpetuity — the spread never closes — and he falls to EGP 0.68; run the same forecast path at a 3pp-lower cost of capital and he rises to EGP 1.17. Note what his base does NOT do: it does not capitalize FY26’s bad spread forever (that would be pricing one crisis year as the life of the firm), and it does not credit a single pound of value creation beyond FY30. Cross-examination: he tells Expert 2 that capitalizing EGP 0.30 of earnings at 13.5× while the company still earns below its cost of capital is paying today for value creation that starts in FY29E — the multiple smuggles in the rate normalization his own model prices explicitly, year by year. He tells Expert 3 that a scenario tree at least admits the bet; his complaint is only with anyone who calls it certainty.</w:t>
      </w:r>
    </w:p>
    <w:p>
      <w:pPr>
        <w:spacing w:after="120" w:before="0"/>
      </w:pPr>
      <w:r>
        <w:rPr>
          <w:b/>
          <w:i w:val="0"/>
          <w:color w:val="1C3A36"/>
          <w:sz w:val="21"/>
        </w:rPr>
        <w:t xml:space="preserve">Verdict, falsification, market-implied. </w:t>
      </w:r>
      <w:r>
        <w:rPr>
          <w:b w:val="0"/>
          <w:i w:val="0"/>
          <w:color w:val="1C3A36"/>
          <w:sz w:val="21"/>
        </w:rPr>
        <w:t>Fair EGP 0.97 (range 0.68–1.17) — the panel’s floor, and deliberately so: four of the five forecast years earn less than their capital charge, and he refuses to be paid today for the years after that. His EGP 0.91 sits a whisker above the DDM’s 0.90 — the two strictest cash disciplines agree almost exactly, from different arithmetic. Falsified by two consecutive CBE cutting cycles bringing the corridor below ~18% (his capital charge dies), or by ROIC printing above 30% as the margin glide completes. What the price implies: at EGP 5.00 the market is paying roughly book-times-four-point-five for a spread that his own numbers say turns positive only in FY29E — the market is pricing the normalization as already done and then some.</w:t>
      </w:r>
    </w:p>
    <w:p>
      <w:pPr>
        <w:spacing w:after="80" w:before="200"/>
      </w:pPr>
      <w:r>
        <w:rPr>
          <w:b/>
          <w:i w:val="0"/>
          <w:color w:val="1C3A36"/>
          <w:sz w:val="24"/>
        </w:rPr>
        <w:t>C.2  Expert 2 — normalized earnings power</w:t>
      </w:r>
    </w:p>
    <w:p>
      <w:pPr>
        <w:spacing w:after="120" w:before="0"/>
      </w:pPr>
      <w:r>
        <w:rPr>
          <w:b w:val="0"/>
          <w:i w:val="0"/>
          <w:color w:val="1C3A36"/>
          <w:sz w:val="19"/>
        </w:rPr>
        <w:t>Worldview. An operating company is worth a fair multiple of its sustainable mid-cycle earnings; strip the one-offs, find the run-rate, pay a defensible multiple, and refuse to model what cannot be known.</w:t>
      </w:r>
    </w:p>
    <w:p>
      <w:pPr>
        <w:spacing w:after="120" w:before="0"/>
      </w:pPr>
      <w:r>
        <w:rPr>
          <w:b w:val="0"/>
          <w:i w:val="0"/>
          <w:color w:val="1C3A36"/>
          <w:sz w:val="19"/>
        </w:rPr>
        <w:t>When it works / fails. Best for established franchises with a demonstrated earnings base — Rameda’s 1Q26 (NI +20% reported / +25% recurring YoY) suggests the base is real. Fails at structural breaks in either direction: if FY26 is peak pricing catch-up, his EPS is cyclically flattered; if the deleveraging compounds, it is understated.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2’s normalization</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FY26E consolidated net income (model)</w:t>
            </w:r>
          </w:p>
        </w:tc>
        <w:tc>
          <w:tcPr>
            <w:tcW w:type="dxa" w:w="2448"/>
          </w:tcPr>
          <w:p>
            <w:pPr>
              <w:spacing w:after="20"/>
              <w:jc w:val="right"/>
            </w:pPr>
            <w:r>
              <w:rPr>
                <w:color w:val="1C3A36"/>
                <w:sz w:val="18"/>
              </w:rPr>
              <w:t>EGP 576 mn</w:t>
            </w:r>
          </w:p>
        </w:tc>
      </w:tr>
      <w:tr>
        <w:tc>
          <w:tcPr>
            <w:tcW w:type="dxa" w:w="6336"/>
          </w:tcPr>
          <w:p>
            <w:pPr>
              <w:spacing w:after="20"/>
            </w:pPr>
            <w:r>
              <w:rPr>
                <w:b/>
                <w:color w:val="1C3A36"/>
                <w:sz w:val="18"/>
              </w:rPr>
              <w:t>→ EPS on 2,000mn shares</w:t>
            </w:r>
          </w:p>
        </w:tc>
        <w:tc>
          <w:tcPr>
            <w:tcW w:type="dxa" w:w="2448"/>
          </w:tcPr>
          <w:p>
            <w:pPr>
              <w:spacing w:after="20"/>
              <w:jc w:val="right"/>
            </w:pPr>
            <w:r>
              <w:rPr>
                <w:color w:val="1C3A36"/>
                <w:sz w:val="18"/>
              </w:rPr>
              <w:t>EGP 0.270</w:t>
            </w:r>
          </w:p>
        </w:tc>
      </w:tr>
      <w:tr>
        <w:tc>
          <w:tcPr>
            <w:tcW w:type="dxa" w:w="6336"/>
          </w:tcPr>
          <w:p>
            <w:pPr>
              <w:spacing w:after="20"/>
            </w:pPr>
            <w:r>
              <w:rPr>
                <w:b/>
                <w:color w:val="1C3A36"/>
                <w:sz w:val="18"/>
              </w:rPr>
              <w:t>Justified through-cycle P/E (EGX defensive-growth)</w:t>
            </w:r>
          </w:p>
        </w:tc>
        <w:tc>
          <w:tcPr>
            <w:tcW w:type="dxa" w:w="2448"/>
          </w:tcPr>
          <w:p>
            <w:pPr>
              <w:spacing w:after="20"/>
              <w:jc w:val="right"/>
            </w:pPr>
            <w:r>
              <w:rPr>
                <w:color w:val="1C3A36"/>
                <w:sz w:val="18"/>
              </w:rPr>
              <w:t>13.5×</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3.65/share</w:t>
            </w:r>
          </w:p>
        </w:tc>
      </w:tr>
    </w:tbl>
    <w:p>
      <w:pPr>
        <w:spacing w:after="40"/>
      </w:pPr>
    </w:p>
    <w:p>
      <w:pPr>
        <w:spacing w:after="120" w:before="0"/>
      </w:pPr>
      <w:r>
        <w:rPr>
          <w:b w:val="0"/>
          <w:i w:val="0"/>
          <w:color w:val="1C3A36"/>
          <w:sz w:val="19"/>
        </w:rPr>
        <w:t>Sensitivity (swing = the multiple): at 11× EGP 2.97; at 16× EGP 4.32; each turn of P/E ≈ EGP 0.30. Cross-examination: he tells Expert 1 that an economic-profit model discounted at a crisis-vintage WACC is not conservatism, it is a macro call wearing a lab coat — the equity market has already voted on the normalization, and 13.5× for a defensive grower with falling leverage is mid-band, not heroic. He tells Expert 3 the tree’s branches all reprice HIS number — the multiple is where scenario weights cash out.</w:t>
      </w:r>
    </w:p>
    <w:p>
      <w:pPr>
        <w:spacing w:after="120" w:before="0"/>
      </w:pPr>
      <w:r>
        <w:rPr>
          <w:b/>
          <w:i w:val="0"/>
          <w:color w:val="1C3A36"/>
          <w:sz w:val="21"/>
        </w:rPr>
        <w:t xml:space="preserve">Verdict, falsification, market-implied. </w:t>
      </w:r>
      <w:r>
        <w:rPr>
          <w:b w:val="0"/>
          <w:i w:val="0"/>
          <w:color w:val="1C3A36"/>
          <w:sz w:val="21"/>
        </w:rPr>
        <w:t>Fair EGP 3.65 (range 2.97–4.32) — a whisker below spot: on clean forward earnings the stock is roughly fairly priced, and everything above 14× is paying for deals not yet announced. Falsified by the 2Q26 print breaking the EPS run-rate (either direction, ±20%), or by a rate shock that makes any EGX multiple framework moot. The market pays 16.6× his FY26E EPS — slightly richer than his 13.5×, i.e. the market credits a little more growth than he will.</w:t>
      </w:r>
    </w:p>
    <w:p>
      <w:pPr>
        <w:spacing w:after="80" w:before="200"/>
      </w:pPr>
      <w:r>
        <w:rPr>
          <w:b/>
          <w:i w:val="0"/>
          <w:color w:val="1C3A36"/>
          <w:sz w:val="24"/>
        </w:rPr>
        <w:t>C.3  Expert 3 — macro-policy: the scenario tree</w:t>
      </w:r>
    </w:p>
    <w:p>
      <w:pPr>
        <w:spacing w:after="120" w:before="0"/>
      </w:pPr>
      <w:r>
        <w:rPr>
          <w:b w:val="0"/>
          <w:i w:val="0"/>
          <w:color w:val="1C3A36"/>
          <w:sz w:val="19"/>
        </w:rPr>
        <w:t>Worldview. In Egypt, policy outranks fundamentals: the CBE corridor, the IMF programme, the EGP regime and administered drug pricing move this equity more than management execution does. He prices the equity as probability-weighted policy worlds and refuses the false comfort of a single discount rate.</w:t>
      </w:r>
    </w:p>
    <w:p>
      <w:pPr>
        <w:spacing w:after="120" w:before="0"/>
      </w:pPr>
      <w:r>
        <w:rPr>
          <w:b w:val="0"/>
          <w:i w:val="0"/>
          <w:color w:val="1C3A36"/>
          <w:sz w:val="19"/>
        </w:rPr>
        <w:t>When it works / fails. Best where a binary macro variable dominates — this name, now. Fails through false precision: the weights are judgments, and his own flag is that a supply-side shock (a GMP failure, a lost toll partner) appears in none of his policy worlds yet would dominate all of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736"/>
            <w:shd w:val="clear" w:color="auto" w:fill="EAF0EE"/>
          </w:tcPr>
          <w:p>
            <w:pPr>
              <w:spacing w:after="20"/>
            </w:pPr>
            <w:r>
              <w:rPr>
                <w:b/>
                <w:color w:val="1C3A36"/>
                <w:sz w:val="17"/>
              </w:rPr>
              <w:t>Scenario (through 2027)</w:t>
            </w:r>
          </w:p>
        </w:tc>
        <w:tc>
          <w:tcPr>
            <w:tcW w:type="dxa" w:w="864"/>
            <w:shd w:val="clear" w:color="auto" w:fill="EAF0EE"/>
          </w:tcPr>
          <w:p>
            <w:pPr>
              <w:spacing w:after="20"/>
            </w:pPr>
            <w:r>
              <w:rPr>
                <w:b/>
                <w:color w:val="1C3A36"/>
                <w:sz w:val="17"/>
              </w:rPr>
              <w:t>Prob.</w:t>
            </w:r>
          </w:p>
        </w:tc>
        <w:tc>
          <w:tcPr>
            <w:tcW w:type="dxa" w:w="4464"/>
            <w:shd w:val="clear" w:color="auto" w:fill="EAF0EE"/>
          </w:tcPr>
          <w:p>
            <w:pPr>
              <w:spacing w:after="20"/>
            </w:pPr>
            <w:r>
              <w:rPr>
                <w:b/>
                <w:color w:val="1C3A36"/>
                <w:sz w:val="17"/>
              </w:rPr>
              <w:t>World</w:t>
            </w:r>
          </w:p>
        </w:tc>
        <w:tc>
          <w:tcPr>
            <w:tcW w:type="dxa" w:w="1584"/>
            <w:shd w:val="clear" w:color="auto" w:fill="EAF0EE"/>
          </w:tcPr>
          <w:p>
            <w:pPr>
              <w:spacing w:after="20"/>
            </w:pPr>
            <w:r>
              <w:rPr>
                <w:b/>
                <w:color w:val="1C3A36"/>
                <w:sz w:val="17"/>
              </w:rPr>
              <w:t>Value</w:t>
            </w:r>
          </w:p>
        </w:tc>
      </w:tr>
      <w:tr>
        <w:tc>
          <w:tcPr>
            <w:tcW w:type="dxa" w:w="2736"/>
          </w:tcPr>
          <w:p>
            <w:pPr>
              <w:spacing w:after="20"/>
            </w:pPr>
            <w:r>
              <w:rPr>
                <w:b/>
                <w:color w:val="1C3A36"/>
                <w:sz w:val="17"/>
              </w:rPr>
              <w:t>Slow easing / sticky inflation</w:t>
            </w:r>
          </w:p>
        </w:tc>
        <w:tc>
          <w:tcPr>
            <w:tcW w:type="dxa" w:w="864"/>
          </w:tcPr>
          <w:p>
            <w:pPr>
              <w:spacing w:after="20"/>
              <w:jc w:val="right"/>
            </w:pPr>
            <w:r>
              <w:rPr>
                <w:color w:val="1C3A36"/>
                <w:sz w:val="17"/>
              </w:rPr>
              <w:t>25%</w:t>
            </w:r>
          </w:p>
        </w:tc>
        <w:tc>
          <w:tcPr>
            <w:tcW w:type="dxa" w:w="4464"/>
          </w:tcPr>
          <w:p>
            <w:pPr>
              <w:spacing w:after="20"/>
              <w:jc w:val="right"/>
            </w:pPr>
            <w:r>
              <w:rPr>
                <w:color w:val="1C3A36"/>
                <w:sz w:val="17"/>
              </w:rPr>
              <w:t>Corridor stays &gt;20% into 2027; DCF logic holds</w:t>
            </w:r>
          </w:p>
        </w:tc>
        <w:tc>
          <w:tcPr>
            <w:tcW w:type="dxa" w:w="1584"/>
          </w:tcPr>
          <w:p>
            <w:pPr>
              <w:spacing w:after="20"/>
              <w:jc w:val="right"/>
            </w:pPr>
            <w:r>
              <w:rPr>
                <w:color w:val="1C3A36"/>
                <w:sz w:val="17"/>
              </w:rPr>
              <w:t>EGP 1.32</w:t>
            </w:r>
          </w:p>
        </w:tc>
      </w:tr>
      <w:tr>
        <w:tc>
          <w:tcPr>
            <w:tcW w:type="dxa" w:w="2736"/>
          </w:tcPr>
          <w:p>
            <w:pPr>
              <w:spacing w:after="20"/>
            </w:pPr>
            <w:r>
              <w:rPr>
                <w:b/>
                <w:color w:val="1C3A36"/>
                <w:sz w:val="17"/>
              </w:rPr>
              <w:t>Base: the glide delivers</w:t>
            </w:r>
          </w:p>
        </w:tc>
        <w:tc>
          <w:tcPr>
            <w:tcW w:type="dxa" w:w="864"/>
          </w:tcPr>
          <w:p>
            <w:pPr>
              <w:spacing w:after="20"/>
              <w:jc w:val="right"/>
            </w:pPr>
            <w:r>
              <w:rPr>
                <w:color w:val="1C3A36"/>
                <w:sz w:val="17"/>
              </w:rPr>
              <w:t>50%</w:t>
            </w:r>
          </w:p>
        </w:tc>
        <w:tc>
          <w:tcPr>
            <w:tcW w:type="dxa" w:w="4464"/>
          </w:tcPr>
          <w:p>
            <w:pPr>
              <w:spacing w:after="20"/>
              <w:jc w:val="right"/>
            </w:pPr>
            <w:r>
              <w:rPr>
                <w:color w:val="1C3A36"/>
                <w:sz w:val="17"/>
              </w:rPr>
              <w:t>CBE cuts on the MPC calendar; WACC ≈24% by FY27; debt gone by FY29</w:t>
            </w:r>
          </w:p>
        </w:tc>
        <w:tc>
          <w:tcPr>
            <w:tcW w:type="dxa" w:w="1584"/>
          </w:tcPr>
          <w:p>
            <w:pPr>
              <w:spacing w:after="20"/>
              <w:jc w:val="right"/>
            </w:pPr>
            <w:r>
              <w:rPr>
                <w:color w:val="1C3A36"/>
                <w:sz w:val="17"/>
              </w:rPr>
              <w:t>EGP 1.73</w:t>
            </w:r>
          </w:p>
        </w:tc>
      </w:tr>
      <w:tr>
        <w:tc>
          <w:tcPr>
            <w:tcW w:type="dxa" w:w="2736"/>
          </w:tcPr>
          <w:p>
            <w:pPr>
              <w:spacing w:after="20"/>
            </w:pPr>
            <w:r>
              <w:rPr>
                <w:b/>
                <w:color w:val="1C3A36"/>
                <w:sz w:val="17"/>
              </w:rPr>
              <w:t>Fast normalization</w:t>
            </w:r>
          </w:p>
        </w:tc>
        <w:tc>
          <w:tcPr>
            <w:tcW w:type="dxa" w:w="864"/>
          </w:tcPr>
          <w:p>
            <w:pPr>
              <w:spacing w:after="20"/>
              <w:jc w:val="right"/>
            </w:pPr>
            <w:r>
              <w:rPr>
                <w:color w:val="1C3A36"/>
                <w:sz w:val="17"/>
              </w:rPr>
              <w:t>25%</w:t>
            </w:r>
          </w:p>
        </w:tc>
        <w:tc>
          <w:tcPr>
            <w:tcW w:type="dxa" w:w="4464"/>
          </w:tcPr>
          <w:p>
            <w:pPr>
              <w:spacing w:after="20"/>
              <w:jc w:val="right"/>
            </w:pPr>
            <w:r>
              <w:rPr>
                <w:color w:val="1C3A36"/>
                <w:sz w:val="17"/>
              </w:rPr>
              <w:t>Disinflation + carry inflows; Egyptian equity re-rates as a class</w:t>
            </w:r>
          </w:p>
        </w:tc>
        <w:tc>
          <w:tcPr>
            <w:tcW w:type="dxa" w:w="1584"/>
          </w:tcPr>
          <w:p>
            <w:pPr>
              <w:spacing w:after="20"/>
              <w:jc w:val="right"/>
            </w:pPr>
            <w:r>
              <w:rPr>
                <w:color w:val="1C3A36"/>
                <w:sz w:val="17"/>
              </w:rPr>
              <w:t>EGP 3.08</w:t>
            </w:r>
          </w:p>
        </w:tc>
      </w:tr>
      <w:tr>
        <w:tc>
          <w:tcPr>
            <w:tcW w:type="dxa" w:w="2736"/>
            <w:shd w:val="clear" w:color="auto" w:fill="F6F1E6"/>
          </w:tcPr>
          <w:p>
            <w:pPr>
              <w:spacing w:after="20"/>
            </w:pPr>
            <w:r>
              <w:rPr>
                <w:b/>
                <w:color w:val="1C3A36"/>
                <w:sz w:val="17"/>
              </w:rPr>
              <w:t>Probability-weighted fair value</w:t>
            </w:r>
          </w:p>
        </w:tc>
        <w:tc>
          <w:tcPr>
            <w:tcW w:type="dxa" w:w="864"/>
            <w:shd w:val="clear" w:color="auto" w:fill="F6F1E6"/>
          </w:tcPr>
          <w:p>
            <w:pPr>
              <w:spacing w:after="20"/>
              <w:jc w:val="right"/>
            </w:pPr>
            <w:r>
              <w:rPr>
                <w:b/>
                <w:color w:val="1C3A36"/>
                <w:sz w:val="17"/>
              </w:rPr>
            </w:r>
          </w:p>
        </w:tc>
        <w:tc>
          <w:tcPr>
            <w:tcW w:type="dxa" w:w="4464"/>
            <w:shd w:val="clear" w:color="auto" w:fill="F6F1E6"/>
          </w:tcPr>
          <w:p>
            <w:pPr>
              <w:spacing w:after="20"/>
              <w:jc w:val="right"/>
            </w:pPr>
            <w:r>
              <w:rPr>
                <w:b/>
                <w:color w:val="1C3A36"/>
                <w:sz w:val="17"/>
              </w:rPr>
            </w:r>
          </w:p>
        </w:tc>
        <w:tc>
          <w:tcPr>
            <w:tcW w:type="dxa" w:w="1584"/>
            <w:shd w:val="clear" w:color="auto" w:fill="F6F1E6"/>
          </w:tcPr>
          <w:p>
            <w:pPr>
              <w:spacing w:after="20"/>
              <w:jc w:val="right"/>
            </w:pPr>
            <w:r>
              <w:rPr>
                <w:b/>
                <w:color w:val="1C3A36"/>
                <w:sz w:val="17"/>
              </w:rPr>
              <w:t>EGP 1.97</w:t>
            </w:r>
          </w:p>
        </w:tc>
      </w:tr>
    </w:tbl>
    <w:p>
      <w:pPr>
        <w:spacing w:after="40"/>
      </w:pPr>
    </w:p>
    <w:p>
      <w:pPr>
        <w:spacing w:after="120" w:before="0"/>
      </w:pPr>
      <w:r>
        <w:rPr>
          <w:b w:val="0"/>
          <w:i w:val="0"/>
          <w:color w:val="1C3A36"/>
          <w:sz w:val="19"/>
        </w:rPr>
        <w:t>Sensitivity (swing = the weights): shifting 10 points from base to fast-normalization moves him ≈EGP 0.08; his answer is the most stable on the panel because every branch is a discounted-cash construct — only the rate differs. Cross-examination: he tells Expert 1 that pricing a five-year asset at a spot crisis rate is exactly as much a macro bet as his tree, just with one branch and no humility. He tells Expert 2 that a "through-cycle multiple" presumes a cycle; Egypt’s is imported through the balance of payments, and multiples here re-rate in steps, not glides.</w:t>
      </w:r>
    </w:p>
    <w:p>
      <w:pPr>
        <w:spacing w:after="120" w:before="0"/>
      </w:pPr>
      <w:r>
        <w:rPr>
          <w:b/>
          <w:i w:val="0"/>
          <w:color w:val="1C3A36"/>
          <w:sz w:val="21"/>
        </w:rPr>
        <w:t xml:space="preserve">Verdict, falsification, market-implied. </w:t>
      </w:r>
      <w:r>
        <w:rPr>
          <w:b w:val="0"/>
          <w:i w:val="0"/>
          <w:color w:val="1C3A36"/>
          <w:sz w:val="21"/>
        </w:rPr>
        <w:t>Fair EGP 1.97 — above Expert 1 because half his weight sits on the world where the rate bet pays. Falsified by the CBE skipping both 2H26 MPC cuts (the base branch dies), or by a devaluation event (re-tree required). What the price implies: EGP 5.00 needs a weight on fast-normalization far above his 25% — the market is not just in his bull branch, it is beyond it.</w:t>
      </w:r>
    </w:p>
    <w:p>
      <w:pPr>
        <w:spacing w:after="80" w:before="200"/>
      </w:pPr>
      <w:r>
        <w:rPr>
          <w:b/>
          <w:i w:val="0"/>
          <w:color w:val="1C3A36"/>
          <w:sz w:val="24"/>
        </w:rPr>
        <w:t>C.4  The three in one room</w:t>
      </w:r>
    </w:p>
    <w:p>
      <w:pPr>
        <w:spacing w:after="120" w:before="0"/>
      </w:pPr>
      <w:r>
        <w:rPr>
          <w:b w:val="0"/>
          <w:i w:val="0"/>
          <w:color w:val="1C3A36"/>
          <w:sz w:val="19"/>
        </w:rPr>
        <w:t>Put the three in a room and the argument is about one thing: whether Egypt’s cost of capital in 2026 is a fact to discount at, or a phase to look through.</w:t>
      </w:r>
    </w:p>
    <w:p>
      <w:pPr>
        <w:spacing w:after="120" w:before="0"/>
      </w:pPr>
      <w:r>
        <w:rPr>
          <w:b w:val="0"/>
          <w:i w:val="0"/>
          <w:color w:val="1C3A36"/>
          <w:sz w:val="19"/>
        </w:rPr>
        <w:t>Expert 1: “Twenty-two percent returns against a twenty-nine percent cost of capital is value destruction with good PR. I charge every year its capital cost, credit nothing after 2030, and get 91 piastres — show me the spread turning positive in cash, not in a rate forecast, before asking for more.”</w:t>
      </w:r>
    </w:p>
    <w:p>
      <w:pPr>
        <w:spacing w:after="120" w:before="0"/>
      </w:pPr>
      <w:r>
        <w:rPr>
          <w:b w:val="0"/>
          <w:i w:val="0"/>
          <w:color w:val="1C3A36"/>
          <w:sz w:val="19"/>
        </w:rPr>
        <w:t>Expert 3: “Your cost of capital is a photograph of the worst moment. The MPC calendar is published, the IMF programme is on track, and the carry trade is already voting. Weight the worlds honestly and this is worth about 1.38 — and I am the moderate here.”</w:t>
      </w:r>
    </w:p>
    <w:p>
      <w:pPr>
        <w:spacing w:after="120" w:before="0"/>
      </w:pPr>
      <w:r>
        <w:rPr>
          <w:b w:val="0"/>
          <w:i w:val="0"/>
          <w:color w:val="1C3A36"/>
          <w:sz w:val="19"/>
        </w:rPr>
        <w:t>Expert 2: “You are both arguing about the discount rate like it pays the bills. Earnings are 30 piastres and growing; the Gulf pays 13–14 times for defensive growth with falling leverage; that is 4.07. The market and I disagree by pennies — you two disagree with the entire market by multiples.”</w:t>
      </w:r>
    </w:p>
    <w:p>
      <w:pPr>
        <w:spacing w:after="80" w:before="200"/>
      </w:pPr>
      <w:r>
        <w:rPr>
          <w:b/>
          <w:i w:val="0"/>
          <w:color w:val="1C3A36"/>
          <w:sz w:val="24"/>
        </w:rPr>
        <w:t>C.5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440"/>
            <w:shd w:val="clear" w:color="auto" w:fill="EAF0EE"/>
          </w:tcPr>
          <w:p>
            <w:pPr>
              <w:spacing w:after="20"/>
            </w:pPr>
            <w:r>
              <w:rPr>
                <w:b/>
                <w:color w:val="1C3A36"/>
                <w:sz w:val="18"/>
              </w:rPr>
              <w:t>Expert</w:t>
            </w:r>
          </w:p>
        </w:tc>
        <w:tc>
          <w:tcPr>
            <w:tcW w:type="dxa" w:w="3168"/>
            <w:shd w:val="clear" w:color="auto" w:fill="EAF0EE"/>
          </w:tcPr>
          <w:p>
            <w:pPr>
              <w:spacing w:after="20"/>
            </w:pPr>
            <w:r>
              <w:rPr>
                <w:b/>
                <w:color w:val="1C3A36"/>
                <w:sz w:val="18"/>
              </w:rPr>
              <w:t>Method</w:t>
            </w:r>
          </w:p>
        </w:tc>
        <w:tc>
          <w:tcPr>
            <w:tcW w:type="dxa" w:w="3600"/>
            <w:shd w:val="clear" w:color="auto" w:fill="EAF0EE"/>
          </w:tcPr>
          <w:p>
            <w:pPr>
              <w:spacing w:after="20"/>
            </w:pPr>
            <w:r>
              <w:rPr>
                <w:b/>
                <w:color w:val="1C3A36"/>
                <w:sz w:val="18"/>
              </w:rPr>
              <w:t>Single swing assumption</w:t>
            </w:r>
          </w:p>
        </w:tc>
        <w:tc>
          <w:tcPr>
            <w:tcW w:type="dxa" w:w="1872"/>
            <w:shd w:val="clear" w:color="auto" w:fill="EAF0EE"/>
          </w:tcPr>
          <w:p>
            <w:pPr>
              <w:spacing w:after="20"/>
            </w:pPr>
            <w:r>
              <w:rPr>
                <w:b/>
                <w:color w:val="1C3A36"/>
                <w:sz w:val="18"/>
              </w:rPr>
              <w:t>Base fair value</w:t>
            </w:r>
          </w:p>
        </w:tc>
      </w:tr>
      <w:tr>
        <w:tc>
          <w:tcPr>
            <w:tcW w:type="dxa" w:w="1440"/>
          </w:tcPr>
          <w:p>
            <w:pPr>
              <w:spacing w:after="20"/>
            </w:pPr>
            <w:r>
              <w:rPr>
                <w:b/>
                <w:color w:val="1C3A36"/>
                <w:sz w:val="18"/>
              </w:rPr>
              <w:t>Expert 1</w:t>
            </w:r>
          </w:p>
        </w:tc>
        <w:tc>
          <w:tcPr>
            <w:tcW w:type="dxa" w:w="3168"/>
          </w:tcPr>
          <w:p>
            <w:pPr>
              <w:spacing w:after="20"/>
              <w:jc w:val="right"/>
            </w:pPr>
            <w:r>
              <w:rPr>
                <w:color w:val="1C3A36"/>
                <w:sz w:val="18"/>
              </w:rPr>
              <w:t>Cash returns / economic profit</w:t>
            </w:r>
          </w:p>
        </w:tc>
        <w:tc>
          <w:tcPr>
            <w:tcW w:type="dxa" w:w="3600"/>
          </w:tcPr>
          <w:p>
            <w:pPr>
              <w:spacing w:after="20"/>
              <w:jc w:val="right"/>
            </w:pPr>
            <w:r>
              <w:rPr>
                <w:color w:val="1C3A36"/>
                <w:sz w:val="18"/>
              </w:rPr>
              <w:t>When the ROIC−WACC spread turns positive</w:t>
            </w:r>
          </w:p>
        </w:tc>
        <w:tc>
          <w:tcPr>
            <w:tcW w:type="dxa" w:w="1872"/>
          </w:tcPr>
          <w:p>
            <w:pPr>
              <w:spacing w:after="20"/>
              <w:jc w:val="right"/>
            </w:pPr>
            <w:r>
              <w:rPr>
                <w:color w:val="1C3A36"/>
                <w:sz w:val="18"/>
              </w:rPr>
              <w:t>EGP 0.97</w:t>
            </w:r>
          </w:p>
        </w:tc>
      </w:tr>
      <w:tr>
        <w:tc>
          <w:tcPr>
            <w:tcW w:type="dxa" w:w="1440"/>
          </w:tcPr>
          <w:p>
            <w:pPr>
              <w:spacing w:after="20"/>
            </w:pPr>
            <w:r>
              <w:rPr>
                <w:b/>
                <w:color w:val="1C3A36"/>
                <w:sz w:val="18"/>
              </w:rPr>
              <w:t>Expert 2</w:t>
            </w:r>
          </w:p>
        </w:tc>
        <w:tc>
          <w:tcPr>
            <w:tcW w:type="dxa" w:w="3168"/>
          </w:tcPr>
          <w:p>
            <w:pPr>
              <w:spacing w:after="20"/>
              <w:jc w:val="right"/>
            </w:pPr>
            <w:r>
              <w:rPr>
                <w:color w:val="1C3A36"/>
                <w:sz w:val="18"/>
              </w:rPr>
              <w:t>Normalized earnings power</w:t>
            </w:r>
          </w:p>
        </w:tc>
        <w:tc>
          <w:tcPr>
            <w:tcW w:type="dxa" w:w="3600"/>
          </w:tcPr>
          <w:p>
            <w:pPr>
              <w:spacing w:after="20"/>
              <w:jc w:val="right"/>
            </w:pPr>
            <w:r>
              <w:rPr>
                <w:color w:val="1C3A36"/>
                <w:sz w:val="18"/>
              </w:rPr>
              <w:t>The justified multiple (13.5×)</w:t>
            </w:r>
          </w:p>
        </w:tc>
        <w:tc>
          <w:tcPr>
            <w:tcW w:type="dxa" w:w="1872"/>
          </w:tcPr>
          <w:p>
            <w:pPr>
              <w:spacing w:after="20"/>
              <w:jc w:val="right"/>
            </w:pPr>
            <w:r>
              <w:rPr>
                <w:color w:val="1C3A36"/>
                <w:sz w:val="18"/>
              </w:rPr>
              <w:t>EGP 3.65</w:t>
            </w:r>
          </w:p>
        </w:tc>
      </w:tr>
      <w:tr>
        <w:tc>
          <w:tcPr>
            <w:tcW w:type="dxa" w:w="1440"/>
          </w:tcPr>
          <w:p>
            <w:pPr>
              <w:spacing w:after="20"/>
            </w:pPr>
            <w:r>
              <w:rPr>
                <w:b/>
                <w:color w:val="1C3A36"/>
                <w:sz w:val="18"/>
              </w:rPr>
              <w:t>Expert 3</w:t>
            </w:r>
          </w:p>
        </w:tc>
        <w:tc>
          <w:tcPr>
            <w:tcW w:type="dxa" w:w="3168"/>
          </w:tcPr>
          <w:p>
            <w:pPr>
              <w:spacing w:after="20"/>
              <w:jc w:val="right"/>
            </w:pPr>
            <w:r>
              <w:rPr>
                <w:color w:val="1C3A36"/>
                <w:sz w:val="18"/>
              </w:rPr>
              <w:t>Macro-policy scenario tree</w:t>
            </w:r>
          </w:p>
        </w:tc>
        <w:tc>
          <w:tcPr>
            <w:tcW w:type="dxa" w:w="3600"/>
          </w:tcPr>
          <w:p>
            <w:pPr>
              <w:spacing w:after="20"/>
              <w:jc w:val="right"/>
            </w:pPr>
            <w:r>
              <w:rPr>
                <w:color w:val="1C3A36"/>
                <w:sz w:val="18"/>
              </w:rPr>
              <w:t>The weights on the CBE rate path</w:t>
            </w:r>
          </w:p>
        </w:tc>
        <w:tc>
          <w:tcPr>
            <w:tcW w:type="dxa" w:w="1872"/>
          </w:tcPr>
          <w:p>
            <w:pPr>
              <w:spacing w:after="20"/>
              <w:jc w:val="right"/>
            </w:pPr>
            <w:r>
              <w:rPr>
                <w:color w:val="1C3A36"/>
                <w:sz w:val="18"/>
              </w:rPr>
              <w:t>EGP 1.97</w:t>
            </w:r>
          </w:p>
        </w:tc>
      </w:tr>
    </w:tbl>
    <w:p>
      <w:pPr>
        <w:spacing w:after="40"/>
      </w:pPr>
    </w:p>
    <w:p>
      <w:pPr>
        <w:spacing w:after="120" w:before="0"/>
      </w:pPr>
      <w:r>
        <w:rPr>
          <w:b w:val="0"/>
          <w:i w:val="0"/>
          <w:color w:val="1C3A36"/>
          <w:sz w:val="21"/>
        </w:rPr>
        <w:t>The spread — EGP 0.97 to 3.65, roughly 3.7× — is wide, and it is not a modelling failure: it mirrors the lens spread (DDM 1.00 to relative 4.40) because both measure the same thing — how much of this equity’s value is the Egyptian discount rate rather than the pharmaceutical business. Expert 1 charges every forecast year its full capital cost and credits nothing after FY30, landing at 0.91 beside the DDM’s 0.90; Expert 2 lets the equity market’s multiple carry the normalization implicitly and lands near spot; Expert 3 prices the transition explicitly and lands between. The house central (EGP 2.77) sits in the same corridor as Expert 3 — cash-flow-led with the market lenses pulling it up. A reader’s position on this stock reduces to a position on one axis: at what rate should five years of Egyptian pharma cash flows be discounted? Everything else in this document is detail on that question.</w:t>
      </w:r>
    </w:p>
    <w:p>
      <w:pPr>
        <w:spacing w:after="200" w:before="0"/>
      </w:pPr>
      <w:r>
        <w:rPr>
          <w:b w:val="0"/>
          <w:i/>
          <w:color w:val="6E7B77"/>
          <w:sz w:val="17"/>
        </w:rPr>
        <w:t>Each expert’s base (and range where applicable) is logged with the study date (13-Jul-2026) and spot (EGP 5.00) as an internal per-expert track record, separate from the core Calibration Ledger. Panel values also appear on the football field, Figure 8.</w:t>
      </w:r>
    </w:p>
    <w:p>
      <w:pPr>
        <w:spacing w:after="120" w:before="280"/>
      </w:pPr>
      <w:r>
        <w:rPr>
          <w:b/>
          <w:i w:val="0"/>
          <w:color w:val="1C3A36"/>
          <w:sz w:val="30"/>
        </w:rPr>
        <w:t>Appendix D  The full rate ledger — every assumption behind Ke, Kd and WACC, made explicit</w:t>
      </w:r>
    </w:p>
    <w:p>
      <w:pPr>
        <w:spacing w:after="120" w:before="0"/>
      </w:pPr>
      <w:r>
        <w:rPr>
          <w:b w:val="0"/>
          <w:i w:val="0"/>
          <w:color w:val="1C3A36"/>
          <w:sz w:val="19"/>
        </w:rPr>
        <w:t>This section exists so that no judgment call behind the discount rate is implicit. Every number below is either sourced to a primary document, independently cross-checked against an observable, or flagged plainly as a house convention — and every one of them is a genuine lever on the fair value. Nothing here is "the model’s number"; it is a named choice with a reason attached.</w:t>
      </w:r>
    </w:p>
    <w:p>
      <w:pPr>
        <w:spacing w:after="80" w:before="200"/>
      </w:pPr>
      <w:r>
        <w:rPr>
          <w:b/>
          <w:i w:val="0"/>
          <w:color w:val="1C3A36"/>
          <w:sz w:val="24"/>
        </w:rPr>
        <w:t>D.1  Explicit-window rate (Y1) — every input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880"/>
            <w:shd w:val="clear" w:color="auto" w:fill="EAF0EE"/>
          </w:tcPr>
          <w:p>
            <w:pPr>
              <w:spacing w:after="20"/>
            </w:pPr>
            <w:r>
              <w:rPr>
                <w:b/>
                <w:color w:val="1C3A36"/>
                <w:sz w:val="15"/>
              </w:rPr>
              <w:t>Assumption</w:t>
            </w:r>
          </w:p>
        </w:tc>
        <w:tc>
          <w:tcPr>
            <w:tcW w:type="dxa" w:w="1224"/>
            <w:shd w:val="clear" w:color="auto" w:fill="EAF0EE"/>
          </w:tcPr>
          <w:p>
            <w:pPr>
              <w:spacing w:after="20"/>
            </w:pPr>
            <w:r>
              <w:rPr>
                <w:b/>
                <w:color w:val="1C3A36"/>
                <w:sz w:val="15"/>
              </w:rPr>
              <w:t>Value</w:t>
            </w:r>
          </w:p>
        </w:tc>
        <w:tc>
          <w:tcPr>
            <w:tcW w:type="dxa" w:w="5112"/>
            <w:shd w:val="clear" w:color="auto" w:fill="EAF0EE"/>
          </w:tcPr>
          <w:p>
            <w:pPr>
              <w:spacing w:after="20"/>
            </w:pPr>
            <w:r>
              <w:rPr>
                <w:b/>
                <w:color w:val="1C3A36"/>
                <w:sz w:val="15"/>
              </w:rPr>
              <w:t>Judgment call / source</w:t>
            </w:r>
          </w:p>
        </w:tc>
      </w:tr>
      <w:tr>
        <w:tc>
          <w:tcPr>
            <w:tcW w:type="dxa" w:w="2880"/>
          </w:tcPr>
          <w:p>
            <w:pPr>
              <w:spacing w:after="20"/>
            </w:pPr>
            <w:r>
              <w:rPr>
                <w:b/>
                <w:color w:val="1C3A36"/>
                <w:sz w:val="15"/>
              </w:rPr>
              <w:t>Risk-free rate (rf)</w:t>
            </w:r>
          </w:p>
        </w:tc>
        <w:tc>
          <w:tcPr>
            <w:tcW w:type="dxa" w:w="1224"/>
          </w:tcPr>
          <w:p>
            <w:pPr>
              <w:spacing w:after="20"/>
              <w:jc w:val="right"/>
            </w:pPr>
            <w:r>
              <w:rPr>
                <w:color w:val="1C3A36"/>
                <w:sz w:val="15"/>
              </w:rPr>
              <w:t>22.55%</w:t>
            </w:r>
          </w:p>
        </w:tc>
        <w:tc>
          <w:tcPr>
            <w:tcW w:type="dxa" w:w="5112"/>
          </w:tcPr>
          <w:p>
            <w:pPr>
              <w:spacing w:after="20"/>
              <w:jc w:val="right"/>
            </w:pPr>
            <w:r>
              <w:rPr>
                <w:color w:val="1C3A36"/>
                <w:sz w:val="15"/>
              </w:rPr>
              <w:t>Egypt 10Y local-currency govt bond, investing.com, 3-Jul-2026 — predates the 9-Jul MPC hold, so not stale-by-decision. Choice: local-currency yield, not a USD shortcut, because EGP floats.</w:t>
            </w:r>
          </w:p>
        </w:tc>
      </w:tr>
      <w:tr>
        <w:tc>
          <w:tcPr>
            <w:tcW w:type="dxa" w:w="2880"/>
          </w:tcPr>
          <w:p>
            <w:pPr>
              <w:spacing w:after="20"/>
            </w:pPr>
            <w:r>
              <w:rPr>
                <w:b/>
                <w:color w:val="1C3A36"/>
                <w:sz w:val="15"/>
              </w:rPr>
              <w:t>CDS-implied sovereign spread</w:t>
            </w:r>
          </w:p>
        </w:tc>
        <w:tc>
          <w:tcPr>
            <w:tcW w:type="dxa" w:w="1224"/>
          </w:tcPr>
          <w:p>
            <w:pPr>
              <w:spacing w:after="20"/>
              <w:jc w:val="right"/>
            </w:pPr>
            <w:r>
              <w:rPr>
                <w:color w:val="1C3A36"/>
                <w:sz w:val="15"/>
              </w:rPr>
              <w:t>3.41%</w:t>
            </w:r>
          </w:p>
        </w:tc>
        <w:tc>
          <w:tcPr>
            <w:tcW w:type="dxa" w:w="5112"/>
          </w:tcPr>
          <w:p>
            <w:pPr>
              <w:spacing w:after="20"/>
              <w:jc w:val="right"/>
            </w:pPr>
            <w:r>
              <w:rPr>
                <w:color w:val="1C3A36"/>
                <w:sz w:val="15"/>
              </w:rPr>
              <w:t>Damodaran ORIGINAL ctryprem, Jan-2026, Egypt Caa1. Judgment call: this spread is netted OUT of rf below — the house view that the raw EGP 10Y already embeds Egypt's own default risk, so adding a full country-risk ERP on top of the un-adjusted rf double-counts it.</w:t>
            </w:r>
          </w:p>
        </w:tc>
      </w:tr>
      <w:tr>
        <w:tc>
          <w:tcPr>
            <w:tcW w:type="dxa" w:w="2880"/>
          </w:tcPr>
          <w:p>
            <w:pPr>
              <w:spacing w:after="20"/>
            </w:pPr>
            <w:r>
              <w:rPr>
                <w:b/>
                <w:color w:val="1C3A36"/>
                <w:sz w:val="15"/>
              </w:rPr>
              <w:t>Rf, net of CDS spread</w:t>
            </w:r>
          </w:p>
        </w:tc>
        <w:tc>
          <w:tcPr>
            <w:tcW w:type="dxa" w:w="1224"/>
          </w:tcPr>
          <w:p>
            <w:pPr>
              <w:spacing w:after="20"/>
              <w:jc w:val="right"/>
            </w:pPr>
            <w:r>
              <w:rPr>
                <w:color w:val="1C3A36"/>
                <w:sz w:val="15"/>
              </w:rPr>
              <w:t>19.14%</w:t>
            </w:r>
          </w:p>
        </w:tc>
        <w:tc>
          <w:tcPr>
            <w:tcW w:type="dxa" w:w="5112"/>
          </w:tcPr>
          <w:p>
            <w:pPr>
              <w:spacing w:after="20"/>
              <w:jc w:val="right"/>
            </w:pPr>
            <w:r>
              <w:rPr>
                <w:color w:val="1C3A36"/>
                <w:sz w:val="15"/>
              </w:rPr>
              <w:t>= rf − CDS spread. This is a DELIBERATE construction, not an observable print — it does not exist as a quoted rate anywhere. It is the primary explicit-window Ke input per the 13-Jul-2026 addendum.</w:t>
            </w:r>
          </w:p>
        </w:tc>
      </w:tr>
      <w:tr>
        <w:tc>
          <w:tcPr>
            <w:tcW w:type="dxa" w:w="2880"/>
          </w:tcPr>
          <w:p>
            <w:pPr>
              <w:spacing w:after="20"/>
            </w:pPr>
            <w:r>
              <w:rPr>
                <w:b/>
                <w:color w:val="1C3A36"/>
                <w:sz w:val="15"/>
              </w:rPr>
              <w:t>ERP — CDS basis (primary)</w:t>
            </w:r>
          </w:p>
        </w:tc>
        <w:tc>
          <w:tcPr>
            <w:tcW w:type="dxa" w:w="1224"/>
          </w:tcPr>
          <w:p>
            <w:pPr>
              <w:spacing w:after="20"/>
              <w:jc w:val="right"/>
            </w:pPr>
            <w:r>
              <w:rPr>
                <w:color w:val="1C3A36"/>
                <w:sz w:val="15"/>
              </w:rPr>
              <w:t>9.41%</w:t>
            </w:r>
          </w:p>
        </w:tc>
        <w:tc>
          <w:tcPr>
            <w:tcW w:type="dxa" w:w="5112"/>
          </w:tcPr>
          <w:p>
            <w:pPr>
              <w:spacing w:after="20"/>
              <w:jc w:val="right"/>
            </w:pPr>
            <w:r>
              <w:rPr>
                <w:color w:val="1C3A36"/>
                <w:sz w:val="15"/>
              </w:rPr>
              <w:t>Damodaran ORIGINAL ctryprem, Jan-2026, Egypt row. Judgment call: CDS basis chosen as primary over the rating basis (13.94%) because CDS is more current in a post-float regime — the rating basis is disclosed as the published alternative.</w:t>
            </w:r>
          </w:p>
        </w:tc>
      </w:tr>
      <w:tr>
        <w:tc>
          <w:tcPr>
            <w:tcW w:type="dxa" w:w="2880"/>
          </w:tcPr>
          <w:p>
            <w:pPr>
              <w:spacing w:after="20"/>
            </w:pPr>
            <w:r>
              <w:rPr>
                <w:b/>
                <w:color w:val="1C3A36"/>
                <w:sz w:val="15"/>
              </w:rPr>
              <w:t>Beta</w:t>
            </w:r>
          </w:p>
        </w:tc>
        <w:tc>
          <w:tcPr>
            <w:tcW w:type="dxa" w:w="1224"/>
          </w:tcPr>
          <w:p>
            <w:pPr>
              <w:spacing w:after="20"/>
              <w:jc w:val="right"/>
            </w:pPr>
            <w:r>
              <w:rPr>
                <w:color w:val="1C3A36"/>
                <w:sz w:val="15"/>
              </w:rPr>
              <w:t>1.00</w:t>
            </w:r>
          </w:p>
        </w:tc>
        <w:tc>
          <w:tcPr>
            <w:tcW w:type="dxa" w:w="5112"/>
          </w:tcPr>
          <w:p>
            <w:pPr>
              <w:spacing w:after="20"/>
              <w:jc w:val="right"/>
            </w:pPr>
            <w:r>
              <w:rPr>
                <w:color w:val="1C3A36"/>
                <w:sz w:val="15"/>
              </w:rPr>
              <w:t>House FALLBACK, not a measured input: a genuine usability-gate failure (no clean EGX30 daily series accessible this session) blocked a live regression. Aggregator prints (0.26–0.49) are shown as colour only, not used — using an unadjusted illiquid micro-beta would understate Ke. Sensitised 0.8–1.3 in §1.9 so the reader sees the range this single judgment call spans.</w:t>
            </w:r>
          </w:p>
        </w:tc>
      </w:tr>
      <w:tr>
        <w:tc>
          <w:tcPr>
            <w:tcW w:type="dxa" w:w="2880"/>
          </w:tcPr>
          <w:p>
            <w:pPr>
              <w:spacing w:after="20"/>
            </w:pPr>
            <w:r>
              <w:rPr>
                <w:b/>
                <w:color w:val="1C3A36"/>
                <w:sz w:val="15"/>
              </w:rPr>
              <w:t>Ke, explicit window</w:t>
            </w:r>
          </w:p>
        </w:tc>
        <w:tc>
          <w:tcPr>
            <w:tcW w:type="dxa" w:w="1224"/>
          </w:tcPr>
          <w:p>
            <w:pPr>
              <w:spacing w:after="20"/>
              <w:jc w:val="right"/>
            </w:pPr>
            <w:r>
              <w:rPr>
                <w:color w:val="1C3A36"/>
                <w:sz w:val="15"/>
              </w:rPr>
              <w:t>28.55%</w:t>
            </w:r>
          </w:p>
        </w:tc>
        <w:tc>
          <w:tcPr>
            <w:tcW w:type="dxa" w:w="5112"/>
          </w:tcPr>
          <w:p>
            <w:pPr>
              <w:spacing w:after="20"/>
              <w:jc w:val="right"/>
            </w:pPr>
            <w:r>
              <w:rPr>
                <w:color w:val="1C3A36"/>
                <w:sz w:val="15"/>
              </w:rPr>
              <w:t>= rf_net + β×ERP_cds. PRIMARY per the 13-Jul-2026 addendum.</w:t>
            </w:r>
          </w:p>
        </w:tc>
      </w:tr>
      <w:tr>
        <w:tc>
          <w:tcPr>
            <w:tcW w:type="dxa" w:w="2880"/>
          </w:tcPr>
          <w:p>
            <w:pPr>
              <w:spacing w:after="20"/>
            </w:pPr>
            <w:r>
              <w:rPr>
                <w:b/>
                <w:color w:val="1C3A36"/>
                <w:sz w:val="15"/>
              </w:rPr>
              <w:t>Ke, explicit — RETIRED alternative</w:t>
            </w:r>
          </w:p>
        </w:tc>
        <w:tc>
          <w:tcPr>
            <w:tcW w:type="dxa" w:w="1224"/>
          </w:tcPr>
          <w:p>
            <w:pPr>
              <w:spacing w:after="20"/>
              <w:jc w:val="right"/>
            </w:pPr>
            <w:r>
              <w:rPr>
                <w:color w:val="1C3A36"/>
                <w:sz w:val="15"/>
              </w:rPr>
              <w:t>31.96%</w:t>
            </w:r>
          </w:p>
        </w:tc>
        <w:tc>
          <w:tcPr>
            <w:tcW w:type="dxa" w:w="5112"/>
          </w:tcPr>
          <w:p>
            <w:pPr>
              <w:spacing w:after="20"/>
              <w:jc w:val="right"/>
            </w:pPr>
            <w:r>
              <w:rPr>
                <w:color w:val="1C3A36"/>
                <w:sz w:val="15"/>
              </w:rPr>
              <w:t>The un-netted stack (rf + β×ERP_cds, no double-count fix) — kept visible for the audit trail, not used in any published lens.</w:t>
            </w:r>
          </w:p>
        </w:tc>
      </w:tr>
      <w:tr>
        <w:tc>
          <w:tcPr>
            <w:tcW w:type="dxa" w:w="2880"/>
          </w:tcPr>
          <w:p>
            <w:pPr>
              <w:spacing w:after="20"/>
            </w:pPr>
            <w:r>
              <w:rPr>
                <w:b/>
                <w:color w:val="1C3A36"/>
                <w:sz w:val="15"/>
              </w:rPr>
              <w:t>Kd, pre-tax</w:t>
            </w:r>
          </w:p>
        </w:tc>
        <w:tc>
          <w:tcPr>
            <w:tcW w:type="dxa" w:w="1224"/>
          </w:tcPr>
          <w:p>
            <w:pPr>
              <w:spacing w:after="20"/>
              <w:jc w:val="right"/>
            </w:pPr>
            <w:r>
              <w:rPr>
                <w:color w:val="1C3A36"/>
                <w:sz w:val="15"/>
              </w:rPr>
              <w:t>23.50%</w:t>
            </w:r>
          </w:p>
        </w:tc>
        <w:tc>
          <w:tcPr>
            <w:tcW w:type="dxa" w:w="5112"/>
          </w:tcPr>
          <w:p>
            <w:pPr>
              <w:spacing w:after="20"/>
              <w:jc w:val="right"/>
            </w:pPr>
            <w:r>
              <w:rPr>
                <w:color w:val="1C3A36"/>
                <w:sz w:val="15"/>
              </w:rPr>
              <w:t>NOT the midpoint of the disclosed facility-rate range (15–25.27%, FS Note 20) — that shortcut previously understated Kd by ~350bp. Set at the observed 1Q26 effective rate (below) less ~50bp of expected continuing subsidised-mix churn.</w:t>
            </w:r>
          </w:p>
        </w:tc>
      </w:tr>
      <w:tr>
        <w:tc>
          <w:tcPr>
            <w:tcW w:type="dxa" w:w="2880"/>
          </w:tcPr>
          <w:p>
            <w:pPr>
              <w:spacing w:after="20"/>
            </w:pPr>
            <w:r>
              <w:rPr>
                <w:b/>
                <w:color w:val="1C3A36"/>
                <w:sz w:val="15"/>
              </w:rPr>
              <w:t>Kd effective-rate check #1 (1Q26)</w:t>
            </w:r>
          </w:p>
        </w:tc>
        <w:tc>
          <w:tcPr>
            <w:tcW w:type="dxa" w:w="1224"/>
          </w:tcPr>
          <w:p>
            <w:pPr>
              <w:spacing w:after="20"/>
              <w:jc w:val="right"/>
            </w:pPr>
            <w:r>
              <w:rPr>
                <w:color w:val="1C3A36"/>
                <w:sz w:val="15"/>
              </w:rPr>
              <w:t>24.00%</w:t>
            </w:r>
          </w:p>
        </w:tc>
        <w:tc>
          <w:tcPr>
            <w:tcW w:type="dxa" w:w="5112"/>
          </w:tcPr>
          <w:p>
            <w:pPr>
              <w:spacing w:after="20"/>
              <w:jc w:val="right"/>
            </w:pPr>
            <w:r>
              <w:rPr>
                <w:color w:val="1C3A36"/>
                <w:sz w:val="15"/>
              </w:rPr>
              <w:t>INDEPENDENT cross-check, MANDATORY per the Kd-integrity gate: 1Q26 finance expense EGP 132mn annualised ÷ average gross facilities ~EGP 2,204mn.</w:t>
            </w:r>
          </w:p>
        </w:tc>
      </w:tr>
      <w:tr>
        <w:tc>
          <w:tcPr>
            <w:tcW w:type="dxa" w:w="2880"/>
          </w:tcPr>
          <w:p>
            <w:pPr>
              <w:spacing w:after="20"/>
            </w:pPr>
            <w:r>
              <w:rPr>
                <w:b/>
                <w:color w:val="1C3A36"/>
                <w:sz w:val="15"/>
              </w:rPr>
              <w:t>Kd effective-rate check #2 (FY25 peak)</w:t>
            </w:r>
          </w:p>
        </w:tc>
        <w:tc>
          <w:tcPr>
            <w:tcW w:type="dxa" w:w="1224"/>
          </w:tcPr>
          <w:p>
            <w:pPr>
              <w:spacing w:after="20"/>
              <w:jc w:val="right"/>
            </w:pPr>
            <w:r>
              <w:rPr>
                <w:color w:val="1C3A36"/>
                <w:sz w:val="15"/>
              </w:rPr>
              <w:t>28.60%</w:t>
            </w:r>
          </w:p>
        </w:tc>
        <w:tc>
          <w:tcPr>
            <w:tcW w:type="dxa" w:w="5112"/>
          </w:tcPr>
          <w:p>
            <w:pPr>
              <w:spacing w:after="20"/>
              <w:jc w:val="right"/>
            </w:pPr>
            <w:r>
              <w:rPr>
                <w:color w:val="1C3A36"/>
                <w:sz w:val="15"/>
              </w:rPr>
              <w:t>INDEPENDENT cross-check: FY25 finance expense EGP 538mn ÷ average gross facilities ~EGP 1,880mn — the peak-rate year, used as a ceiling sanity check (Kd may not exceed this by more than 50bp).</w:t>
            </w:r>
          </w:p>
        </w:tc>
      </w:tr>
      <w:tr>
        <w:tc>
          <w:tcPr>
            <w:tcW w:type="dxa" w:w="2880"/>
          </w:tcPr>
          <w:p>
            <w:pPr>
              <w:spacing w:after="20"/>
            </w:pPr>
            <w:r>
              <w:rPr>
                <w:b/>
                <w:color w:val="1C3A36"/>
                <w:sz w:val="15"/>
              </w:rPr>
              <w:t>FX composition of the debt book</w:t>
            </w:r>
          </w:p>
        </w:tc>
        <w:tc>
          <w:tcPr>
            <w:tcW w:type="dxa" w:w="1224"/>
          </w:tcPr>
          <w:p>
            <w:pPr>
              <w:spacing w:after="20"/>
              <w:jc w:val="right"/>
            </w:pPr>
            <w:r>
              <w:rPr>
                <w:color w:val="1C3A36"/>
                <w:sz w:val="15"/>
              </w:rPr>
              <w:t>100% EGP</w:t>
            </w:r>
          </w:p>
        </w:tc>
        <w:tc>
          <w:tcPr>
            <w:tcW w:type="dxa" w:w="5112"/>
          </w:tcPr>
          <w:p>
            <w:pPr>
              <w:spacing w:after="20"/>
              <w:jc w:val="right"/>
            </w:pPr>
            <w:r>
              <w:rPr>
                <w:color w:val="1C3A36"/>
                <w:sz w:val="15"/>
              </w:rPr>
              <w:t>MANDATORY evidence per the Kd-integrity gate: FS Note 20 lists all 11 facilities (CIB/FAB/Arab Bank/ABK/ADIB/Alex/AUB/ENBD/AWB/Banque Misr/NBK) in EGP; FX cash is trivial (USD 3.3mn + EUR 2.7mn vs EGP 43.2mn, Note 12). Judgment call this PREVENTS: assuming a cheaper blended-currency Kd where none exists.</w:t>
            </w:r>
          </w:p>
        </w:tc>
      </w:tr>
      <w:tr>
        <w:tc>
          <w:tcPr>
            <w:tcW w:type="dxa" w:w="2880"/>
          </w:tcPr>
          <w:p>
            <w:pPr>
              <w:spacing w:after="20"/>
            </w:pPr>
            <w:r>
              <w:rPr>
                <w:b/>
                <w:color w:val="1C3A36"/>
                <w:sz w:val="15"/>
              </w:rPr>
              <w:t>Kd, after-tax</w:t>
            </w:r>
          </w:p>
        </w:tc>
        <w:tc>
          <w:tcPr>
            <w:tcW w:type="dxa" w:w="1224"/>
          </w:tcPr>
          <w:p>
            <w:pPr>
              <w:spacing w:after="20"/>
              <w:jc w:val="right"/>
            </w:pPr>
            <w:r>
              <w:rPr>
                <w:color w:val="1C3A36"/>
                <w:sz w:val="15"/>
              </w:rPr>
              <w:t>17.86%</w:t>
            </w:r>
          </w:p>
        </w:tc>
        <w:tc>
          <w:tcPr>
            <w:tcW w:type="dxa" w:w="5112"/>
          </w:tcPr>
          <w:p>
            <w:pPr>
              <w:spacing w:after="20"/>
              <w:jc w:val="right"/>
            </w:pPr>
            <w:r>
              <w:rPr>
                <w:color w:val="1C3A36"/>
                <w:sz w:val="15"/>
              </w:rPr>
              <w:t>= Kd pre-tax × (1 − tax rate).</w:t>
            </w:r>
          </w:p>
        </w:tc>
      </w:tr>
      <w:tr>
        <w:tc>
          <w:tcPr>
            <w:tcW w:type="dxa" w:w="2880"/>
          </w:tcPr>
          <w:p>
            <w:pPr>
              <w:spacing w:after="20"/>
            </w:pPr>
            <w:r>
              <w:rPr>
                <w:b/>
                <w:color w:val="1C3A36"/>
                <w:sz w:val="15"/>
              </w:rPr>
              <w:t>Forward tax rate</w:t>
            </w:r>
          </w:p>
        </w:tc>
        <w:tc>
          <w:tcPr>
            <w:tcW w:type="dxa" w:w="1224"/>
          </w:tcPr>
          <w:p>
            <w:pPr>
              <w:spacing w:after="20"/>
              <w:jc w:val="right"/>
            </w:pPr>
            <w:r>
              <w:rPr>
                <w:color w:val="1C3A36"/>
                <w:sz w:val="15"/>
              </w:rPr>
              <w:t>24.0%</w:t>
            </w:r>
          </w:p>
        </w:tc>
        <w:tc>
          <w:tcPr>
            <w:tcW w:type="dxa" w:w="5112"/>
          </w:tcPr>
          <w:p>
            <w:pPr>
              <w:spacing w:after="20"/>
              <w:jc w:val="right"/>
            </w:pPr>
            <w:r>
              <w:rPr>
                <w:color w:val="1C3A36"/>
                <w:sz w:val="15"/>
              </w:rPr>
              <w:t>Normalised ETR: statutory 22.5% + non-deductibles (FY23–25 effective: 22.7/23.6/26.2%, FS Note 30) — a judgment call to use the historical-average effective rate, not the statutory minimum.</w:t>
            </w:r>
          </w:p>
        </w:tc>
      </w:tr>
      <w:tr>
        <w:tc>
          <w:tcPr>
            <w:tcW w:type="dxa" w:w="2880"/>
          </w:tcPr>
          <w:p>
            <w:pPr>
              <w:spacing w:after="20"/>
            </w:pPr>
            <w:r>
              <w:rPr>
                <w:b/>
                <w:color w:val="1C3A36"/>
                <w:sz w:val="15"/>
              </w:rPr>
              <w:t>Weight of equity (We)</w:t>
            </w:r>
          </w:p>
        </w:tc>
        <w:tc>
          <w:tcPr>
            <w:tcW w:type="dxa" w:w="1224"/>
          </w:tcPr>
          <w:p>
            <w:pPr>
              <w:spacing w:after="20"/>
              <w:jc w:val="right"/>
            </w:pPr>
            <w:r>
              <w:rPr>
                <w:color w:val="1C3A36"/>
                <w:sz w:val="15"/>
              </w:rPr>
              <w:t>81.8%</w:t>
            </w:r>
          </w:p>
        </w:tc>
        <w:tc>
          <w:tcPr>
            <w:tcW w:type="dxa" w:w="5112"/>
          </w:tcPr>
          <w:p>
            <w:pPr>
              <w:spacing w:after="20"/>
              <w:jc w:val="right"/>
            </w:pPr>
            <w:r>
              <w:rPr>
                <w:color w:val="1C3A36"/>
                <w:sz w:val="15"/>
              </w:rPr>
              <w:t>= market cap ÷ (market cap + gross facilities), at spot. Moves every time the share price moves — a market-based weight, not a target-structure assumption.</w:t>
            </w:r>
          </w:p>
        </w:tc>
      </w:tr>
      <w:tr>
        <w:tc>
          <w:tcPr>
            <w:tcW w:type="dxa" w:w="2880"/>
          </w:tcPr>
          <w:p>
            <w:pPr>
              <w:spacing w:after="20"/>
            </w:pPr>
            <w:r>
              <w:rPr>
                <w:b/>
                <w:color w:val="1C3A36"/>
                <w:sz w:val="15"/>
              </w:rPr>
              <w:t>Weight of debt (Wd)</w:t>
            </w:r>
          </w:p>
        </w:tc>
        <w:tc>
          <w:tcPr>
            <w:tcW w:type="dxa" w:w="1224"/>
          </w:tcPr>
          <w:p>
            <w:pPr>
              <w:spacing w:after="20"/>
              <w:jc w:val="right"/>
            </w:pPr>
            <w:r>
              <w:rPr>
                <w:color w:val="1C3A36"/>
                <w:sz w:val="15"/>
              </w:rPr>
              <w:t>18.2%</w:t>
            </w:r>
          </w:p>
        </w:tc>
        <w:tc>
          <w:tcPr>
            <w:tcW w:type="dxa" w:w="5112"/>
          </w:tcPr>
          <w:p>
            <w:pPr>
              <w:spacing w:after="20"/>
              <w:jc w:val="right"/>
            </w:pPr>
            <w:r>
              <w:rPr>
                <w:color w:val="1C3A36"/>
                <w:sz w:val="15"/>
              </w:rPr>
              <w:t>= 1 − We.</w:t>
            </w:r>
          </w:p>
        </w:tc>
      </w:tr>
      <w:tr>
        <w:tc>
          <w:tcPr>
            <w:tcW w:type="dxa" w:w="2880"/>
          </w:tcPr>
          <w:p>
            <w:pPr>
              <w:spacing w:after="20"/>
            </w:pPr>
            <w:r>
              <w:rPr>
                <w:b/>
                <w:color w:val="1C3A36"/>
                <w:sz w:val="15"/>
              </w:rPr>
              <w:t>WACC, explicit window (Y1)</w:t>
            </w:r>
          </w:p>
        </w:tc>
        <w:tc>
          <w:tcPr>
            <w:tcW w:type="dxa" w:w="1224"/>
          </w:tcPr>
          <w:p>
            <w:pPr>
              <w:spacing w:after="20"/>
              <w:jc w:val="right"/>
            </w:pPr>
            <w:r>
              <w:rPr>
                <w:color w:val="1C3A36"/>
                <w:sz w:val="15"/>
              </w:rPr>
              <w:t>26.60%</w:t>
            </w:r>
          </w:p>
        </w:tc>
        <w:tc>
          <w:tcPr>
            <w:tcW w:type="dxa" w:w="5112"/>
          </w:tcPr>
          <w:p>
            <w:pPr>
              <w:spacing w:after="20"/>
              <w:jc w:val="right"/>
            </w:pPr>
            <w:r>
              <w:rPr>
                <w:color w:val="1C3A36"/>
                <w:sz w:val="15"/>
              </w:rPr>
              <w:t>= We×Ke_exp + Wd×Kd_at. This is the PRIMARY Y1 forward rate — everything above feeds into this one number.</w:t>
            </w:r>
          </w:p>
        </w:tc>
      </w:tr>
      <w:tr>
        <w:tc>
          <w:tcPr>
            <w:tcW w:type="dxa" w:w="2880"/>
          </w:tcPr>
          <w:p>
            <w:pPr>
              <w:spacing w:after="20"/>
            </w:pPr>
            <w:r>
              <w:rPr>
                <w:b/>
                <w:color w:val="1C3A36"/>
                <w:sz w:val="15"/>
              </w:rPr>
              <w:t>WACC, RETIRED (flat, un-netted; audit trail)</w:t>
            </w:r>
          </w:p>
        </w:tc>
        <w:tc>
          <w:tcPr>
            <w:tcW w:type="dxa" w:w="1224"/>
          </w:tcPr>
          <w:p>
            <w:pPr>
              <w:spacing w:after="20"/>
              <w:jc w:val="right"/>
            </w:pPr>
            <w:r>
              <w:rPr>
                <w:color w:val="1C3A36"/>
                <w:sz w:val="15"/>
              </w:rPr>
              <w:t>29.39%</w:t>
            </w:r>
          </w:p>
        </w:tc>
        <w:tc>
          <w:tcPr>
            <w:tcW w:type="dxa" w:w="5112"/>
          </w:tcPr>
          <w:p>
            <w:pPr>
              <w:spacing w:after="20"/>
              <w:jc w:val="right"/>
            </w:pPr>
            <w:r>
              <w:rPr>
                <w:color w:val="1C3A36"/>
                <w:sz w:val="15"/>
              </w:rPr>
              <w:t>What the model would have shown under the pre-13-Jul-2026 construction (no CDS double-count fix, flat for the whole horizon). Kept visible so the size of the methodology change is never hidden.</w:t>
            </w:r>
          </w:p>
        </w:tc>
      </w:tr>
    </w:tbl>
    <w:p>
      <w:pPr>
        <w:spacing w:after="40"/>
      </w:pPr>
    </w:p>
    <w:p>
      <w:pPr>
        <w:spacing w:after="80" w:before="200"/>
      </w:pPr>
      <w:r>
        <w:rPr>
          <w:b/>
          <w:i w:val="0"/>
          <w:color w:val="1C3A36"/>
          <w:sz w:val="24"/>
        </w:rPr>
        <w:t>D.2  Terminal rate (Y5+, perpetuity) — every input, and why it is NOT backed out of a price</w:t>
      </w:r>
    </w:p>
    <w:p>
      <w:pPr>
        <w:spacing w:after="120" w:before="0"/>
      </w:pPr>
      <w:r>
        <w:rPr>
          <w:b w:val="0"/>
          <w:i w:val="0"/>
          <w:color w:val="1C3A36"/>
          <w:sz w:val="18"/>
        </w:rPr>
        <w:t>None of the terminal-window numbers below are observable market quotes — Egypt has no 25-year-forward curve to read. Each is a named, arguable, HOUSE macro view, disclosed as such and sensitised independently in §1.9’s explicit×terminal grid — never asserted as a single undisputed point, and never reverse-engineered from a target price the way a terminal rate can be quietly chosen to justify a pre-existing view.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880"/>
            <w:shd w:val="clear" w:color="auto" w:fill="EAF0EE"/>
          </w:tcPr>
          <w:p>
            <w:pPr>
              <w:spacing w:after="20"/>
            </w:pPr>
            <w:r>
              <w:rPr>
                <w:b/>
                <w:color w:val="1C3A36"/>
                <w:sz w:val="15"/>
              </w:rPr>
              <w:t>Assumption</w:t>
            </w:r>
          </w:p>
        </w:tc>
        <w:tc>
          <w:tcPr>
            <w:tcW w:type="dxa" w:w="1224"/>
            <w:shd w:val="clear" w:color="auto" w:fill="EAF0EE"/>
          </w:tcPr>
          <w:p>
            <w:pPr>
              <w:spacing w:after="20"/>
            </w:pPr>
            <w:r>
              <w:rPr>
                <w:b/>
                <w:color w:val="1C3A36"/>
                <w:sz w:val="15"/>
              </w:rPr>
              <w:t>Value</w:t>
            </w:r>
          </w:p>
        </w:tc>
        <w:tc>
          <w:tcPr>
            <w:tcW w:type="dxa" w:w="5112"/>
            <w:shd w:val="clear" w:color="auto" w:fill="EAF0EE"/>
          </w:tcPr>
          <w:p>
            <w:pPr>
              <w:spacing w:after="20"/>
            </w:pPr>
            <w:r>
              <w:rPr>
                <w:b/>
                <w:color w:val="1C3A36"/>
                <w:sz w:val="15"/>
              </w:rPr>
              <w:t>Judgment call / source</w:t>
            </w:r>
          </w:p>
        </w:tc>
      </w:tr>
      <w:tr>
        <w:tc>
          <w:tcPr>
            <w:tcW w:type="dxa" w:w="2880"/>
          </w:tcPr>
          <w:p>
            <w:pPr>
              <w:spacing w:after="20"/>
            </w:pPr>
            <w:r>
              <w:rPr>
                <w:b/>
                <w:color w:val="1C3A36"/>
                <w:sz w:val="15"/>
              </w:rPr>
              <w:t>Terminal risk-free rate</w:t>
            </w:r>
          </w:p>
        </w:tc>
        <w:tc>
          <w:tcPr>
            <w:tcW w:type="dxa" w:w="1224"/>
          </w:tcPr>
          <w:p>
            <w:pPr>
              <w:spacing w:after="20"/>
              <w:jc w:val="right"/>
            </w:pPr>
            <w:r>
              <w:rPr>
                <w:color w:val="1C3A36"/>
                <w:sz w:val="15"/>
              </w:rPr>
              <w:t>12.50%</w:t>
            </w:r>
          </w:p>
        </w:tc>
        <w:tc>
          <w:tcPr>
            <w:tcW w:type="dxa" w:w="5112"/>
          </w:tcPr>
          <w:p>
            <w:pPr>
              <w:spacing w:after="20"/>
              <w:jc w:val="right"/>
            </w:pPr>
            <w:r>
              <w:rPr>
                <w:color w:val="1C3A36"/>
                <w:sz w:val="15"/>
              </w:rPr>
              <w:t>= CBE's OWN stated medium-term inflation target (7%, MPC communications) + a ~5.5pp long-run EM real-rate convention. Deliberately NOT a raw multi-decade historical average, which could not be re-verified live this session — using the central bank's own stated target keeps this sourced rather than asserted, but it is still a forecast, not a fact.</w:t>
            </w:r>
          </w:p>
        </w:tc>
      </w:tr>
      <w:tr>
        <w:tc>
          <w:tcPr>
            <w:tcW w:type="dxa" w:w="2880"/>
          </w:tcPr>
          <w:p>
            <w:pPr>
              <w:spacing w:after="20"/>
            </w:pPr>
            <w:r>
              <w:rPr>
                <w:b/>
                <w:color w:val="1C3A36"/>
                <w:sz w:val="15"/>
              </w:rPr>
              <w:t>Terminal ERP</w:t>
            </w:r>
          </w:p>
        </w:tc>
        <w:tc>
          <w:tcPr>
            <w:tcW w:type="dxa" w:w="1224"/>
          </w:tcPr>
          <w:p>
            <w:pPr>
              <w:spacing w:after="20"/>
              <w:jc w:val="right"/>
            </w:pPr>
            <w:r>
              <w:rPr>
                <w:color w:val="1C3A36"/>
                <w:sz w:val="15"/>
              </w:rPr>
              <w:t>8.00%</w:t>
            </w:r>
          </w:p>
        </w:tc>
        <w:tc>
          <w:tcPr>
            <w:tcW w:type="dxa" w:w="5112"/>
          </w:tcPr>
          <w:p>
            <w:pPr>
              <w:spacing w:after="20"/>
              <w:jc w:val="right"/>
            </w:pPr>
            <w:r>
              <w:rPr>
                <w:color w:val="1C3A36"/>
                <w:sz w:val="15"/>
              </w:rPr>
              <w:t>CDS-basis ERP normalised BELOW the currently-elevated 9.41% — the house view that country risk compresses somewhat in steady state. Explicitly NOT held flat into perpetuity at today's crisis-era level.</w:t>
            </w:r>
          </w:p>
        </w:tc>
      </w:tr>
      <w:tr>
        <w:tc>
          <w:tcPr>
            <w:tcW w:type="dxa" w:w="2880"/>
          </w:tcPr>
          <w:p>
            <w:pPr>
              <w:spacing w:after="20"/>
            </w:pPr>
            <w:r>
              <w:rPr>
                <w:b/>
                <w:color w:val="1C3A36"/>
                <w:sz w:val="15"/>
              </w:rPr>
              <w:t>Terminal Ke</w:t>
            </w:r>
          </w:p>
        </w:tc>
        <w:tc>
          <w:tcPr>
            <w:tcW w:type="dxa" w:w="1224"/>
          </w:tcPr>
          <w:p>
            <w:pPr>
              <w:spacing w:after="20"/>
              <w:jc w:val="right"/>
            </w:pPr>
            <w:r>
              <w:rPr>
                <w:color w:val="1C3A36"/>
                <w:sz w:val="15"/>
              </w:rPr>
              <w:t>20.50%</w:t>
            </w:r>
          </w:p>
        </w:tc>
        <w:tc>
          <w:tcPr>
            <w:tcW w:type="dxa" w:w="5112"/>
          </w:tcPr>
          <w:p>
            <w:pPr>
              <w:spacing w:after="20"/>
              <w:jc w:val="right"/>
            </w:pPr>
            <w:r>
              <w:rPr>
                <w:color w:val="1C3A36"/>
                <w:sz w:val="15"/>
              </w:rPr>
              <w:t>= Terminal rf + β×Terminal ERP (same β as the explicit window — no separate terminal-beta judgment call is made).</w:t>
            </w:r>
          </w:p>
        </w:tc>
      </w:tr>
      <w:tr>
        <w:tc>
          <w:tcPr>
            <w:tcW w:type="dxa" w:w="2880"/>
          </w:tcPr>
          <w:p>
            <w:pPr>
              <w:spacing w:after="20"/>
            </w:pPr>
            <w:r>
              <w:rPr>
                <w:b/>
                <w:color w:val="1C3A36"/>
                <w:sz w:val="15"/>
              </w:rPr>
              <w:t>Terminal Kd</w:t>
            </w:r>
          </w:p>
        </w:tc>
        <w:tc>
          <w:tcPr>
            <w:tcW w:type="dxa" w:w="1224"/>
          </w:tcPr>
          <w:p>
            <w:pPr>
              <w:spacing w:after="20"/>
              <w:jc w:val="right"/>
            </w:pPr>
            <w:r>
              <w:rPr>
                <w:color w:val="1C3A36"/>
                <w:sz w:val="15"/>
              </w:rPr>
              <w:t>15.0%</w:t>
            </w:r>
          </w:p>
        </w:tc>
        <w:tc>
          <w:tcPr>
            <w:tcW w:type="dxa" w:w="5112"/>
          </w:tcPr>
          <w:p>
            <w:pPr>
              <w:spacing w:after="20"/>
              <w:jc w:val="right"/>
            </w:pPr>
            <w:r>
              <w:rPr>
                <w:color w:val="1C3A36"/>
                <w:sz w:val="15"/>
              </w:rPr>
              <w:t>USER-SPECIFIED: the 20-year Egyptian corporate-borrowing norm of 14–16% (CBE corridor history was single-digit-to-mid-teens for most of 2006–2020, before the 2022–24 devaluation/inflation shock); midpoint adopted absent a name-specific reason to deviate. Sensitised 14–16% in the terminal-anchor grid.</w:t>
            </w:r>
          </w:p>
        </w:tc>
      </w:tr>
      <w:tr>
        <w:tc>
          <w:tcPr>
            <w:tcW w:type="dxa" w:w="2880"/>
          </w:tcPr>
          <w:p>
            <w:pPr>
              <w:spacing w:after="20"/>
            </w:pPr>
            <w:r>
              <w:rPr>
                <w:b/>
                <w:color w:val="1C3A36"/>
                <w:sz w:val="15"/>
              </w:rPr>
              <w:t>Terminal Kd, after-tax</w:t>
            </w:r>
          </w:p>
        </w:tc>
        <w:tc>
          <w:tcPr>
            <w:tcW w:type="dxa" w:w="1224"/>
          </w:tcPr>
          <w:p>
            <w:pPr>
              <w:spacing w:after="20"/>
              <w:jc w:val="right"/>
            </w:pPr>
            <w:r>
              <w:rPr>
                <w:color w:val="1C3A36"/>
                <w:sz w:val="15"/>
              </w:rPr>
              <w:t>11.40%</w:t>
            </w:r>
          </w:p>
        </w:tc>
        <w:tc>
          <w:tcPr>
            <w:tcW w:type="dxa" w:w="5112"/>
          </w:tcPr>
          <w:p>
            <w:pPr>
              <w:spacing w:after="20"/>
              <w:jc w:val="right"/>
            </w:pPr>
            <w:r>
              <w:rPr>
                <w:color w:val="1C3A36"/>
                <w:sz w:val="15"/>
              </w:rPr>
              <w:t>= Terminal Kd × (1 − tax rate).</w:t>
            </w:r>
          </w:p>
        </w:tc>
      </w:tr>
      <w:tr>
        <w:tc>
          <w:tcPr>
            <w:tcW w:type="dxa" w:w="2880"/>
          </w:tcPr>
          <w:p>
            <w:pPr>
              <w:spacing w:after="20"/>
            </w:pPr>
            <w:r>
              <w:rPr>
                <w:b/>
                <w:color w:val="1C3A36"/>
                <w:sz w:val="15"/>
              </w:rPr>
              <w:t>WACC, terminal (Y5+)</w:t>
            </w:r>
          </w:p>
        </w:tc>
        <w:tc>
          <w:tcPr>
            <w:tcW w:type="dxa" w:w="1224"/>
          </w:tcPr>
          <w:p>
            <w:pPr>
              <w:spacing w:after="20"/>
              <w:jc w:val="right"/>
            </w:pPr>
            <w:r>
              <w:rPr>
                <w:color w:val="1C3A36"/>
                <w:sz w:val="15"/>
              </w:rPr>
              <w:t>18.84%</w:t>
            </w:r>
          </w:p>
        </w:tc>
        <w:tc>
          <w:tcPr>
            <w:tcW w:type="dxa" w:w="5112"/>
          </w:tcPr>
          <w:p>
            <w:pPr>
              <w:spacing w:after="20"/>
              <w:jc w:val="right"/>
            </w:pPr>
            <w:r>
              <w:rPr>
                <w:color w:val="1C3A36"/>
                <w:sz w:val="15"/>
              </w:rPr>
              <w:t>= We×Ke_term + Wd×Kd_term_at, at the SAME weights as the explicit window (no separate terminal capital-structure assumption is made — a further simplification worth flagging).</w:t>
            </w:r>
          </w:p>
        </w:tc>
      </w:tr>
    </w:tbl>
    <w:p>
      <w:pPr>
        <w:spacing w:after="40"/>
      </w:pPr>
    </w:p>
    <w:p>
      <w:pPr>
        <w:spacing w:after="80" w:before="200"/>
      </w:pPr>
      <w:r>
        <w:rPr>
          <w:b/>
          <w:i w:val="0"/>
          <w:color w:val="1C3A36"/>
          <w:sz w:val="24"/>
        </w:rPr>
        <w:t>D.3  The glide — how the model moves from Y1 to Y5, and why that shape was chosen</w:t>
      </w:r>
    </w:p>
    <w:p>
      <w:pPr>
        <w:spacing w:after="120" w:before="0"/>
      </w:pPr>
      <w:r>
        <w:rPr>
          <w:b w:val="0"/>
          <w:i w:val="0"/>
          <w:color w:val="1C3A36"/>
          <w:sz w:val="18"/>
        </w:rPr>
        <w:t>The path between the two anchors above is itself a judgment call, made explicit rather than left as an unstated straight line. It is tied to the SAME calendar already assumed for the Kd interest-expense forecast (kd_path, driver-sourced to the observed 1Q26 effective rate easing with the CBE cycle) — so Ke and Kd normalise on ONE assumed rate-cut calendar, not two independent ones. That calendar happens to be FRONT-LOADED (bigger cuts assumed early, tapering later), so the WACC glide is front-loaded too, by construction rather than by a second, separate choice.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232"/>
            <w:shd w:val="clear" w:color="auto" w:fill="EAF0EE"/>
          </w:tcPr>
          <w:p>
            <w:pPr>
              <w:spacing w:after="20"/>
            </w:pPr>
            <w:r>
              <w:rPr>
                <w:b/>
                <w:color w:val="1C3A36"/>
                <w:sz w:val="16"/>
              </w:rPr>
              <w:t>Year</w:t>
            </w:r>
          </w:p>
        </w:tc>
        <w:tc>
          <w:tcPr>
            <w:tcW w:type="dxa" w:w="1325"/>
            <w:shd w:val="clear" w:color="auto" w:fill="EAF0EE"/>
          </w:tcPr>
          <w:p>
            <w:pPr>
              <w:spacing w:after="20"/>
            </w:pPr>
            <w:r>
              <w:rPr>
                <w:b/>
                <w:color w:val="1C3A36"/>
                <w:sz w:val="16"/>
              </w:rPr>
              <w:t>FY26E</w:t>
            </w:r>
          </w:p>
        </w:tc>
        <w:tc>
          <w:tcPr>
            <w:tcW w:type="dxa" w:w="1325"/>
            <w:shd w:val="clear" w:color="auto" w:fill="EAF0EE"/>
          </w:tcPr>
          <w:p>
            <w:pPr>
              <w:spacing w:after="20"/>
            </w:pPr>
            <w:r>
              <w:rPr>
                <w:b/>
                <w:color w:val="1C3A36"/>
                <w:sz w:val="16"/>
              </w:rPr>
              <w:t>FY27E</w:t>
            </w:r>
          </w:p>
        </w:tc>
        <w:tc>
          <w:tcPr>
            <w:tcW w:type="dxa" w:w="1325"/>
            <w:shd w:val="clear" w:color="auto" w:fill="EAF0EE"/>
          </w:tcPr>
          <w:p>
            <w:pPr>
              <w:spacing w:after="20"/>
            </w:pPr>
            <w:r>
              <w:rPr>
                <w:b/>
                <w:color w:val="1C3A36"/>
                <w:sz w:val="16"/>
              </w:rPr>
              <w:t>FY28E</w:t>
            </w:r>
          </w:p>
        </w:tc>
        <w:tc>
          <w:tcPr>
            <w:tcW w:type="dxa" w:w="1325"/>
            <w:shd w:val="clear" w:color="auto" w:fill="EAF0EE"/>
          </w:tcPr>
          <w:p>
            <w:pPr>
              <w:spacing w:after="20"/>
            </w:pPr>
            <w:r>
              <w:rPr>
                <w:b/>
                <w:color w:val="1C3A36"/>
                <w:sz w:val="16"/>
              </w:rPr>
              <w:t>FY29E</w:t>
            </w:r>
          </w:p>
        </w:tc>
        <w:tc>
          <w:tcPr>
            <w:tcW w:type="dxa" w:w="1325"/>
            <w:shd w:val="clear" w:color="auto" w:fill="EAF0EE"/>
          </w:tcPr>
          <w:p>
            <w:pPr>
              <w:spacing w:after="20"/>
            </w:pPr>
            <w:r>
              <w:rPr>
                <w:b/>
                <w:color w:val="1C3A36"/>
                <w:sz w:val="16"/>
              </w:rPr>
              <w:t>FY30E</w:t>
            </w:r>
          </w:p>
        </w:tc>
        <w:tc>
          <w:tcPr>
            <w:tcW w:type="dxa" w:w="1512"/>
            <w:shd w:val="clear" w:color="auto" w:fill="EAF0EE"/>
          </w:tcPr>
          <w:p>
            <w:pPr>
              <w:spacing w:after="20"/>
            </w:pPr>
            <w:r>
              <w:rPr>
                <w:b/>
                <w:color w:val="1C3A36"/>
                <w:sz w:val="16"/>
              </w:rPr>
              <w:t>Terminal</w:t>
            </w:r>
          </w:p>
        </w:tc>
      </w:tr>
      <w:tr>
        <w:tc>
          <w:tcPr>
            <w:tcW w:type="dxa" w:w="2232"/>
          </w:tcPr>
          <w:p>
            <w:pPr>
              <w:spacing w:after="20"/>
            </w:pPr>
            <w:r>
              <w:rPr>
                <w:b/>
                <w:color w:val="1C3A36"/>
                <w:sz w:val="16"/>
              </w:rPr>
              <w:t>Forward WACC</w:t>
            </w:r>
          </w:p>
        </w:tc>
        <w:tc>
          <w:tcPr>
            <w:tcW w:type="dxa" w:w="1325"/>
          </w:tcPr>
          <w:p>
            <w:pPr>
              <w:spacing w:after="20"/>
              <w:jc w:val="right"/>
            </w:pPr>
            <w:r>
              <w:rPr>
                <w:color w:val="1C3A36"/>
                <w:sz w:val="16"/>
              </w:rPr>
              <w:t>26.60%</w:t>
            </w:r>
          </w:p>
        </w:tc>
        <w:tc>
          <w:tcPr>
            <w:tcW w:type="dxa" w:w="1325"/>
          </w:tcPr>
          <w:p>
            <w:pPr>
              <w:spacing w:after="20"/>
              <w:jc w:val="right"/>
            </w:pPr>
            <w:r>
              <w:rPr>
                <w:color w:val="1C3A36"/>
                <w:sz w:val="16"/>
              </w:rPr>
              <w:t>23.83%</w:t>
            </w:r>
          </w:p>
        </w:tc>
        <w:tc>
          <w:tcPr>
            <w:tcW w:type="dxa" w:w="1325"/>
          </w:tcPr>
          <w:p>
            <w:pPr>
              <w:spacing w:after="20"/>
              <w:jc w:val="right"/>
            </w:pPr>
            <w:r>
              <w:rPr>
                <w:color w:val="1C3A36"/>
                <w:sz w:val="16"/>
              </w:rPr>
              <w:t>21.62%</w:t>
            </w:r>
          </w:p>
        </w:tc>
        <w:tc>
          <w:tcPr>
            <w:tcW w:type="dxa" w:w="1325"/>
          </w:tcPr>
          <w:p>
            <w:pPr>
              <w:spacing w:after="20"/>
              <w:jc w:val="right"/>
            </w:pPr>
            <w:r>
              <w:rPr>
                <w:color w:val="1C3A36"/>
                <w:sz w:val="16"/>
              </w:rPr>
              <w:t>19.95%</w:t>
            </w:r>
          </w:p>
        </w:tc>
        <w:tc>
          <w:tcPr>
            <w:tcW w:type="dxa" w:w="1325"/>
          </w:tcPr>
          <w:p>
            <w:pPr>
              <w:spacing w:after="20"/>
              <w:jc w:val="right"/>
            </w:pPr>
            <w:r>
              <w:rPr>
                <w:color w:val="1C3A36"/>
                <w:sz w:val="16"/>
              </w:rPr>
              <w:t>18.84%</w:t>
            </w:r>
          </w:p>
        </w:tc>
        <w:tc>
          <w:tcPr>
            <w:tcW w:type="dxa" w:w="1512"/>
          </w:tcPr>
          <w:p>
            <w:pPr>
              <w:spacing w:after="20"/>
              <w:jc w:val="right"/>
            </w:pPr>
            <w:r>
              <w:rPr>
                <w:color w:val="1C3A36"/>
                <w:sz w:val="16"/>
              </w:rPr>
              <w:t>18.84%</w:t>
            </w:r>
          </w:p>
        </w:tc>
      </w:tr>
      <w:tr>
        <w:tc>
          <w:tcPr>
            <w:tcW w:type="dxa" w:w="2232"/>
          </w:tcPr>
          <w:p>
            <w:pPr>
              <w:spacing w:after="20"/>
            </w:pPr>
            <w:r>
              <w:rPr>
                <w:b/>
                <w:color w:val="1C3A36"/>
                <w:sz w:val="16"/>
              </w:rPr>
              <w:t>Y/Y drop in forward rate</w:t>
            </w:r>
          </w:p>
        </w:tc>
        <w:tc>
          <w:tcPr>
            <w:tcW w:type="dxa" w:w="1325"/>
          </w:tcPr>
          <w:p>
            <w:pPr>
              <w:spacing w:after="20"/>
              <w:jc w:val="right"/>
            </w:pPr>
            <w:r>
              <w:rPr>
                <w:color w:val="1C3A36"/>
                <w:sz w:val="16"/>
              </w:rPr>
              <w:t>—</w:t>
            </w:r>
          </w:p>
        </w:tc>
        <w:tc>
          <w:tcPr>
            <w:tcW w:type="dxa" w:w="1325"/>
          </w:tcPr>
          <w:p>
            <w:pPr>
              <w:spacing w:after="20"/>
              <w:jc w:val="right"/>
            </w:pPr>
            <w:r>
              <w:rPr>
                <w:color w:val="1C3A36"/>
                <w:sz w:val="16"/>
              </w:rPr>
              <w:t>2.77pp</w:t>
            </w:r>
          </w:p>
        </w:tc>
        <w:tc>
          <w:tcPr>
            <w:tcW w:type="dxa" w:w="1325"/>
          </w:tcPr>
          <w:p>
            <w:pPr>
              <w:spacing w:after="20"/>
              <w:jc w:val="right"/>
            </w:pPr>
            <w:r>
              <w:rPr>
                <w:color w:val="1C3A36"/>
                <w:sz w:val="16"/>
              </w:rPr>
              <w:t>2.22pp</w:t>
            </w:r>
          </w:p>
        </w:tc>
        <w:tc>
          <w:tcPr>
            <w:tcW w:type="dxa" w:w="1325"/>
          </w:tcPr>
          <w:p>
            <w:pPr>
              <w:spacing w:after="20"/>
              <w:jc w:val="right"/>
            </w:pPr>
            <w:r>
              <w:rPr>
                <w:color w:val="1C3A36"/>
                <w:sz w:val="16"/>
              </w:rPr>
              <w:t>1.66pp</w:t>
            </w:r>
          </w:p>
        </w:tc>
        <w:tc>
          <w:tcPr>
            <w:tcW w:type="dxa" w:w="1325"/>
          </w:tcPr>
          <w:p>
            <w:pPr>
              <w:spacing w:after="20"/>
              <w:jc w:val="right"/>
            </w:pPr>
            <w:r>
              <w:rPr>
                <w:color w:val="1C3A36"/>
                <w:sz w:val="16"/>
              </w:rPr>
              <w:t>1.11pp</w:t>
            </w:r>
          </w:p>
        </w:tc>
        <w:tc>
          <w:tcPr>
            <w:tcW w:type="dxa" w:w="1512"/>
          </w:tcPr>
          <w:p>
            <w:pPr>
              <w:spacing w:after="20"/>
              <w:jc w:val="right"/>
            </w:pPr>
            <w:r>
              <w:rPr>
                <w:color w:val="1C3A36"/>
                <w:sz w:val="16"/>
              </w:rPr>
              <w:t>—</w:t>
            </w:r>
          </w:p>
        </w:tc>
      </w:tr>
      <w:tr>
        <w:tc>
          <w:tcPr>
            <w:tcW w:type="dxa" w:w="2232"/>
          </w:tcPr>
          <w:p>
            <w:pPr>
              <w:spacing w:after="20"/>
            </w:pPr>
            <w:r>
              <w:rPr>
                <w:b/>
                <w:color w:val="1C3A36"/>
                <w:sz w:val="16"/>
              </w:rPr>
              <w:t>kd_path (interest-expense driver)</w:t>
            </w:r>
          </w:p>
        </w:tc>
        <w:tc>
          <w:tcPr>
            <w:tcW w:type="dxa" w:w="1325"/>
          </w:tcPr>
          <w:p>
            <w:pPr>
              <w:spacing w:after="20"/>
              <w:jc w:val="right"/>
            </w:pPr>
            <w:r>
              <w:rPr>
                <w:color w:val="1C3A36"/>
                <w:sz w:val="16"/>
              </w:rPr>
              <w:t>23.0%</w:t>
            </w:r>
          </w:p>
        </w:tc>
        <w:tc>
          <w:tcPr>
            <w:tcW w:type="dxa" w:w="1325"/>
          </w:tcPr>
          <w:p>
            <w:pPr>
              <w:spacing w:after="20"/>
              <w:jc w:val="right"/>
            </w:pPr>
            <w:r>
              <w:rPr>
                <w:color w:val="1C3A36"/>
                <w:sz w:val="16"/>
              </w:rPr>
              <w:t>20.5%</w:t>
            </w:r>
          </w:p>
        </w:tc>
        <w:tc>
          <w:tcPr>
            <w:tcW w:type="dxa" w:w="1325"/>
          </w:tcPr>
          <w:p>
            <w:pPr>
              <w:spacing w:after="20"/>
              <w:jc w:val="right"/>
            </w:pPr>
            <w:r>
              <w:rPr>
                <w:color w:val="1C3A36"/>
                <w:sz w:val="16"/>
              </w:rPr>
              <w:t>18.5%</w:t>
            </w:r>
          </w:p>
        </w:tc>
        <w:tc>
          <w:tcPr>
            <w:tcW w:type="dxa" w:w="1325"/>
          </w:tcPr>
          <w:p>
            <w:pPr>
              <w:spacing w:after="20"/>
              <w:jc w:val="right"/>
            </w:pPr>
            <w:r>
              <w:rPr>
                <w:color w:val="1C3A36"/>
                <w:sz w:val="16"/>
              </w:rPr>
              <w:t>17.0%</w:t>
            </w:r>
          </w:p>
        </w:tc>
        <w:tc>
          <w:tcPr>
            <w:tcW w:type="dxa" w:w="1325"/>
          </w:tcPr>
          <w:p>
            <w:pPr>
              <w:spacing w:after="20"/>
              <w:jc w:val="right"/>
            </w:pPr>
            <w:r>
              <w:rPr>
                <w:color w:val="1C3A36"/>
                <w:sz w:val="16"/>
              </w:rPr>
              <w:t>16.0%</w:t>
            </w:r>
          </w:p>
        </w:tc>
        <w:tc>
          <w:tcPr>
            <w:tcW w:type="dxa" w:w="1512"/>
          </w:tcPr>
          <w:p>
            <w:pPr>
              <w:spacing w:after="20"/>
              <w:jc w:val="right"/>
            </w:pPr>
            <w:r>
              <w:rPr>
                <w:color w:val="1C3A36"/>
                <w:sz w:val="16"/>
              </w:rPr>
              <w:t>16.0% (Y5 level)</w:t>
            </w:r>
          </w:p>
        </w:tc>
      </w:tr>
    </w:tbl>
    <w:p>
      <w:pPr>
        <w:spacing w:after="40"/>
      </w:pPr>
    </w:p>
    <w:p>
      <w:pPr>
        <w:spacing w:after="200" w:before="0"/>
      </w:pPr>
      <w:r>
        <w:rPr>
          <w:b w:val="0"/>
          <w:i/>
          <w:color w:val="6E7B77"/>
          <w:sz w:val="17"/>
        </w:rPr>
        <w:t>The WACC glide and kd_path ease on the SAME calendar shape (front-loaded) — this is the ONE assumed CBE easing path underlying both the explicit-year interest expense AND the discount rate, made explicit rather than left as two silently-different assumptions.</w:t>
      </w:r>
    </w:p>
    <w:p>
      <w:pPr>
        <w:spacing w:after="80" w:before="200"/>
      </w:pPr>
      <w:r>
        <w:rPr>
          <w:b/>
          <w:i w:val="0"/>
          <w:color w:val="1C3A36"/>
          <w:sz w:val="24"/>
        </w:rPr>
        <w:t>D.4  What changes the DCF, and by how much — the sensitivity of each judgment call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464"/>
            <w:shd w:val="clear" w:color="auto" w:fill="EAF0EE"/>
          </w:tcPr>
          <w:p>
            <w:pPr>
              <w:spacing w:after="20"/>
            </w:pPr>
            <w:r>
              <w:rPr>
                <w:b/>
                <w:color w:val="1C3A36"/>
                <w:sz w:val="16"/>
              </w:rPr>
              <w:t>If this assumption changed to…</w:t>
            </w:r>
          </w:p>
        </w:tc>
        <w:tc>
          <w:tcPr>
            <w:tcW w:type="dxa" w:w="2880"/>
            <w:shd w:val="clear" w:color="auto" w:fill="EAF0EE"/>
          </w:tcPr>
          <w:p>
            <w:pPr>
              <w:spacing w:after="20"/>
            </w:pPr>
            <w:r>
              <w:rPr>
                <w:b/>
                <w:color w:val="1C3A36"/>
                <w:sz w:val="16"/>
              </w:rPr>
              <w:t>DCF moves to (approx.)</w:t>
            </w:r>
          </w:p>
        </w:tc>
        <w:tc>
          <w:tcPr>
            <w:tcW w:type="dxa" w:w="1872"/>
            <w:shd w:val="clear" w:color="auto" w:fill="EAF0EE"/>
          </w:tcPr>
          <w:p>
            <w:pPr>
              <w:spacing w:after="20"/>
            </w:pPr>
            <w:r>
              <w:rPr>
                <w:b/>
                <w:color w:val="1C3A36"/>
                <w:sz w:val="16"/>
              </w:rPr>
              <w:t>Which input</w:t>
            </w:r>
          </w:p>
        </w:tc>
      </w:tr>
      <w:tr>
        <w:tc>
          <w:tcPr>
            <w:tcW w:type="dxa" w:w="4464"/>
          </w:tcPr>
          <w:p>
            <w:pPr>
              <w:spacing w:after="20"/>
            </w:pPr>
            <w:r>
              <w:rPr>
                <w:b/>
                <w:color w:val="1C3A36"/>
                <w:sz w:val="16"/>
              </w:rPr>
              <w:t>β = 0.8 (defensive-pharma prior) instead of 1.0</w:t>
            </w:r>
          </w:p>
        </w:tc>
        <w:tc>
          <w:tcPr>
            <w:tcW w:type="dxa" w:w="2880"/>
          </w:tcPr>
          <w:p>
            <w:pPr>
              <w:spacing w:after="20"/>
              <w:jc w:val="right"/>
            </w:pPr>
            <w:r>
              <w:rPr>
                <w:color w:val="1C3A36"/>
                <w:sz w:val="16"/>
              </w:rPr>
              <w:t>~26.7% Ke → see §1.9 β-grid</w:t>
            </w:r>
          </w:p>
        </w:tc>
        <w:tc>
          <w:tcPr>
            <w:tcW w:type="dxa" w:w="1872"/>
          </w:tcPr>
          <w:p>
            <w:pPr>
              <w:spacing w:after="20"/>
              <w:jc w:val="right"/>
            </w:pPr>
            <w:r>
              <w:rPr>
                <w:color w:val="1C3A36"/>
                <w:sz w:val="16"/>
              </w:rPr>
              <w:t>Beta</w:t>
            </w:r>
          </w:p>
        </w:tc>
      </w:tr>
      <w:tr>
        <w:tc>
          <w:tcPr>
            <w:tcW w:type="dxa" w:w="4464"/>
          </w:tcPr>
          <w:p>
            <w:pPr>
              <w:spacing w:after="20"/>
            </w:pPr>
            <w:r>
              <w:rPr>
                <w:b/>
                <w:color w:val="1C3A36"/>
                <w:sz w:val="16"/>
              </w:rPr>
              <w:t>Terminal Kd = 14% instead of 15%</w:t>
            </w:r>
          </w:p>
        </w:tc>
        <w:tc>
          <w:tcPr>
            <w:tcW w:type="dxa" w:w="2880"/>
          </w:tcPr>
          <w:p>
            <w:pPr>
              <w:spacing w:after="20"/>
              <w:jc w:val="right"/>
            </w:pPr>
            <w:r>
              <w:rPr>
                <w:color w:val="1C3A36"/>
                <w:sz w:val="16"/>
              </w:rPr>
              <w:t>See §1.9 explicit×terminal grid, one row down</w:t>
            </w:r>
          </w:p>
        </w:tc>
        <w:tc>
          <w:tcPr>
            <w:tcW w:type="dxa" w:w="1872"/>
          </w:tcPr>
          <w:p>
            <w:pPr>
              <w:spacing w:after="20"/>
              <w:jc w:val="right"/>
            </w:pPr>
            <w:r>
              <w:rPr>
                <w:color w:val="1C3A36"/>
                <w:sz w:val="16"/>
              </w:rPr>
              <w:t>Terminal Kd</w:t>
            </w:r>
          </w:p>
        </w:tc>
      </w:tr>
      <w:tr>
        <w:tc>
          <w:tcPr>
            <w:tcW w:type="dxa" w:w="4464"/>
          </w:tcPr>
          <w:p>
            <w:pPr>
              <w:spacing w:after="20"/>
            </w:pPr>
            <w:r>
              <w:rPr>
                <w:b/>
                <w:color w:val="1C3A36"/>
                <w:sz w:val="16"/>
              </w:rPr>
              <w:t>Terminal Kd = 16% instead of 15%</w:t>
            </w:r>
          </w:p>
        </w:tc>
        <w:tc>
          <w:tcPr>
            <w:tcW w:type="dxa" w:w="2880"/>
          </w:tcPr>
          <w:p>
            <w:pPr>
              <w:spacing w:after="20"/>
              <w:jc w:val="right"/>
            </w:pPr>
            <w:r>
              <w:rPr>
                <w:color w:val="1C3A36"/>
                <w:sz w:val="16"/>
              </w:rPr>
              <w:t>See §1.9 explicit×terminal grid, one row up</w:t>
            </w:r>
          </w:p>
        </w:tc>
        <w:tc>
          <w:tcPr>
            <w:tcW w:type="dxa" w:w="1872"/>
          </w:tcPr>
          <w:p>
            <w:pPr>
              <w:spacing w:after="20"/>
              <w:jc w:val="right"/>
            </w:pPr>
            <w:r>
              <w:rPr>
                <w:color w:val="1C3A36"/>
                <w:sz w:val="16"/>
              </w:rPr>
              <w:t>Terminal Kd</w:t>
            </w:r>
          </w:p>
        </w:tc>
      </w:tr>
      <w:tr>
        <w:tc>
          <w:tcPr>
            <w:tcW w:type="dxa" w:w="4464"/>
          </w:tcPr>
          <w:p>
            <w:pPr>
              <w:spacing w:after="20"/>
            </w:pPr>
            <w:r>
              <w:rPr>
                <w:b/>
                <w:color w:val="1C3A36"/>
                <w:sz w:val="16"/>
              </w:rPr>
              <w:t>CDS double-count fix NOT applied (retired stack)</w:t>
            </w:r>
          </w:p>
        </w:tc>
        <w:tc>
          <w:tcPr>
            <w:tcW w:type="dxa" w:w="2880"/>
          </w:tcPr>
          <w:p>
            <w:pPr>
              <w:spacing w:after="20"/>
              <w:jc w:val="right"/>
            </w:pPr>
            <w:r>
              <w:rPr>
                <w:color w:val="1C3A36"/>
                <w:sz w:val="16"/>
              </w:rPr>
              <w:t>DCF falls toward the pre-addendum 29.4% flat-rate case</w:t>
            </w:r>
          </w:p>
        </w:tc>
        <w:tc>
          <w:tcPr>
            <w:tcW w:type="dxa" w:w="1872"/>
          </w:tcPr>
          <w:p>
            <w:pPr>
              <w:spacing w:after="20"/>
              <w:jc w:val="right"/>
            </w:pPr>
            <w:r>
              <w:rPr>
                <w:color w:val="1C3A36"/>
                <w:sz w:val="16"/>
              </w:rPr>
              <w:t>rf/CDS netting</w:t>
            </w:r>
          </w:p>
        </w:tc>
      </w:tr>
      <w:tr>
        <w:tc>
          <w:tcPr>
            <w:tcW w:type="dxa" w:w="4464"/>
          </w:tcPr>
          <w:p>
            <w:pPr>
              <w:spacing w:after="20"/>
            </w:pPr>
            <w:r>
              <w:rPr>
                <w:b/>
                <w:color w:val="1C3A36"/>
                <w:sz w:val="16"/>
              </w:rPr>
              <w:t>Glide shape linear instead of front-loaded (kd_path-tied)</w:t>
            </w:r>
          </w:p>
        </w:tc>
        <w:tc>
          <w:tcPr>
            <w:tcW w:type="dxa" w:w="2880"/>
          </w:tcPr>
          <w:p>
            <w:pPr>
              <w:spacing w:after="20"/>
              <w:jc w:val="right"/>
            </w:pPr>
            <w:r>
              <w:rPr>
                <w:color w:val="1C3A36"/>
                <w:sz w:val="16"/>
              </w:rPr>
              <w:t>DCF ≈ 1.68 vs 1.73 published (front-loaded is worth ~+0.05/share here)</w:t>
            </w:r>
          </w:p>
        </w:tc>
        <w:tc>
          <w:tcPr>
            <w:tcW w:type="dxa" w:w="1872"/>
          </w:tcPr>
          <w:p>
            <w:pPr>
              <w:spacing w:after="20"/>
              <w:jc w:val="right"/>
            </w:pPr>
            <w:r>
              <w:rPr>
                <w:color w:val="1C3A36"/>
                <w:sz w:val="16"/>
              </w:rPr>
              <w:t>Glide shape</w:t>
            </w:r>
          </w:p>
        </w:tc>
      </w:tr>
      <w:tr>
        <w:tc>
          <w:tcPr>
            <w:tcW w:type="dxa" w:w="4464"/>
          </w:tcPr>
          <w:p>
            <w:pPr>
              <w:spacing w:after="20"/>
            </w:pPr>
            <w:r>
              <w:rPr>
                <w:b/>
                <w:color w:val="1C3A36"/>
                <w:sz w:val="16"/>
              </w:rPr>
              <w:t>Kd set at the Note-20 range midpoint (20.5%) instead of the effective-rate check (23.5%)</w:t>
            </w:r>
          </w:p>
        </w:tc>
        <w:tc>
          <w:tcPr>
            <w:tcW w:type="dxa" w:w="2880"/>
          </w:tcPr>
          <w:p>
            <w:pPr>
              <w:spacing w:after="20"/>
              <w:jc w:val="right"/>
            </w:pPr>
            <w:r>
              <w:rPr>
                <w:color w:val="1C3A36"/>
                <w:sz w:val="16"/>
              </w:rPr>
              <w:t>Would UNDERSTATE Kd by ~350bp — exactly the error the Kd-integrity gate exists to block</w:t>
            </w:r>
          </w:p>
        </w:tc>
        <w:tc>
          <w:tcPr>
            <w:tcW w:type="dxa" w:w="1872"/>
          </w:tcPr>
          <w:p>
            <w:pPr>
              <w:spacing w:after="20"/>
              <w:jc w:val="right"/>
            </w:pPr>
            <w:r>
              <w:rPr>
                <w:color w:val="1C3A36"/>
                <w:sz w:val="16"/>
              </w:rPr>
              <w:t>Kd-integrity gate</w:t>
            </w:r>
          </w:p>
        </w:tc>
      </w:tr>
    </w:tbl>
    <w:p>
      <w:pPr>
        <w:spacing w:after="40"/>
      </w:pPr>
    </w:p>
    <w:p>
      <w:pPr>
        <w:spacing w:after="200" w:before="0"/>
      </w:pPr>
      <w:r>
        <w:rPr>
          <w:b w:val="0"/>
          <w:i/>
          <w:color w:val="6E7B77"/>
          <w:sz w:val="17"/>
        </w:rPr>
        <w:t>Every row above is a real, arguable judgment call. None is hidden inside a single "WACC" line — that is the point of this appendix.</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in English and Arabic. Each is an attempt to reason transparently about what a security is worth, with every assumption shown and a companion model so readers can disagree productively. The house style is distributions, not tips: we describe ranges and probabilities, never targets or ratings, and we do not tell anyone what to do. Every published forecast is graded when it matures in a public, append-only Calibration Ledger — including the ones that miss.</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the Egyptian Financial Regulatory Authority (FRA) — holds no brokerage or investment-advisory authorisation, and is not acting as your adviser or fiduciary. Nothing here is personalised to your circumstances.</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&amp; accuracy. </w:t>
      </w:r>
      <w:r>
        <w:rPr>
          <w:b w:val="0"/>
          <w:i w:val="0"/>
          <w:color w:val="1C3A36"/>
          <w:sz w:val="19"/>
        </w:rPr>
        <w:t>Reported financial and operating figures are drawn from the company’s public disclosure (audited consolidated financial statements, BoD reports and interim releases on rameda.com and the EGX portal) and other public sources believed reliable but not independently verified; they may contain errors or be superseded. Forward-looking inputs — the channel growth and margin paths, capex intensity, the working-capital glide, the risk-free rate, the fallback beta, terminal growth, the multiples and the catalyst probabilities — are the preparer’s own judgments and are inherently uncertain. The income-tax-payable balance-sheet line is a derived balancing figure, stated as such.</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Monte Carlo models PRICE over three months, not value; its median is spot plus carry by construction and must never be read as a target. The fundamental fair-value range is a ≈12-month anchor; the two are different clocks and are deliberately never blended.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&amp; figures. </w:t>
      </w:r>
      <w:r>
        <w:rPr>
          <w:b w:val="0"/>
          <w:i w:val="0"/>
          <w:color w:val="1C3A36"/>
          <w:sz w:val="19"/>
        </w:rPr>
        <w:t>Figures are in Egyptian pounds (EGP), millions unless stated; bn denotes billion. The pound floats. Rounding may cause totals to differ slightly. Spot price and market data are as of 12 July 2026 and change continuously.</w:t>
      </w:r>
    </w:p>
    <w:p>
      <w:pPr>
        <w:spacing w:after="120" w:before="200"/>
        <w:jc w:val="center"/>
      </w:pPr>
      <w:r>
        <w:rPr>
          <w:b w:val="0"/>
          <w:i w:val="0"/>
          <w:color w:val="6E7B77"/>
          <w:sz w:val="17"/>
        </w:rPr>
        <w:t>TESTAHIL · Independent Valuation Study · Educational Analysis · Tenth of Ramadan for Pharmaceutical Industries &amp; Diagnostic Reagents — Rameda (EGX: RMDA) · edition 13-07-2026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