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EGP 7.62 – 24.92  (central 15.89)</w:t>
            </w:r>
          </w:p>
        </w:tc>
        <w:tc>
          <w:tcPr>
            <w:tcW w:type="dxa" w:w="1644"/>
          </w:tcPr>
          <w:p>
            <w:r/>
            <w:r>
              <w:rPr>
                <w:color w:val="1A1D21"/>
                <w:sz w:val="18"/>
              </w:rPr>
              <w:t>EGP 4.6 – 23.33  (central 10.94)</w:t>
            </w:r>
          </w:p>
        </w:tc>
        <w:tc>
          <w:tcPr>
            <w:tcW w:type="dxa" w:w="1020"/>
          </w:tcPr>
          <w:p>
            <w:r/>
            <w:r>
              <w:rPr>
                <w:color w:val="1A1D21"/>
                <w:sz w:val="18"/>
              </w:rPr>
              <w:t>-31.2%</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83.6 – 189.6  (central 147.12)</w:t>
            </w:r>
          </w:p>
        </w:tc>
        <w:tc>
          <w:tcPr>
            <w:tcW w:type="dxa" w:w="1644"/>
          </w:tcPr>
          <w:p>
            <w:r/>
            <w:r>
              <w:rPr>
                <w:color w:val="1A1D21"/>
                <w:sz w:val="18"/>
              </w:rPr>
              <w:t>EGP 48.48 – 62.91  (central 55.32)</w:t>
            </w:r>
          </w:p>
        </w:tc>
        <w:tc>
          <w:tcPr>
            <w:tcW w:type="dxa" w:w="1020"/>
          </w:tcPr>
          <w:p>
            <w:r/>
            <w:r>
              <w:rPr>
                <w:color w:val="1A1D21"/>
                <w:sz w:val="18"/>
              </w:rPr>
              <w:t>-62.4%</w:t>
            </w:r>
          </w:p>
        </w:tc>
      </w:tr>
    </w:tbl>
    <w:p/>
    <w:p>
      <w:pPr>
        <w:spacing w:after="120"/>
      </w:pPr>
      <w:r>
        <w:rPr>
          <w:b w:val="0"/>
          <w:i w:val="0"/>
          <w:color w:val="5B6570"/>
          <w:sz w:val="18"/>
        </w:rPr>
        <w:t>PHDC — before-calibration price recovered from assets/data.js history: unchanged across all 281 commits touching that file between 11-Jun-2026 and 01-Sep-2026. The original record declared it unrecoverable on the evidence of a SHALLOW clone holding 23 commits; unshallowing the repository resolved it. An empty result was read as a clean one..</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