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both ways — at book value and proportionally — on every case</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faded toward the delivery rate</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22.4% to 23.7%</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