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6 August 2026</w:t>
      </w:r>
    </w:p>
    <w:p>
      <w:pPr>
        <w:spacing w:after="200" w:before="0"/>
      </w:pPr>
      <w:r>
        <w:rPr>
          <w:b w:val="0"/>
          <w:i w:val="0"/>
          <w:color w:val="1C3A36"/>
          <w:sz w:val="24"/>
        </w:rPr>
        <w:t>Egypt's second-largest cement plant,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7% of Egypt's nominal capacity, listed on the Egyptian Exchange since May 2014, with cash of EGP 3,459mn against interest-bearing debt of EGP 1,135mn. Every figure in this study is read from the audited consolidated accounts.</w:t>
            </w:r>
          </w:p>
          <w:p>
            <w:pPr>
              <w:spacing w:after="100"/>
            </w:pPr>
            <w:r>
              <w:rPr>
                <w:b/>
                <w:color w:val="1C3A36"/>
                <w:sz w:val="19"/>
              </w:rPr>
              <w:t xml:space="preserve">Where the value lands. </w:t>
            </w:r>
            <w:r>
              <w:rPr>
                <w:color w:val="1C3A36"/>
                <w:sz w:val="19"/>
              </w:rPr>
              <w:t>Four lenses put the shares between EGP 36.34 and EGP 68.41, weighting to a central EGP 44.89 against a market price of EGP 59.00 — -23.9%.</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36.34</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-38.4%</w:t>
            </w:r>
          </w:p>
        </w:tc>
        <w:tc>
          <w:tcPr>
            <w:tcW w:type="dxa" w:w="1958"/>
          </w:tcPr>
          <w:p>
            <w:pPr>
              <w:spacing w:after="20"/>
              <w:jc w:val="right"/>
            </w:pPr>
            <w:r>
              <w:rPr>
                <w:color w:val="1C3A36"/>
                <w:sz w:val="18"/>
              </w:rPr>
              <w:t>45.5%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48.49</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-17.8%</w:t>
            </w:r>
          </w:p>
        </w:tc>
        <w:tc>
          <w:tcPr>
            <w:tcW w:type="dxa" w:w="1958"/>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52.48</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-11.1%</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68.41</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+15.9%</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944"/>
            <w:shd w:val="clear" w:color="auto" w:fill="F6F1E6"/>
          </w:tcPr>
          <w:p>
            <w:pPr>
              <w:spacing w:after="20"/>
              <w:jc w:val="right"/>
            </w:pPr>
            <w:r>
              <w:rPr>
                <w:b/>
                <w:color w:val="1C3A36"/>
                <w:sz w:val="18"/>
              </w:rPr>
              <w:t>44.89</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-23.9%</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across the four lenses</w:t>
            </w:r>
          </w:p>
        </w:tc>
        <w:tc>
          <w:tcPr>
            <w:tcW w:type="dxa" w:w="1944"/>
          </w:tcPr>
          <w:p>
            <w:pPr>
              <w:spacing w:after="20"/>
              <w:jc w:val="right"/>
            </w:pPr>
            <w:r>
              <w:rPr>
                <w:color w:val="1C3A36"/>
                <w:sz w:val="18"/>
              </w:rPr>
              <w:t>36.34 – 68.41</w:t>
            </w:r>
          </w:p>
        </w:tc>
        <w:tc>
          <w:tcPr>
            <w:tcW w:type="dxa" w:w="1037"/>
          </w:tcPr>
          <w:p>
            <w:pPr>
              <w:spacing w:after="20"/>
              <w:jc w:val="right"/>
            </w:pPr>
            <w:r>
              <w:rPr>
                <w:color w:val="1C3A36"/>
                <w:sz w:val="18"/>
              </w:rPr>
              <w:t>—</w:t>
            </w:r>
          </w:p>
        </w:tc>
        <w:tc>
          <w:tcPr>
            <w:tcW w:type="dxa" w:w="1469"/>
          </w:tcPr>
          <w:p>
            <w:pPr>
              <w:spacing w:after="20"/>
              <w:jc w:val="right"/>
            </w:pPr>
            <w:r>
              <w:rPr>
                <w:color w:val="1C3A36"/>
                <w:sz w:val="18"/>
              </w:rPr>
              <w:t>-38.4% to +15.9%</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6 August 2026</w:t>
            </w:r>
          </w:p>
        </w:tc>
        <w:tc>
          <w:tcPr>
            <w:tcW w:type="dxa" w:w="1944"/>
          </w:tcPr>
          <w:p>
            <w:pPr>
              <w:spacing w:after="20"/>
              <w:jc w:val="right"/>
            </w:pPr>
            <w:r>
              <w:rPr>
                <w:color w:val="1C3A36"/>
                <w:sz w:val="18"/>
              </w:rPr>
              <w:t>59.00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Terminal value as a percentage of enterprise value is shown beside the cash-flow lens, and again in the enterprise-to-equity bridge in section 1.7.</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7% of Egypt's nominal capacity and makes it the second-largest cement plant in the country.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is built from the audited notes rather than from an invented physical stack. The revenue note splits local from export and goods from services; the cost-of-sales note splits materials and fuel, transportation and overheads. Volume is DERIVED — disclosed revenue divided by an observed price — so the utilisation it implies is an output that can disagree with the sector.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Export sales of goods (audited)</w:t>
            </w:r>
          </w:p>
        </w:tc>
        <w:tc>
          <w:tcPr>
            <w:tcW w:type="dxa" w:w="2880"/>
          </w:tcPr>
          <w:p>
            <w:pPr>
              <w:spacing w:after="20"/>
              <w:jc w:val="right"/>
            </w:pPr>
            <w:r>
              <w:rPr>
                <w:color w:val="1C3A36"/>
                <w:sz w:val="18"/>
              </w:rPr>
              <w:t>EGP 3,356mn</w:t>
            </w:r>
          </w:p>
        </w:tc>
      </w:tr>
      <w:tr>
        <w:tc>
          <w:tcPr>
            <w:tcW w:type="dxa" w:w="5904"/>
          </w:tcPr>
          <w:p>
            <w:pPr>
              <w:spacing w:after="20"/>
            </w:pPr>
            <w:r>
              <w:rPr>
                <w:color w:val="1C3A36"/>
                <w:sz w:val="18"/>
              </w:rPr>
              <w:t>Export price assumed (USD/t)</w:t>
            </w:r>
          </w:p>
        </w:tc>
        <w:tc>
          <w:tcPr>
            <w:tcW w:type="dxa" w:w="2880"/>
          </w:tcPr>
          <w:p>
            <w:pPr>
              <w:spacing w:after="20"/>
              <w:jc w:val="right"/>
            </w:pPr>
            <w:r>
              <w:rPr>
                <w:color w:val="1C3A36"/>
                <w:sz w:val="18"/>
              </w:rPr>
              <w:t>62.0</w:t>
            </w:r>
          </w:p>
        </w:tc>
      </w:tr>
      <w:tr>
        <w:tc>
          <w:tcPr>
            <w:tcW w:type="dxa" w:w="5904"/>
          </w:tcPr>
          <w:p>
            <w:pPr>
              <w:spacing w:after="20"/>
            </w:pPr>
            <w:r>
              <w:rPr>
                <w:color w:val="1C3A36"/>
                <w:sz w:val="18"/>
              </w:rPr>
              <w:t>Average USD/EGP in 2025 (audited note)</w:t>
            </w:r>
          </w:p>
        </w:tc>
        <w:tc>
          <w:tcPr>
            <w:tcW w:type="dxa" w:w="2880"/>
          </w:tcPr>
          <w:p>
            <w:pPr>
              <w:spacing w:after="20"/>
              <w:jc w:val="right"/>
            </w:pPr>
            <w:r>
              <w:rPr>
                <w:color w:val="1C3A36"/>
                <w:sz w:val="18"/>
              </w:rPr>
              <w:t>49.26</w:t>
            </w:r>
          </w:p>
        </w:tc>
      </w:tr>
      <w:tr>
        <w:tc>
          <w:tcPr>
            <w:tcW w:type="dxa" w:w="5904"/>
          </w:tcPr>
          <w:p>
            <w:pPr>
              <w:spacing w:after="20"/>
            </w:pPr>
            <w:r>
              <w:rPr>
                <w:color w:val="1C3A36"/>
                <w:sz w:val="18"/>
              </w:rPr>
              <w:t>Export volume derived (Mt)</w:t>
            </w:r>
          </w:p>
        </w:tc>
        <w:tc>
          <w:tcPr>
            <w:tcW w:type="dxa" w:w="2880"/>
          </w:tcPr>
          <w:p>
            <w:pPr>
              <w:spacing w:after="20"/>
              <w:jc w:val="right"/>
            </w:pPr>
            <w:r>
              <w:rPr>
                <w:color w:val="1C3A36"/>
                <w:sz w:val="18"/>
              </w:rPr>
              <w:t>1.099</w:t>
            </w:r>
          </w:p>
        </w:tc>
      </w:tr>
      <w:tr>
        <w:tc>
          <w:tcPr>
            <w:tcW w:type="dxa" w:w="5904"/>
          </w:tcPr>
          <w:p>
            <w:pPr>
              <w:spacing w:after="20"/>
            </w:pPr>
            <w:r>
              <w:rPr>
                <w:color w:val="1C3A36"/>
                <w:sz w:val="18"/>
              </w:rPr>
              <w:t>Local sales of goods (audited)</w:t>
            </w:r>
          </w:p>
        </w:tc>
        <w:tc>
          <w:tcPr>
            <w:tcW w:type="dxa" w:w="2880"/>
          </w:tcPr>
          <w:p>
            <w:pPr>
              <w:spacing w:after="20"/>
              <w:jc w:val="right"/>
            </w:pPr>
            <w:r>
              <w:rPr>
                <w:color w:val="1C3A36"/>
                <w:sz w:val="18"/>
              </w:rPr>
              <w:t>EGP 8,350mn</w:t>
            </w:r>
          </w:p>
        </w:tc>
      </w:tr>
      <w:tr>
        <w:tc>
          <w:tcPr>
            <w:tcW w:type="dxa" w:w="5904"/>
          </w:tcPr>
          <w:p>
            <w:pPr>
              <w:spacing w:after="20"/>
            </w:pPr>
            <w:r>
              <w:rPr>
                <w:color w:val="1C3A36"/>
                <w:sz w:val="18"/>
              </w:rPr>
              <w:t>Local price assumed (EGP/t)</w:t>
            </w:r>
          </w:p>
        </w:tc>
        <w:tc>
          <w:tcPr>
            <w:tcW w:type="dxa" w:w="2880"/>
          </w:tcPr>
          <w:p>
            <w:pPr>
              <w:spacing w:after="20"/>
              <w:jc w:val="right"/>
            </w:pPr>
            <w:r>
              <w:rPr>
                <w:color w:val="1C3A36"/>
                <w:sz w:val="18"/>
              </w:rPr>
              <w:t>3,500</w:t>
            </w:r>
          </w:p>
        </w:tc>
      </w:tr>
      <w:tr>
        <w:tc>
          <w:tcPr>
            <w:tcW w:type="dxa" w:w="5904"/>
          </w:tcPr>
          <w:p>
            <w:pPr>
              <w:spacing w:after="20"/>
            </w:pPr>
            <w:r>
              <w:rPr>
                <w:color w:val="1C3A36"/>
                <w:sz w:val="18"/>
              </w:rPr>
              <w:t>Local volume derived (Mt)</w:t>
            </w:r>
          </w:p>
        </w:tc>
        <w:tc>
          <w:tcPr>
            <w:tcW w:type="dxa" w:w="2880"/>
          </w:tcPr>
          <w:p>
            <w:pPr>
              <w:spacing w:after="20"/>
              <w:jc w:val="right"/>
            </w:pPr>
            <w:r>
              <w:rPr>
                <w:color w:val="1C3A36"/>
                <w:sz w:val="18"/>
              </w:rPr>
              <w:t>2.386</w:t>
            </w:r>
          </w:p>
        </w:tc>
      </w:tr>
      <w:tr>
        <w:tc>
          <w:tcPr>
            <w:tcW w:type="dxa" w:w="5904"/>
            <w:shd w:val="clear" w:color="auto" w:fill="F6F1E6"/>
          </w:tcPr>
          <w:p>
            <w:pPr>
              <w:spacing w:after="20"/>
            </w:pPr>
            <w:r>
              <w:rPr>
                <w:b/>
                <w:color w:val="1C3A36"/>
                <w:sz w:val="18"/>
              </w:rPr>
              <w:t>TOTAL VOLUME (Mt)</w:t>
            </w:r>
          </w:p>
        </w:tc>
        <w:tc>
          <w:tcPr>
            <w:tcW w:type="dxa" w:w="2880"/>
            <w:shd w:val="clear" w:color="auto" w:fill="F6F1E6"/>
          </w:tcPr>
          <w:p>
            <w:pPr>
              <w:spacing w:after="20"/>
              <w:jc w:val="right"/>
            </w:pPr>
            <w:r>
              <w:rPr>
                <w:b/>
                <w:color w:val="1C3A36"/>
                <w:sz w:val="18"/>
              </w:rPr>
              <w:t>3.485</w:t>
            </w:r>
          </w:p>
        </w:tc>
      </w:tr>
      <w:tr>
        <w:tc>
          <w:tcPr>
            <w:tcW w:type="dxa" w:w="5904"/>
            <w:shd w:val="clear" w:color="auto" w:fill="F6F1E6"/>
          </w:tcPr>
          <w:p>
            <w:pPr>
              <w:spacing w:after="20"/>
            </w:pPr>
            <w:r>
              <w:rPr>
                <w:b/>
                <w:color w:val="1C3A36"/>
                <w:sz w:val="18"/>
              </w:rPr>
              <w:t>Implied capacity utilisation</w:t>
            </w:r>
          </w:p>
        </w:tc>
        <w:tc>
          <w:tcPr>
            <w:tcW w:type="dxa" w:w="2880"/>
            <w:shd w:val="clear" w:color="auto" w:fill="F6F1E6"/>
          </w:tcPr>
          <w:p>
            <w:pPr>
              <w:spacing w:after="20"/>
              <w:jc w:val="right"/>
            </w:pPr>
            <w:r>
              <w:rPr>
                <w:b/>
                <w:color w:val="1C3A36"/>
                <w:sz w:val="18"/>
              </w:rPr>
              <w:t>69.7%</w:t>
            </w:r>
          </w:p>
        </w:tc>
      </w:tr>
      <w:tr>
        <w:tc>
          <w:tcPr>
            <w:tcW w:type="dxa" w:w="5904"/>
          </w:tcPr>
          <w:p>
            <w:pPr>
              <w:spacing w:after="20"/>
            </w:pPr>
            <w:r>
              <w:rPr>
                <w:color w:val="1C3A36"/>
                <w:sz w:val="18"/>
              </w:rPr>
              <w:t>National sector utilisation, for comparison</w:t>
            </w:r>
          </w:p>
        </w:tc>
        <w:tc>
          <w:tcPr>
            <w:tcW w:type="dxa" w:w="2880"/>
          </w:tcPr>
          <w:p>
            <w:pPr>
              <w:spacing w:after="20"/>
              <w:jc w:val="right"/>
            </w:pPr>
            <w:r>
              <w:rPr>
                <w:color w:val="1C3A36"/>
                <w:sz w:val="18"/>
              </w:rPr>
              <w:t>85.5%</w:t>
            </w:r>
          </w:p>
        </w:tc>
      </w:tr>
      <w:tr>
        <w:tc>
          <w:tcPr>
            <w:tcW w:type="dxa" w:w="5904"/>
          </w:tcPr>
          <w:p>
            <w:pPr>
              <w:spacing w:after="20"/>
            </w:pPr>
            <w:r>
              <w:rPr>
                <w:color w:val="1C3A36"/>
                <w:sz w:val="18"/>
              </w:rPr>
              <w:t>Export share of volume</w:t>
            </w:r>
          </w:p>
        </w:tc>
        <w:tc>
          <w:tcPr>
            <w:tcW w:type="dxa" w:w="2880"/>
          </w:tcPr>
          <w:p>
            <w:pPr>
              <w:spacing w:after="20"/>
              <w:jc w:val="right"/>
            </w:pPr>
            <w:r>
              <w:rPr>
                <w:color w:val="1C3A36"/>
                <w:sz w:val="18"/>
              </w:rPr>
              <w:t>31.5%</w:t>
            </w:r>
          </w:p>
        </w:tc>
      </w:tr>
    </w:tbl>
    <w:p>
      <w:pPr>
        <w:spacing w:after="40"/>
      </w:pPr>
    </w:p>
    <w:p>
      <w:pPr>
        <w:spacing w:after="200" w:before="0"/>
      </w:pPr>
      <w:r>
        <w:rPr>
          <w:b w:val="0"/>
          <w:i/>
          <w:color w:val="6E7B77"/>
          <w:sz w:val="17"/>
        </w:rPr>
        <w:t>Table 2 — The volume build. Nothing here is asserted: the two revenue lines are audited, the exchange rate is from the currency note, and only the two prices are external estimates. The utilisation that falls out is the test, and 69.7% against a national 85.5% is a plant running below the country average, which is what a 30%-export producer at a statutory export cap should look like.</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7,562mn, or EGP 2,170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per tonne of cement</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w:t>
            </w:r>
          </w:p>
        </w:tc>
        <w:tc>
          <w:tcPr>
            <w:tcW w:type="dxa" w:w="1872"/>
          </w:tcPr>
          <w:p>
            <w:pPr>
              <w:spacing w:after="20"/>
              <w:jc w:val="right"/>
            </w:pPr>
            <w:r>
              <w:rPr>
                <w:color w:val="1C3A36"/>
                <w:sz w:val="18"/>
              </w:rPr>
              <w:t>1,635</w:t>
            </w:r>
          </w:p>
        </w:tc>
        <w:tc>
          <w:tcPr>
            <w:tcW w:type="dxa" w:w="1872"/>
          </w:tcPr>
          <w:p>
            <w:pPr>
              <w:spacing w:after="20"/>
              <w:jc w:val="right"/>
            </w:pPr>
            <w:r>
              <w:rPr>
                <w:color w:val="1C3A36"/>
                <w:sz w:val="18"/>
              </w:rPr>
              <w:t>1,796</w:t>
            </w:r>
          </w:p>
        </w:tc>
        <w:tc>
          <w:tcPr>
            <w:tcW w:type="dxa" w:w="1872"/>
          </w:tcPr>
          <w:p>
            <w:pPr>
              <w:spacing w:after="20"/>
              <w:jc w:val="right"/>
            </w:pPr>
            <w:r>
              <w:rPr>
                <w:color w:val="1C3A36"/>
                <w:sz w:val="18"/>
              </w:rPr>
              <w:t>2,386</w:t>
            </w:r>
          </w:p>
        </w:tc>
      </w:tr>
      <w:tr>
        <w:tc>
          <w:tcPr>
            <w:tcW w:type="dxa" w:w="3744"/>
          </w:tcPr>
          <w:p>
            <w:pPr>
              <w:spacing w:after="20"/>
            </w:pPr>
            <w:r>
              <w:rPr>
                <w:color w:val="1C3A36"/>
                <w:sz w:val="18"/>
              </w:rPr>
              <w:t>Transportation</w:t>
            </w:r>
          </w:p>
        </w:tc>
        <w:tc>
          <w:tcPr>
            <w:tcW w:type="dxa" w:w="1872"/>
          </w:tcPr>
          <w:p>
            <w:pPr>
              <w:spacing w:after="20"/>
              <w:jc w:val="right"/>
            </w:pPr>
            <w:r>
              <w:rPr>
                <w:color w:val="1C3A36"/>
                <w:sz w:val="18"/>
              </w:rPr>
              <w:t>219</w:t>
            </w:r>
          </w:p>
        </w:tc>
        <w:tc>
          <w:tcPr>
            <w:tcW w:type="dxa" w:w="1872"/>
          </w:tcPr>
          <w:p>
            <w:pPr>
              <w:spacing w:after="20"/>
              <w:jc w:val="right"/>
            </w:pPr>
            <w:r>
              <w:rPr>
                <w:color w:val="1C3A36"/>
                <w:sz w:val="18"/>
              </w:rPr>
              <w:t>245</w:t>
            </w:r>
          </w:p>
        </w:tc>
        <w:tc>
          <w:tcPr>
            <w:tcW w:type="dxa" w:w="1872"/>
          </w:tcPr>
          <w:p>
            <w:pPr>
              <w:spacing w:after="20"/>
              <w:jc w:val="right"/>
            </w:pPr>
            <w:r>
              <w:rPr>
                <w:color w:val="1C3A36"/>
                <w:sz w:val="18"/>
              </w:rPr>
              <w:t>339</w:t>
            </w:r>
          </w:p>
        </w:tc>
      </w:tr>
      <w:tr>
        <w:tc>
          <w:tcPr>
            <w:tcW w:type="dxa" w:w="3744"/>
          </w:tcPr>
          <w:p>
            <w:pPr>
              <w:spacing w:after="20"/>
            </w:pPr>
            <w:r>
              <w:rPr>
                <w:color w:val="1C3A36"/>
                <w:sz w:val="18"/>
              </w:rPr>
              <w:t>Overheads and administration</w:t>
            </w:r>
          </w:p>
        </w:tc>
        <w:tc>
          <w:tcPr>
            <w:tcW w:type="dxa" w:w="1872"/>
          </w:tcPr>
          <w:p>
            <w:pPr>
              <w:spacing w:after="20"/>
              <w:jc w:val="right"/>
            </w:pPr>
            <w:r>
              <w:rPr>
                <w:color w:val="1C3A36"/>
                <w:sz w:val="18"/>
              </w:rPr>
              <w:t>315</w:t>
            </w:r>
          </w:p>
        </w:tc>
        <w:tc>
          <w:tcPr>
            <w:tcW w:type="dxa" w:w="1872"/>
          </w:tcPr>
          <w:p>
            <w:pPr>
              <w:spacing w:after="20"/>
              <w:jc w:val="right"/>
            </w:pPr>
            <w:r>
              <w:rPr>
                <w:color w:val="1C3A36"/>
                <w:sz w:val="18"/>
              </w:rPr>
              <w:t>352</w:t>
            </w:r>
          </w:p>
        </w:tc>
        <w:tc>
          <w:tcPr>
            <w:tcW w:type="dxa" w:w="1872"/>
          </w:tcPr>
          <w:p>
            <w:pPr>
              <w:spacing w:after="20"/>
              <w:jc w:val="right"/>
            </w:pPr>
            <w:r>
              <w:rPr>
                <w:color w:val="1C3A36"/>
                <w:sz w:val="18"/>
              </w:rPr>
              <w:t>487</w:t>
            </w:r>
          </w:p>
        </w:tc>
      </w:tr>
      <w:tr>
        <w:tc>
          <w:tcPr>
            <w:tcW w:type="dxa" w:w="3744"/>
            <w:shd w:val="clear" w:color="auto" w:fill="F6F1E6"/>
          </w:tcPr>
          <w:p>
            <w:pPr>
              <w:spacing w:after="20"/>
            </w:pPr>
            <w:r>
              <w:rPr>
                <w:b/>
                <w:color w:val="1C3A36"/>
                <w:sz w:val="18"/>
              </w:rPr>
              <w:t>Total cash cost</w:t>
            </w:r>
          </w:p>
        </w:tc>
        <w:tc>
          <w:tcPr>
            <w:tcW w:type="dxa" w:w="1872"/>
            <w:shd w:val="clear" w:color="auto" w:fill="F6F1E6"/>
          </w:tcPr>
          <w:p>
            <w:pPr>
              <w:spacing w:after="20"/>
              <w:jc w:val="right"/>
            </w:pPr>
            <w:r>
              <w:rPr>
                <w:b/>
                <w:color w:val="1C3A36"/>
                <w:sz w:val="18"/>
              </w:rPr>
              <w:t>2,170</w:t>
            </w:r>
          </w:p>
        </w:tc>
        <w:tc>
          <w:tcPr>
            <w:tcW w:type="dxa" w:w="1872"/>
            <w:shd w:val="clear" w:color="auto" w:fill="F6F1E6"/>
          </w:tcPr>
          <w:p>
            <w:pPr>
              <w:spacing w:after="20"/>
              <w:jc w:val="right"/>
            </w:pPr>
            <w:r>
              <w:rPr>
                <w:b/>
                <w:color w:val="1C3A36"/>
                <w:sz w:val="18"/>
              </w:rPr>
              <w:t>2,392</w:t>
            </w:r>
          </w:p>
        </w:tc>
        <w:tc>
          <w:tcPr>
            <w:tcW w:type="dxa" w:w="1872"/>
            <w:shd w:val="clear" w:color="auto" w:fill="F6F1E6"/>
          </w:tcPr>
          <w:p>
            <w:pPr>
              <w:spacing w:after="20"/>
              <w:jc w:val="right"/>
            </w:pPr>
            <w:r>
              <w:rPr>
                <w:b/>
                <w:color w:val="1C3A36"/>
                <w:sz w:val="18"/>
              </w:rPr>
              <w:t>3,211</w:t>
            </w:r>
          </w:p>
        </w:tc>
      </w:tr>
      <w:tr>
        <w:tc>
          <w:tcPr>
            <w:tcW w:type="dxa" w:w="3744"/>
          </w:tcPr>
          <w:p>
            <w:pPr>
              <w:spacing w:after="20"/>
            </w:pPr>
            <w:r>
              <w:rPr>
                <w:color w:val="1C3A36"/>
                <w:sz w:val="18"/>
              </w:rPr>
              <w:t>Blended realised price</w:t>
            </w:r>
          </w:p>
        </w:tc>
        <w:tc>
          <w:tcPr>
            <w:tcW w:type="dxa" w:w="1872"/>
          </w:tcPr>
          <w:p>
            <w:pPr>
              <w:spacing w:after="20"/>
              <w:jc w:val="right"/>
            </w:pPr>
            <w:r>
              <w:rPr>
                <w:color w:val="1C3A36"/>
                <w:sz w:val="18"/>
              </w:rPr>
              <w:t>3,572</w:t>
            </w:r>
          </w:p>
        </w:tc>
        <w:tc>
          <w:tcPr>
            <w:tcW w:type="dxa" w:w="1872"/>
          </w:tcPr>
          <w:p>
            <w:pPr>
              <w:spacing w:after="20"/>
              <w:jc w:val="right"/>
            </w:pPr>
            <w:r>
              <w:rPr>
                <w:color w:val="1C3A36"/>
                <w:sz w:val="18"/>
              </w:rPr>
              <w:t>3,646</w:t>
            </w:r>
          </w:p>
        </w:tc>
        <w:tc>
          <w:tcPr>
            <w:tcW w:type="dxa" w:w="1872"/>
          </w:tcPr>
          <w:p>
            <w:pPr>
              <w:spacing w:after="20"/>
              <w:jc w:val="right"/>
            </w:pPr>
            <w:r>
              <w:rPr>
                <w:color w:val="1C3A36"/>
                <w:sz w:val="18"/>
              </w:rPr>
              <w:t>4,254</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3.485</w:t>
            </w:r>
          </w:p>
        </w:tc>
        <w:tc>
          <w:tcPr>
            <w:tcW w:type="dxa" w:w="1872"/>
          </w:tcPr>
          <w:p>
            <w:pPr>
              <w:spacing w:after="20"/>
              <w:jc w:val="right"/>
            </w:pPr>
            <w:r>
              <w:rPr>
                <w:color w:val="1C3A36"/>
                <w:sz w:val="18"/>
              </w:rPr>
              <w:t>3.650</w:t>
            </w:r>
          </w:p>
        </w:tc>
        <w:tc>
          <w:tcPr>
            <w:tcW w:type="dxa" w:w="1872"/>
          </w:tcPr>
          <w:p>
            <w:pPr>
              <w:spacing w:after="20"/>
              <w:jc w:val="right"/>
            </w:pPr>
            <w:r>
              <w:rPr>
                <w:color w:val="1C3A36"/>
                <w:sz w:val="18"/>
              </w:rPr>
              <w:t>3.910</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4,576</w:t>
            </w:r>
          </w:p>
        </w:tc>
        <w:tc>
          <w:tcPr>
            <w:tcW w:type="dxa" w:w="1872"/>
            <w:shd w:val="clear" w:color="auto" w:fill="F6F1E6"/>
          </w:tcPr>
          <w:p>
            <w:pPr>
              <w:spacing w:after="20"/>
              <w:jc w:val="right"/>
            </w:pPr>
            <w:r>
              <w:rPr>
                <w:b/>
                <w:color w:val="1C3A36"/>
                <w:sz w:val="18"/>
              </w:rPr>
              <w:t>4,075</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34.4%</w:t>
            </w:r>
          </w:p>
        </w:tc>
        <w:tc>
          <w:tcPr>
            <w:tcW w:type="dxa" w:w="1872"/>
            <w:shd w:val="clear" w:color="auto" w:fill="F6F1E6"/>
          </w:tcPr>
          <w:p>
            <w:pPr>
              <w:spacing w:after="20"/>
              <w:jc w:val="right"/>
            </w:pPr>
            <w:r>
              <w:rPr>
                <w:b/>
                <w:color w:val="1C3A36"/>
                <w:sz w:val="18"/>
              </w:rPr>
              <w:t>24.5%</w:t>
            </w:r>
          </w:p>
        </w:tc>
      </w:tr>
    </w:tbl>
    <w:p>
      <w:pPr>
        <w:spacing w:after="40"/>
      </w:pPr>
    </w:p>
    <w:p>
      <w:pPr>
        <w:spacing w:after="200" w:before="0"/>
      </w:pPr>
      <w:r>
        <w:rPr>
          <w:b w:val="0"/>
          <w:i/>
          <w:color w:val="6E7B77"/>
          <w:sz w:val="17"/>
        </w:rPr>
        <w:t>Table 3 — The cost stack per tonne and the margin it produces. EBITDA is an OUTPUT of this build, not an input to it.</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+0.006% and audited FY2025 EBITDA to +0.007%.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0.84 — observed from the audited capacity pair of 4.2Mt of clinker against 5.0Mt of cement — the FY2030 volume needs 3.284Mt of clinker against 4.2Mt of kiln capacity, or 78.2% of it. The forecast fits the plant, with 0.916Mt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4.00 per tonne of installed capacity — about EGP 1,012mn in FY2026 against a book charge of EGP 333mn. Setting capex equal to book depreciation would flatter free cash flow by construction; the cost of refusing to do so is computed in section 1.9 and is worth +14.7%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5.10%</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6.45%</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7.54%</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7.54%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13.00% — nearly twice the adopted figure. The alternative is computed as a VALUE and not merely described: it is worth -0.2% of the cash-flow lens, because debt is only 4.9%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22.31%</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18.91%</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0.628</w:t>
            </w:r>
          </w:p>
        </w:tc>
        <w:tc>
          <w:tcPr>
            <w:tcW w:type="dxa" w:w="2592"/>
          </w:tcPr>
          <w:p>
            <w:pPr>
              <w:spacing w:after="20"/>
              <w:jc w:val="right"/>
            </w:pPr>
            <w:r>
              <w:rPr>
                <w:color w:val="1C3A36"/>
                <w:sz w:val="18"/>
              </w:rPr>
              <w:t>0.750</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24.82%</w:t>
            </w:r>
          </w:p>
        </w:tc>
        <w:tc>
          <w:tcPr>
            <w:tcW w:type="dxa" w:w="2592"/>
          </w:tcPr>
          <w:p>
            <w:pPr>
              <w:spacing w:after="20"/>
              <w:jc w:val="right"/>
            </w:pPr>
            <w:r>
              <w:rPr>
                <w:color w:val="1C3A36"/>
                <w:sz w:val="18"/>
              </w:rPr>
              <w:t>17.75%</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5.84%</w:t>
            </w:r>
          </w:p>
        </w:tc>
        <w:tc>
          <w:tcPr>
            <w:tcW w:type="dxa" w:w="2592"/>
          </w:tcPr>
          <w:p>
            <w:pPr>
              <w:spacing w:after="20"/>
              <w:jc w:val="right"/>
            </w:pPr>
            <w:r>
              <w:rPr>
                <w:color w:val="1C3A36"/>
                <w:sz w:val="18"/>
              </w:rPr>
              <w:t>7.75%</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4.88%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23.89%</w:t>
            </w:r>
          </w:p>
        </w:tc>
        <w:tc>
          <w:tcPr>
            <w:tcW w:type="dxa" w:w="2592"/>
            <w:shd w:val="clear" w:color="auto" w:fill="F6F1E6"/>
          </w:tcPr>
          <w:p>
            <w:pPr>
              <w:spacing w:after="20"/>
              <w:jc w:val="right"/>
            </w:pPr>
            <w:r>
              <w:rPr>
                <w:b/>
                <w:color w:val="1C3A36"/>
                <w:sz w:val="18"/>
              </w:rPr>
              <w:t>15.75%</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28.22% instead of 24.82%.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23.89%</w:t>
            </w:r>
          </w:p>
        </w:tc>
        <w:tc>
          <w:tcPr>
            <w:tcW w:type="dxa" w:w="1526"/>
          </w:tcPr>
          <w:p>
            <w:pPr>
              <w:spacing w:after="20"/>
              <w:jc w:val="right"/>
            </w:pPr>
            <w:r>
              <w:rPr>
                <w:color w:val="1C3A36"/>
                <w:sz w:val="18"/>
              </w:rPr>
              <w:t>20.81%</w:t>
            </w:r>
          </w:p>
        </w:tc>
        <w:tc>
          <w:tcPr>
            <w:tcW w:type="dxa" w:w="1526"/>
          </w:tcPr>
          <w:p>
            <w:pPr>
              <w:spacing w:after="20"/>
              <w:jc w:val="right"/>
            </w:pPr>
            <w:r>
              <w:rPr>
                <w:color w:val="1C3A36"/>
                <w:sz w:val="18"/>
              </w:rPr>
              <w:t>18.34%</w:t>
            </w:r>
          </w:p>
        </w:tc>
        <w:tc>
          <w:tcPr>
            <w:tcW w:type="dxa" w:w="1526"/>
          </w:tcPr>
          <w:p>
            <w:pPr>
              <w:spacing w:after="20"/>
              <w:jc w:val="right"/>
            </w:pPr>
            <w:r>
              <w:rPr>
                <w:color w:val="1C3A36"/>
                <w:sz w:val="18"/>
              </w:rPr>
              <w:t>16.86%</w:t>
            </w:r>
          </w:p>
        </w:tc>
        <w:tc>
          <w:tcPr>
            <w:tcW w:type="dxa" w:w="1526"/>
          </w:tcPr>
          <w:p>
            <w:pPr>
              <w:spacing w:after="20"/>
              <w:jc w:val="right"/>
            </w:pPr>
            <w:r>
              <w:rPr>
                <w:color w:val="1C3A36"/>
                <w:sz w:val="18"/>
              </w:rPr>
              <w:t>15.75%</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0.9563</w:t>
            </w:r>
          </w:p>
        </w:tc>
        <w:tc>
          <w:tcPr>
            <w:tcW w:type="dxa" w:w="1526"/>
          </w:tcPr>
          <w:p>
            <w:pPr>
              <w:spacing w:after="20"/>
              <w:jc w:val="right"/>
            </w:pPr>
            <w:r>
              <w:rPr>
                <w:color w:val="1C3A36"/>
                <w:sz w:val="18"/>
              </w:rPr>
              <w:t>0.8216</w:t>
            </w:r>
          </w:p>
        </w:tc>
        <w:tc>
          <w:tcPr>
            <w:tcW w:type="dxa" w:w="1526"/>
          </w:tcPr>
          <w:p>
            <w:pPr>
              <w:spacing w:after="20"/>
              <w:jc w:val="right"/>
            </w:pPr>
            <w:r>
              <w:rPr>
                <w:color w:val="1C3A36"/>
                <w:sz w:val="18"/>
              </w:rPr>
              <w:t>0.6787</w:t>
            </w:r>
          </w:p>
        </w:tc>
        <w:tc>
          <w:tcPr>
            <w:tcW w:type="dxa" w:w="1526"/>
          </w:tcPr>
          <w:p>
            <w:pPr>
              <w:spacing w:after="20"/>
              <w:jc w:val="right"/>
            </w:pPr>
            <w:r>
              <w:rPr>
                <w:color w:val="1C3A36"/>
                <w:sz w:val="18"/>
              </w:rPr>
              <w:t>0.5725</w:t>
            </w:r>
          </w:p>
        </w:tc>
        <w:tc>
          <w:tcPr>
            <w:tcW w:type="dxa" w:w="1526"/>
          </w:tcPr>
          <w:p>
            <w:pPr>
              <w:spacing w:after="20"/>
              <w:jc w:val="right"/>
            </w:pPr>
            <w:r>
              <w:rPr>
                <w:color w:val="1C3A36"/>
                <w:sz w:val="18"/>
              </w:rPr>
              <w:t>0.4894</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how weak it is</w:t>
      </w:r>
    </w:p>
    <w:p>
      <w:pPr>
        <w:spacing w:after="120" w:before="0"/>
      </w:pPr>
      <w:r>
        <w:rPr>
          <w:b w:val="0"/>
          <w:i w:val="0"/>
          <w:color w:val="1C3A36"/>
          <w:sz w:val="21"/>
        </w:rPr>
        <w:t>The beta is a genuine regression, not a default. Weekly returns over five years against an equal-weight index of the 34 other Egyptian names in the library, with the subject excluded from its own index, give a beta of 0.628 on 257 observations, an R-squared of 9.1% and a standard error of 0.125. The 90% confidence interval is [0.42, 0.83].</w:t>
      </w:r>
    </w:p>
    <w:p>
      <w:pPr>
        <w:spacing w:after="120" w:before="0"/>
      </w:pPr>
      <w:r>
        <w:rPr>
          <w:b w:val="0"/>
          <w:i w:val="0"/>
          <w:color w:val="1C3A36"/>
          <w:sz w:val="21"/>
        </w:rPr>
        <w:t>That clears the usability threshold, and it is also STATISTICALLY WEAK — on one of the two tests rather than both, which is worth being precise about. The R-squared of 9.1% sits below the 10% mark, which triggers the flag. The confidence interval spans 0.65 times the point estimate, which does NOT: that test fires at two times and this is well inside it. The estimate is therefore never restated later as though it were precise, and the valuation is shown across a beta range rather than at a point.</w:t>
      </w:r>
    </w:p>
    <w:p>
      <w:pPr>
        <w:spacing w:after="120" w:before="0"/>
      </w:pPr>
      <w:r>
        <w:rPr>
          <w:b w:val="0"/>
          <w:i w:val="0"/>
          <w:color w:val="1C3A36"/>
          <w:sz w:val="21"/>
        </w:rPr>
        <w:t>Two cross-checks are run rather than asserted. The share closes unchanged on 12.2% of sessions against an Egyptian library median of 9.0%, and non-synchronous trading biases a contemporaneous beta downward; the lead-lag sum-beta that corrects for it is 0.919, an uplift of 0.291 with a standard error of 0.243 — i.e. an uplift not statistically distinguishable from zero. And a simple prior would put a cyclical, capital-intensive materials business at 1.0 to 1.5, which is above where this regression lands. There is a real reason for that: the company carries no net financial leverage, and unlevered equity genuinely moves less than levered equity. The regression is adopted, the correction is published as a value, and the difference is worth -10.1% of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411"/>
        <w:gridCol w:w="1411"/>
        <w:gridCol w:w="1411"/>
        <w:gridCol w:w="1411"/>
        <w:gridCol w:w="1411"/>
      </w:tblGrid>
      <w:tr>
        <w:tc>
          <w:tcPr>
            <w:tcW w:type="dxa" w:w="3168"/>
            <w:shd w:val="clear" w:color="auto" w:fill="EAF0EE"/>
          </w:tcPr>
          <w:p>
            <w:pPr>
              <w:spacing w:after="20"/>
            </w:pPr>
            <w:r>
              <w:rPr>
                <w:b/>
                <w:color w:val="1C3A36"/>
                <w:sz w:val="18"/>
              </w:rPr>
              <w:t>Beta</w:t>
            </w:r>
          </w:p>
        </w:tc>
        <w:tc>
          <w:tcPr>
            <w:tcW w:type="dxa" w:w="1411"/>
            <w:shd w:val="clear" w:color="auto" w:fill="EAF0EE"/>
          </w:tcPr>
          <w:p>
            <w:pPr>
              <w:spacing w:after="20"/>
            </w:pPr>
            <w:r>
              <w:rPr>
                <w:b/>
                <w:color w:val="1C3A36"/>
                <w:sz w:val="18"/>
              </w:rPr>
              <w:t>0.60</w:t>
            </w:r>
          </w:p>
        </w:tc>
        <w:tc>
          <w:tcPr>
            <w:tcW w:type="dxa" w:w="1411"/>
            <w:shd w:val="clear" w:color="auto" w:fill="EAF0EE"/>
          </w:tcPr>
          <w:p>
            <w:pPr>
              <w:spacing w:after="20"/>
            </w:pPr>
            <w:r>
              <w:rPr>
                <w:b/>
                <w:color w:val="1C3A36"/>
                <w:sz w:val="18"/>
              </w:rPr>
              <w:t>0.80</w:t>
            </w:r>
          </w:p>
        </w:tc>
        <w:tc>
          <w:tcPr>
            <w:tcW w:type="dxa" w:w="1411"/>
            <w:shd w:val="clear" w:color="auto" w:fill="EAF0EE"/>
          </w:tcPr>
          <w:p>
            <w:pPr>
              <w:spacing w:after="20"/>
            </w:pPr>
            <w:r>
              <w:rPr>
                <w:b/>
                <w:color w:val="1C3A36"/>
                <w:sz w:val="18"/>
              </w:rPr>
              <w:t>1.00</w:t>
            </w:r>
          </w:p>
        </w:tc>
        <w:tc>
          <w:tcPr>
            <w:tcW w:type="dxa" w:w="1411"/>
            <w:shd w:val="clear" w:color="auto" w:fill="EAF0EE"/>
          </w:tcPr>
          <w:p>
            <w:pPr>
              <w:spacing w:after="20"/>
            </w:pPr>
            <w:r>
              <w:rPr>
                <w:b/>
                <w:color w:val="1C3A36"/>
                <w:sz w:val="18"/>
              </w:rPr>
              <w:t>1.15</w:t>
            </w:r>
          </w:p>
        </w:tc>
        <w:tc>
          <w:tcPr>
            <w:tcW w:type="dxa" w:w="1411"/>
            <w:shd w:val="clear" w:color="auto" w:fill="EAF0EE"/>
          </w:tcPr>
          <w:p>
            <w:pPr>
              <w:spacing w:after="20"/>
            </w:pPr>
            <w:r>
              <w:rPr>
                <w:b/>
                <w:color w:val="1C3A36"/>
                <w:sz w:val="18"/>
              </w:rPr>
              <w:t>1.30</w:t>
            </w:r>
          </w:p>
        </w:tc>
      </w:tr>
      <w:tr>
        <w:tc>
          <w:tcPr>
            <w:tcW w:type="dxa" w:w="3168"/>
          </w:tcPr>
          <w:p>
            <w:pPr>
              <w:spacing w:after="20"/>
            </w:pPr>
            <w:r>
              <w:rPr>
                <w:color w:val="1C3A36"/>
                <w:sz w:val="18"/>
              </w:rPr>
              <w:t>Fair value per share (EGP)</w:t>
            </w:r>
          </w:p>
        </w:tc>
        <w:tc>
          <w:tcPr>
            <w:tcW w:type="dxa" w:w="1411"/>
          </w:tcPr>
          <w:p>
            <w:pPr>
              <w:spacing w:after="20"/>
              <w:jc w:val="right"/>
            </w:pPr>
            <w:r>
              <w:rPr>
                <w:color w:val="1C3A36"/>
                <w:sz w:val="18"/>
              </w:rPr>
              <w:t>36.77</w:t>
            </w:r>
          </w:p>
        </w:tc>
        <w:tc>
          <w:tcPr>
            <w:tcW w:type="dxa" w:w="1411"/>
          </w:tcPr>
          <w:p>
            <w:pPr>
              <w:spacing w:after="20"/>
              <w:jc w:val="right"/>
            </w:pPr>
            <w:r>
              <w:rPr>
                <w:color w:val="1C3A36"/>
                <w:sz w:val="18"/>
              </w:rPr>
              <w:t>34.03</w:t>
            </w:r>
          </w:p>
        </w:tc>
        <w:tc>
          <w:tcPr>
            <w:tcW w:type="dxa" w:w="1411"/>
          </w:tcPr>
          <w:p>
            <w:pPr>
              <w:spacing w:after="20"/>
              <w:jc w:val="right"/>
            </w:pPr>
            <w:r>
              <w:rPr>
                <w:color w:val="1C3A36"/>
                <w:sz w:val="18"/>
              </w:rPr>
              <w:t>31.82</w:t>
            </w:r>
          </w:p>
        </w:tc>
        <w:tc>
          <w:tcPr>
            <w:tcW w:type="dxa" w:w="1411"/>
          </w:tcPr>
          <w:p>
            <w:pPr>
              <w:spacing w:after="20"/>
              <w:jc w:val="right"/>
            </w:pPr>
            <w:r>
              <w:rPr>
                <w:color w:val="1C3A36"/>
                <w:sz w:val="18"/>
              </w:rPr>
              <w:t>30.41</w:t>
            </w:r>
          </w:p>
        </w:tc>
        <w:tc>
          <w:tcPr>
            <w:tcW w:type="dxa" w:w="1411"/>
          </w:tcPr>
          <w:p>
            <w:pPr>
              <w:spacing w:after="20"/>
              <w:jc w:val="right"/>
            </w:pPr>
            <w:r>
              <w:rPr>
                <w:color w:val="1C3A36"/>
                <w:sz w:val="18"/>
              </w:rPr>
              <w:t>29.18</w:t>
            </w:r>
          </w:p>
        </w:tc>
      </w:tr>
    </w:tbl>
    <w:p>
      <w:pPr>
        <w:spacing w:after="40"/>
      </w:pPr>
    </w:p>
    <w:p>
      <w:pPr>
        <w:spacing w:after="200" w:before="0"/>
      </w:pPr>
      <w:r>
        <w:rPr>
          <w:b w:val="0"/>
          <w:i/>
          <w:color w:val="6E7B77"/>
          <w:sz w:val="17"/>
        </w:rPr>
        <w:t>Table 6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13,307</w:t>
            </w:r>
          </w:p>
        </w:tc>
        <w:tc>
          <w:tcPr>
            <w:tcW w:type="dxa" w:w="1325"/>
          </w:tcPr>
          <w:p>
            <w:pPr>
              <w:spacing w:after="20"/>
              <w:jc w:val="right"/>
            </w:pPr>
            <w:r>
              <w:rPr>
                <w:color w:val="1C3A36"/>
                <w:sz w:val="17"/>
              </w:rPr>
              <w:t>14,219</w:t>
            </w:r>
          </w:p>
        </w:tc>
        <w:tc>
          <w:tcPr>
            <w:tcW w:type="dxa" w:w="1325"/>
          </w:tcPr>
          <w:p>
            <w:pPr>
              <w:spacing w:after="20"/>
              <w:jc w:val="right"/>
            </w:pPr>
            <w:r>
              <w:rPr>
                <w:color w:val="1C3A36"/>
                <w:sz w:val="17"/>
              </w:rPr>
              <w:t>15,087</w:t>
            </w:r>
          </w:p>
        </w:tc>
        <w:tc>
          <w:tcPr>
            <w:tcW w:type="dxa" w:w="1325"/>
          </w:tcPr>
          <w:p>
            <w:pPr>
              <w:spacing w:after="20"/>
              <w:jc w:val="right"/>
            </w:pPr>
            <w:r>
              <w:rPr>
                <w:color w:val="1C3A36"/>
                <w:sz w:val="17"/>
              </w:rPr>
              <w:t>15,882</w:t>
            </w:r>
          </w:p>
        </w:tc>
        <w:tc>
          <w:tcPr>
            <w:tcW w:type="dxa" w:w="1325"/>
          </w:tcPr>
          <w:p>
            <w:pPr>
              <w:spacing w:after="20"/>
              <w:jc w:val="right"/>
            </w:pPr>
            <w:r>
              <w:rPr>
                <w:color w:val="1C3A36"/>
                <w:sz w:val="17"/>
              </w:rPr>
              <w:t>16,632</w:t>
            </w:r>
          </w:p>
        </w:tc>
      </w:tr>
      <w:tr>
        <w:tc>
          <w:tcPr>
            <w:tcW w:type="dxa" w:w="3024"/>
          </w:tcPr>
          <w:p>
            <w:pPr>
              <w:spacing w:after="20"/>
            </w:pPr>
            <w:r>
              <w:rPr>
                <w:color w:val="1C3A36"/>
                <w:sz w:val="17"/>
              </w:rPr>
              <w:t>EBITDA</w:t>
            </w:r>
          </w:p>
        </w:tc>
        <w:tc>
          <w:tcPr>
            <w:tcW w:type="dxa" w:w="1325"/>
          </w:tcPr>
          <w:p>
            <w:pPr>
              <w:spacing w:after="20"/>
              <w:jc w:val="right"/>
            </w:pPr>
            <w:r>
              <w:rPr>
                <w:color w:val="1C3A36"/>
                <w:sz w:val="17"/>
              </w:rPr>
              <w:t>4,576</w:t>
            </w:r>
          </w:p>
        </w:tc>
        <w:tc>
          <w:tcPr>
            <w:tcW w:type="dxa" w:w="1325"/>
          </w:tcPr>
          <w:p>
            <w:pPr>
              <w:spacing w:after="20"/>
              <w:jc w:val="right"/>
            </w:pPr>
            <w:r>
              <w:rPr>
                <w:color w:val="1C3A36"/>
                <w:sz w:val="17"/>
              </w:rPr>
              <w:t>4,468</w:t>
            </w:r>
          </w:p>
        </w:tc>
        <w:tc>
          <w:tcPr>
            <w:tcW w:type="dxa" w:w="1325"/>
          </w:tcPr>
          <w:p>
            <w:pPr>
              <w:spacing w:after="20"/>
              <w:jc w:val="right"/>
            </w:pPr>
            <w:r>
              <w:rPr>
                <w:color w:val="1C3A36"/>
                <w:sz w:val="17"/>
              </w:rPr>
              <w:t>4,333</w:t>
            </w:r>
          </w:p>
        </w:tc>
        <w:tc>
          <w:tcPr>
            <w:tcW w:type="dxa" w:w="1325"/>
          </w:tcPr>
          <w:p>
            <w:pPr>
              <w:spacing w:after="20"/>
              <w:jc w:val="right"/>
            </w:pPr>
            <w:r>
              <w:rPr>
                <w:color w:val="1C3A36"/>
                <w:sz w:val="17"/>
              </w:rPr>
              <w:t>4,188</w:t>
            </w:r>
          </w:p>
        </w:tc>
        <w:tc>
          <w:tcPr>
            <w:tcW w:type="dxa" w:w="1325"/>
          </w:tcPr>
          <w:p>
            <w:pPr>
              <w:spacing w:after="20"/>
              <w:jc w:val="right"/>
            </w:pPr>
            <w:r>
              <w:rPr>
                <w:color w:val="1C3A36"/>
                <w:sz w:val="17"/>
              </w:rPr>
              <w:t>4,075</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31.4%</w:t>
            </w:r>
          </w:p>
        </w:tc>
        <w:tc>
          <w:tcPr>
            <w:tcW w:type="dxa" w:w="1325"/>
          </w:tcPr>
          <w:p>
            <w:pPr>
              <w:spacing w:after="20"/>
              <w:jc w:val="right"/>
            </w:pPr>
            <w:r>
              <w:rPr>
                <w:color w:val="1C3A36"/>
                <w:sz w:val="17"/>
              </w:rPr>
              <w:t>28.7%</w:t>
            </w:r>
          </w:p>
        </w:tc>
        <w:tc>
          <w:tcPr>
            <w:tcW w:type="dxa" w:w="1325"/>
          </w:tcPr>
          <w:p>
            <w:pPr>
              <w:spacing w:after="20"/>
              <w:jc w:val="right"/>
            </w:pPr>
            <w:r>
              <w:rPr>
                <w:color w:val="1C3A36"/>
                <w:sz w:val="17"/>
              </w:rPr>
              <w:t>26.4%</w:t>
            </w:r>
          </w:p>
        </w:tc>
        <w:tc>
          <w:tcPr>
            <w:tcW w:type="dxa" w:w="1325"/>
          </w:tcPr>
          <w:p>
            <w:pPr>
              <w:spacing w:after="20"/>
              <w:jc w:val="right"/>
            </w:pPr>
            <w:r>
              <w:rPr>
                <w:color w:val="1C3A36"/>
                <w:sz w:val="17"/>
              </w:rPr>
              <w:t>24.5%</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333</w:t>
            </w:r>
          </w:p>
        </w:tc>
        <w:tc>
          <w:tcPr>
            <w:tcW w:type="dxa" w:w="1325"/>
          </w:tcPr>
          <w:p>
            <w:pPr>
              <w:spacing w:after="20"/>
              <w:jc w:val="right"/>
            </w:pPr>
            <w:r>
              <w:rPr>
                <w:color w:val="1C3A36"/>
                <w:sz w:val="17"/>
              </w:rPr>
              <w:t>384</w:t>
            </w:r>
          </w:p>
        </w:tc>
        <w:tc>
          <w:tcPr>
            <w:tcW w:type="dxa" w:w="1325"/>
          </w:tcPr>
          <w:p>
            <w:pPr>
              <w:spacing w:after="20"/>
              <w:jc w:val="right"/>
            </w:pPr>
            <w:r>
              <w:rPr>
                <w:color w:val="1C3A36"/>
                <w:sz w:val="17"/>
              </w:rPr>
              <w:t>438</w:t>
            </w:r>
          </w:p>
        </w:tc>
        <w:tc>
          <w:tcPr>
            <w:tcW w:type="dxa" w:w="1325"/>
          </w:tcPr>
          <w:p>
            <w:pPr>
              <w:spacing w:after="20"/>
              <w:jc w:val="right"/>
            </w:pPr>
            <w:r>
              <w:rPr>
                <w:color w:val="1C3A36"/>
                <w:sz w:val="17"/>
              </w:rPr>
              <w:t>492</w:t>
            </w:r>
          </w:p>
        </w:tc>
        <w:tc>
          <w:tcPr>
            <w:tcW w:type="dxa" w:w="1325"/>
          </w:tcPr>
          <w:p>
            <w:pPr>
              <w:spacing w:after="20"/>
              <w:jc w:val="right"/>
            </w:pPr>
            <w:r>
              <w:rPr>
                <w:color w:val="1C3A36"/>
                <w:sz w:val="17"/>
              </w:rPr>
              <w:t>549</w:t>
            </w:r>
          </w:p>
        </w:tc>
      </w:tr>
      <w:tr>
        <w:tc>
          <w:tcPr>
            <w:tcW w:type="dxa" w:w="3024"/>
          </w:tcPr>
          <w:p>
            <w:pPr>
              <w:spacing w:after="20"/>
            </w:pPr>
            <w:r>
              <w:rPr>
                <w:color w:val="1C3A36"/>
                <w:sz w:val="17"/>
              </w:rPr>
              <w:t>EBIT</w:t>
            </w:r>
          </w:p>
        </w:tc>
        <w:tc>
          <w:tcPr>
            <w:tcW w:type="dxa" w:w="1325"/>
          </w:tcPr>
          <w:p>
            <w:pPr>
              <w:spacing w:after="20"/>
              <w:jc w:val="right"/>
            </w:pPr>
            <w:r>
              <w:rPr>
                <w:color w:val="1C3A36"/>
                <w:sz w:val="17"/>
              </w:rPr>
              <w:t>4,243</w:t>
            </w:r>
          </w:p>
        </w:tc>
        <w:tc>
          <w:tcPr>
            <w:tcW w:type="dxa" w:w="1325"/>
          </w:tcPr>
          <w:p>
            <w:pPr>
              <w:spacing w:after="20"/>
              <w:jc w:val="right"/>
            </w:pPr>
            <w:r>
              <w:rPr>
                <w:color w:val="1C3A36"/>
                <w:sz w:val="17"/>
              </w:rPr>
              <w:t>4,084</w:t>
            </w:r>
          </w:p>
        </w:tc>
        <w:tc>
          <w:tcPr>
            <w:tcW w:type="dxa" w:w="1325"/>
          </w:tcPr>
          <w:p>
            <w:pPr>
              <w:spacing w:after="20"/>
              <w:jc w:val="right"/>
            </w:pPr>
            <w:r>
              <w:rPr>
                <w:color w:val="1C3A36"/>
                <w:sz w:val="17"/>
              </w:rPr>
              <w:t>3,895</w:t>
            </w:r>
          </w:p>
        </w:tc>
        <w:tc>
          <w:tcPr>
            <w:tcW w:type="dxa" w:w="1325"/>
          </w:tcPr>
          <w:p>
            <w:pPr>
              <w:spacing w:after="20"/>
              <w:jc w:val="right"/>
            </w:pPr>
            <w:r>
              <w:rPr>
                <w:color w:val="1C3A36"/>
                <w:sz w:val="17"/>
              </w:rPr>
              <w:t>3,696</w:t>
            </w:r>
          </w:p>
        </w:tc>
        <w:tc>
          <w:tcPr>
            <w:tcW w:type="dxa" w:w="1325"/>
          </w:tcPr>
          <w:p>
            <w:pPr>
              <w:spacing w:after="20"/>
              <w:jc w:val="right"/>
            </w:pPr>
            <w:r>
              <w:rPr>
                <w:color w:val="1C3A36"/>
                <w:sz w:val="17"/>
              </w:rPr>
              <w:t>3,526</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3,232</w:t>
            </w:r>
          </w:p>
        </w:tc>
        <w:tc>
          <w:tcPr>
            <w:tcW w:type="dxa" w:w="1325"/>
          </w:tcPr>
          <w:p>
            <w:pPr>
              <w:spacing w:after="20"/>
              <w:jc w:val="right"/>
            </w:pPr>
            <w:r>
              <w:rPr>
                <w:color w:val="1C3A36"/>
                <w:sz w:val="17"/>
              </w:rPr>
              <w:t>3,111</w:t>
            </w:r>
          </w:p>
        </w:tc>
        <w:tc>
          <w:tcPr>
            <w:tcW w:type="dxa" w:w="1325"/>
          </w:tcPr>
          <w:p>
            <w:pPr>
              <w:spacing w:after="20"/>
              <w:jc w:val="right"/>
            </w:pPr>
            <w:r>
              <w:rPr>
                <w:color w:val="1C3A36"/>
                <w:sz w:val="17"/>
              </w:rPr>
              <w:t>2,967</w:t>
            </w:r>
          </w:p>
        </w:tc>
        <w:tc>
          <w:tcPr>
            <w:tcW w:type="dxa" w:w="1325"/>
          </w:tcPr>
          <w:p>
            <w:pPr>
              <w:spacing w:after="20"/>
              <w:jc w:val="right"/>
            </w:pPr>
            <w:r>
              <w:rPr>
                <w:color w:val="1C3A36"/>
                <w:sz w:val="17"/>
              </w:rPr>
              <w:t>2,815</w:t>
            </w:r>
          </w:p>
        </w:tc>
        <w:tc>
          <w:tcPr>
            <w:tcW w:type="dxa" w:w="1325"/>
          </w:tcPr>
          <w:p>
            <w:pPr>
              <w:spacing w:after="20"/>
              <w:jc w:val="right"/>
            </w:pPr>
            <w:r>
              <w:rPr>
                <w:color w:val="1C3A36"/>
                <w:sz w:val="17"/>
              </w:rPr>
              <w:t>2,686</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333</w:t>
            </w:r>
          </w:p>
        </w:tc>
        <w:tc>
          <w:tcPr>
            <w:tcW w:type="dxa" w:w="1325"/>
          </w:tcPr>
          <w:p>
            <w:pPr>
              <w:spacing w:after="20"/>
              <w:jc w:val="right"/>
            </w:pPr>
            <w:r>
              <w:rPr>
                <w:color w:val="1C3A36"/>
                <w:sz w:val="17"/>
              </w:rPr>
              <w:t>384</w:t>
            </w:r>
          </w:p>
        </w:tc>
        <w:tc>
          <w:tcPr>
            <w:tcW w:type="dxa" w:w="1325"/>
          </w:tcPr>
          <w:p>
            <w:pPr>
              <w:spacing w:after="20"/>
              <w:jc w:val="right"/>
            </w:pPr>
            <w:r>
              <w:rPr>
                <w:color w:val="1C3A36"/>
                <w:sz w:val="17"/>
              </w:rPr>
              <w:t>438</w:t>
            </w:r>
          </w:p>
        </w:tc>
        <w:tc>
          <w:tcPr>
            <w:tcW w:type="dxa" w:w="1325"/>
          </w:tcPr>
          <w:p>
            <w:pPr>
              <w:spacing w:after="20"/>
              <w:jc w:val="right"/>
            </w:pPr>
            <w:r>
              <w:rPr>
                <w:color w:val="1C3A36"/>
                <w:sz w:val="17"/>
              </w:rPr>
              <w:t>492</w:t>
            </w:r>
          </w:p>
        </w:tc>
        <w:tc>
          <w:tcPr>
            <w:tcW w:type="dxa" w:w="1325"/>
          </w:tcPr>
          <w:p>
            <w:pPr>
              <w:spacing w:after="20"/>
              <w:jc w:val="right"/>
            </w:pPr>
            <w:r>
              <w:rPr>
                <w:color w:val="1C3A36"/>
                <w:sz w:val="17"/>
              </w:rPr>
              <w:t>549</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(1,062)</w:t>
            </w:r>
          </w:p>
        </w:tc>
        <w:tc>
          <w:tcPr>
            <w:tcW w:type="dxa" w:w="1325"/>
          </w:tcPr>
          <w:p>
            <w:pPr>
              <w:spacing w:after="20"/>
              <w:jc w:val="right"/>
            </w:pPr>
            <w:r>
              <w:rPr>
                <w:color w:val="1C3A36"/>
                <w:sz w:val="17"/>
              </w:rPr>
              <w:t>(1,116)</w:t>
            </w:r>
          </w:p>
        </w:tc>
        <w:tc>
          <w:tcPr>
            <w:tcW w:type="dxa" w:w="1325"/>
          </w:tcPr>
          <w:p>
            <w:pPr>
              <w:spacing w:after="20"/>
              <w:jc w:val="right"/>
            </w:pPr>
            <w:r>
              <w:rPr>
                <w:color w:val="1C3A36"/>
                <w:sz w:val="17"/>
              </w:rPr>
              <w:t>(1,172)</w:t>
            </w:r>
          </w:p>
        </w:tc>
        <w:tc>
          <w:tcPr>
            <w:tcW w:type="dxa" w:w="1325"/>
          </w:tcPr>
          <w:p>
            <w:pPr>
              <w:spacing w:after="20"/>
              <w:jc w:val="right"/>
            </w:pPr>
            <w:r>
              <w:rPr>
                <w:color w:val="1C3A36"/>
                <w:sz w:val="17"/>
              </w:rPr>
              <w:t>(1,230)</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(109)</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(95)</w:t>
            </w:r>
          </w:p>
        </w:tc>
        <w:tc>
          <w:tcPr>
            <w:tcW w:type="dxa" w:w="1325"/>
          </w:tcPr>
          <w:p>
            <w:pPr>
              <w:spacing w:after="20"/>
              <w:jc w:val="right"/>
            </w:pPr>
            <w:r>
              <w:rPr>
                <w:color w:val="1C3A36"/>
                <w:sz w:val="17"/>
              </w:rPr>
              <w:t>(90)</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1,022</w:t>
            </w:r>
          </w:p>
        </w:tc>
        <w:tc>
          <w:tcPr>
            <w:tcW w:type="dxa" w:w="1325"/>
            <w:shd w:val="clear" w:color="auto" w:fill="F6F1E6"/>
          </w:tcPr>
          <w:p>
            <w:pPr>
              <w:spacing w:after="20"/>
              <w:jc w:val="right"/>
            </w:pPr>
            <w:r>
              <w:rPr>
                <w:b/>
                <w:color w:val="1C3A36"/>
                <w:sz w:val="17"/>
              </w:rPr>
              <w:t>2,324</w:t>
            </w:r>
          </w:p>
        </w:tc>
        <w:tc>
          <w:tcPr>
            <w:tcW w:type="dxa" w:w="1325"/>
            <w:shd w:val="clear" w:color="auto" w:fill="F6F1E6"/>
          </w:tcPr>
          <w:p>
            <w:pPr>
              <w:spacing w:after="20"/>
              <w:jc w:val="right"/>
            </w:pPr>
            <w:r>
              <w:rPr>
                <w:b/>
                <w:color w:val="1C3A36"/>
                <w:sz w:val="17"/>
              </w:rPr>
              <w:t>2,185</w:t>
            </w:r>
          </w:p>
        </w:tc>
        <w:tc>
          <w:tcPr>
            <w:tcW w:type="dxa" w:w="1325"/>
            <w:shd w:val="clear" w:color="auto" w:fill="F6F1E6"/>
          </w:tcPr>
          <w:p>
            <w:pPr>
              <w:spacing w:after="20"/>
              <w:jc w:val="right"/>
            </w:pPr>
            <w:r>
              <w:rPr>
                <w:b/>
                <w:color w:val="1C3A36"/>
                <w:sz w:val="17"/>
              </w:rPr>
              <w:t>2,040</w:t>
            </w:r>
          </w:p>
        </w:tc>
        <w:tc>
          <w:tcPr>
            <w:tcW w:type="dxa" w:w="1325"/>
            <w:shd w:val="clear" w:color="auto" w:fill="F6F1E6"/>
          </w:tcPr>
          <w:p>
            <w:pPr>
              <w:spacing w:after="20"/>
              <w:jc w:val="right"/>
            </w:pPr>
            <w:r>
              <w:rPr>
                <w:b/>
                <w:color w:val="1C3A36"/>
                <w:sz w:val="17"/>
              </w:rPr>
              <w:t>1,915</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0.9563</w:t>
            </w:r>
          </w:p>
        </w:tc>
        <w:tc>
          <w:tcPr>
            <w:tcW w:type="dxa" w:w="1325"/>
          </w:tcPr>
          <w:p>
            <w:pPr>
              <w:spacing w:after="20"/>
              <w:jc w:val="right"/>
            </w:pPr>
            <w:r>
              <w:rPr>
                <w:color w:val="1C3A36"/>
                <w:sz w:val="17"/>
              </w:rPr>
              <w:t>0.8216</w:t>
            </w:r>
          </w:p>
        </w:tc>
        <w:tc>
          <w:tcPr>
            <w:tcW w:type="dxa" w:w="1325"/>
          </w:tcPr>
          <w:p>
            <w:pPr>
              <w:spacing w:after="20"/>
              <w:jc w:val="right"/>
            </w:pPr>
            <w:r>
              <w:rPr>
                <w:color w:val="1C3A36"/>
                <w:sz w:val="17"/>
              </w:rPr>
              <w:t>0.6787</w:t>
            </w:r>
          </w:p>
        </w:tc>
        <w:tc>
          <w:tcPr>
            <w:tcW w:type="dxa" w:w="1325"/>
          </w:tcPr>
          <w:p>
            <w:pPr>
              <w:spacing w:after="20"/>
              <w:jc w:val="right"/>
            </w:pPr>
            <w:r>
              <w:rPr>
                <w:color w:val="1C3A36"/>
                <w:sz w:val="17"/>
              </w:rPr>
              <w:t>0.5725</w:t>
            </w:r>
          </w:p>
        </w:tc>
        <w:tc>
          <w:tcPr>
            <w:tcW w:type="dxa" w:w="1325"/>
          </w:tcPr>
          <w:p>
            <w:pPr>
              <w:spacing w:after="20"/>
              <w:jc w:val="right"/>
            </w:pPr>
            <w:r>
              <w:rPr>
                <w:color w:val="1C3A36"/>
                <w:sz w:val="17"/>
              </w:rPr>
              <w:t>0.4894</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977</w:t>
            </w:r>
          </w:p>
        </w:tc>
        <w:tc>
          <w:tcPr>
            <w:tcW w:type="dxa" w:w="1325"/>
            <w:shd w:val="clear" w:color="auto" w:fill="F6F1E6"/>
          </w:tcPr>
          <w:p>
            <w:pPr>
              <w:spacing w:after="20"/>
              <w:jc w:val="right"/>
            </w:pPr>
            <w:r>
              <w:rPr>
                <w:b/>
                <w:color w:val="1C3A36"/>
                <w:sz w:val="17"/>
              </w:rPr>
              <w:t>1,909</w:t>
            </w:r>
          </w:p>
        </w:tc>
        <w:tc>
          <w:tcPr>
            <w:tcW w:type="dxa" w:w="1325"/>
            <w:shd w:val="clear" w:color="auto" w:fill="F6F1E6"/>
          </w:tcPr>
          <w:p>
            <w:pPr>
              <w:spacing w:after="20"/>
              <w:jc w:val="right"/>
            </w:pPr>
            <w:r>
              <w:rPr>
                <w:b/>
                <w:color w:val="1C3A36"/>
                <w:sz w:val="17"/>
              </w:rPr>
              <w:t>1,483</w:t>
            </w:r>
          </w:p>
        </w:tc>
        <w:tc>
          <w:tcPr>
            <w:tcW w:type="dxa" w:w="1325"/>
            <w:shd w:val="clear" w:color="auto" w:fill="F6F1E6"/>
          </w:tcPr>
          <w:p>
            <w:pPr>
              <w:spacing w:after="20"/>
              <w:jc w:val="right"/>
            </w:pPr>
            <w:r>
              <w:rPr>
                <w:b/>
                <w:color w:val="1C3A36"/>
                <w:sz w:val="17"/>
              </w:rPr>
              <w:t>1,168</w:t>
            </w:r>
          </w:p>
        </w:tc>
        <w:tc>
          <w:tcPr>
            <w:tcW w:type="dxa" w:w="1325"/>
            <w:shd w:val="clear" w:color="auto" w:fill="F6F1E6"/>
          </w:tcPr>
          <w:p>
            <w:pPr>
              <w:spacing w:after="20"/>
              <w:jc w:val="right"/>
            </w:pPr>
            <w:r>
              <w:rPr>
                <w:b/>
                <w:color w:val="1C3A36"/>
                <w:sz w:val="17"/>
              </w:rPr>
              <w:t>937</w:t>
            </w:r>
          </w:p>
        </w:tc>
      </w:tr>
    </w:tbl>
    <w:p>
      <w:pPr>
        <w:spacing w:after="40"/>
      </w:pPr>
    </w:p>
    <w:p>
      <w:pPr>
        <w:spacing w:after="200" w:before="0"/>
      </w:pPr>
      <w:r>
        <w:rPr>
          <w:b w:val="0"/>
          <w:i/>
          <w:color w:val="6E7B77"/>
          <w:sz w:val="17"/>
        </w:rPr>
        <w:t>Table 7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21.0% in total across the five years while pound costs grow 54.4% — a deliberate real squeeze of about 28%. The EBITDA margin therefore falls from the audited 39.3% to 24.5% by FY2030, which is roughly where it stood in FY2024 (23.1%) before the quota was abolished. The claim is not that the business deteriorates; it is that the 2025 windfall reverses as dormant capacity returns and energy reform continues. A reader who thinks the industry passes cost through faster should read the margin sensitivity in section 7: two points of margin is worth about EGP 5.04 a share.</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3,332mn for FY2026, -11.7%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6,474</w:t>
            </w:r>
          </w:p>
        </w:tc>
        <w:tc>
          <w:tcPr>
            <w:tcW w:type="dxa" w:w="2160"/>
          </w:tcPr>
          <w:p>
            <w:pPr>
              <w:spacing w:after="20"/>
              <w:jc w:val="right"/>
            </w:pPr>
            <w:r>
              <w:rPr>
                <w:color w:val="1C3A36"/>
                <w:sz w:val="18"/>
              </w:rPr>
              <w:t>17.27</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5,399</w:t>
            </w:r>
          </w:p>
        </w:tc>
        <w:tc>
          <w:tcPr>
            <w:tcW w:type="dxa" w:w="2160"/>
          </w:tcPr>
          <w:p>
            <w:pPr>
              <w:spacing w:after="20"/>
              <w:jc w:val="right"/>
            </w:pPr>
            <w:r>
              <w:rPr>
                <w:color w:val="1C3A36"/>
                <w:sz w:val="18"/>
              </w:rPr>
              <w:t>14.40</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11,873</w:t>
            </w:r>
          </w:p>
        </w:tc>
        <w:tc>
          <w:tcPr>
            <w:tcW w:type="dxa" w:w="2160"/>
            <w:shd w:val="clear" w:color="auto" w:fill="F6F1E6"/>
          </w:tcPr>
          <w:p>
            <w:pPr>
              <w:spacing w:after="20"/>
              <w:jc w:val="right"/>
            </w:pPr>
            <w:r>
              <w:rPr>
                <w:b/>
                <w:color w:val="1C3A36"/>
                <w:sz w:val="18"/>
              </w:rPr>
              <w:t>31.67</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1,751</w:t>
            </w:r>
          </w:p>
        </w:tc>
        <w:tc>
          <w:tcPr>
            <w:tcW w:type="dxa" w:w="2160"/>
          </w:tcPr>
          <w:p>
            <w:pPr>
              <w:spacing w:after="20"/>
              <w:jc w:val="right"/>
            </w:pPr>
            <w:r>
              <w:rPr>
                <w:color w:val="1C3A36"/>
                <w:sz w:val="18"/>
              </w:rPr>
              <w:t>4.67</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13,624</w:t>
            </w:r>
          </w:p>
        </w:tc>
        <w:tc>
          <w:tcPr>
            <w:tcW w:type="dxa" w:w="2160"/>
            <w:shd w:val="clear" w:color="auto" w:fill="F6F1E6"/>
          </w:tcPr>
          <w:p>
            <w:pPr>
              <w:spacing w:after="20"/>
              <w:jc w:val="right"/>
            </w:pPr>
            <w:r>
              <w:rPr>
                <w:b/>
                <w:color w:val="1C3A36"/>
                <w:sz w:val="18"/>
              </w:rPr>
              <w:t>36.34</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45.5%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6 August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59.00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-38.4%</w:t>
            </w:r>
          </w:p>
        </w:tc>
      </w:tr>
    </w:tbl>
    <w:p>
      <w:pPr>
        <w:spacing w:after="40"/>
      </w:pPr>
    </w:p>
    <w:p>
      <w:pPr>
        <w:spacing w:after="200" w:before="0"/>
      </w:pPr>
      <w:r>
        <w:rPr>
          <w:b w:val="0"/>
          <w:i/>
          <w:color w:val="6E7B77"/>
          <w:sz w:val="17"/>
        </w:rPr>
        <w:t>Table 8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audited balance sheet shows EGP 3,459mn of cash against EGP 1,135mn of interest-bearing debt at 31 December 2025. Rolling that forward on the elapsed part of FY2026 and DEDUCTING the EGP 2,002mn FY2025 dividend — declared and still shown as payable in the March 2026 accounts, so a buyer at today's price does not receive it — puts net cash at EGP 1,751mn at the valuation date, or EGP 4.67 a share. The March 2026 balance sheet is the independent check on that: cash of EGP 4,380mn less debt of EGP 1,261mn less the dividend payable of EGP 2,002mn is EGP 1,117mn at 31 March, four months before the valuation date.</w:t>
      </w:r>
    </w:p>
    <w:p>
      <w:pPr>
        <w:spacing w:after="120" w:before="0"/>
      </w:pPr>
      <w:r>
        <w:rPr>
          <w:b w:val="0"/>
          <w:i w:val="0"/>
          <w:color w:val="1C3A36"/>
          <w:sz w:val="21"/>
        </w:rPr>
        <w:t>Minority interests are deducted, and the audited figure is the reason this line is now immaterial: EGP 158,005 — one hundred and fifty-eight thousand pounds, or 0.0012% of equity value. The subsidiaries are 99% to 99.99% owned.</w:t>
      </w:r>
    </w:p>
    <w:p>
      <w:pPr>
        <w:spacing w:after="120" w:before="0"/>
      </w:pPr>
      <w:r>
        <w:rPr>
          <w:b w:val="0"/>
          <w:i w:val="0"/>
          <w:color w:val="1C3A36"/>
          <w:sz w:val="21"/>
        </w:rPr>
        <w:t>At 45.5% of enterprise value, the terminal value is a smaller share of this valuation than in most discounted cash-flow models, a consequence of the high explicit-window discount rate rather than a design choice. The answer depends more on the next five years and less on a perpetuity assumption than is usual — which, for a business whose next five years are forecastable from tonnes and disclosed costs, is the right place for the weight to sit.</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5%,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32,695mn, being 5.0Mt at USD 130 a tonne. On that basis the terminal return on capital is 8.6% and the reinvestment rate that 5% growth requires is 58.0% of terminal profit.</w:t>
      </w:r>
    </w:p>
    <w:p>
      <w:pPr>
        <w:spacing w:after="120" w:before="0"/>
      </w:pPr>
      <w:r>
        <w:rPr>
          <w:b w:val="0"/>
          <w:i w:val="0"/>
          <w:color w:val="1C3A36"/>
          <w:sz w:val="21"/>
        </w:rPr>
        <w:t>The consequence inverts the usual intuition and the model shows it rather than hiding it: at a terminal return of 8.6% against a terminal rate of 15.7%, GROWTH DESTROYS VALUE. The cash-flow lens is EGP 40.23 at 3% terminal growth and EGP 30.68 at 7%. A cement plant in a market carrying 76Mt of capacity against 54Mt of consumption cannot earn its cost of capital on new tonnes, and a model that rewarded it for adding them would be wrong.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20.89%</w:t>
            </w:r>
          </w:p>
        </w:tc>
        <w:tc>
          <w:tcPr>
            <w:tcW w:type="dxa" w:w="1469"/>
          </w:tcPr>
          <w:p>
            <w:pPr>
              <w:spacing w:after="20"/>
              <w:jc w:val="right"/>
            </w:pPr>
            <w:r>
              <w:rPr>
                <w:color w:val="1C3A36"/>
                <w:sz w:val="18"/>
              </w:rPr>
              <w:t>41.76</w:t>
            </w:r>
          </w:p>
        </w:tc>
        <w:tc>
          <w:tcPr>
            <w:tcW w:type="dxa" w:w="1469"/>
          </w:tcPr>
          <w:p>
            <w:pPr>
              <w:spacing w:after="20"/>
              <w:jc w:val="right"/>
            </w:pPr>
            <w:r>
              <w:rPr>
                <w:color w:val="1C3A36"/>
                <w:sz w:val="18"/>
              </w:rPr>
              <w:t>39.89</w:t>
            </w:r>
          </w:p>
        </w:tc>
        <w:tc>
          <w:tcPr>
            <w:tcW w:type="dxa" w:w="1469"/>
          </w:tcPr>
          <w:p>
            <w:pPr>
              <w:spacing w:after="20"/>
              <w:jc w:val="right"/>
            </w:pPr>
            <w:r>
              <w:rPr>
                <w:color w:val="1C3A36"/>
                <w:sz w:val="18"/>
              </w:rPr>
              <w:t>37.67</w:t>
            </w:r>
          </w:p>
        </w:tc>
        <w:tc>
          <w:tcPr>
            <w:tcW w:type="dxa" w:w="1469"/>
          </w:tcPr>
          <w:p>
            <w:pPr>
              <w:spacing w:after="20"/>
              <w:jc w:val="right"/>
            </w:pPr>
            <w:r>
              <w:rPr>
                <w:color w:val="1C3A36"/>
                <w:sz w:val="18"/>
              </w:rPr>
              <w:t>35.00</w:t>
            </w:r>
          </w:p>
        </w:tc>
        <w:tc>
          <w:tcPr>
            <w:tcW w:type="dxa" w:w="1469"/>
          </w:tcPr>
          <w:p>
            <w:pPr>
              <w:spacing w:after="20"/>
              <w:jc w:val="right"/>
            </w:pPr>
            <w:r>
              <w:rPr>
                <w:color w:val="1C3A36"/>
                <w:sz w:val="18"/>
              </w:rPr>
              <w:t>31.71</w:t>
            </w:r>
          </w:p>
        </w:tc>
      </w:tr>
      <w:tr>
        <w:tc>
          <w:tcPr>
            <w:tcW w:type="dxa" w:w="2477"/>
          </w:tcPr>
          <w:p>
            <w:pPr>
              <w:spacing w:after="20"/>
            </w:pPr>
            <w:r>
              <w:rPr>
                <w:color w:val="1C3A36"/>
                <w:sz w:val="18"/>
              </w:rPr>
              <w:t>22.39%</w:t>
            </w:r>
          </w:p>
        </w:tc>
        <w:tc>
          <w:tcPr>
            <w:tcW w:type="dxa" w:w="1469"/>
          </w:tcPr>
          <w:p>
            <w:pPr>
              <w:spacing w:after="20"/>
              <w:jc w:val="right"/>
            </w:pPr>
            <w:r>
              <w:rPr>
                <w:color w:val="1C3A36"/>
                <w:sz w:val="18"/>
              </w:rPr>
              <w:t>40.98</w:t>
            </w:r>
          </w:p>
        </w:tc>
        <w:tc>
          <w:tcPr>
            <w:tcW w:type="dxa" w:w="1469"/>
          </w:tcPr>
          <w:p>
            <w:pPr>
              <w:spacing w:after="20"/>
              <w:jc w:val="right"/>
            </w:pPr>
            <w:r>
              <w:rPr>
                <w:color w:val="1C3A36"/>
                <w:sz w:val="18"/>
              </w:rPr>
              <w:t>39.16</w:t>
            </w:r>
          </w:p>
        </w:tc>
        <w:tc>
          <w:tcPr>
            <w:tcW w:type="dxa" w:w="1469"/>
          </w:tcPr>
          <w:p>
            <w:pPr>
              <w:spacing w:after="20"/>
              <w:jc w:val="right"/>
            </w:pPr>
            <w:r>
              <w:rPr>
                <w:color w:val="1C3A36"/>
                <w:sz w:val="18"/>
              </w:rPr>
              <w:t>37.00</w:t>
            </w:r>
          </w:p>
        </w:tc>
        <w:tc>
          <w:tcPr>
            <w:tcW w:type="dxa" w:w="1469"/>
          </w:tcPr>
          <w:p>
            <w:pPr>
              <w:spacing w:after="20"/>
              <w:jc w:val="right"/>
            </w:pPr>
            <w:r>
              <w:rPr>
                <w:color w:val="1C3A36"/>
                <w:sz w:val="18"/>
              </w:rPr>
              <w:t>34.39</w:t>
            </w:r>
          </w:p>
        </w:tc>
        <w:tc>
          <w:tcPr>
            <w:tcW w:type="dxa" w:w="1469"/>
          </w:tcPr>
          <w:p>
            <w:pPr>
              <w:spacing w:after="20"/>
              <w:jc w:val="right"/>
            </w:pPr>
            <w:r>
              <w:rPr>
                <w:color w:val="1C3A36"/>
                <w:sz w:val="18"/>
              </w:rPr>
              <w:t>31.19</w:t>
            </w:r>
          </w:p>
        </w:tc>
      </w:tr>
      <w:tr>
        <w:tc>
          <w:tcPr>
            <w:tcW w:type="dxa" w:w="2477"/>
          </w:tcPr>
          <w:p>
            <w:pPr>
              <w:spacing w:after="20"/>
            </w:pPr>
            <w:r>
              <w:rPr>
                <w:color w:val="1C3A36"/>
                <w:sz w:val="18"/>
              </w:rPr>
              <w:t>23.89%</w:t>
            </w:r>
          </w:p>
        </w:tc>
        <w:tc>
          <w:tcPr>
            <w:tcW w:type="dxa" w:w="1469"/>
          </w:tcPr>
          <w:p>
            <w:pPr>
              <w:spacing w:after="20"/>
              <w:jc w:val="right"/>
            </w:pPr>
            <w:r>
              <w:rPr>
                <w:color w:val="1C3A36"/>
                <w:sz w:val="18"/>
              </w:rPr>
              <w:t>40.23</w:t>
            </w:r>
          </w:p>
        </w:tc>
        <w:tc>
          <w:tcPr>
            <w:tcW w:type="dxa" w:w="1469"/>
          </w:tcPr>
          <w:p>
            <w:pPr>
              <w:spacing w:after="20"/>
              <w:jc w:val="right"/>
            </w:pPr>
            <w:r>
              <w:rPr>
                <w:color w:val="1C3A36"/>
                <w:sz w:val="18"/>
              </w:rPr>
              <w:t>38.45</w:t>
            </w:r>
          </w:p>
        </w:tc>
        <w:tc>
          <w:tcPr>
            <w:tcW w:type="dxa" w:w="1469"/>
          </w:tcPr>
          <w:p>
            <w:pPr>
              <w:spacing w:after="20"/>
              <w:jc w:val="right"/>
            </w:pPr>
            <w:r>
              <w:rPr>
                <w:color w:val="1C3A36"/>
                <w:sz w:val="18"/>
              </w:rPr>
              <w:t>36.34</w:t>
            </w:r>
          </w:p>
        </w:tc>
        <w:tc>
          <w:tcPr>
            <w:tcW w:type="dxa" w:w="1469"/>
          </w:tcPr>
          <w:p>
            <w:pPr>
              <w:spacing w:after="20"/>
              <w:jc w:val="right"/>
            </w:pPr>
            <w:r>
              <w:rPr>
                <w:color w:val="1C3A36"/>
                <w:sz w:val="18"/>
              </w:rPr>
              <w:t>33.80</w:t>
            </w:r>
          </w:p>
        </w:tc>
        <w:tc>
          <w:tcPr>
            <w:tcW w:type="dxa" w:w="1469"/>
          </w:tcPr>
          <w:p>
            <w:pPr>
              <w:spacing w:after="20"/>
              <w:jc w:val="right"/>
            </w:pPr>
            <w:r>
              <w:rPr>
                <w:color w:val="1C3A36"/>
                <w:sz w:val="18"/>
              </w:rPr>
              <w:t>30.68</w:t>
            </w:r>
          </w:p>
        </w:tc>
      </w:tr>
      <w:tr>
        <w:tc>
          <w:tcPr>
            <w:tcW w:type="dxa" w:w="2477"/>
          </w:tcPr>
          <w:p>
            <w:pPr>
              <w:spacing w:after="20"/>
            </w:pPr>
            <w:r>
              <w:rPr>
                <w:color w:val="1C3A36"/>
                <w:sz w:val="18"/>
              </w:rPr>
              <w:t>25.39%</w:t>
            </w:r>
          </w:p>
        </w:tc>
        <w:tc>
          <w:tcPr>
            <w:tcW w:type="dxa" w:w="1469"/>
          </w:tcPr>
          <w:p>
            <w:pPr>
              <w:spacing w:after="20"/>
              <w:jc w:val="right"/>
            </w:pPr>
            <w:r>
              <w:rPr>
                <w:color w:val="1C3A36"/>
                <w:sz w:val="18"/>
              </w:rPr>
              <w:t>39.50</w:t>
            </w:r>
          </w:p>
        </w:tc>
        <w:tc>
          <w:tcPr>
            <w:tcW w:type="dxa" w:w="1469"/>
          </w:tcPr>
          <w:p>
            <w:pPr>
              <w:spacing w:after="20"/>
              <w:jc w:val="right"/>
            </w:pPr>
            <w:r>
              <w:rPr>
                <w:color w:val="1C3A36"/>
                <w:sz w:val="18"/>
              </w:rPr>
              <w:t>37.77</w:t>
            </w:r>
          </w:p>
        </w:tc>
        <w:tc>
          <w:tcPr>
            <w:tcW w:type="dxa" w:w="1469"/>
          </w:tcPr>
          <w:p>
            <w:pPr>
              <w:spacing w:after="20"/>
              <w:jc w:val="right"/>
            </w:pPr>
            <w:r>
              <w:rPr>
                <w:color w:val="1C3A36"/>
                <w:sz w:val="18"/>
              </w:rPr>
              <w:t>35.71</w:t>
            </w:r>
          </w:p>
        </w:tc>
        <w:tc>
          <w:tcPr>
            <w:tcW w:type="dxa" w:w="1469"/>
          </w:tcPr>
          <w:p>
            <w:pPr>
              <w:spacing w:after="20"/>
              <w:jc w:val="right"/>
            </w:pPr>
            <w:r>
              <w:rPr>
                <w:color w:val="1C3A36"/>
                <w:sz w:val="18"/>
              </w:rPr>
              <w:t>33.23</w:t>
            </w:r>
          </w:p>
        </w:tc>
        <w:tc>
          <w:tcPr>
            <w:tcW w:type="dxa" w:w="1469"/>
          </w:tcPr>
          <w:p>
            <w:pPr>
              <w:spacing w:after="20"/>
              <w:jc w:val="right"/>
            </w:pPr>
            <w:r>
              <w:rPr>
                <w:color w:val="1C3A36"/>
                <w:sz w:val="18"/>
              </w:rPr>
              <w:t>30.19</w:t>
            </w:r>
          </w:p>
        </w:tc>
      </w:tr>
      <w:tr>
        <w:tc>
          <w:tcPr>
            <w:tcW w:type="dxa" w:w="2477"/>
          </w:tcPr>
          <w:p>
            <w:pPr>
              <w:spacing w:after="20"/>
            </w:pPr>
            <w:r>
              <w:rPr>
                <w:color w:val="1C3A36"/>
                <w:sz w:val="18"/>
              </w:rPr>
              <w:t>26.89%</w:t>
            </w:r>
          </w:p>
        </w:tc>
        <w:tc>
          <w:tcPr>
            <w:tcW w:type="dxa" w:w="1469"/>
          </w:tcPr>
          <w:p>
            <w:pPr>
              <w:spacing w:after="20"/>
              <w:jc w:val="right"/>
            </w:pPr>
            <w:r>
              <w:rPr>
                <w:color w:val="1C3A36"/>
                <w:sz w:val="18"/>
              </w:rPr>
              <w:t>38.79</w:t>
            </w:r>
          </w:p>
        </w:tc>
        <w:tc>
          <w:tcPr>
            <w:tcW w:type="dxa" w:w="1469"/>
          </w:tcPr>
          <w:p>
            <w:pPr>
              <w:spacing w:after="20"/>
              <w:jc w:val="right"/>
            </w:pPr>
            <w:r>
              <w:rPr>
                <w:color w:val="1C3A36"/>
                <w:sz w:val="18"/>
              </w:rPr>
              <w:t>37.10</w:t>
            </w:r>
          </w:p>
        </w:tc>
        <w:tc>
          <w:tcPr>
            <w:tcW w:type="dxa" w:w="1469"/>
          </w:tcPr>
          <w:p>
            <w:pPr>
              <w:spacing w:after="20"/>
              <w:jc w:val="right"/>
            </w:pPr>
            <w:r>
              <w:rPr>
                <w:color w:val="1C3A36"/>
                <w:sz w:val="18"/>
              </w:rPr>
              <w:t>35.10</w:t>
            </w:r>
          </w:p>
        </w:tc>
        <w:tc>
          <w:tcPr>
            <w:tcW w:type="dxa" w:w="1469"/>
          </w:tcPr>
          <w:p>
            <w:pPr>
              <w:spacing w:after="20"/>
              <w:jc w:val="right"/>
            </w:pPr>
            <w:r>
              <w:rPr>
                <w:color w:val="1C3A36"/>
                <w:sz w:val="18"/>
              </w:rPr>
              <w:t>32.68</w:t>
            </w:r>
          </w:p>
        </w:tc>
        <w:tc>
          <w:tcPr>
            <w:tcW w:type="dxa" w:w="1469"/>
          </w:tcPr>
          <w:p>
            <w:pPr>
              <w:spacing w:after="20"/>
              <w:jc w:val="right"/>
            </w:pPr>
            <w:r>
              <w:rPr>
                <w:color w:val="1C3A36"/>
                <w:sz w:val="18"/>
              </w:rPr>
              <w:t>29.71</w:t>
            </w:r>
          </w:p>
        </w:tc>
      </w:tr>
    </w:tbl>
    <w:p>
      <w:pPr>
        <w:spacing w:after="40"/>
      </w:pPr>
    </w:p>
    <w:p>
      <w:pPr>
        <w:spacing w:after="200" w:before="0"/>
      </w:pPr>
      <w:r>
        <w:rPr>
          <w:b w:val="0"/>
          <w:i/>
          <w:color w:val="6E7B77"/>
          <w:sz w:val="17"/>
        </w:rPr>
        <w:t>Table 9 — Fair value per share across the explicit-window cost of capital and terminal growth. Growth is the STRONGER of the two levers here and it points DOWN: across a row the value moves EGP 10.05, against EGP 2.97 down a column.</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Higher growth gives a lower value, which is the model being consistent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13.7%</w:t>
            </w:r>
          </w:p>
        </w:tc>
        <w:tc>
          <w:tcPr>
            <w:tcW w:type="dxa" w:w="1469"/>
            <w:shd w:val="clear" w:color="auto" w:fill="EAF0EE"/>
          </w:tcPr>
          <w:p>
            <w:pPr>
              <w:spacing w:after="20"/>
            </w:pPr>
            <w:r>
              <w:rPr>
                <w:b/>
                <w:color w:val="1C3A36"/>
                <w:sz w:val="18"/>
              </w:rPr>
              <w:t>14.7%</w:t>
            </w:r>
          </w:p>
        </w:tc>
        <w:tc>
          <w:tcPr>
            <w:tcW w:type="dxa" w:w="1469"/>
            <w:shd w:val="clear" w:color="auto" w:fill="EAF0EE"/>
          </w:tcPr>
          <w:p>
            <w:pPr>
              <w:spacing w:after="20"/>
            </w:pPr>
            <w:r>
              <w:rPr>
                <w:b/>
                <w:color w:val="1C3A36"/>
                <w:sz w:val="18"/>
              </w:rPr>
              <w:t>15.7%</w:t>
            </w:r>
          </w:p>
        </w:tc>
        <w:tc>
          <w:tcPr>
            <w:tcW w:type="dxa" w:w="1469"/>
            <w:shd w:val="clear" w:color="auto" w:fill="EAF0EE"/>
          </w:tcPr>
          <w:p>
            <w:pPr>
              <w:spacing w:after="20"/>
            </w:pPr>
            <w:r>
              <w:rPr>
                <w:b/>
                <w:color w:val="1C3A36"/>
                <w:sz w:val="18"/>
              </w:rPr>
              <w:t>16.7%</w:t>
            </w:r>
          </w:p>
        </w:tc>
        <w:tc>
          <w:tcPr>
            <w:tcW w:type="dxa" w:w="1469"/>
            <w:shd w:val="clear" w:color="auto" w:fill="EAF0EE"/>
          </w:tcPr>
          <w:p>
            <w:pPr>
              <w:spacing w:after="20"/>
            </w:pPr>
            <w:r>
              <w:rPr>
                <w:b/>
                <w:color w:val="1C3A36"/>
                <w:sz w:val="18"/>
              </w:rPr>
              <w:t>17.7%</w:t>
            </w:r>
          </w:p>
        </w:tc>
      </w:tr>
      <w:tr>
        <w:tc>
          <w:tcPr>
            <w:tcW w:type="dxa" w:w="2477"/>
          </w:tcPr>
          <w:p>
            <w:pPr>
              <w:spacing w:after="20"/>
            </w:pPr>
            <w:r>
              <w:rPr>
                <w:color w:val="1C3A36"/>
                <w:sz w:val="18"/>
              </w:rPr>
              <w:t>20.89%</w:t>
            </w:r>
          </w:p>
        </w:tc>
        <w:tc>
          <w:tcPr>
            <w:tcW w:type="dxa" w:w="1469"/>
          </w:tcPr>
          <w:p>
            <w:pPr>
              <w:spacing w:after="20"/>
              <w:jc w:val="right"/>
            </w:pPr>
            <w:r>
              <w:rPr>
                <w:color w:val="1C3A36"/>
                <w:sz w:val="18"/>
              </w:rPr>
              <w:t>41.90</w:t>
            </w:r>
          </w:p>
        </w:tc>
        <w:tc>
          <w:tcPr>
            <w:tcW w:type="dxa" w:w="1469"/>
          </w:tcPr>
          <w:p>
            <w:pPr>
              <w:spacing w:after="20"/>
              <w:jc w:val="right"/>
            </w:pPr>
            <w:r>
              <w:rPr>
                <w:color w:val="1C3A36"/>
                <w:sz w:val="18"/>
              </w:rPr>
              <w:t>39.58</w:t>
            </w:r>
          </w:p>
        </w:tc>
        <w:tc>
          <w:tcPr>
            <w:tcW w:type="dxa" w:w="1469"/>
          </w:tcPr>
          <w:p>
            <w:pPr>
              <w:spacing w:after="20"/>
              <w:jc w:val="right"/>
            </w:pPr>
            <w:r>
              <w:rPr>
                <w:color w:val="1C3A36"/>
                <w:sz w:val="18"/>
              </w:rPr>
              <w:t>37.67</w:t>
            </w:r>
          </w:p>
        </w:tc>
        <w:tc>
          <w:tcPr>
            <w:tcW w:type="dxa" w:w="1469"/>
          </w:tcPr>
          <w:p>
            <w:pPr>
              <w:spacing w:after="20"/>
              <w:jc w:val="right"/>
            </w:pPr>
            <w:r>
              <w:rPr>
                <w:color w:val="1C3A36"/>
                <w:sz w:val="18"/>
              </w:rPr>
              <w:t>36.08</w:t>
            </w:r>
          </w:p>
        </w:tc>
        <w:tc>
          <w:tcPr>
            <w:tcW w:type="dxa" w:w="1469"/>
          </w:tcPr>
          <w:p>
            <w:pPr>
              <w:spacing w:after="20"/>
              <w:jc w:val="right"/>
            </w:pPr>
            <w:r>
              <w:rPr>
                <w:color w:val="1C3A36"/>
                <w:sz w:val="18"/>
              </w:rPr>
              <w:t>34.74</w:t>
            </w:r>
          </w:p>
        </w:tc>
      </w:tr>
      <w:tr>
        <w:tc>
          <w:tcPr>
            <w:tcW w:type="dxa" w:w="2477"/>
          </w:tcPr>
          <w:p>
            <w:pPr>
              <w:spacing w:after="20"/>
            </w:pPr>
            <w:r>
              <w:rPr>
                <w:color w:val="1C3A36"/>
                <w:sz w:val="18"/>
              </w:rPr>
              <w:t>22.39%</w:t>
            </w:r>
          </w:p>
        </w:tc>
        <w:tc>
          <w:tcPr>
            <w:tcW w:type="dxa" w:w="1469"/>
          </w:tcPr>
          <w:p>
            <w:pPr>
              <w:spacing w:after="20"/>
              <w:jc w:val="right"/>
            </w:pPr>
            <w:r>
              <w:rPr>
                <w:color w:val="1C3A36"/>
                <w:sz w:val="18"/>
              </w:rPr>
              <w:t>41.12</w:t>
            </w:r>
          </w:p>
        </w:tc>
        <w:tc>
          <w:tcPr>
            <w:tcW w:type="dxa" w:w="1469"/>
          </w:tcPr>
          <w:p>
            <w:pPr>
              <w:spacing w:after="20"/>
              <w:jc w:val="right"/>
            </w:pPr>
            <w:r>
              <w:rPr>
                <w:color w:val="1C3A36"/>
                <w:sz w:val="18"/>
              </w:rPr>
              <w:t>38.85</w:t>
            </w:r>
          </w:p>
        </w:tc>
        <w:tc>
          <w:tcPr>
            <w:tcW w:type="dxa" w:w="1469"/>
          </w:tcPr>
          <w:p>
            <w:pPr>
              <w:spacing w:after="20"/>
              <w:jc w:val="right"/>
            </w:pPr>
            <w:r>
              <w:rPr>
                <w:color w:val="1C3A36"/>
                <w:sz w:val="18"/>
              </w:rPr>
              <w:t>37.00</w:t>
            </w:r>
          </w:p>
        </w:tc>
        <w:tc>
          <w:tcPr>
            <w:tcW w:type="dxa" w:w="1469"/>
          </w:tcPr>
          <w:p>
            <w:pPr>
              <w:spacing w:after="20"/>
              <w:jc w:val="right"/>
            </w:pPr>
            <w:r>
              <w:rPr>
                <w:color w:val="1C3A36"/>
                <w:sz w:val="18"/>
              </w:rPr>
              <w:t>35.45</w:t>
            </w:r>
          </w:p>
        </w:tc>
        <w:tc>
          <w:tcPr>
            <w:tcW w:type="dxa" w:w="1469"/>
          </w:tcPr>
          <w:p>
            <w:pPr>
              <w:spacing w:after="20"/>
              <w:jc w:val="right"/>
            </w:pPr>
            <w:r>
              <w:rPr>
                <w:color w:val="1C3A36"/>
                <w:sz w:val="18"/>
              </w:rPr>
              <w:t>34.14</w:t>
            </w:r>
          </w:p>
        </w:tc>
      </w:tr>
      <w:tr>
        <w:tc>
          <w:tcPr>
            <w:tcW w:type="dxa" w:w="2477"/>
          </w:tcPr>
          <w:p>
            <w:pPr>
              <w:spacing w:after="20"/>
            </w:pPr>
            <w:r>
              <w:rPr>
                <w:color w:val="1C3A36"/>
                <w:sz w:val="18"/>
              </w:rPr>
              <w:t>23.89%</w:t>
            </w:r>
          </w:p>
        </w:tc>
        <w:tc>
          <w:tcPr>
            <w:tcW w:type="dxa" w:w="1469"/>
          </w:tcPr>
          <w:p>
            <w:pPr>
              <w:spacing w:after="20"/>
              <w:jc w:val="right"/>
            </w:pPr>
            <w:r>
              <w:rPr>
                <w:color w:val="1C3A36"/>
                <w:sz w:val="18"/>
              </w:rPr>
              <w:t>40.36</w:t>
            </w:r>
          </w:p>
        </w:tc>
        <w:tc>
          <w:tcPr>
            <w:tcW w:type="dxa" w:w="1469"/>
          </w:tcPr>
          <w:p>
            <w:pPr>
              <w:spacing w:after="20"/>
              <w:jc w:val="right"/>
            </w:pPr>
            <w:r>
              <w:rPr>
                <w:color w:val="1C3A36"/>
                <w:sz w:val="18"/>
              </w:rPr>
              <w:t>38.15</w:t>
            </w:r>
          </w:p>
        </w:tc>
        <w:tc>
          <w:tcPr>
            <w:tcW w:type="dxa" w:w="1469"/>
          </w:tcPr>
          <w:p>
            <w:pPr>
              <w:spacing w:after="20"/>
              <w:jc w:val="right"/>
            </w:pPr>
            <w:r>
              <w:rPr>
                <w:color w:val="1C3A36"/>
                <w:sz w:val="18"/>
              </w:rPr>
              <w:t>36.34</w:t>
            </w:r>
          </w:p>
        </w:tc>
        <w:tc>
          <w:tcPr>
            <w:tcW w:type="dxa" w:w="1469"/>
          </w:tcPr>
          <w:p>
            <w:pPr>
              <w:spacing w:after="20"/>
              <w:jc w:val="right"/>
            </w:pPr>
            <w:r>
              <w:rPr>
                <w:color w:val="1C3A36"/>
                <w:sz w:val="18"/>
              </w:rPr>
              <w:t>34.84</w:t>
            </w:r>
          </w:p>
        </w:tc>
        <w:tc>
          <w:tcPr>
            <w:tcW w:type="dxa" w:w="1469"/>
          </w:tcPr>
          <w:p>
            <w:pPr>
              <w:spacing w:after="20"/>
              <w:jc w:val="right"/>
            </w:pPr>
            <w:r>
              <w:rPr>
                <w:color w:val="1C3A36"/>
                <w:sz w:val="18"/>
              </w:rPr>
              <w:t>33.56</w:t>
            </w:r>
          </w:p>
        </w:tc>
      </w:tr>
      <w:tr>
        <w:tc>
          <w:tcPr>
            <w:tcW w:type="dxa" w:w="2477"/>
          </w:tcPr>
          <w:p>
            <w:pPr>
              <w:spacing w:after="20"/>
            </w:pPr>
            <w:r>
              <w:rPr>
                <w:color w:val="1C3A36"/>
                <w:sz w:val="18"/>
              </w:rPr>
              <w:t>25.39%</w:t>
            </w:r>
          </w:p>
        </w:tc>
        <w:tc>
          <w:tcPr>
            <w:tcW w:type="dxa" w:w="1469"/>
          </w:tcPr>
          <w:p>
            <w:pPr>
              <w:spacing w:after="20"/>
              <w:jc w:val="right"/>
            </w:pPr>
            <w:r>
              <w:rPr>
                <w:color w:val="1C3A36"/>
                <w:sz w:val="18"/>
              </w:rPr>
              <w:t>39.62</w:t>
            </w:r>
          </w:p>
        </w:tc>
        <w:tc>
          <w:tcPr>
            <w:tcW w:type="dxa" w:w="1469"/>
          </w:tcPr>
          <w:p>
            <w:pPr>
              <w:spacing w:after="20"/>
              <w:jc w:val="right"/>
            </w:pPr>
            <w:r>
              <w:rPr>
                <w:color w:val="1C3A36"/>
                <w:sz w:val="18"/>
              </w:rPr>
              <w:t>37.47</w:t>
            </w:r>
          </w:p>
        </w:tc>
        <w:tc>
          <w:tcPr>
            <w:tcW w:type="dxa" w:w="1469"/>
          </w:tcPr>
          <w:p>
            <w:pPr>
              <w:spacing w:after="20"/>
              <w:jc w:val="right"/>
            </w:pPr>
            <w:r>
              <w:rPr>
                <w:color w:val="1C3A36"/>
                <w:sz w:val="18"/>
              </w:rPr>
              <w:t>35.71</w:t>
            </w:r>
          </w:p>
        </w:tc>
        <w:tc>
          <w:tcPr>
            <w:tcW w:type="dxa" w:w="1469"/>
          </w:tcPr>
          <w:p>
            <w:pPr>
              <w:spacing w:after="20"/>
              <w:jc w:val="right"/>
            </w:pPr>
            <w:r>
              <w:rPr>
                <w:color w:val="1C3A36"/>
                <w:sz w:val="18"/>
              </w:rPr>
              <w:t>34.24</w:t>
            </w:r>
          </w:p>
        </w:tc>
        <w:tc>
          <w:tcPr>
            <w:tcW w:type="dxa" w:w="1469"/>
          </w:tcPr>
          <w:p>
            <w:pPr>
              <w:spacing w:after="20"/>
              <w:jc w:val="right"/>
            </w:pPr>
            <w:r>
              <w:rPr>
                <w:color w:val="1C3A36"/>
                <w:sz w:val="18"/>
              </w:rPr>
              <w:t>33.00</w:t>
            </w:r>
          </w:p>
        </w:tc>
      </w:tr>
      <w:tr>
        <w:tc>
          <w:tcPr>
            <w:tcW w:type="dxa" w:w="2477"/>
          </w:tcPr>
          <w:p>
            <w:pPr>
              <w:spacing w:after="20"/>
            </w:pPr>
            <w:r>
              <w:rPr>
                <w:color w:val="1C3A36"/>
                <w:sz w:val="18"/>
              </w:rPr>
              <w:t>26.89%</w:t>
            </w:r>
          </w:p>
        </w:tc>
        <w:tc>
          <w:tcPr>
            <w:tcW w:type="dxa" w:w="1469"/>
          </w:tcPr>
          <w:p>
            <w:pPr>
              <w:spacing w:after="20"/>
              <w:jc w:val="right"/>
            </w:pPr>
            <w:r>
              <w:rPr>
                <w:color w:val="1C3A36"/>
                <w:sz w:val="18"/>
              </w:rPr>
              <w:t>38.91</w:t>
            </w:r>
          </w:p>
        </w:tc>
        <w:tc>
          <w:tcPr>
            <w:tcW w:type="dxa" w:w="1469"/>
          </w:tcPr>
          <w:p>
            <w:pPr>
              <w:spacing w:after="20"/>
              <w:jc w:val="right"/>
            </w:pPr>
            <w:r>
              <w:rPr>
                <w:color w:val="1C3A36"/>
                <w:sz w:val="18"/>
              </w:rPr>
              <w:t>36.81</w:t>
            </w:r>
          </w:p>
        </w:tc>
        <w:tc>
          <w:tcPr>
            <w:tcW w:type="dxa" w:w="1469"/>
          </w:tcPr>
          <w:p>
            <w:pPr>
              <w:spacing w:after="20"/>
              <w:jc w:val="right"/>
            </w:pPr>
            <w:r>
              <w:rPr>
                <w:color w:val="1C3A36"/>
                <w:sz w:val="18"/>
              </w:rPr>
              <w:t>35.10</w:t>
            </w:r>
          </w:p>
        </w:tc>
        <w:tc>
          <w:tcPr>
            <w:tcW w:type="dxa" w:w="1469"/>
          </w:tcPr>
          <w:p>
            <w:pPr>
              <w:spacing w:after="20"/>
              <w:jc w:val="right"/>
            </w:pPr>
            <w:r>
              <w:rPr>
                <w:color w:val="1C3A36"/>
                <w:sz w:val="18"/>
              </w:rPr>
              <w:t>33.67</w:t>
            </w:r>
          </w:p>
        </w:tc>
        <w:tc>
          <w:tcPr>
            <w:tcW w:type="dxa" w:w="1469"/>
          </w:tcPr>
          <w:p>
            <w:pPr>
              <w:spacing w:after="20"/>
              <w:jc w:val="right"/>
            </w:pPr>
            <w:r>
              <w:rPr>
                <w:color w:val="1C3A36"/>
                <w:sz w:val="18"/>
              </w:rPr>
              <w:t>32.46</w:t>
            </w:r>
          </w:p>
        </w:tc>
      </w:tr>
    </w:tbl>
    <w:p>
      <w:pPr>
        <w:spacing w:after="40"/>
      </w:pPr>
    </w:p>
    <w:p>
      <w:pPr>
        <w:spacing w:after="200" w:before="0"/>
      </w:pPr>
      <w:r>
        <w:rPr>
          <w:b w:val="0"/>
          <w:i/>
          <w:color w:val="6E7B77"/>
          <w:sz w:val="17"/>
        </w:rPr>
        <w:t>Table 10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81.0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currency composition as contracted (adopted) vs the pound-equivalent under uncovered interest parity</w:t>
            </w:r>
          </w:p>
        </w:tc>
        <w:tc>
          <w:tcPr>
            <w:tcW w:type="dxa" w:w="1512"/>
          </w:tcPr>
          <w:p>
            <w:pPr>
              <w:spacing w:after="20"/>
              <w:jc w:val="right"/>
            </w:pPr>
            <w:r>
              <w:rPr>
                <w:color w:val="1C3A36"/>
                <w:sz w:val="17"/>
              </w:rPr>
              <w:t>7.54%</w:t>
            </w:r>
          </w:p>
        </w:tc>
        <w:tc>
          <w:tcPr>
            <w:tcW w:type="dxa" w:w="1728"/>
          </w:tcPr>
          <w:p>
            <w:pPr>
              <w:spacing w:after="20"/>
              <w:jc w:val="right"/>
            </w:pPr>
            <w:r>
              <w:rPr>
                <w:color w:val="1C3A36"/>
                <w:sz w:val="17"/>
              </w:rPr>
              <w:t>13.00%</w:t>
            </w:r>
          </w:p>
        </w:tc>
        <w:tc>
          <w:tcPr>
            <w:tcW w:type="dxa" w:w="2448"/>
          </w:tcPr>
          <w:p>
            <w:pPr>
              <w:spacing w:after="20"/>
              <w:jc w:val="right"/>
            </w:pPr>
            <w:r>
              <w:rPr>
                <w:color w:val="1C3A36"/>
                <w:sz w:val="17"/>
              </w:rPr>
              <w:t>36.26  (-0.2%)</w:t>
            </w:r>
          </w:p>
        </w:tc>
      </w:tr>
      <w:tr>
        <w:tc>
          <w:tcPr>
            <w:tcW w:type="dxa" w:w="3672"/>
          </w:tcPr>
          <w:p>
            <w:pPr>
              <w:spacing w:after="20"/>
            </w:pPr>
            <w:r>
              <w:rPr>
                <w:color w:val="1C3A36"/>
                <w:sz w:val="17"/>
              </w:rPr>
              <w:t>Beta: contemporaneous regression (adopted) vs lead-lag sum-beta</w:t>
            </w:r>
          </w:p>
        </w:tc>
        <w:tc>
          <w:tcPr>
            <w:tcW w:type="dxa" w:w="1512"/>
          </w:tcPr>
          <w:p>
            <w:pPr>
              <w:spacing w:after="20"/>
              <w:jc w:val="right"/>
            </w:pPr>
            <w:r>
              <w:rPr>
                <w:color w:val="1C3A36"/>
                <w:sz w:val="17"/>
              </w:rPr>
              <w:t>0.628</w:t>
            </w:r>
          </w:p>
        </w:tc>
        <w:tc>
          <w:tcPr>
            <w:tcW w:type="dxa" w:w="1728"/>
          </w:tcPr>
          <w:p>
            <w:pPr>
              <w:spacing w:after="20"/>
              <w:jc w:val="right"/>
            </w:pPr>
            <w:r>
              <w:rPr>
                <w:color w:val="1C3A36"/>
                <w:sz w:val="17"/>
              </w:rPr>
              <w:t>0.919</w:t>
            </w:r>
          </w:p>
        </w:tc>
        <w:tc>
          <w:tcPr>
            <w:tcW w:type="dxa" w:w="2448"/>
          </w:tcPr>
          <w:p>
            <w:pPr>
              <w:spacing w:after="20"/>
              <w:jc w:val="right"/>
            </w:pPr>
            <w:r>
              <w:rPr>
                <w:color w:val="1C3A36"/>
                <w:sz w:val="17"/>
              </w:rPr>
              <w:t>32.66  (-10.1%)</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4.00/t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41.70  (+14.7%)</w:t>
            </w:r>
          </w:p>
        </w:tc>
      </w:tr>
    </w:tbl>
    <w:p>
      <w:pPr>
        <w:spacing w:after="40"/>
      </w:pPr>
    </w:p>
    <w:p>
      <w:pPr>
        <w:spacing w:after="200" w:before="0"/>
      </w:pPr>
      <w:r>
        <w:rPr>
          <w:b w:val="0"/>
          <w:i/>
          <w:color w:val="6E7B77"/>
          <w:sz w:val="17"/>
        </w:rPr>
        <w:t>Table 11 — Every contested choice computed as a value rather than argued in prose. None of these alternatives is hidden; each is a full re-run of the model.</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12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4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13 — Percentiles in EGP per share, from a 50,000-path simulation anchored on the 6 August 2026 close of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 The three-month cone.</w:t>
      </w:r>
    </w:p>
    <w:p>
      <w:pPr>
        <w:spacing w:after="40"/>
        <w:jc w:val="center"/>
      </w:pPr>
      <w:r>
        <w:drawing>
          <wp:inline xmlns:a="http://schemas.openxmlformats.org/drawingml/2006/main" xmlns:pic="http://schemas.openxmlformats.org/drawingml/2006/picture">
            <wp:extent cx="5852160" cy="2381693"/>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6 — The three-month outcome distribution.</w:t>
      </w:r>
    </w:p>
    <w:p>
      <w:pPr>
        <w:spacing w:after="120" w:before="0"/>
      </w:pPr>
      <w:r>
        <w:rPr>
          <w:b w:val="0"/>
          <w:i w:val="0"/>
          <w:color w:val="1C3A36"/>
          <w:sz w:val="21"/>
        </w:rPr>
        <w:t>How well calibrated is it? Measured over 16 independent quarterly windows, the bands cover 56%, 100% and 100% of outcomes against nominal 50%, 80% and 90%. The map is therefore TOO WIDE rather than mis-centred: it is not missing the outcome, it is covering more ground than it claims to. Its skill against a simple random walk is -1.8% — statistically indistinguishable from zero at every block size tested. No valuation conclusion in this study rests on it.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037"/>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r>
      <w:tr>
        <w:tc>
          <w:tcPr>
            <w:tcW w:type="dxa" w:w="2880"/>
          </w:tcPr>
          <w:p>
            <w:pPr>
              <w:spacing w:after="20"/>
            </w:pPr>
            <w:r>
              <w:rPr>
                <w:color w:val="1C3A36"/>
                <w:sz w:val="18"/>
              </w:rPr>
              <w:t>DCF (cash flow)</w:t>
            </w:r>
          </w:p>
        </w:tc>
        <w:tc>
          <w:tcPr>
            <w:tcW w:type="dxa" w:w="1440"/>
          </w:tcPr>
          <w:p>
            <w:pPr>
              <w:spacing w:after="20"/>
              <w:jc w:val="right"/>
            </w:pPr>
            <w:r>
              <w:rPr>
                <w:color w:val="1C3A36"/>
                <w:sz w:val="18"/>
              </w:rPr>
              <w:t>30.78</w:t>
            </w:r>
          </w:p>
        </w:tc>
        <w:tc>
          <w:tcPr>
            <w:tcW w:type="dxa" w:w="1440"/>
          </w:tcPr>
          <w:p>
            <w:pPr>
              <w:spacing w:after="20"/>
              <w:jc w:val="right"/>
            </w:pPr>
            <w:r>
              <w:rPr>
                <w:color w:val="1C3A36"/>
                <w:sz w:val="18"/>
              </w:rPr>
              <w:t>36.34</w:t>
            </w:r>
          </w:p>
        </w:tc>
        <w:tc>
          <w:tcPr>
            <w:tcW w:type="dxa" w:w="1440"/>
          </w:tcPr>
          <w:p>
            <w:pPr>
              <w:spacing w:after="20"/>
              <w:jc w:val="right"/>
            </w:pPr>
            <w:r>
              <w:rPr>
                <w:color w:val="1C3A36"/>
                <w:sz w:val="18"/>
              </w:rPr>
              <w:t>42.15</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-38.4%</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43.64</w:t>
            </w:r>
          </w:p>
        </w:tc>
        <w:tc>
          <w:tcPr>
            <w:tcW w:type="dxa" w:w="1440"/>
          </w:tcPr>
          <w:p>
            <w:pPr>
              <w:spacing w:after="20"/>
              <w:jc w:val="right"/>
            </w:pPr>
            <w:r>
              <w:rPr>
                <w:color w:val="1C3A36"/>
                <w:sz w:val="18"/>
              </w:rPr>
              <w:t>48.49</w:t>
            </w:r>
          </w:p>
        </w:tc>
        <w:tc>
          <w:tcPr>
            <w:tcW w:type="dxa" w:w="1440"/>
          </w:tcPr>
          <w:p>
            <w:pPr>
              <w:spacing w:after="20"/>
              <w:jc w:val="right"/>
            </w:pPr>
            <w:r>
              <w:rPr>
                <w:color w:val="1C3A36"/>
                <w:sz w:val="18"/>
              </w:rPr>
              <w:t>53.34</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-17.8%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47.23</w:t>
            </w:r>
          </w:p>
        </w:tc>
        <w:tc>
          <w:tcPr>
            <w:tcW w:type="dxa" w:w="1440"/>
          </w:tcPr>
          <w:p>
            <w:pPr>
              <w:spacing w:after="20"/>
              <w:jc w:val="right"/>
            </w:pPr>
            <w:r>
              <w:rPr>
                <w:color w:val="1C3A36"/>
                <w:sz w:val="18"/>
              </w:rPr>
              <w:t>52.48</w:t>
            </w:r>
          </w:p>
        </w:tc>
        <w:tc>
          <w:tcPr>
            <w:tcW w:type="dxa" w:w="1440"/>
          </w:tcPr>
          <w:p>
            <w:pPr>
              <w:spacing w:after="20"/>
              <w:jc w:val="right"/>
            </w:pPr>
            <w:r>
              <w:rPr>
                <w:color w:val="1C3A36"/>
                <w:sz w:val="18"/>
              </w:rPr>
              <w:t>57.73</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-11.1%</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61.57</w:t>
            </w:r>
          </w:p>
        </w:tc>
        <w:tc>
          <w:tcPr>
            <w:tcW w:type="dxa" w:w="1440"/>
          </w:tcPr>
          <w:p>
            <w:pPr>
              <w:spacing w:after="20"/>
              <w:jc w:val="right"/>
            </w:pPr>
            <w:r>
              <w:rPr>
                <w:color w:val="1C3A36"/>
                <w:sz w:val="18"/>
              </w:rPr>
              <w:t>68.41</w:t>
            </w:r>
          </w:p>
        </w:tc>
        <w:tc>
          <w:tcPr>
            <w:tcW w:type="dxa" w:w="1440"/>
          </w:tcPr>
          <w:p>
            <w:pPr>
              <w:spacing w:after="20"/>
              <w:jc w:val="right"/>
            </w:pPr>
            <w:r>
              <w:rPr>
                <w:color w:val="1C3A36"/>
                <w:sz w:val="18"/>
              </w:rPr>
              <w:t>75.25</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+15.9%</w:t>
            </w:r>
          </w:p>
        </w:tc>
      </w:tr>
      <w:tr>
        <w:tc>
          <w:tcPr>
            <w:tcW w:type="dxa" w:w="2880"/>
            <w:shd w:val="clear" w:color="auto" w:fill="F6F1E6"/>
          </w:tcPr>
          <w:p>
            <w:pPr>
              <w:spacing w:after="20"/>
            </w:pPr>
            <w:r>
              <w:rPr>
                <w:b/>
                <w:color w:val="1C3A36"/>
                <w:sz w:val="18"/>
              </w:rPr>
              <w:t>Weighted central</w:t>
            </w:r>
          </w:p>
        </w:tc>
        <w:tc>
          <w:tcPr>
            <w:tcW w:type="dxa" w:w="1440"/>
            <w:shd w:val="clear" w:color="auto" w:fill="F6F1E6"/>
          </w:tcPr>
          <w:p>
            <w:pPr>
              <w:spacing w:after="20"/>
              <w:jc w:val="right"/>
            </w:pPr>
            <w:r>
              <w:rPr>
                <w:b/>
                <w:color w:val="1C3A36"/>
                <w:sz w:val="18"/>
              </w:rPr>
              <w:t>39.44</w:t>
            </w:r>
          </w:p>
        </w:tc>
        <w:tc>
          <w:tcPr>
            <w:tcW w:type="dxa" w:w="1440"/>
            <w:shd w:val="clear" w:color="auto" w:fill="F6F1E6"/>
          </w:tcPr>
          <w:p>
            <w:pPr>
              <w:spacing w:after="20"/>
              <w:jc w:val="right"/>
            </w:pPr>
            <w:r>
              <w:rPr>
                <w:b/>
                <w:color w:val="1C3A36"/>
                <w:sz w:val="18"/>
              </w:rPr>
              <w:t>44.89</w:t>
            </w:r>
          </w:p>
        </w:tc>
        <w:tc>
          <w:tcPr>
            <w:tcW w:type="dxa" w:w="1440"/>
            <w:shd w:val="clear" w:color="auto" w:fill="F6F1E6"/>
          </w:tcPr>
          <w:p>
            <w:pPr>
              <w:spacing w:after="20"/>
              <w:jc w:val="right"/>
            </w:pPr>
            <w:r>
              <w:rPr>
                <w:b/>
                <w:color w:val="1C3A36"/>
                <w:sz w:val="18"/>
              </w:rPr>
              <w:t>50.46</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-23.9%</w:t>
            </w:r>
          </w:p>
        </w:tc>
      </w:tr>
    </w:tbl>
    <w:p>
      <w:pPr>
        <w:spacing w:after="40"/>
      </w:pPr>
    </w:p>
    <w:p>
      <w:pPr>
        <w:spacing w:after="200" w:before="0"/>
      </w:pPr>
      <w:r>
        <w:rPr>
          <w:b w:val="0"/>
          <w:i/>
          <w:color w:val="6E7B77"/>
          <w:sz w:val="17"/>
        </w:rPr>
        <w:t>Table 14 — Each lens as a range. The disagreement between them is information, not noise.</w:t>
      </w:r>
    </w:p>
    <w:p>
      <w:pPr>
        <w:spacing w:after="120" w:before="0"/>
      </w:pPr>
      <w:r>
        <w:rPr>
          <w:b w:val="0"/>
          <w:i w:val="0"/>
          <w:color w:val="1C3A36"/>
          <w:sz w:val="21"/>
        </w:rPr>
        <w:t>The four lenses do not agree, and the pattern of their disagreement is the most useful thing in this study. The three earnings-based lenses cluster between EGP 36.34 and EGP 52.48, all below the market price. The asset lens sits at EGP 68.41, well above it. That is the whole argument about this company in one line: the plant is worth more than the market is paying for it, and the earnings it can be expected to produce are worth less.</w:t>
      </w:r>
    </w:p>
    <w:p>
      <w:pPr>
        <w:spacing w:after="120" w:before="0"/>
      </w:pPr>
      <w:r>
        <w:rPr>
          <w:b w:val="0"/>
          <w:i w:val="0"/>
          <w:color w:val="1C3A36"/>
          <w:sz w:val="21"/>
        </w:rPr>
        <w:t>The weighting resolves that in favour of earnings, at 50%/20%/22%/8%, and gives a central EGP 44.89 against EGP 59.00 — -23.9%. A reader who believes replacement cost is a floor rather than a ceiling would weight the asset lens far more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the way to a 52-week high, while the earnings lenses put fair value below the current price. Momentum and value disagree here,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3,605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15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Only two numbers in the operating build are not disclosed. </w:t>
      </w:r>
      <w:r>
        <w:rPr>
          <w:color w:val="1C3A36"/>
          <w:sz w:val="21"/>
        </w:rPr>
        <w:t>The local realised price of EGP 3,500 a tonne and the export price of USD 62.0 a tonne are external estimates; every other input to the FY2025 build is audited. They matter because volume is derived from them — a 10% error in price is a 10% error in volume, in the opposite direction, and the two largely offset in revenue but not in cost per tonne. The check on them is the utilisation that falls out: 69.7% against a national 85.5%.</w:t>
      </w:r>
    </w:p>
    <w:p>
      <w:pPr>
        <w:pStyle w:val="ListBullet"/>
        <w:spacing w:after="60"/>
      </w:pPr>
      <w:r>
        <w:rPr>
          <w:b/>
          <w:color w:val="1C3A36"/>
          <w:sz w:val="21"/>
        </w:rPr>
        <w:t xml:space="preserve">The cost of debt is contractual, not paid. </w:t>
      </w:r>
      <w:r>
        <w:rPr>
          <w:color w:val="1C3A36"/>
          <w:sz w:val="21"/>
        </w:rPr>
        <w:t>The blended 7.54%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13.00% and is worth -0.2%.</w:t>
      </w:r>
    </w:p>
    <w:p>
      <w:pPr>
        <w:pStyle w:val="ListBullet"/>
        <w:spacing w:after="60"/>
      </w:pPr>
      <w:r>
        <w:rPr>
          <w:b/>
          <w:color w:val="1C3A36"/>
          <w:sz w:val="21"/>
        </w:rPr>
        <w:t xml:space="preserve">The forecast is well below the first-quarter run rate. </w:t>
      </w:r>
      <w:r>
        <w:rPr>
          <w:color w:val="1C3A36"/>
          <w:sz w:val="21"/>
        </w:rPr>
        <w:t>This is the largest judgement in the model and section 1.6 states it with the numbers. The first quarter of 2026 ran a 42.9% gross margin against 40.6% for FY2025 as a whole. If that holds, this valuation is too cautious, and the margin sensitivity below is where to look.</w:t>
      </w:r>
    </w:p>
    <w:p>
      <w:pPr>
        <w:pStyle w:val="ListBullet"/>
        <w:spacing w:after="60"/>
      </w:pPr>
      <w:r>
        <w:rPr>
          <w:b/>
          <w:color w:val="1C3A36"/>
          <w:sz w:val="21"/>
        </w:rPr>
        <w:t xml:space="preserve">The terminal denominator is a choice. </w:t>
      </w:r>
      <w:r>
        <w:rPr>
          <w:color w:val="1C3A36"/>
          <w:sz w:val="21"/>
        </w:rPr>
        <w:t>Return on capital is 60.6% on the audited book and 8.6% on replacement cost. The terminal block uses replacement cost, which makes growth value-destroying and lowers the valuation. On the book basis growth would be free.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weak. </w:t>
      </w:r>
      <w:r>
        <w:rPr>
          <w:color w:val="1C3A36"/>
          <w:sz w:val="21"/>
        </w:rPr>
        <w:t>R-squared of 9.1% and a 90% interval of [0.42, 0.83]. The valuation is shown across a beta range for exactly this reason, and the lead-lag correction is published as a value.</w:t>
      </w:r>
    </w:p>
    <w:p>
      <w:pPr>
        <w:pStyle w:val="ListBullet"/>
        <w:spacing w:after="60"/>
      </w:pPr>
      <w:r>
        <w:rPr>
          <w:b/>
          <w:color w:val="1C3A36"/>
          <w:sz w:val="21"/>
        </w:rPr>
        <w:t xml:space="preserve">The price map is over-wide. </w:t>
      </w:r>
      <w:r>
        <w:rPr>
          <w:color w:val="1C3A36"/>
          <w:sz w:val="21"/>
        </w:rPr>
        <w:t>Its bands cover 100% and 100% of outcomes against nominal 80% and 90%, and its skill against a random walk is -1.8%. It is carried as illustrative only.</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251</w:t>
            </w:r>
          </w:p>
        </w:tc>
        <w:tc>
          <w:tcPr>
            <w:tcW w:type="dxa" w:w="1325"/>
            <w:shd w:val="clear" w:color="auto" w:fill="EAF0EE"/>
          </w:tcPr>
          <w:p>
            <w:pPr>
              <w:spacing w:after="20"/>
            </w:pPr>
            <w:r>
              <w:rPr>
                <w:b/>
                <w:color w:val="1C3A36"/>
                <w:sz w:val="17"/>
              </w:rPr>
              <w:t>1,001</w:t>
            </w:r>
          </w:p>
        </w:tc>
        <w:tc>
          <w:tcPr>
            <w:tcW w:type="dxa" w:w="1325"/>
            <w:shd w:val="clear" w:color="auto" w:fill="EAF0EE"/>
          </w:tcPr>
          <w:p>
            <w:pPr>
              <w:spacing w:after="20"/>
            </w:pPr>
            <w:r>
              <w:rPr>
                <w:b/>
                <w:color w:val="1C3A36"/>
                <w:sz w:val="17"/>
              </w:rPr>
              <w:t>1,751</w:t>
            </w:r>
          </w:p>
        </w:tc>
        <w:tc>
          <w:tcPr>
            <w:tcW w:type="dxa" w:w="1325"/>
            <w:shd w:val="clear" w:color="auto" w:fill="EAF0EE"/>
          </w:tcPr>
          <w:p>
            <w:pPr>
              <w:spacing w:after="20"/>
            </w:pPr>
            <w:r>
              <w:rPr>
                <w:b/>
                <w:color w:val="1C3A36"/>
                <w:sz w:val="17"/>
              </w:rPr>
              <w:t>2,501</w:t>
            </w:r>
          </w:p>
        </w:tc>
        <w:tc>
          <w:tcPr>
            <w:tcW w:type="dxa" w:w="1325"/>
            <w:shd w:val="clear" w:color="auto" w:fill="EAF0EE"/>
          </w:tcPr>
          <w:p>
            <w:pPr>
              <w:spacing w:after="20"/>
            </w:pPr>
            <w:r>
              <w:rPr>
                <w:b/>
                <w:color w:val="1C3A36"/>
                <w:sz w:val="17"/>
              </w:rPr>
              <w:t>3,251</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32.34</w:t>
            </w:r>
          </w:p>
        </w:tc>
        <w:tc>
          <w:tcPr>
            <w:tcW w:type="dxa" w:w="1325"/>
          </w:tcPr>
          <w:p>
            <w:pPr>
              <w:spacing w:after="20"/>
              <w:jc w:val="right"/>
            </w:pPr>
            <w:r>
              <w:rPr>
                <w:color w:val="1C3A36"/>
                <w:sz w:val="17"/>
              </w:rPr>
              <w:t>34.34</w:t>
            </w:r>
          </w:p>
        </w:tc>
        <w:tc>
          <w:tcPr>
            <w:tcW w:type="dxa" w:w="1325"/>
          </w:tcPr>
          <w:p>
            <w:pPr>
              <w:spacing w:after="20"/>
              <w:jc w:val="right"/>
            </w:pPr>
            <w:r>
              <w:rPr>
                <w:color w:val="1C3A36"/>
                <w:sz w:val="17"/>
              </w:rPr>
              <w:t>36.34</w:t>
            </w:r>
          </w:p>
        </w:tc>
        <w:tc>
          <w:tcPr>
            <w:tcW w:type="dxa" w:w="1325"/>
          </w:tcPr>
          <w:p>
            <w:pPr>
              <w:spacing w:after="20"/>
              <w:jc w:val="right"/>
            </w:pPr>
            <w:r>
              <w:rPr>
                <w:color w:val="1C3A36"/>
                <w:sz w:val="17"/>
              </w:rPr>
              <w:t>38.34</w:t>
            </w:r>
          </w:p>
        </w:tc>
        <w:tc>
          <w:tcPr>
            <w:tcW w:type="dxa" w:w="1325"/>
          </w:tcPr>
          <w:p>
            <w:pPr>
              <w:spacing w:after="20"/>
              <w:jc w:val="right"/>
            </w:pPr>
            <w:r>
              <w:rPr>
                <w:color w:val="1C3A36"/>
                <w:sz w:val="17"/>
              </w:rPr>
              <w:t>40.35</w:t>
            </w:r>
          </w:p>
        </w:tc>
      </w:tr>
    </w:tbl>
    <w:p>
      <w:pPr>
        <w:spacing w:after="40"/>
      </w:pPr>
    </w:p>
    <w:p>
      <w:pPr>
        <w:spacing w:after="200" w:before="0"/>
      </w:pPr>
      <w:r>
        <w:rPr>
          <w:b w:val="0"/>
          <w:i/>
          <w:color w:val="6E7B77"/>
          <w:sz w:val="17"/>
        </w:rPr>
        <w:t>Table 16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26.27</w:t>
            </w:r>
          </w:p>
        </w:tc>
        <w:tc>
          <w:tcPr>
            <w:tcW w:type="dxa" w:w="1325"/>
          </w:tcPr>
          <w:p>
            <w:pPr>
              <w:spacing w:after="20"/>
              <w:jc w:val="right"/>
            </w:pPr>
            <w:r>
              <w:rPr>
                <w:color w:val="1C3A36"/>
                <w:sz w:val="17"/>
              </w:rPr>
              <w:t>31.30</w:t>
            </w:r>
          </w:p>
        </w:tc>
        <w:tc>
          <w:tcPr>
            <w:tcW w:type="dxa" w:w="1325"/>
          </w:tcPr>
          <w:p>
            <w:pPr>
              <w:spacing w:after="20"/>
              <w:jc w:val="right"/>
            </w:pPr>
            <w:r>
              <w:rPr>
                <w:color w:val="1C3A36"/>
                <w:sz w:val="17"/>
              </w:rPr>
              <w:t>36.34</w:t>
            </w:r>
          </w:p>
        </w:tc>
        <w:tc>
          <w:tcPr>
            <w:tcW w:type="dxa" w:w="1325"/>
          </w:tcPr>
          <w:p>
            <w:pPr>
              <w:spacing w:after="20"/>
              <w:jc w:val="right"/>
            </w:pPr>
            <w:r>
              <w:rPr>
                <w:color w:val="1C3A36"/>
                <w:sz w:val="17"/>
              </w:rPr>
              <w:t>41.38</w:t>
            </w:r>
          </w:p>
        </w:tc>
        <w:tc>
          <w:tcPr>
            <w:tcW w:type="dxa" w:w="1325"/>
          </w:tcPr>
          <w:p>
            <w:pPr>
              <w:spacing w:after="20"/>
              <w:jc w:val="right"/>
            </w:pPr>
            <w:r>
              <w:rPr>
                <w:color w:val="1C3A36"/>
                <w:sz w:val="17"/>
              </w:rPr>
              <w:t>46.42</w:t>
            </w:r>
          </w:p>
        </w:tc>
      </w:tr>
    </w:tbl>
    <w:p>
      <w:pPr>
        <w:spacing w:after="40"/>
      </w:pPr>
    </w:p>
    <w:p>
      <w:pPr>
        <w:spacing w:after="200" w:before="0"/>
      </w:pPr>
      <w:r>
        <w:rPr>
          <w:b w:val="0"/>
          <w:i/>
          <w:color w:val="6E7B77"/>
          <w:sz w:val="17"/>
        </w:rPr>
        <w:t>Table 17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Income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89"/>
        <w:gridCol w:w="1037"/>
        <w:gridCol w:w="1037"/>
        <w:gridCol w:w="1037"/>
        <w:gridCol w:w="1037"/>
        <w:gridCol w:w="1037"/>
        <w:gridCol w:w="1037"/>
        <w:gridCol w:w="1037"/>
        <w:gridCol w:w="1037"/>
      </w:tblGrid>
      <w:tr>
        <w:tc>
          <w:tcPr>
            <w:tcW w:type="dxa" w:w="2189"/>
            <w:shd w:val="clear" w:color="auto" w:fill="EAF0EE"/>
          </w:tcPr>
          <w:p>
            <w:pPr>
              <w:spacing w:after="20"/>
            </w:pPr>
            <w:r>
              <w:rPr>
                <w:b/>
                <w:color w:val="1C3A36"/>
                <w:sz w:val="16"/>
              </w:rPr>
              <w:t>EGP mn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189"/>
          </w:tcPr>
          <w:p>
            <w:pPr>
              <w:spacing w:after="20"/>
            </w:pPr>
            <w:r>
              <w:rPr>
                <w:color w:val="1C3A36"/>
                <w:sz w:val="16"/>
              </w:rPr>
              <w:t>Revenue</w:t>
            </w:r>
          </w:p>
        </w:tc>
        <w:tc>
          <w:tcPr>
            <w:tcW w:type="dxa" w:w="1037"/>
          </w:tcPr>
          <w:p>
            <w:pPr>
              <w:spacing w:after="20"/>
              <w:jc w:val="right"/>
            </w:pPr>
            <w:r>
              <w:rPr>
                <w:color w:val="1C3A36"/>
                <w:sz w:val="16"/>
              </w:rPr>
              <w:t>6,043</w:t>
            </w:r>
          </w:p>
        </w:tc>
        <w:tc>
          <w:tcPr>
            <w:tcW w:type="dxa" w:w="1037"/>
          </w:tcPr>
          <w:p>
            <w:pPr>
              <w:spacing w:after="20"/>
              <w:jc w:val="right"/>
            </w:pPr>
            <w:r>
              <w:rPr>
                <w:color w:val="1C3A36"/>
                <w:sz w:val="16"/>
              </w:rPr>
              <w:t>8,730</w:t>
            </w:r>
          </w:p>
        </w:tc>
        <w:tc>
          <w:tcPr>
            <w:tcW w:type="dxa" w:w="1037"/>
          </w:tcPr>
          <w:p>
            <w:pPr>
              <w:spacing w:after="20"/>
              <w:jc w:val="right"/>
            </w:pPr>
            <w:r>
              <w:rPr>
                <w:color w:val="1C3A36"/>
                <w:sz w:val="16"/>
              </w:rPr>
              <w:t>12,447</w:t>
            </w:r>
          </w:p>
        </w:tc>
        <w:tc>
          <w:tcPr>
            <w:tcW w:type="dxa" w:w="1037"/>
          </w:tcPr>
          <w:p>
            <w:pPr>
              <w:spacing w:after="20"/>
              <w:jc w:val="right"/>
            </w:pPr>
            <w:r>
              <w:rPr>
                <w:color w:val="1C3A36"/>
                <w:sz w:val="16"/>
              </w:rPr>
              <w:t>13,307</w:t>
            </w:r>
          </w:p>
        </w:tc>
        <w:tc>
          <w:tcPr>
            <w:tcW w:type="dxa" w:w="1037"/>
          </w:tcPr>
          <w:p>
            <w:pPr>
              <w:spacing w:after="20"/>
              <w:jc w:val="right"/>
            </w:pPr>
            <w:r>
              <w:rPr>
                <w:color w:val="1C3A36"/>
                <w:sz w:val="16"/>
              </w:rPr>
              <w:t>14,219</w:t>
            </w:r>
          </w:p>
        </w:tc>
        <w:tc>
          <w:tcPr>
            <w:tcW w:type="dxa" w:w="1037"/>
          </w:tcPr>
          <w:p>
            <w:pPr>
              <w:spacing w:after="20"/>
              <w:jc w:val="right"/>
            </w:pPr>
            <w:r>
              <w:rPr>
                <w:color w:val="1C3A36"/>
                <w:sz w:val="16"/>
              </w:rPr>
              <w:t>15,087</w:t>
            </w:r>
          </w:p>
        </w:tc>
        <w:tc>
          <w:tcPr>
            <w:tcW w:type="dxa" w:w="1037"/>
          </w:tcPr>
          <w:p>
            <w:pPr>
              <w:spacing w:after="20"/>
              <w:jc w:val="right"/>
            </w:pPr>
            <w:r>
              <w:rPr>
                <w:color w:val="1C3A36"/>
                <w:sz w:val="16"/>
              </w:rPr>
              <w:t>15,882</w:t>
            </w:r>
          </w:p>
        </w:tc>
        <w:tc>
          <w:tcPr>
            <w:tcW w:type="dxa" w:w="1037"/>
          </w:tcPr>
          <w:p>
            <w:pPr>
              <w:spacing w:after="20"/>
              <w:jc w:val="right"/>
            </w:pPr>
            <w:r>
              <w:rPr>
                <w:color w:val="1C3A36"/>
                <w:sz w:val="16"/>
              </w:rPr>
              <w:t>16,632</w:t>
            </w:r>
          </w:p>
        </w:tc>
      </w:tr>
      <w:tr>
        <w:tc>
          <w:tcPr>
            <w:tcW w:type="dxa" w:w="2189"/>
          </w:tcPr>
          <w:p>
            <w:pPr>
              <w:spacing w:after="20"/>
            </w:pPr>
            <w:r>
              <w:rPr>
                <w:color w:val="1C3A36"/>
                <w:sz w:val="16"/>
              </w:rPr>
              <w:t>Cost of sales</w:t>
            </w:r>
          </w:p>
        </w:tc>
        <w:tc>
          <w:tcPr>
            <w:tcW w:type="dxa" w:w="1037"/>
          </w:tcPr>
          <w:p>
            <w:pPr>
              <w:spacing w:after="20"/>
              <w:jc w:val="right"/>
            </w:pPr>
            <w:r>
              <w:rPr>
                <w:color w:val="1C3A36"/>
                <w:sz w:val="16"/>
              </w:rPr>
              <w:t>(4,760)</w:t>
            </w:r>
          </w:p>
        </w:tc>
        <w:tc>
          <w:tcPr>
            <w:tcW w:type="dxa" w:w="1037"/>
          </w:tcPr>
          <w:p>
            <w:pPr>
              <w:spacing w:after="20"/>
              <w:jc w:val="right"/>
            </w:pPr>
            <w:r>
              <w:rPr>
                <w:color w:val="1C3A36"/>
                <w:sz w:val="16"/>
              </w:rPr>
              <w:t>(6,643)</w:t>
            </w:r>
          </w:p>
        </w:tc>
        <w:tc>
          <w:tcPr>
            <w:tcW w:type="dxa" w:w="1037"/>
          </w:tcPr>
          <w:p>
            <w:pPr>
              <w:spacing w:after="20"/>
              <w:jc w:val="right"/>
            </w:pPr>
            <w:r>
              <w:rPr>
                <w:color w:val="1C3A36"/>
                <w:sz w:val="16"/>
              </w:rPr>
              <w:t>(7,389)</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r>
      <w:tr>
        <w:tc>
          <w:tcPr>
            <w:tcW w:type="dxa" w:w="2189"/>
          </w:tcPr>
          <w:p>
            <w:pPr>
              <w:spacing w:after="20"/>
            </w:pPr>
            <w:r>
              <w:rPr>
                <w:color w:val="1C3A36"/>
                <w:sz w:val="16"/>
              </w:rPr>
              <w:t>Gross profit</w:t>
            </w:r>
          </w:p>
        </w:tc>
        <w:tc>
          <w:tcPr>
            <w:tcW w:type="dxa" w:w="1037"/>
          </w:tcPr>
          <w:p>
            <w:pPr>
              <w:spacing w:after="20"/>
              <w:jc w:val="right"/>
            </w:pPr>
            <w:r>
              <w:rPr>
                <w:color w:val="1C3A36"/>
                <w:sz w:val="16"/>
              </w:rPr>
              <w:t>1,283</w:t>
            </w:r>
          </w:p>
        </w:tc>
        <w:tc>
          <w:tcPr>
            <w:tcW w:type="dxa" w:w="1037"/>
          </w:tcPr>
          <w:p>
            <w:pPr>
              <w:spacing w:after="20"/>
              <w:jc w:val="right"/>
            </w:pPr>
            <w:r>
              <w:rPr>
                <w:color w:val="1C3A36"/>
                <w:sz w:val="16"/>
              </w:rPr>
              <w:t>2,087</w:t>
            </w:r>
          </w:p>
        </w:tc>
        <w:tc>
          <w:tcPr>
            <w:tcW w:type="dxa" w:w="1037"/>
          </w:tcPr>
          <w:p>
            <w:pPr>
              <w:spacing w:after="20"/>
              <w:jc w:val="right"/>
            </w:pPr>
            <w:r>
              <w:rPr>
                <w:color w:val="1C3A36"/>
                <w:sz w:val="16"/>
              </w:rPr>
              <w:t>5,058</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r>
      <w:tr>
        <w:tc>
          <w:tcPr>
            <w:tcW w:type="dxa" w:w="2189"/>
          </w:tcPr>
          <w:p>
            <w:pPr>
              <w:spacing w:after="20"/>
            </w:pPr>
            <w:r>
              <w:rPr>
                <w:color w:val="1C3A36"/>
                <w:sz w:val="16"/>
              </w:rPr>
              <w:t>Operating profit</w:t>
            </w:r>
          </w:p>
        </w:tc>
        <w:tc>
          <w:tcPr>
            <w:tcW w:type="dxa" w:w="1037"/>
          </w:tcPr>
          <w:p>
            <w:pPr>
              <w:spacing w:after="20"/>
              <w:jc w:val="right"/>
            </w:pPr>
            <w:r>
              <w:rPr>
                <w:color w:val="1C3A36"/>
                <w:sz w:val="16"/>
              </w:rPr>
              <w:t>1,079</w:t>
            </w:r>
          </w:p>
        </w:tc>
        <w:tc>
          <w:tcPr>
            <w:tcW w:type="dxa" w:w="1037"/>
          </w:tcPr>
          <w:p>
            <w:pPr>
              <w:spacing w:after="20"/>
              <w:jc w:val="right"/>
            </w:pPr>
            <w:r>
              <w:rPr>
                <w:color w:val="1C3A36"/>
                <w:sz w:val="16"/>
              </w:rPr>
              <w:t>1,764</w:t>
            </w:r>
          </w:p>
        </w:tc>
        <w:tc>
          <w:tcPr>
            <w:tcW w:type="dxa" w:w="1037"/>
          </w:tcPr>
          <w:p>
            <w:pPr>
              <w:spacing w:after="20"/>
              <w:jc w:val="right"/>
            </w:pPr>
            <w:r>
              <w:rPr>
                <w:color w:val="1C3A36"/>
                <w:sz w:val="16"/>
              </w:rPr>
              <w:t>4,596</w:t>
            </w:r>
          </w:p>
        </w:tc>
        <w:tc>
          <w:tcPr>
            <w:tcW w:type="dxa" w:w="1037"/>
          </w:tcPr>
          <w:p>
            <w:pPr>
              <w:spacing w:after="20"/>
              <w:jc w:val="right"/>
            </w:pPr>
            <w:r>
              <w:rPr>
                <w:color w:val="1C3A36"/>
                <w:sz w:val="16"/>
              </w:rPr>
              <w:t>4,243</w:t>
            </w:r>
          </w:p>
        </w:tc>
        <w:tc>
          <w:tcPr>
            <w:tcW w:type="dxa" w:w="1037"/>
          </w:tcPr>
          <w:p>
            <w:pPr>
              <w:spacing w:after="20"/>
              <w:jc w:val="right"/>
            </w:pPr>
            <w:r>
              <w:rPr>
                <w:color w:val="1C3A36"/>
                <w:sz w:val="16"/>
              </w:rPr>
              <w:t>4,084</w:t>
            </w:r>
          </w:p>
        </w:tc>
        <w:tc>
          <w:tcPr>
            <w:tcW w:type="dxa" w:w="1037"/>
          </w:tcPr>
          <w:p>
            <w:pPr>
              <w:spacing w:after="20"/>
              <w:jc w:val="right"/>
            </w:pPr>
            <w:r>
              <w:rPr>
                <w:color w:val="1C3A36"/>
                <w:sz w:val="16"/>
              </w:rPr>
              <w:t>3,895</w:t>
            </w:r>
          </w:p>
        </w:tc>
        <w:tc>
          <w:tcPr>
            <w:tcW w:type="dxa" w:w="1037"/>
          </w:tcPr>
          <w:p>
            <w:pPr>
              <w:spacing w:after="20"/>
              <w:jc w:val="right"/>
            </w:pPr>
            <w:r>
              <w:rPr>
                <w:color w:val="1C3A36"/>
                <w:sz w:val="16"/>
              </w:rPr>
              <w:t>3,696</w:t>
            </w:r>
          </w:p>
        </w:tc>
        <w:tc>
          <w:tcPr>
            <w:tcW w:type="dxa" w:w="1037"/>
          </w:tcPr>
          <w:p>
            <w:pPr>
              <w:spacing w:after="20"/>
              <w:jc w:val="right"/>
            </w:pPr>
            <w:r>
              <w:rPr>
                <w:color w:val="1C3A36"/>
                <w:sz w:val="16"/>
              </w:rPr>
              <w:t>3,526</w:t>
            </w:r>
          </w:p>
        </w:tc>
      </w:tr>
      <w:tr>
        <w:tc>
          <w:tcPr>
            <w:tcW w:type="dxa" w:w="2189"/>
          </w:tcPr>
          <w:p>
            <w:pPr>
              <w:spacing w:after="20"/>
            </w:pPr>
            <w:r>
              <w:rPr>
                <w:color w:val="1C3A36"/>
                <w:sz w:val="16"/>
              </w:rPr>
              <w:t>Depreciation and amortisation</w:t>
            </w:r>
          </w:p>
        </w:tc>
        <w:tc>
          <w:tcPr>
            <w:tcW w:type="dxa" w:w="1037"/>
          </w:tcPr>
          <w:p>
            <w:pPr>
              <w:spacing w:after="20"/>
              <w:jc w:val="right"/>
            </w:pPr>
            <w:r>
              <w:rPr>
                <w:color w:val="1C3A36"/>
                <w:sz w:val="16"/>
              </w:rPr>
              <w:t>250</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290</w:t>
            </w:r>
          </w:p>
        </w:tc>
        <w:tc>
          <w:tcPr>
            <w:tcW w:type="dxa" w:w="1037"/>
          </w:tcPr>
          <w:p>
            <w:pPr>
              <w:spacing w:after="20"/>
              <w:jc w:val="right"/>
            </w:pPr>
            <w:r>
              <w:rPr>
                <w:color w:val="1C3A36"/>
                <w:sz w:val="16"/>
              </w:rPr>
              <w:t>333</w:t>
            </w:r>
          </w:p>
        </w:tc>
        <w:tc>
          <w:tcPr>
            <w:tcW w:type="dxa" w:w="1037"/>
          </w:tcPr>
          <w:p>
            <w:pPr>
              <w:spacing w:after="20"/>
              <w:jc w:val="right"/>
            </w:pPr>
            <w:r>
              <w:rPr>
                <w:color w:val="1C3A36"/>
                <w:sz w:val="16"/>
              </w:rPr>
              <w:t>384</w:t>
            </w:r>
          </w:p>
        </w:tc>
        <w:tc>
          <w:tcPr>
            <w:tcW w:type="dxa" w:w="1037"/>
          </w:tcPr>
          <w:p>
            <w:pPr>
              <w:spacing w:after="20"/>
              <w:jc w:val="right"/>
            </w:pPr>
            <w:r>
              <w:rPr>
                <w:color w:val="1C3A36"/>
                <w:sz w:val="16"/>
              </w:rPr>
              <w:t>438</w:t>
            </w:r>
          </w:p>
        </w:tc>
        <w:tc>
          <w:tcPr>
            <w:tcW w:type="dxa" w:w="1037"/>
          </w:tcPr>
          <w:p>
            <w:pPr>
              <w:spacing w:after="20"/>
              <w:jc w:val="right"/>
            </w:pPr>
            <w:r>
              <w:rPr>
                <w:color w:val="1C3A36"/>
                <w:sz w:val="16"/>
              </w:rPr>
              <w:t>492</w:t>
            </w:r>
          </w:p>
        </w:tc>
        <w:tc>
          <w:tcPr>
            <w:tcW w:type="dxa" w:w="1037"/>
          </w:tcPr>
          <w:p>
            <w:pPr>
              <w:spacing w:after="20"/>
              <w:jc w:val="right"/>
            </w:pPr>
            <w:r>
              <w:rPr>
                <w:color w:val="1C3A36"/>
                <w:sz w:val="16"/>
              </w:rPr>
              <w:t>549</w:t>
            </w:r>
          </w:p>
        </w:tc>
      </w:tr>
      <w:tr>
        <w:tc>
          <w:tcPr>
            <w:tcW w:type="dxa" w:w="2189"/>
          </w:tcPr>
          <w:p>
            <w:pPr>
              <w:spacing w:after="20"/>
            </w:pPr>
            <w:r>
              <w:rPr>
                <w:color w:val="1C3A36"/>
                <w:sz w:val="16"/>
              </w:rPr>
              <w:t>EBITDA</w:t>
            </w:r>
          </w:p>
        </w:tc>
        <w:tc>
          <w:tcPr>
            <w:tcW w:type="dxa" w:w="1037"/>
          </w:tcPr>
          <w:p>
            <w:pPr>
              <w:spacing w:after="20"/>
              <w:jc w:val="right"/>
            </w:pPr>
            <w:r>
              <w:rPr>
                <w:color w:val="1C3A36"/>
                <w:sz w:val="16"/>
              </w:rPr>
              <w:t>1,330</w:t>
            </w:r>
          </w:p>
        </w:tc>
        <w:tc>
          <w:tcPr>
            <w:tcW w:type="dxa" w:w="1037"/>
          </w:tcPr>
          <w:p>
            <w:pPr>
              <w:spacing w:after="20"/>
              <w:jc w:val="right"/>
            </w:pPr>
            <w:r>
              <w:rPr>
                <w:color w:val="1C3A36"/>
                <w:sz w:val="16"/>
              </w:rPr>
              <w:t>2,021</w:t>
            </w:r>
          </w:p>
        </w:tc>
        <w:tc>
          <w:tcPr>
            <w:tcW w:type="dxa" w:w="1037"/>
          </w:tcPr>
          <w:p>
            <w:pPr>
              <w:spacing w:after="20"/>
              <w:jc w:val="right"/>
            </w:pPr>
            <w:r>
              <w:rPr>
                <w:color w:val="1C3A36"/>
                <w:sz w:val="16"/>
              </w:rPr>
              <w:t>4,886</w:t>
            </w:r>
          </w:p>
        </w:tc>
        <w:tc>
          <w:tcPr>
            <w:tcW w:type="dxa" w:w="1037"/>
          </w:tcPr>
          <w:p>
            <w:pPr>
              <w:spacing w:after="20"/>
              <w:jc w:val="right"/>
            </w:pPr>
            <w:r>
              <w:rPr>
                <w:color w:val="1C3A36"/>
                <w:sz w:val="16"/>
              </w:rPr>
              <w:t>4,576</w:t>
            </w:r>
          </w:p>
        </w:tc>
        <w:tc>
          <w:tcPr>
            <w:tcW w:type="dxa" w:w="1037"/>
          </w:tcPr>
          <w:p>
            <w:pPr>
              <w:spacing w:after="20"/>
              <w:jc w:val="right"/>
            </w:pPr>
            <w:r>
              <w:rPr>
                <w:color w:val="1C3A36"/>
                <w:sz w:val="16"/>
              </w:rPr>
              <w:t>4,468</w:t>
            </w:r>
          </w:p>
        </w:tc>
        <w:tc>
          <w:tcPr>
            <w:tcW w:type="dxa" w:w="1037"/>
          </w:tcPr>
          <w:p>
            <w:pPr>
              <w:spacing w:after="20"/>
              <w:jc w:val="right"/>
            </w:pPr>
            <w:r>
              <w:rPr>
                <w:color w:val="1C3A36"/>
                <w:sz w:val="16"/>
              </w:rPr>
              <w:t>4,333</w:t>
            </w:r>
          </w:p>
        </w:tc>
        <w:tc>
          <w:tcPr>
            <w:tcW w:type="dxa" w:w="1037"/>
          </w:tcPr>
          <w:p>
            <w:pPr>
              <w:spacing w:after="20"/>
              <w:jc w:val="right"/>
            </w:pPr>
            <w:r>
              <w:rPr>
                <w:color w:val="1C3A36"/>
                <w:sz w:val="16"/>
              </w:rPr>
              <w:t>4,188</w:t>
            </w:r>
          </w:p>
        </w:tc>
        <w:tc>
          <w:tcPr>
            <w:tcW w:type="dxa" w:w="1037"/>
          </w:tcPr>
          <w:p>
            <w:pPr>
              <w:spacing w:after="20"/>
              <w:jc w:val="right"/>
            </w:pPr>
            <w:r>
              <w:rPr>
                <w:color w:val="1C3A36"/>
                <w:sz w:val="16"/>
              </w:rPr>
              <w:t>4,075</w:t>
            </w:r>
          </w:p>
        </w:tc>
      </w:tr>
      <w:tr>
        <w:tc>
          <w:tcPr>
            <w:tcW w:type="dxa" w:w="2189"/>
          </w:tcPr>
          <w:p>
            <w:pPr>
              <w:spacing w:after="20"/>
            </w:pPr>
            <w:r>
              <w:rPr>
                <w:color w:val="1C3A36"/>
                <w:sz w:val="16"/>
              </w:rPr>
              <w:t>EBITDA margin</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23.1%</w:t>
            </w:r>
          </w:p>
        </w:tc>
        <w:tc>
          <w:tcPr>
            <w:tcW w:type="dxa" w:w="1037"/>
          </w:tcPr>
          <w:p>
            <w:pPr>
              <w:spacing w:after="20"/>
              <w:jc w:val="right"/>
            </w:pPr>
            <w:r>
              <w:rPr>
                <w:color w:val="1C3A36"/>
                <w:sz w:val="16"/>
              </w:rPr>
              <w:t>39.3%</w:t>
            </w:r>
          </w:p>
        </w:tc>
        <w:tc>
          <w:tcPr>
            <w:tcW w:type="dxa" w:w="1037"/>
          </w:tcPr>
          <w:p>
            <w:pPr>
              <w:spacing w:after="20"/>
              <w:jc w:val="right"/>
            </w:pPr>
            <w:r>
              <w:rPr>
                <w:color w:val="1C3A36"/>
                <w:sz w:val="16"/>
              </w:rPr>
              <w:t>34.4%</w:t>
            </w:r>
          </w:p>
        </w:tc>
        <w:tc>
          <w:tcPr>
            <w:tcW w:type="dxa" w:w="1037"/>
          </w:tcPr>
          <w:p>
            <w:pPr>
              <w:spacing w:after="20"/>
              <w:jc w:val="right"/>
            </w:pPr>
            <w:r>
              <w:rPr>
                <w:color w:val="1C3A36"/>
                <w:sz w:val="16"/>
              </w:rPr>
              <w:t>31.4%</w:t>
            </w:r>
          </w:p>
        </w:tc>
        <w:tc>
          <w:tcPr>
            <w:tcW w:type="dxa" w:w="1037"/>
          </w:tcPr>
          <w:p>
            <w:pPr>
              <w:spacing w:after="20"/>
              <w:jc w:val="right"/>
            </w:pPr>
            <w:r>
              <w:rPr>
                <w:color w:val="1C3A36"/>
                <w:sz w:val="16"/>
              </w:rPr>
              <w:t>28.7%</w:t>
            </w:r>
          </w:p>
        </w:tc>
        <w:tc>
          <w:tcPr>
            <w:tcW w:type="dxa" w:w="1037"/>
          </w:tcPr>
          <w:p>
            <w:pPr>
              <w:spacing w:after="20"/>
              <w:jc w:val="right"/>
            </w:pPr>
            <w:r>
              <w:rPr>
                <w:color w:val="1C3A36"/>
                <w:sz w:val="16"/>
              </w:rPr>
              <w:t>26.4%</w:t>
            </w:r>
          </w:p>
        </w:tc>
        <w:tc>
          <w:tcPr>
            <w:tcW w:type="dxa" w:w="1037"/>
          </w:tcPr>
          <w:p>
            <w:pPr>
              <w:spacing w:after="20"/>
              <w:jc w:val="right"/>
            </w:pPr>
            <w:r>
              <w:rPr>
                <w:color w:val="1C3A36"/>
                <w:sz w:val="16"/>
              </w:rPr>
              <w:t>24.5%</w:t>
            </w:r>
          </w:p>
        </w:tc>
      </w:tr>
      <w:tr>
        <w:tc>
          <w:tcPr>
            <w:tcW w:type="dxa" w:w="2189"/>
          </w:tcPr>
          <w:p>
            <w:pPr>
              <w:spacing w:after="20"/>
            </w:pPr>
            <w:r>
              <w:rPr>
                <w:color w:val="1C3A36"/>
                <w:sz w:val="16"/>
              </w:rPr>
              <w:t>Net finance and other income</w:t>
            </w:r>
          </w:p>
        </w:tc>
        <w:tc>
          <w:tcPr>
            <w:tcW w:type="dxa" w:w="1037"/>
          </w:tcPr>
          <w:p>
            <w:pPr>
              <w:spacing w:after="20"/>
              <w:jc w:val="right"/>
            </w:pPr>
            <w:r>
              <w:rPr>
                <w:color w:val="1C3A36"/>
                <w:sz w:val="16"/>
              </w:rPr>
              <w:t>-149</w:t>
            </w:r>
          </w:p>
        </w:tc>
        <w:tc>
          <w:tcPr>
            <w:tcW w:type="dxa" w:w="1037"/>
          </w:tcPr>
          <w:p>
            <w:pPr>
              <w:spacing w:after="20"/>
              <w:jc w:val="right"/>
            </w:pPr>
            <w:r>
              <w:rPr>
                <w:color w:val="1C3A36"/>
                <w:sz w:val="16"/>
              </w:rPr>
              <w:t>-258</w:t>
            </w:r>
          </w:p>
        </w:tc>
        <w:tc>
          <w:tcPr>
            <w:tcW w:type="dxa" w:w="1037"/>
          </w:tcPr>
          <w:p>
            <w:pPr>
              <w:spacing w:after="20"/>
              <w:jc w:val="right"/>
            </w:pPr>
            <w:r>
              <w:rPr>
                <w:color w:val="1C3A36"/>
                <w:sz w:val="16"/>
              </w:rPr>
              <w:t>129</w:t>
            </w:r>
          </w:p>
        </w:tc>
        <w:tc>
          <w:tcPr>
            <w:tcW w:type="dxa" w:w="1037"/>
          </w:tcPr>
          <w:p>
            <w:pPr>
              <w:spacing w:after="20"/>
              <w:jc w:val="right"/>
            </w:pPr>
            <w:r>
              <w:rPr>
                <w:color w:val="1C3A36"/>
                <w:sz w:val="16"/>
              </w:rPr>
              <w:t>131</w:t>
            </w:r>
          </w:p>
        </w:tc>
        <w:tc>
          <w:tcPr>
            <w:tcW w:type="dxa" w:w="1037"/>
          </w:tcPr>
          <w:p>
            <w:pPr>
              <w:spacing w:after="20"/>
              <w:jc w:val="right"/>
            </w:pPr>
            <w:r>
              <w:rPr>
                <w:color w:val="1C3A36"/>
                <w:sz w:val="16"/>
              </w:rPr>
              <w:t>195</w:t>
            </w:r>
          </w:p>
        </w:tc>
        <w:tc>
          <w:tcPr>
            <w:tcW w:type="dxa" w:w="1037"/>
          </w:tcPr>
          <w:p>
            <w:pPr>
              <w:spacing w:after="20"/>
              <w:jc w:val="right"/>
            </w:pPr>
            <w:r>
              <w:rPr>
                <w:color w:val="1C3A36"/>
                <w:sz w:val="16"/>
              </w:rPr>
              <w:t>255</w:t>
            </w:r>
          </w:p>
        </w:tc>
        <w:tc>
          <w:tcPr>
            <w:tcW w:type="dxa" w:w="1037"/>
          </w:tcPr>
          <w:p>
            <w:pPr>
              <w:spacing w:after="20"/>
              <w:jc w:val="right"/>
            </w:pPr>
            <w:r>
              <w:rPr>
                <w:color w:val="1C3A36"/>
                <w:sz w:val="16"/>
              </w:rPr>
              <w:t>303</w:t>
            </w:r>
          </w:p>
        </w:tc>
        <w:tc>
          <w:tcPr>
            <w:tcW w:type="dxa" w:w="1037"/>
          </w:tcPr>
          <w:p>
            <w:pPr>
              <w:spacing w:after="20"/>
              <w:jc w:val="right"/>
            </w:pPr>
            <w:r>
              <w:rPr>
                <w:color w:val="1C3A36"/>
                <w:sz w:val="16"/>
              </w:rPr>
              <w:t>353</w:t>
            </w:r>
          </w:p>
        </w:tc>
      </w:tr>
      <w:tr>
        <w:tc>
          <w:tcPr>
            <w:tcW w:type="dxa" w:w="2189"/>
          </w:tcPr>
          <w:p>
            <w:pPr>
              <w:spacing w:after="20"/>
            </w:pPr>
            <w:r>
              <w:rPr>
                <w:color w:val="1C3A36"/>
                <w:sz w:val="16"/>
              </w:rPr>
              <w:t>Profit before tax</w:t>
            </w:r>
          </w:p>
        </w:tc>
        <w:tc>
          <w:tcPr>
            <w:tcW w:type="dxa" w:w="1037"/>
          </w:tcPr>
          <w:p>
            <w:pPr>
              <w:spacing w:after="20"/>
              <w:jc w:val="right"/>
            </w:pPr>
            <w:r>
              <w:rPr>
                <w:color w:val="1C3A36"/>
                <w:sz w:val="16"/>
              </w:rPr>
              <w:t>930</w:t>
            </w:r>
          </w:p>
        </w:tc>
        <w:tc>
          <w:tcPr>
            <w:tcW w:type="dxa" w:w="1037"/>
          </w:tcPr>
          <w:p>
            <w:pPr>
              <w:spacing w:after="20"/>
              <w:jc w:val="right"/>
            </w:pPr>
            <w:r>
              <w:rPr>
                <w:color w:val="1C3A36"/>
                <w:sz w:val="16"/>
              </w:rPr>
              <w:t>1,506</w:t>
            </w:r>
          </w:p>
        </w:tc>
        <w:tc>
          <w:tcPr>
            <w:tcW w:type="dxa" w:w="1037"/>
          </w:tcPr>
          <w:p>
            <w:pPr>
              <w:spacing w:after="20"/>
              <w:jc w:val="right"/>
            </w:pPr>
            <w:r>
              <w:rPr>
                <w:color w:val="1C3A36"/>
                <w:sz w:val="16"/>
              </w:rPr>
              <w:t>4,725</w:t>
            </w:r>
          </w:p>
        </w:tc>
        <w:tc>
          <w:tcPr>
            <w:tcW w:type="dxa" w:w="1037"/>
          </w:tcPr>
          <w:p>
            <w:pPr>
              <w:spacing w:after="20"/>
              <w:jc w:val="right"/>
            </w:pPr>
            <w:r>
              <w:rPr>
                <w:color w:val="1C3A36"/>
                <w:sz w:val="16"/>
              </w:rPr>
              <w:t>4,374</w:t>
            </w:r>
          </w:p>
        </w:tc>
        <w:tc>
          <w:tcPr>
            <w:tcW w:type="dxa" w:w="1037"/>
          </w:tcPr>
          <w:p>
            <w:pPr>
              <w:spacing w:after="20"/>
              <w:jc w:val="right"/>
            </w:pPr>
            <w:r>
              <w:rPr>
                <w:color w:val="1C3A36"/>
                <w:sz w:val="16"/>
              </w:rPr>
              <w:t>4,279</w:t>
            </w:r>
          </w:p>
        </w:tc>
        <w:tc>
          <w:tcPr>
            <w:tcW w:type="dxa" w:w="1037"/>
          </w:tcPr>
          <w:p>
            <w:pPr>
              <w:spacing w:after="20"/>
              <w:jc w:val="right"/>
            </w:pPr>
            <w:r>
              <w:rPr>
                <w:color w:val="1C3A36"/>
                <w:sz w:val="16"/>
              </w:rPr>
              <w:t>4,150</w:t>
            </w:r>
          </w:p>
        </w:tc>
        <w:tc>
          <w:tcPr>
            <w:tcW w:type="dxa" w:w="1037"/>
          </w:tcPr>
          <w:p>
            <w:pPr>
              <w:spacing w:after="20"/>
              <w:jc w:val="right"/>
            </w:pPr>
            <w:r>
              <w:rPr>
                <w:color w:val="1C3A36"/>
                <w:sz w:val="16"/>
              </w:rPr>
              <w:t>3,999</w:t>
            </w:r>
          </w:p>
        </w:tc>
        <w:tc>
          <w:tcPr>
            <w:tcW w:type="dxa" w:w="1037"/>
          </w:tcPr>
          <w:p>
            <w:pPr>
              <w:spacing w:after="20"/>
              <w:jc w:val="right"/>
            </w:pPr>
            <w:r>
              <w:rPr>
                <w:color w:val="1C3A36"/>
                <w:sz w:val="16"/>
              </w:rPr>
              <w:t>3,879</w:t>
            </w:r>
          </w:p>
        </w:tc>
      </w:tr>
      <w:tr>
        <w:tc>
          <w:tcPr>
            <w:tcW w:type="dxa" w:w="2189"/>
          </w:tcPr>
          <w:p>
            <w:pPr>
              <w:spacing w:after="20"/>
            </w:pPr>
            <w:r>
              <w:rPr>
                <w:color w:val="1C3A36"/>
                <w:sz w:val="16"/>
              </w:rPr>
              <w:t>Income tax</w:t>
            </w:r>
          </w:p>
        </w:tc>
        <w:tc>
          <w:tcPr>
            <w:tcW w:type="dxa" w:w="1037"/>
          </w:tcPr>
          <w:p>
            <w:pPr>
              <w:spacing w:after="20"/>
              <w:jc w:val="right"/>
            </w:pPr>
            <w:r>
              <w:rPr>
                <w:color w:val="1C3A36"/>
                <w:sz w:val="16"/>
              </w:rPr>
              <w:t>(233)</w:t>
            </w:r>
          </w:p>
        </w:tc>
        <w:tc>
          <w:tcPr>
            <w:tcW w:type="dxa" w:w="1037"/>
          </w:tcPr>
          <w:p>
            <w:pPr>
              <w:spacing w:after="20"/>
              <w:jc w:val="right"/>
            </w:pPr>
            <w:r>
              <w:rPr>
                <w:color w:val="1C3A36"/>
                <w:sz w:val="16"/>
              </w:rPr>
              <w:t>(346)</w:t>
            </w:r>
          </w:p>
        </w:tc>
        <w:tc>
          <w:tcPr>
            <w:tcW w:type="dxa" w:w="1037"/>
          </w:tcPr>
          <w:p>
            <w:pPr>
              <w:spacing w:after="20"/>
              <w:jc w:val="right"/>
            </w:pPr>
            <w:r>
              <w:rPr>
                <w:color w:val="1C3A36"/>
                <w:sz w:val="16"/>
              </w:rPr>
              <w:t>(1,125)</w:t>
            </w:r>
          </w:p>
        </w:tc>
        <w:tc>
          <w:tcPr>
            <w:tcW w:type="dxa" w:w="1037"/>
          </w:tcPr>
          <w:p>
            <w:pPr>
              <w:spacing w:after="20"/>
              <w:jc w:val="right"/>
            </w:pPr>
            <w:r>
              <w:rPr>
                <w:color w:val="1C3A36"/>
                <w:sz w:val="16"/>
              </w:rPr>
              <w:t>(1,042)</w:t>
            </w:r>
          </w:p>
        </w:tc>
        <w:tc>
          <w:tcPr>
            <w:tcW w:type="dxa" w:w="1037"/>
          </w:tcPr>
          <w:p>
            <w:pPr>
              <w:spacing w:after="20"/>
              <w:jc w:val="right"/>
            </w:pPr>
            <w:r>
              <w:rPr>
                <w:color w:val="1C3A36"/>
                <w:sz w:val="16"/>
              </w:rPr>
              <w:t>(1,019)</w:t>
            </w:r>
          </w:p>
        </w:tc>
        <w:tc>
          <w:tcPr>
            <w:tcW w:type="dxa" w:w="1037"/>
          </w:tcPr>
          <w:p>
            <w:pPr>
              <w:spacing w:after="20"/>
              <w:jc w:val="right"/>
            </w:pPr>
            <w:r>
              <w:rPr>
                <w:color w:val="1C3A36"/>
                <w:sz w:val="16"/>
              </w:rPr>
              <w:t>(989)</w:t>
            </w:r>
          </w:p>
        </w:tc>
        <w:tc>
          <w:tcPr>
            <w:tcW w:type="dxa" w:w="1037"/>
          </w:tcPr>
          <w:p>
            <w:pPr>
              <w:spacing w:after="20"/>
              <w:jc w:val="right"/>
            </w:pPr>
            <w:r>
              <w:rPr>
                <w:color w:val="1C3A36"/>
                <w:sz w:val="16"/>
              </w:rPr>
              <w:t>(952)</w:t>
            </w:r>
          </w:p>
        </w:tc>
        <w:tc>
          <w:tcPr>
            <w:tcW w:type="dxa" w:w="1037"/>
          </w:tcPr>
          <w:p>
            <w:pPr>
              <w:spacing w:after="20"/>
              <w:jc w:val="right"/>
            </w:pPr>
            <w:r>
              <w:rPr>
                <w:color w:val="1C3A36"/>
                <w:sz w:val="16"/>
              </w:rPr>
              <w:t>(924)</w:t>
            </w:r>
          </w:p>
        </w:tc>
      </w:tr>
      <w:tr>
        <w:tc>
          <w:tcPr>
            <w:tcW w:type="dxa" w:w="2189"/>
            <w:shd w:val="clear" w:color="auto" w:fill="F6F1E6"/>
          </w:tcPr>
          <w:p>
            <w:pPr>
              <w:spacing w:after="20"/>
            </w:pPr>
            <w:r>
              <w:rPr>
                <w:b/>
                <w:color w:val="1C3A36"/>
                <w:sz w:val="16"/>
              </w:rPr>
              <w:t>Attributable profit</w:t>
            </w:r>
          </w:p>
        </w:tc>
        <w:tc>
          <w:tcPr>
            <w:tcW w:type="dxa" w:w="1037"/>
            <w:shd w:val="clear" w:color="auto" w:fill="F6F1E6"/>
          </w:tcPr>
          <w:p>
            <w:pPr>
              <w:spacing w:after="20"/>
              <w:jc w:val="right"/>
            </w:pPr>
            <w:r>
              <w:rPr>
                <w:b/>
                <w:color w:val="1C3A36"/>
                <w:sz w:val="16"/>
              </w:rPr>
              <w:t>697</w:t>
            </w:r>
          </w:p>
        </w:tc>
        <w:tc>
          <w:tcPr>
            <w:tcW w:type="dxa" w:w="1037"/>
            <w:shd w:val="clear" w:color="auto" w:fill="F6F1E6"/>
          </w:tcPr>
          <w:p>
            <w:pPr>
              <w:spacing w:after="20"/>
              <w:jc w:val="right"/>
            </w:pPr>
            <w:r>
              <w:rPr>
                <w:b/>
                <w:color w:val="1C3A36"/>
                <w:sz w:val="16"/>
              </w:rPr>
              <w:t>1,160</w:t>
            </w:r>
          </w:p>
        </w:tc>
        <w:tc>
          <w:tcPr>
            <w:tcW w:type="dxa" w:w="1037"/>
            <w:shd w:val="clear" w:color="auto" w:fill="F6F1E6"/>
          </w:tcPr>
          <w:p>
            <w:pPr>
              <w:spacing w:after="20"/>
              <w:jc w:val="right"/>
            </w:pPr>
            <w:r>
              <w:rPr>
                <w:b/>
                <w:color w:val="1C3A36"/>
                <w:sz w:val="16"/>
              </w:rPr>
              <w:t>3,600</w:t>
            </w:r>
          </w:p>
        </w:tc>
        <w:tc>
          <w:tcPr>
            <w:tcW w:type="dxa" w:w="1037"/>
            <w:shd w:val="clear" w:color="auto" w:fill="F6F1E6"/>
          </w:tcPr>
          <w:p>
            <w:pPr>
              <w:spacing w:after="20"/>
              <w:jc w:val="right"/>
            </w:pPr>
            <w:r>
              <w:rPr>
                <w:b/>
                <w:color w:val="1C3A36"/>
                <w:sz w:val="16"/>
              </w:rPr>
              <w:t>3,332</w:t>
            </w:r>
          </w:p>
        </w:tc>
        <w:tc>
          <w:tcPr>
            <w:tcW w:type="dxa" w:w="1037"/>
            <w:shd w:val="clear" w:color="auto" w:fill="F6F1E6"/>
          </w:tcPr>
          <w:p>
            <w:pPr>
              <w:spacing w:after="20"/>
              <w:jc w:val="right"/>
            </w:pPr>
            <w:r>
              <w:rPr>
                <w:b/>
                <w:color w:val="1C3A36"/>
                <w:sz w:val="16"/>
              </w:rPr>
              <w:t>3,260</w:t>
            </w:r>
          </w:p>
        </w:tc>
        <w:tc>
          <w:tcPr>
            <w:tcW w:type="dxa" w:w="1037"/>
            <w:shd w:val="clear" w:color="auto" w:fill="F6F1E6"/>
          </w:tcPr>
          <w:p>
            <w:pPr>
              <w:spacing w:after="20"/>
              <w:jc w:val="right"/>
            </w:pPr>
            <w:r>
              <w:rPr>
                <w:b/>
                <w:color w:val="1C3A36"/>
                <w:sz w:val="16"/>
              </w:rPr>
              <w:t>3,161</w:t>
            </w:r>
          </w:p>
        </w:tc>
        <w:tc>
          <w:tcPr>
            <w:tcW w:type="dxa" w:w="1037"/>
            <w:shd w:val="clear" w:color="auto" w:fill="F6F1E6"/>
          </w:tcPr>
          <w:p>
            <w:pPr>
              <w:spacing w:after="20"/>
              <w:jc w:val="right"/>
            </w:pPr>
            <w:r>
              <w:rPr>
                <w:b/>
                <w:color w:val="1C3A36"/>
                <w:sz w:val="16"/>
              </w:rPr>
              <w:t>3,046</w:t>
            </w:r>
          </w:p>
        </w:tc>
        <w:tc>
          <w:tcPr>
            <w:tcW w:type="dxa" w:w="1037"/>
            <w:shd w:val="clear" w:color="auto" w:fill="F6F1E6"/>
          </w:tcPr>
          <w:p>
            <w:pPr>
              <w:spacing w:after="20"/>
              <w:jc w:val="right"/>
            </w:pPr>
            <w:r>
              <w:rPr>
                <w:b/>
                <w:color w:val="1C3A36"/>
                <w:sz w:val="16"/>
              </w:rPr>
              <w:t>2,955</w:t>
            </w:r>
          </w:p>
        </w:tc>
      </w:tr>
      <w:tr>
        <w:tc>
          <w:tcPr>
            <w:tcW w:type="dxa" w:w="2189"/>
          </w:tcPr>
          <w:p>
            <w:pPr>
              <w:spacing w:after="20"/>
            </w:pPr>
            <w:r>
              <w:rPr>
                <w:color w:val="1C3A36"/>
                <w:sz w:val="16"/>
              </w:rPr>
              <w:t>Earnings per share (EGP)</w:t>
            </w:r>
          </w:p>
        </w:tc>
        <w:tc>
          <w:tcPr>
            <w:tcW w:type="dxa" w:w="1037"/>
          </w:tcPr>
          <w:p>
            <w:pPr>
              <w:spacing w:after="20"/>
              <w:jc w:val="right"/>
            </w:pPr>
            <w:r>
              <w:rPr>
                <w:color w:val="1C3A36"/>
                <w:sz w:val="16"/>
              </w:rPr>
              <w:t>1.81</w:t>
            </w:r>
          </w:p>
        </w:tc>
        <w:tc>
          <w:tcPr>
            <w:tcW w:type="dxa" w:w="1037"/>
          </w:tcPr>
          <w:p>
            <w:pPr>
              <w:spacing w:after="20"/>
              <w:jc w:val="right"/>
            </w:pPr>
            <w:r>
              <w:rPr>
                <w:color w:val="1C3A36"/>
                <w:sz w:val="16"/>
              </w:rPr>
              <w:t>3.02</w:t>
            </w:r>
          </w:p>
        </w:tc>
        <w:tc>
          <w:tcPr>
            <w:tcW w:type="dxa" w:w="1037"/>
          </w:tcPr>
          <w:p>
            <w:pPr>
              <w:spacing w:after="20"/>
              <w:jc w:val="right"/>
            </w:pPr>
            <w:r>
              <w:rPr>
                <w:color w:val="1C3A36"/>
                <w:sz w:val="16"/>
              </w:rPr>
              <w:t>9.49</w:t>
            </w:r>
          </w:p>
        </w:tc>
        <w:tc>
          <w:tcPr>
            <w:tcW w:type="dxa" w:w="1037"/>
          </w:tcPr>
          <w:p>
            <w:pPr>
              <w:spacing w:after="20"/>
              <w:jc w:val="right"/>
            </w:pPr>
            <w:r>
              <w:rPr>
                <w:color w:val="1C3A36"/>
                <w:sz w:val="16"/>
              </w:rPr>
              <w:t>8.89</w:t>
            </w:r>
          </w:p>
        </w:tc>
        <w:tc>
          <w:tcPr>
            <w:tcW w:type="dxa" w:w="1037"/>
          </w:tcPr>
          <w:p>
            <w:pPr>
              <w:spacing w:after="20"/>
              <w:jc w:val="right"/>
            </w:pPr>
            <w:r>
              <w:rPr>
                <w:color w:val="1C3A36"/>
                <w:sz w:val="16"/>
              </w:rPr>
              <w:t>8.70</w:t>
            </w:r>
          </w:p>
        </w:tc>
        <w:tc>
          <w:tcPr>
            <w:tcW w:type="dxa" w:w="1037"/>
          </w:tcPr>
          <w:p>
            <w:pPr>
              <w:spacing w:after="20"/>
              <w:jc w:val="right"/>
            </w:pPr>
            <w:r>
              <w:rPr>
                <w:color w:val="1C3A36"/>
                <w:sz w:val="16"/>
              </w:rPr>
              <w:t>8.43</w:t>
            </w:r>
          </w:p>
        </w:tc>
        <w:tc>
          <w:tcPr>
            <w:tcW w:type="dxa" w:w="1037"/>
          </w:tcPr>
          <w:p>
            <w:pPr>
              <w:spacing w:after="20"/>
              <w:jc w:val="right"/>
            </w:pPr>
            <w:r>
              <w:rPr>
                <w:color w:val="1C3A36"/>
                <w:sz w:val="16"/>
              </w:rPr>
              <w:t>8.13</w:t>
            </w:r>
          </w:p>
        </w:tc>
        <w:tc>
          <w:tcPr>
            <w:tcW w:type="dxa" w:w="1037"/>
          </w:tcPr>
          <w:p>
            <w:pPr>
              <w:spacing w:after="20"/>
              <w:jc w:val="right"/>
            </w:pPr>
            <w:r>
              <w:rPr>
                <w:color w:val="1C3A36"/>
                <w:sz w:val="16"/>
              </w:rPr>
              <w:t>7.88</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89"/>
        <w:gridCol w:w="1037"/>
        <w:gridCol w:w="1037"/>
        <w:gridCol w:w="1037"/>
        <w:gridCol w:w="1037"/>
        <w:gridCol w:w="1037"/>
        <w:gridCol w:w="1037"/>
        <w:gridCol w:w="1037"/>
        <w:gridCol w:w="1037"/>
      </w:tblGrid>
      <w:tr>
        <w:tc>
          <w:tcPr>
            <w:tcW w:type="dxa" w:w="2189"/>
            <w:shd w:val="clear" w:color="auto" w:fill="EAF0EE"/>
          </w:tcPr>
          <w:p>
            <w:pPr>
              <w:spacing w:after="20"/>
            </w:pPr>
            <w:r>
              <w:rPr>
                <w:b/>
                <w:color w:val="1C3A36"/>
                <w:sz w:val="16"/>
              </w:rPr>
              <w:t>EGP mn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189"/>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3,888</w:t>
            </w:r>
          </w:p>
        </w:tc>
        <w:tc>
          <w:tcPr>
            <w:tcW w:type="dxa" w:w="1037"/>
            <w:shd w:val="clear" w:color="auto" w:fill="F6F1E6"/>
          </w:tcPr>
          <w:p>
            <w:pPr>
              <w:spacing w:after="20"/>
              <w:jc w:val="right"/>
            </w:pPr>
            <w:r>
              <w:rPr>
                <w:b/>
                <w:color w:val="1C3A36"/>
                <w:sz w:val="16"/>
              </w:rPr>
              <w:t>5,849</w:t>
            </w:r>
          </w:p>
        </w:tc>
        <w:tc>
          <w:tcPr>
            <w:tcW w:type="dxa" w:w="1037"/>
            <w:shd w:val="clear" w:color="auto" w:fill="F6F1E6"/>
          </w:tcPr>
          <w:p>
            <w:pPr>
              <w:spacing w:after="20"/>
              <w:jc w:val="right"/>
            </w:pPr>
            <w:r>
              <w:rPr>
                <w:b/>
                <w:color w:val="1C3A36"/>
                <w:sz w:val="16"/>
              </w:rPr>
              <w:t>8,784</w:t>
            </w:r>
          </w:p>
        </w:tc>
        <w:tc>
          <w:tcPr>
            <w:tcW w:type="dxa" w:w="1037"/>
            <w:shd w:val="clear" w:color="auto" w:fill="F6F1E6"/>
          </w:tcPr>
          <w:p>
            <w:pPr>
              <w:spacing w:after="20"/>
              <w:jc w:val="right"/>
            </w:pPr>
            <w:r>
              <w:rPr>
                <w:b/>
                <w:color w:val="1C3A36"/>
                <w:sz w:val="16"/>
              </w:rPr>
              <w:t>8,261</w:t>
            </w:r>
          </w:p>
        </w:tc>
        <w:tc>
          <w:tcPr>
            <w:tcW w:type="dxa" w:w="1037"/>
            <w:shd w:val="clear" w:color="auto" w:fill="F6F1E6"/>
          </w:tcPr>
          <w:p>
            <w:pPr>
              <w:spacing w:after="20"/>
              <w:jc w:val="right"/>
            </w:pPr>
            <w:r>
              <w:rPr>
                <w:b/>
                <w:color w:val="1C3A36"/>
                <w:sz w:val="16"/>
              </w:rPr>
              <w:t>9,708</w:t>
            </w:r>
          </w:p>
        </w:tc>
        <w:tc>
          <w:tcPr>
            <w:tcW w:type="dxa" w:w="1037"/>
            <w:shd w:val="clear" w:color="auto" w:fill="F6F1E6"/>
          </w:tcPr>
          <w:p>
            <w:pPr>
              <w:spacing w:after="20"/>
              <w:jc w:val="right"/>
            </w:pPr>
            <w:r>
              <w:rPr>
                <w:b/>
                <w:color w:val="1C3A36"/>
                <w:sz w:val="16"/>
              </w:rPr>
              <w:t>11,112</w:t>
            </w:r>
          </w:p>
        </w:tc>
        <w:tc>
          <w:tcPr>
            <w:tcW w:type="dxa" w:w="1037"/>
            <w:shd w:val="clear" w:color="auto" w:fill="F6F1E6"/>
          </w:tcPr>
          <w:p>
            <w:pPr>
              <w:spacing w:after="20"/>
              <w:jc w:val="right"/>
            </w:pPr>
            <w:r>
              <w:rPr>
                <w:b/>
                <w:color w:val="1C3A36"/>
                <w:sz w:val="16"/>
              </w:rPr>
              <w:t>12,464</w:t>
            </w:r>
          </w:p>
        </w:tc>
        <w:tc>
          <w:tcPr>
            <w:tcW w:type="dxa" w:w="1037"/>
            <w:shd w:val="clear" w:color="auto" w:fill="F6F1E6"/>
          </w:tcPr>
          <w:p>
            <w:pPr>
              <w:spacing w:after="20"/>
              <w:jc w:val="right"/>
            </w:pPr>
            <w:r>
              <w:rPr>
                <w:b/>
                <w:color w:val="1C3A36"/>
                <w:sz w:val="16"/>
              </w:rPr>
              <w:t>13,776</w:t>
            </w:r>
          </w:p>
        </w:tc>
      </w:tr>
      <w:tr>
        <w:tc>
          <w:tcPr>
            <w:tcW w:type="dxa" w:w="2189"/>
          </w:tcPr>
          <w:p>
            <w:pPr>
              <w:spacing w:after="20"/>
            </w:pPr>
            <w:r>
              <w:rPr>
                <w:color w:val="1C3A36"/>
                <w:sz w:val="16"/>
              </w:rPr>
              <w:t>Cash and bank balances</w:t>
            </w:r>
          </w:p>
        </w:tc>
        <w:tc>
          <w:tcPr>
            <w:tcW w:type="dxa" w:w="1037"/>
          </w:tcPr>
          <w:p>
            <w:pPr>
              <w:spacing w:after="20"/>
              <w:jc w:val="right"/>
            </w:pPr>
            <w:r>
              <w:rPr>
                <w:color w:val="1C3A36"/>
                <w:sz w:val="16"/>
              </w:rPr>
              <w:t>561</w:t>
            </w:r>
          </w:p>
        </w:tc>
        <w:tc>
          <w:tcPr>
            <w:tcW w:type="dxa" w:w="1037"/>
          </w:tcPr>
          <w:p>
            <w:pPr>
              <w:spacing w:after="20"/>
              <w:jc w:val="right"/>
            </w:pPr>
            <w:r>
              <w:rPr>
                <w:color w:val="1C3A36"/>
                <w:sz w:val="16"/>
              </w:rPr>
              <w:t>1,687</w:t>
            </w:r>
          </w:p>
        </w:tc>
        <w:tc>
          <w:tcPr>
            <w:tcW w:type="dxa" w:w="1037"/>
          </w:tcPr>
          <w:p>
            <w:pPr>
              <w:spacing w:after="20"/>
              <w:jc w:val="right"/>
            </w:pPr>
            <w:r>
              <w:rPr>
                <w:color w:val="1C3A36"/>
                <w:sz w:val="16"/>
              </w:rPr>
              <w:t>3,459</w:t>
            </w:r>
          </w:p>
        </w:tc>
        <w:tc>
          <w:tcPr>
            <w:tcW w:type="dxa" w:w="1037"/>
          </w:tcPr>
          <w:p>
            <w:pPr>
              <w:spacing w:after="20"/>
              <w:jc w:val="right"/>
            </w:pPr>
            <w:r>
              <w:rPr>
                <w:color w:val="1C3A36"/>
                <w:sz w:val="16"/>
              </w:rPr>
              <w:t>2,155</w:t>
            </w:r>
          </w:p>
        </w:tc>
        <w:tc>
          <w:tcPr>
            <w:tcW w:type="dxa" w:w="1037"/>
          </w:tcPr>
          <w:p>
            <w:pPr>
              <w:spacing w:after="20"/>
              <w:jc w:val="right"/>
            </w:pPr>
            <w:r>
              <w:rPr>
                <w:color w:val="1C3A36"/>
                <w:sz w:val="16"/>
              </w:rPr>
              <w:t>2,815</w:t>
            </w:r>
          </w:p>
        </w:tc>
        <w:tc>
          <w:tcPr>
            <w:tcW w:type="dxa" w:w="1037"/>
          </w:tcPr>
          <w:p>
            <w:pPr>
              <w:spacing w:after="20"/>
              <w:jc w:val="right"/>
            </w:pPr>
            <w:r>
              <w:rPr>
                <w:color w:val="1C3A36"/>
                <w:sz w:val="16"/>
              </w:rPr>
              <w:t>3,436</w:t>
            </w:r>
          </w:p>
        </w:tc>
        <w:tc>
          <w:tcPr>
            <w:tcW w:type="dxa" w:w="1037"/>
          </w:tcPr>
          <w:p>
            <w:pPr>
              <w:spacing w:after="20"/>
              <w:jc w:val="right"/>
            </w:pPr>
            <w:r>
              <w:rPr>
                <w:color w:val="1C3A36"/>
                <w:sz w:val="16"/>
              </w:rPr>
              <w:t>4,013</w:t>
            </w:r>
          </w:p>
        </w:tc>
        <w:tc>
          <w:tcPr>
            <w:tcW w:type="dxa" w:w="1037"/>
          </w:tcPr>
          <w:p>
            <w:pPr>
              <w:spacing w:after="20"/>
              <w:jc w:val="right"/>
            </w:pPr>
            <w:r>
              <w:rPr>
                <w:color w:val="1C3A36"/>
                <w:sz w:val="16"/>
              </w:rPr>
              <w:t>4,554</w:t>
            </w:r>
          </w:p>
        </w:tc>
      </w:tr>
      <w:tr>
        <w:tc>
          <w:tcPr>
            <w:tcW w:type="dxa" w:w="2189"/>
          </w:tcPr>
          <w:p>
            <w:pPr>
              <w:spacing w:after="20"/>
            </w:pPr>
            <w:r>
              <w:rPr>
                <w:color w:val="1C3A36"/>
                <w:sz w:val="16"/>
              </w:rPr>
              <w:t>Interest-bearing debt</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761</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r>
      <w:tr>
        <w:tc>
          <w:tcPr>
            <w:tcW w:type="dxa" w:w="2189"/>
          </w:tcPr>
          <w:p>
            <w:pPr>
              <w:spacing w:after="20"/>
            </w:pPr>
            <w:r>
              <w:rPr>
                <w:color w:val="1C3A36"/>
                <w:sz w:val="16"/>
              </w:rPr>
              <w:t>Net (cash) / debt</w:t>
            </w:r>
          </w:p>
        </w:tc>
        <w:tc>
          <w:tcPr>
            <w:tcW w:type="dxa" w:w="1037"/>
          </w:tcPr>
          <w:p>
            <w:pPr>
              <w:spacing w:after="20"/>
              <w:jc w:val="right"/>
            </w:pPr>
            <w:r>
              <w:rPr>
                <w:color w:val="1C3A36"/>
                <w:sz w:val="16"/>
              </w:rPr>
              <w:t>-471</w:t>
            </w:r>
          </w:p>
        </w:tc>
        <w:tc>
          <w:tcPr>
            <w:tcW w:type="dxa" w:w="1037"/>
          </w:tcPr>
          <w:p>
            <w:pPr>
              <w:spacing w:after="20"/>
              <w:jc w:val="right"/>
            </w:pPr>
            <w:r>
              <w:rPr>
                <w:color w:val="1C3A36"/>
                <w:sz w:val="16"/>
              </w:rPr>
              <w:t>-926</w:t>
            </w:r>
          </w:p>
        </w:tc>
        <w:tc>
          <w:tcPr>
            <w:tcW w:type="dxa" w:w="1037"/>
          </w:tcPr>
          <w:p>
            <w:pPr>
              <w:spacing w:after="20"/>
              <w:jc w:val="right"/>
            </w:pPr>
            <w:r>
              <w:rPr>
                <w:color w:val="1C3A36"/>
                <w:sz w:val="16"/>
              </w:rPr>
              <w:t>-2,324</w:t>
            </w:r>
          </w:p>
        </w:tc>
        <w:tc>
          <w:tcPr>
            <w:tcW w:type="dxa" w:w="1037"/>
          </w:tcPr>
          <w:p>
            <w:pPr>
              <w:spacing w:after="20"/>
              <w:jc w:val="right"/>
            </w:pPr>
            <w:r>
              <w:rPr>
                <w:color w:val="1C3A36"/>
                <w:sz w:val="16"/>
              </w:rPr>
              <w:t>-1,020</w:t>
            </w:r>
          </w:p>
        </w:tc>
        <w:tc>
          <w:tcPr>
            <w:tcW w:type="dxa" w:w="1037"/>
          </w:tcPr>
          <w:p>
            <w:pPr>
              <w:spacing w:after="20"/>
              <w:jc w:val="right"/>
            </w:pPr>
            <w:r>
              <w:rPr>
                <w:color w:val="1C3A36"/>
                <w:sz w:val="16"/>
              </w:rPr>
              <w:t>-1,679</w:t>
            </w:r>
          </w:p>
        </w:tc>
        <w:tc>
          <w:tcPr>
            <w:tcW w:type="dxa" w:w="1037"/>
          </w:tcPr>
          <w:p>
            <w:pPr>
              <w:spacing w:after="20"/>
              <w:jc w:val="right"/>
            </w:pPr>
            <w:r>
              <w:rPr>
                <w:color w:val="1C3A36"/>
                <w:sz w:val="16"/>
              </w:rPr>
              <w:t>-2,300</w:t>
            </w:r>
          </w:p>
        </w:tc>
        <w:tc>
          <w:tcPr>
            <w:tcW w:type="dxa" w:w="1037"/>
          </w:tcPr>
          <w:p>
            <w:pPr>
              <w:spacing w:after="20"/>
              <w:jc w:val="right"/>
            </w:pPr>
            <w:r>
              <w:rPr>
                <w:color w:val="1C3A36"/>
                <w:sz w:val="16"/>
              </w:rPr>
              <w:t>-2,878</w:t>
            </w:r>
          </w:p>
        </w:tc>
        <w:tc>
          <w:tcPr>
            <w:tcW w:type="dxa" w:w="1037"/>
          </w:tcPr>
          <w:p>
            <w:pPr>
              <w:spacing w:after="20"/>
              <w:jc w:val="right"/>
            </w:pPr>
            <w:r>
              <w:rPr>
                <w:color w:val="1C3A36"/>
                <w:sz w:val="16"/>
              </w:rPr>
              <w:t>-3,419</w:t>
            </w:r>
          </w:p>
        </w:tc>
      </w:tr>
      <w:tr>
        <w:tc>
          <w:tcPr>
            <w:tcW w:type="dxa" w:w="2189"/>
          </w:tcPr>
          <w:p>
            <w:pPr>
              <w:spacing w:after="20"/>
            </w:pPr>
            <w:r>
              <w:rPr>
                <w:color w:val="1C3A36"/>
                <w:sz w:val="16"/>
              </w:rPr>
              <w:t>Equity attributable to owners</w:t>
            </w:r>
          </w:p>
        </w:tc>
        <w:tc>
          <w:tcPr>
            <w:tcW w:type="dxa" w:w="1037"/>
          </w:tcPr>
          <w:p>
            <w:pPr>
              <w:spacing w:after="20"/>
              <w:jc w:val="right"/>
            </w:pPr>
            <w:r>
              <w:rPr>
                <w:color w:val="1C3A36"/>
                <w:sz w:val="16"/>
              </w:rPr>
              <w:t>1,754</w:t>
            </w:r>
          </w:p>
        </w:tc>
        <w:tc>
          <w:tcPr>
            <w:tcW w:type="dxa" w:w="1037"/>
          </w:tcPr>
          <w:p>
            <w:pPr>
              <w:spacing w:after="20"/>
              <w:jc w:val="right"/>
            </w:pPr>
            <w:r>
              <w:rPr>
                <w:color w:val="1C3A36"/>
                <w:sz w:val="16"/>
              </w:rPr>
              <w:t>2,303</w:t>
            </w:r>
          </w:p>
        </w:tc>
        <w:tc>
          <w:tcPr>
            <w:tcW w:type="dxa" w:w="1037"/>
          </w:tcPr>
          <w:p>
            <w:pPr>
              <w:spacing w:after="20"/>
              <w:jc w:val="right"/>
            </w:pPr>
            <w:r>
              <w:rPr>
                <w:color w:val="1C3A36"/>
                <w:sz w:val="16"/>
              </w:rPr>
              <w:t>4,643</w:t>
            </w:r>
          </w:p>
        </w:tc>
        <w:tc>
          <w:tcPr>
            <w:tcW w:type="dxa" w:w="1037"/>
          </w:tcPr>
          <w:p>
            <w:pPr>
              <w:spacing w:after="20"/>
              <w:jc w:val="right"/>
            </w:pPr>
            <w:r>
              <w:rPr>
                <w:color w:val="1C3A36"/>
                <w:sz w:val="16"/>
              </w:rPr>
              <w:t>4,120</w:t>
            </w:r>
          </w:p>
        </w:tc>
        <w:tc>
          <w:tcPr>
            <w:tcW w:type="dxa" w:w="1037"/>
          </w:tcPr>
          <w:p>
            <w:pPr>
              <w:spacing w:after="20"/>
              <w:jc w:val="right"/>
            </w:pPr>
            <w:r>
              <w:rPr>
                <w:color w:val="1C3A36"/>
                <w:sz w:val="16"/>
              </w:rPr>
              <w:t>5,568</w:t>
            </w:r>
          </w:p>
        </w:tc>
        <w:tc>
          <w:tcPr>
            <w:tcW w:type="dxa" w:w="1037"/>
          </w:tcPr>
          <w:p>
            <w:pPr>
              <w:spacing w:after="20"/>
              <w:jc w:val="right"/>
            </w:pPr>
            <w:r>
              <w:rPr>
                <w:color w:val="1C3A36"/>
                <w:sz w:val="16"/>
              </w:rPr>
              <w:t>6,971</w:t>
            </w:r>
          </w:p>
        </w:tc>
        <w:tc>
          <w:tcPr>
            <w:tcW w:type="dxa" w:w="1037"/>
          </w:tcPr>
          <w:p>
            <w:pPr>
              <w:spacing w:after="20"/>
              <w:jc w:val="right"/>
            </w:pPr>
            <w:r>
              <w:rPr>
                <w:color w:val="1C3A36"/>
                <w:sz w:val="16"/>
              </w:rPr>
              <w:t>8,324</w:t>
            </w:r>
          </w:p>
        </w:tc>
        <w:tc>
          <w:tcPr>
            <w:tcW w:type="dxa" w:w="1037"/>
          </w:tcPr>
          <w:p>
            <w:pPr>
              <w:spacing w:after="20"/>
              <w:jc w:val="right"/>
            </w:pPr>
            <w:r>
              <w:rPr>
                <w:color w:val="1C3A36"/>
                <w:sz w:val="16"/>
              </w:rPr>
              <w:t>9,636</w:t>
            </w:r>
          </w:p>
        </w:tc>
      </w:tr>
      <w:tr>
        <w:tc>
          <w:tcPr>
            <w:tcW w:type="dxa" w:w="2189"/>
          </w:tcPr>
          <w:p>
            <w:pPr>
              <w:spacing w:after="20"/>
            </w:pPr>
            <w:r>
              <w:rPr>
                <w:color w:val="1C3A36"/>
                <w:sz w:val="16"/>
              </w:rPr>
              <w:t>Book value per share (EGP)</w:t>
            </w:r>
          </w:p>
        </w:tc>
        <w:tc>
          <w:tcPr>
            <w:tcW w:type="dxa" w:w="1037"/>
          </w:tcPr>
          <w:p>
            <w:pPr>
              <w:spacing w:after="20"/>
              <w:jc w:val="right"/>
            </w:pPr>
            <w:r>
              <w:rPr>
                <w:color w:val="1C3A36"/>
                <w:sz w:val="16"/>
              </w:rPr>
              <w:t>4.68</w:t>
            </w:r>
          </w:p>
        </w:tc>
        <w:tc>
          <w:tcPr>
            <w:tcW w:type="dxa" w:w="1037"/>
          </w:tcPr>
          <w:p>
            <w:pPr>
              <w:spacing w:after="20"/>
              <w:jc w:val="right"/>
            </w:pPr>
            <w:r>
              <w:rPr>
                <w:color w:val="1C3A36"/>
                <w:sz w:val="16"/>
              </w:rPr>
              <w:t>6.14</w:t>
            </w:r>
          </w:p>
        </w:tc>
        <w:tc>
          <w:tcPr>
            <w:tcW w:type="dxa" w:w="1037"/>
          </w:tcPr>
          <w:p>
            <w:pPr>
              <w:spacing w:after="20"/>
              <w:jc w:val="right"/>
            </w:pPr>
            <w:r>
              <w:rPr>
                <w:color w:val="1C3A36"/>
                <w:sz w:val="16"/>
              </w:rPr>
              <w:t>12.38</w:t>
            </w:r>
          </w:p>
        </w:tc>
        <w:tc>
          <w:tcPr>
            <w:tcW w:type="dxa" w:w="1037"/>
          </w:tcPr>
          <w:p>
            <w:pPr>
              <w:spacing w:after="20"/>
              <w:jc w:val="right"/>
            </w:pPr>
            <w:r>
              <w:rPr>
                <w:color w:val="1C3A36"/>
                <w:sz w:val="16"/>
              </w:rPr>
              <w:t>10.99</w:t>
            </w:r>
          </w:p>
        </w:tc>
        <w:tc>
          <w:tcPr>
            <w:tcW w:type="dxa" w:w="1037"/>
          </w:tcPr>
          <w:p>
            <w:pPr>
              <w:spacing w:after="20"/>
              <w:jc w:val="right"/>
            </w:pPr>
            <w:r>
              <w:rPr>
                <w:color w:val="1C3A36"/>
                <w:sz w:val="16"/>
              </w:rPr>
              <w:t>14.85</w:t>
            </w:r>
          </w:p>
        </w:tc>
        <w:tc>
          <w:tcPr>
            <w:tcW w:type="dxa" w:w="1037"/>
          </w:tcPr>
          <w:p>
            <w:pPr>
              <w:spacing w:after="20"/>
              <w:jc w:val="right"/>
            </w:pPr>
            <w:r>
              <w:rPr>
                <w:color w:val="1C3A36"/>
                <w:sz w:val="16"/>
              </w:rPr>
              <w:t>18.60</w:t>
            </w:r>
          </w:p>
        </w:tc>
        <w:tc>
          <w:tcPr>
            <w:tcW w:type="dxa" w:w="1037"/>
          </w:tcPr>
          <w:p>
            <w:pPr>
              <w:spacing w:after="20"/>
              <w:jc w:val="right"/>
            </w:pPr>
            <w:r>
              <w:rPr>
                <w:color w:val="1C3A36"/>
                <w:sz w:val="16"/>
              </w:rPr>
              <w:t>22.21</w:t>
            </w:r>
          </w:p>
        </w:tc>
        <w:tc>
          <w:tcPr>
            <w:tcW w:type="dxa" w:w="1037"/>
          </w:tcPr>
          <w:p>
            <w:pPr>
              <w:spacing w:after="20"/>
              <w:jc w:val="right"/>
            </w:pPr>
            <w:r>
              <w:rPr>
                <w:color w:val="1C3A36"/>
                <w:sz w:val="16"/>
              </w:rPr>
              <w:t>25.70</w:t>
            </w:r>
          </w:p>
        </w:tc>
      </w:tr>
      <w:tr>
        <w:tc>
          <w:tcPr>
            <w:tcW w:type="dxa" w:w="2189"/>
          </w:tcPr>
          <w:p>
            <w:pPr>
              <w:spacing w:after="20"/>
            </w:pPr>
            <w:r>
              <w:rPr>
                <w:color w:val="1C3A36"/>
                <w:sz w:val="16"/>
              </w:rPr>
              <w:t>Return on equity</w:t>
            </w:r>
          </w:p>
        </w:tc>
        <w:tc>
          <w:tcPr>
            <w:tcW w:type="dxa" w:w="1037"/>
          </w:tcPr>
          <w:p>
            <w:pPr>
              <w:spacing w:after="20"/>
              <w:jc w:val="right"/>
            </w:pPr>
            <w:r>
              <w:rPr>
                <w:color w:val="1C3A36"/>
                <w:sz w:val="16"/>
              </w:rPr>
              <w:t>39.8%</w:t>
            </w:r>
          </w:p>
        </w:tc>
        <w:tc>
          <w:tcPr>
            <w:tcW w:type="dxa" w:w="1037"/>
          </w:tcPr>
          <w:p>
            <w:pPr>
              <w:spacing w:after="20"/>
              <w:jc w:val="right"/>
            </w:pPr>
            <w:r>
              <w:rPr>
                <w:color w:val="1C3A36"/>
                <w:sz w:val="16"/>
              </w:rPr>
              <w:t>50.4%</w:t>
            </w:r>
          </w:p>
        </w:tc>
        <w:tc>
          <w:tcPr>
            <w:tcW w:type="dxa" w:w="1037"/>
          </w:tcPr>
          <w:p>
            <w:pPr>
              <w:spacing w:after="20"/>
              <w:jc w:val="right"/>
            </w:pPr>
            <w:r>
              <w:rPr>
                <w:color w:val="1C3A36"/>
                <w:sz w:val="16"/>
              </w:rPr>
              <w:t>77.5%</w:t>
            </w:r>
          </w:p>
        </w:tc>
        <w:tc>
          <w:tcPr>
            <w:tcW w:type="dxa" w:w="1037"/>
          </w:tcPr>
          <w:p>
            <w:pPr>
              <w:spacing w:after="20"/>
              <w:jc w:val="right"/>
            </w:pPr>
            <w:r>
              <w:rPr>
                <w:color w:val="1C3A36"/>
                <w:sz w:val="16"/>
              </w:rPr>
              <w:t>80.9%</w:t>
            </w:r>
          </w:p>
        </w:tc>
        <w:tc>
          <w:tcPr>
            <w:tcW w:type="dxa" w:w="1037"/>
          </w:tcPr>
          <w:p>
            <w:pPr>
              <w:spacing w:after="20"/>
              <w:jc w:val="right"/>
            </w:pPr>
            <w:r>
              <w:rPr>
                <w:color w:val="1C3A36"/>
                <w:sz w:val="16"/>
              </w:rPr>
              <w:t>58.6%</w:t>
            </w:r>
          </w:p>
        </w:tc>
        <w:tc>
          <w:tcPr>
            <w:tcW w:type="dxa" w:w="1037"/>
          </w:tcPr>
          <w:p>
            <w:pPr>
              <w:spacing w:after="20"/>
              <w:jc w:val="right"/>
            </w:pPr>
            <w:r>
              <w:rPr>
                <w:color w:val="1C3A36"/>
                <w:sz w:val="16"/>
              </w:rPr>
              <w:t>45.3%</w:t>
            </w:r>
          </w:p>
        </w:tc>
        <w:tc>
          <w:tcPr>
            <w:tcW w:type="dxa" w:w="1037"/>
          </w:tcPr>
          <w:p>
            <w:pPr>
              <w:spacing w:after="20"/>
              <w:jc w:val="right"/>
            </w:pPr>
            <w:r>
              <w:rPr>
                <w:color w:val="1C3A36"/>
                <w:sz w:val="16"/>
              </w:rPr>
              <w:t>36.6%</w:t>
            </w:r>
          </w:p>
        </w:tc>
        <w:tc>
          <w:tcPr>
            <w:tcW w:type="dxa" w:w="1037"/>
          </w:tcPr>
          <w:p>
            <w:pPr>
              <w:spacing w:after="20"/>
              <w:jc w:val="right"/>
            </w:pPr>
            <w:r>
              <w:rPr>
                <w:color w:val="1C3A36"/>
                <w:sz w:val="16"/>
              </w:rPr>
              <w:t>30.7%</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3,332</w:t>
            </w:r>
          </w:p>
        </w:tc>
        <w:tc>
          <w:tcPr>
            <w:tcW w:type="dxa" w:w="1325"/>
          </w:tcPr>
          <w:p>
            <w:pPr>
              <w:spacing w:after="20"/>
              <w:jc w:val="right"/>
            </w:pPr>
            <w:r>
              <w:rPr>
                <w:color w:val="1C3A36"/>
                <w:sz w:val="17"/>
              </w:rPr>
              <w:t>3,260</w:t>
            </w:r>
          </w:p>
        </w:tc>
        <w:tc>
          <w:tcPr>
            <w:tcW w:type="dxa" w:w="1325"/>
          </w:tcPr>
          <w:p>
            <w:pPr>
              <w:spacing w:after="20"/>
              <w:jc w:val="right"/>
            </w:pPr>
            <w:r>
              <w:rPr>
                <w:color w:val="1C3A36"/>
                <w:sz w:val="17"/>
              </w:rPr>
              <w:t>3,161</w:t>
            </w:r>
          </w:p>
        </w:tc>
        <w:tc>
          <w:tcPr>
            <w:tcW w:type="dxa" w:w="1325"/>
          </w:tcPr>
          <w:p>
            <w:pPr>
              <w:spacing w:after="20"/>
              <w:jc w:val="right"/>
            </w:pPr>
            <w:r>
              <w:rPr>
                <w:color w:val="1C3A36"/>
                <w:sz w:val="17"/>
              </w:rPr>
              <w:t>3,046</w:t>
            </w:r>
          </w:p>
        </w:tc>
        <w:tc>
          <w:tcPr>
            <w:tcW w:type="dxa" w:w="1325"/>
          </w:tcPr>
          <w:p>
            <w:pPr>
              <w:spacing w:after="20"/>
              <w:jc w:val="right"/>
            </w:pPr>
            <w:r>
              <w:rPr>
                <w:color w:val="1C3A36"/>
                <w:sz w:val="17"/>
              </w:rPr>
              <w:t>2,955</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333</w:t>
            </w:r>
          </w:p>
        </w:tc>
        <w:tc>
          <w:tcPr>
            <w:tcW w:type="dxa" w:w="1325"/>
          </w:tcPr>
          <w:p>
            <w:pPr>
              <w:spacing w:after="20"/>
              <w:jc w:val="right"/>
            </w:pPr>
            <w:r>
              <w:rPr>
                <w:color w:val="1C3A36"/>
                <w:sz w:val="17"/>
              </w:rPr>
              <w:t>384</w:t>
            </w:r>
          </w:p>
        </w:tc>
        <w:tc>
          <w:tcPr>
            <w:tcW w:type="dxa" w:w="1325"/>
          </w:tcPr>
          <w:p>
            <w:pPr>
              <w:spacing w:after="20"/>
              <w:jc w:val="right"/>
            </w:pPr>
            <w:r>
              <w:rPr>
                <w:color w:val="1C3A36"/>
                <w:sz w:val="17"/>
              </w:rPr>
              <w:t>438</w:t>
            </w:r>
          </w:p>
        </w:tc>
        <w:tc>
          <w:tcPr>
            <w:tcW w:type="dxa" w:w="1325"/>
          </w:tcPr>
          <w:p>
            <w:pPr>
              <w:spacing w:after="20"/>
              <w:jc w:val="right"/>
            </w:pPr>
            <w:r>
              <w:rPr>
                <w:color w:val="1C3A36"/>
                <w:sz w:val="17"/>
              </w:rPr>
              <w:t>492</w:t>
            </w:r>
          </w:p>
        </w:tc>
        <w:tc>
          <w:tcPr>
            <w:tcW w:type="dxa" w:w="1325"/>
          </w:tcPr>
          <w:p>
            <w:pPr>
              <w:spacing w:after="20"/>
              <w:jc w:val="right"/>
            </w:pPr>
            <w:r>
              <w:rPr>
                <w:color w:val="1C3A36"/>
                <w:sz w:val="17"/>
              </w:rPr>
              <w:t>549</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-109</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-95</w:t>
            </w:r>
          </w:p>
        </w:tc>
        <w:tc>
          <w:tcPr>
            <w:tcW w:type="dxa" w:w="1325"/>
          </w:tcPr>
          <w:p>
            <w:pPr>
              <w:spacing w:after="20"/>
              <w:jc w:val="right"/>
            </w:pPr>
            <w:r>
              <w:rPr>
                <w:color w:val="1C3A36"/>
                <w:sz w:val="17"/>
              </w:rPr>
              <w:t>-90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-1,062</w:t>
            </w:r>
          </w:p>
        </w:tc>
        <w:tc>
          <w:tcPr>
            <w:tcW w:type="dxa" w:w="1325"/>
          </w:tcPr>
          <w:p>
            <w:pPr>
              <w:spacing w:after="20"/>
              <w:jc w:val="right"/>
            </w:pPr>
            <w:r>
              <w:rPr>
                <w:color w:val="1C3A36"/>
                <w:sz w:val="17"/>
              </w:rPr>
              <w:t>-1,116</w:t>
            </w:r>
          </w:p>
        </w:tc>
        <w:tc>
          <w:tcPr>
            <w:tcW w:type="dxa" w:w="1325"/>
          </w:tcPr>
          <w:p>
            <w:pPr>
              <w:spacing w:after="20"/>
              <w:jc w:val="right"/>
            </w:pPr>
            <w:r>
              <w:rPr>
                <w:color w:val="1C3A36"/>
                <w:sz w:val="17"/>
              </w:rPr>
              <w:t>-1,172</w:t>
            </w:r>
          </w:p>
        </w:tc>
        <w:tc>
          <w:tcPr>
            <w:tcW w:type="dxa" w:w="1325"/>
          </w:tcPr>
          <w:p>
            <w:pPr>
              <w:spacing w:after="20"/>
              <w:jc w:val="right"/>
            </w:pPr>
            <w:r>
              <w:rPr>
                <w:color w:val="1C3A36"/>
                <w:sz w:val="17"/>
              </w:rPr>
              <w:t>-1,230</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-1,853</w:t>
            </w:r>
          </w:p>
        </w:tc>
        <w:tc>
          <w:tcPr>
            <w:tcW w:type="dxa" w:w="1325"/>
          </w:tcPr>
          <w:p>
            <w:pPr>
              <w:spacing w:after="20"/>
              <w:jc w:val="right"/>
            </w:pPr>
            <w:r>
              <w:rPr>
                <w:color w:val="1C3A36"/>
                <w:sz w:val="17"/>
              </w:rPr>
              <w:t>-1,813</w:t>
            </w:r>
          </w:p>
        </w:tc>
        <w:tc>
          <w:tcPr>
            <w:tcW w:type="dxa" w:w="1325"/>
          </w:tcPr>
          <w:p>
            <w:pPr>
              <w:spacing w:after="20"/>
              <w:jc w:val="right"/>
            </w:pPr>
            <w:r>
              <w:rPr>
                <w:color w:val="1C3A36"/>
                <w:sz w:val="17"/>
              </w:rPr>
              <w:t>-1,758</w:t>
            </w:r>
          </w:p>
        </w:tc>
        <w:tc>
          <w:tcPr>
            <w:tcW w:type="dxa" w:w="1325"/>
          </w:tcPr>
          <w:p>
            <w:pPr>
              <w:spacing w:after="20"/>
              <w:jc w:val="right"/>
            </w:pPr>
            <w:r>
              <w:rPr>
                <w:color w:val="1C3A36"/>
                <w:sz w:val="17"/>
              </w:rPr>
              <w:t>-1,694</w:t>
            </w:r>
          </w:p>
        </w:tc>
        <w:tc>
          <w:tcPr>
            <w:tcW w:type="dxa" w:w="1325"/>
          </w:tcPr>
          <w:p>
            <w:pPr>
              <w:spacing w:after="20"/>
              <w:jc w:val="right"/>
            </w:pPr>
            <w:r>
              <w:rPr>
                <w:color w:val="1C3A36"/>
                <w:sz w:val="17"/>
              </w:rPr>
              <w:t>-1,643</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2,155</w:t>
            </w:r>
          </w:p>
        </w:tc>
        <w:tc>
          <w:tcPr>
            <w:tcW w:type="dxa" w:w="1325"/>
            <w:shd w:val="clear" w:color="auto" w:fill="F6F1E6"/>
          </w:tcPr>
          <w:p>
            <w:pPr>
              <w:spacing w:after="20"/>
              <w:jc w:val="right"/>
            </w:pPr>
            <w:r>
              <w:rPr>
                <w:b/>
                <w:color w:val="1C3A36"/>
                <w:sz w:val="17"/>
              </w:rPr>
              <w:t>2,815</w:t>
            </w:r>
          </w:p>
        </w:tc>
        <w:tc>
          <w:tcPr>
            <w:tcW w:type="dxa" w:w="1325"/>
            <w:shd w:val="clear" w:color="auto" w:fill="F6F1E6"/>
          </w:tcPr>
          <w:p>
            <w:pPr>
              <w:spacing w:after="20"/>
              <w:jc w:val="right"/>
            </w:pPr>
            <w:r>
              <w:rPr>
                <w:b/>
                <w:color w:val="1C3A36"/>
                <w:sz w:val="17"/>
              </w:rPr>
              <w:t>3,436</w:t>
            </w:r>
          </w:p>
        </w:tc>
        <w:tc>
          <w:tcPr>
            <w:tcW w:type="dxa" w:w="1325"/>
            <w:shd w:val="clear" w:color="auto" w:fill="F6F1E6"/>
          </w:tcPr>
          <w:p>
            <w:pPr>
              <w:spacing w:after="20"/>
              <w:jc w:val="right"/>
            </w:pPr>
            <w:r>
              <w:rPr>
                <w:b/>
                <w:color w:val="1C3A36"/>
                <w:sz w:val="17"/>
              </w:rPr>
              <w:t>4,013</w:t>
            </w:r>
          </w:p>
        </w:tc>
        <w:tc>
          <w:tcPr>
            <w:tcW w:type="dxa" w:w="1325"/>
            <w:shd w:val="clear" w:color="auto" w:fill="F6F1E6"/>
          </w:tcPr>
          <w:p>
            <w:pPr>
              <w:spacing w:after="20"/>
              <w:jc w:val="right"/>
            </w:pPr>
            <w:r>
              <w:rPr>
                <w:b/>
                <w:color w:val="1C3A36"/>
                <w:sz w:val="17"/>
              </w:rPr>
              <w:t>4,554</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1,022</w:t>
            </w:r>
          </w:p>
        </w:tc>
        <w:tc>
          <w:tcPr>
            <w:tcW w:type="dxa" w:w="1325"/>
          </w:tcPr>
          <w:p>
            <w:pPr>
              <w:spacing w:after="20"/>
              <w:jc w:val="right"/>
            </w:pPr>
            <w:r>
              <w:rPr>
                <w:color w:val="1C3A36"/>
                <w:sz w:val="17"/>
              </w:rPr>
              <w:t>2,324</w:t>
            </w:r>
          </w:p>
        </w:tc>
        <w:tc>
          <w:tcPr>
            <w:tcW w:type="dxa" w:w="1325"/>
          </w:tcPr>
          <w:p>
            <w:pPr>
              <w:spacing w:after="20"/>
              <w:jc w:val="right"/>
            </w:pPr>
            <w:r>
              <w:rPr>
                <w:color w:val="1C3A36"/>
                <w:sz w:val="17"/>
              </w:rPr>
              <w:t>2,185</w:t>
            </w:r>
          </w:p>
        </w:tc>
        <w:tc>
          <w:tcPr>
            <w:tcW w:type="dxa" w:w="1325"/>
          </w:tcPr>
          <w:p>
            <w:pPr>
              <w:spacing w:after="20"/>
              <w:jc w:val="right"/>
            </w:pPr>
            <w:r>
              <w:rPr>
                <w:color w:val="1C3A36"/>
                <w:sz w:val="17"/>
              </w:rPr>
              <w:t>2,040</w:t>
            </w:r>
          </w:p>
        </w:tc>
        <w:tc>
          <w:tcPr>
            <w:tcW w:type="dxa" w:w="1325"/>
          </w:tcPr>
          <w:p>
            <w:pPr>
              <w:spacing w:after="20"/>
              <w:jc w:val="right"/>
            </w:pPr>
            <w:r>
              <w:rPr>
                <w:color w:val="1C3A36"/>
                <w:sz w:val="17"/>
              </w:rPr>
              <w:t>1,915</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1512"/>
        <w:gridCol w:w="1728"/>
        <w:gridCol w:w="1368"/>
        <w:gridCol w:w="1224"/>
      </w:tblGrid>
      <w:tr>
        <w:tc>
          <w:tcPr>
            <w:tcW w:type="dxa" w:w="2664"/>
            <w:shd w:val="clear" w:color="auto" w:fill="EAF0EE"/>
          </w:tcPr>
          <w:p>
            <w:pPr>
              <w:spacing w:after="20"/>
            </w:pPr>
            <w:r>
              <w:rPr>
                <w:b/>
                <w:color w:val="1C3A36"/>
                <w:sz w:val="17"/>
              </w:rPr>
            </w:r>
          </w:p>
        </w:tc>
        <w:tc>
          <w:tcPr>
            <w:tcW w:type="dxa" w:w="1656"/>
            <w:shd w:val="clear" w:color="auto" w:fill="EAF0EE"/>
          </w:tcPr>
          <w:p>
            <w:pPr>
              <w:spacing w:after="20"/>
            </w:pPr>
            <w:r>
              <w:rPr>
                <w:b/>
                <w:color w:val="1C3A36"/>
                <w:sz w:val="17"/>
              </w:rPr>
              <w:t>Revenue (EGP mn)</w:t>
            </w:r>
          </w:p>
        </w:tc>
        <w:tc>
          <w:tcPr>
            <w:tcW w:type="dxa" w:w="1512"/>
            <w:shd w:val="clear" w:color="auto" w:fill="EAF0EE"/>
          </w:tcPr>
          <w:p>
            <w:pPr>
              <w:spacing w:after="20"/>
            </w:pPr>
            <w:r>
              <w:rPr>
                <w:b/>
                <w:color w:val="1C3A36"/>
                <w:sz w:val="17"/>
              </w:rPr>
              <w:t>Profit (EGP mn)</w:t>
            </w:r>
          </w:p>
        </w:tc>
        <w:tc>
          <w:tcPr>
            <w:tcW w:type="dxa" w:w="1728"/>
            <w:shd w:val="clear" w:color="auto" w:fill="EAF0EE"/>
          </w:tcPr>
          <w:p>
            <w:pPr>
              <w:spacing w:after="20"/>
            </w:pPr>
            <w:r>
              <w:rPr>
                <w:b/>
                <w:color w:val="1C3A36"/>
                <w:sz w:val="17"/>
              </w:rPr>
              <w:t>Market cap (EGP mn)</w:t>
            </w:r>
          </w:p>
        </w:tc>
        <w:tc>
          <w:tcPr>
            <w:tcW w:type="dxa" w:w="1368"/>
            <w:shd w:val="clear" w:color="auto" w:fill="EAF0EE"/>
          </w:tcPr>
          <w:p>
            <w:pPr>
              <w:spacing w:after="20"/>
            </w:pPr>
            <w:r>
              <w:rPr>
                <w:b/>
                <w:color w:val="1C3A36"/>
                <w:sz w:val="17"/>
              </w:rPr>
              <w:t>Price / earnings</w:t>
            </w:r>
          </w:p>
        </w:tc>
        <w:tc>
          <w:tcPr>
            <w:tcW w:type="dxa" w:w="1224"/>
            <w:shd w:val="clear" w:color="auto" w:fill="EAF0EE"/>
          </w:tcPr>
          <w:p>
            <w:pPr>
              <w:spacing w:after="20"/>
            </w:pPr>
            <w:r>
              <w:rPr>
                <w:b/>
                <w:color w:val="1C3A36"/>
                <w:sz w:val="17"/>
              </w:rPr>
              <w:t>Net margin</w:t>
            </w:r>
          </w:p>
        </w:tc>
      </w:tr>
      <w:tr>
        <w:tc>
          <w:tcPr>
            <w:tcW w:type="dxa" w:w="2664"/>
          </w:tcPr>
          <w:p>
            <w:pPr>
              <w:spacing w:after="20"/>
            </w:pPr>
            <w:r>
              <w:rPr>
                <w:color w:val="1C3A36"/>
                <w:sz w:val="17"/>
              </w:rPr>
              <w:t>Arabian Cement (ARCC)</w:t>
            </w:r>
          </w:p>
        </w:tc>
        <w:tc>
          <w:tcPr>
            <w:tcW w:type="dxa" w:w="1656"/>
          </w:tcPr>
          <w:p>
            <w:pPr>
              <w:spacing w:after="20"/>
              <w:jc w:val="right"/>
            </w:pPr>
            <w:r>
              <w:rPr>
                <w:color w:val="1C3A36"/>
                <w:sz w:val="17"/>
              </w:rPr>
              <w:t>12,447</w:t>
            </w:r>
          </w:p>
        </w:tc>
        <w:tc>
          <w:tcPr>
            <w:tcW w:type="dxa" w:w="1512"/>
          </w:tcPr>
          <w:p>
            <w:pPr>
              <w:spacing w:after="20"/>
              <w:jc w:val="right"/>
            </w:pPr>
            <w:r>
              <w:rPr>
                <w:color w:val="1C3A36"/>
                <w:sz w:val="17"/>
              </w:rPr>
              <w:t>3,600</w:t>
            </w:r>
          </w:p>
        </w:tc>
        <w:tc>
          <w:tcPr>
            <w:tcW w:type="dxa" w:w="1728"/>
          </w:tcPr>
          <w:p>
            <w:pPr>
              <w:spacing w:after="20"/>
              <w:jc w:val="right"/>
            </w:pPr>
            <w:r>
              <w:rPr>
                <w:color w:val="1C3A36"/>
                <w:sz w:val="17"/>
              </w:rPr>
              <w:t>22,117</w:t>
            </w:r>
          </w:p>
        </w:tc>
        <w:tc>
          <w:tcPr>
            <w:tcW w:type="dxa" w:w="1368"/>
          </w:tcPr>
          <w:p>
            <w:pPr>
              <w:spacing w:after="20"/>
              <w:jc w:val="right"/>
            </w:pPr>
            <w:r>
              <w:rPr>
                <w:color w:val="1C3A36"/>
                <w:sz w:val="17"/>
              </w:rPr>
              <w:t>6.14x</w:t>
            </w:r>
          </w:p>
        </w:tc>
        <w:tc>
          <w:tcPr>
            <w:tcW w:type="dxa" w:w="1224"/>
          </w:tcPr>
          <w:p>
            <w:pPr>
              <w:spacing w:after="20"/>
              <w:jc w:val="right"/>
            </w:pPr>
            <w:r>
              <w:rPr>
                <w:color w:val="1C3A36"/>
                <w:sz w:val="17"/>
              </w:rPr>
              <w:t>28.9%</w:t>
            </w:r>
          </w:p>
        </w:tc>
      </w:tr>
      <w:tr>
        <w:tc>
          <w:tcPr>
            <w:tcW w:type="dxa" w:w="2664"/>
          </w:tcPr>
          <w:p>
            <w:pPr>
              <w:spacing w:after="20"/>
            </w:pPr>
            <w:r>
              <w:rPr>
                <w:color w:val="1C3A36"/>
                <w:sz w:val="17"/>
              </w:rPr>
              <w:t>Sinai Cement (SCEM)</w:t>
            </w:r>
          </w:p>
        </w:tc>
        <w:tc>
          <w:tcPr>
            <w:tcW w:type="dxa" w:w="1656"/>
          </w:tcPr>
          <w:p>
            <w:pPr>
              <w:spacing w:after="20"/>
              <w:jc w:val="right"/>
            </w:pPr>
            <w:r>
              <w:rPr>
                <w:color w:val="1C3A36"/>
                <w:sz w:val="17"/>
              </w:rPr>
              <w:t>9,090</w:t>
            </w:r>
          </w:p>
        </w:tc>
        <w:tc>
          <w:tcPr>
            <w:tcW w:type="dxa" w:w="1512"/>
          </w:tcPr>
          <w:p>
            <w:pPr>
              <w:spacing w:after="20"/>
              <w:jc w:val="right"/>
            </w:pPr>
            <w:r>
              <w:rPr>
                <w:color w:val="1C3A36"/>
                <w:sz w:val="17"/>
              </w:rPr>
              <w:t>2,290</w:t>
            </w:r>
          </w:p>
        </w:tc>
        <w:tc>
          <w:tcPr>
            <w:tcW w:type="dxa" w:w="1728"/>
          </w:tcPr>
          <w:p>
            <w:pPr>
              <w:spacing w:after="20"/>
              <w:jc w:val="right"/>
            </w:pPr>
            <w:r>
              <w:rPr>
                <w:color w:val="1C3A36"/>
                <w:sz w:val="17"/>
              </w:rPr>
              <w:t>20,604</w:t>
            </w:r>
          </w:p>
        </w:tc>
        <w:tc>
          <w:tcPr>
            <w:tcW w:type="dxa" w:w="1368"/>
          </w:tcPr>
          <w:p>
            <w:pPr>
              <w:spacing w:after="20"/>
              <w:jc w:val="right"/>
            </w:pPr>
            <w:r>
              <w:rPr>
                <w:color w:val="1C3A36"/>
                <w:sz w:val="17"/>
              </w:rPr>
              <w:t>9.00x</w:t>
            </w:r>
          </w:p>
        </w:tc>
        <w:tc>
          <w:tcPr>
            <w:tcW w:type="dxa" w:w="1224"/>
          </w:tcPr>
          <w:p>
            <w:pPr>
              <w:spacing w:after="20"/>
              <w:jc w:val="right"/>
            </w:pPr>
            <w:r>
              <w:rPr>
                <w:color w:val="1C3A36"/>
                <w:sz w:val="17"/>
              </w:rPr>
              <w:t>25.2%</w:t>
            </w:r>
          </w:p>
        </w:tc>
      </w:tr>
      <w:tr>
        <w:tc>
          <w:tcPr>
            <w:tcW w:type="dxa" w:w="2664"/>
          </w:tcPr>
          <w:p>
            <w:pPr>
              <w:spacing w:after="20"/>
            </w:pPr>
            <w:r>
              <w:rPr>
                <w:color w:val="1C3A36"/>
                <w:sz w:val="17"/>
              </w:rPr>
              <w:t>Misr Beni Suef Cement (MBSC)</w:t>
            </w:r>
          </w:p>
        </w:tc>
        <w:tc>
          <w:tcPr>
            <w:tcW w:type="dxa" w:w="1656"/>
          </w:tcPr>
          <w:p>
            <w:pPr>
              <w:spacing w:after="20"/>
              <w:jc w:val="right"/>
            </w:pPr>
            <w:r>
              <w:rPr>
                <w:color w:val="1C3A36"/>
                <w:sz w:val="17"/>
              </w:rPr>
              <w:t>5,700</w:t>
            </w:r>
          </w:p>
        </w:tc>
        <w:tc>
          <w:tcPr>
            <w:tcW w:type="dxa" w:w="1512"/>
          </w:tcPr>
          <w:p>
            <w:pPr>
              <w:spacing w:after="20"/>
              <w:jc w:val="right"/>
            </w:pPr>
            <w:r>
              <w:rPr>
                <w:color w:val="1C3A36"/>
                <w:sz w:val="17"/>
              </w:rPr>
              <w:t>3,946</w:t>
            </w:r>
          </w:p>
        </w:tc>
        <w:tc>
          <w:tcPr>
            <w:tcW w:type="dxa" w:w="1728"/>
          </w:tcPr>
          <w:p>
            <w:pPr>
              <w:spacing w:after="20"/>
              <w:jc w:val="right"/>
            </w:pPr>
            <w:r>
              <w:rPr>
                <w:color w:val="1C3A36"/>
                <w:sz w:val="17"/>
              </w:rPr>
              <w:t>13,730</w:t>
            </w:r>
          </w:p>
        </w:tc>
        <w:tc>
          <w:tcPr>
            <w:tcW w:type="dxa" w:w="1368"/>
          </w:tcPr>
          <w:p>
            <w:pPr>
              <w:spacing w:after="20"/>
              <w:jc w:val="right"/>
            </w:pPr>
            <w:r>
              <w:rPr>
                <w:color w:val="1C3A36"/>
                <w:sz w:val="17"/>
              </w:rPr>
              <w:t>3.48x</w:t>
            </w:r>
          </w:p>
        </w:tc>
        <w:tc>
          <w:tcPr>
            <w:tcW w:type="dxa" w:w="1224"/>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7" name="Picture 7"/>
            <wp:cNvGraphicFramePr>
              <a:graphicFrameLocks noChangeAspect="1"/>
            </wp:cNvGraphicFramePr>
            <a:graphic>
              <a:graphicData uri="http://schemas.openxmlformats.org/drawingml/2006/picture">
                <pic:pic>
                  <pic:nvPicPr>
                    <pic:cNvPr id="0" name="fig8_sector.png"/>
                    <pic:cNvPicPr/>
                  </pic:nvPicPr>
                  <pic:blipFill>
                    <a:blip r:embed="rId15"/>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120" w:before="0"/>
      </w:pPr>
      <w:r>
        <w:rPr>
          <w:b w:val="0"/>
          <w:i w:val="0"/>
          <w:color w:val="1C3A36"/>
          <w:sz w:val="21"/>
        </w:rPr>
        <w:t>Egypt carries about 76Mt of nameplate capacity against roughly 54Mt of domestic consumption and 65Mt of production — a utilisation rate near 86%. Exports of about 18.5Mt absorb part of the difference. The abolition of the production quota in May 2025 removed the mechanism that had been supporting price into that surplus, and the 12.6Mt restart programme would add to it.</w:t>
      </w:r>
    </w:p>
    <w:p>
      <w:pPr>
        <w:pStyle w:val="ListBullet"/>
        <w:spacing w:after="60"/>
      </w:pPr>
      <w:r>
        <w:rPr>
          <w:b/>
          <w:color w:val="1C3A36"/>
          <w:sz w:val="21"/>
        </w:rPr>
        <w:t xml:space="preserve">Price risk. </w:t>
      </w:r>
      <w:r>
        <w:rPr>
          <w:color w:val="1C3A36"/>
          <w:sz w:val="21"/>
        </w:rPr>
        <w:t>A structurally over-supplied market whose main price-support mechanism has just been removed. This is the dominant risk and it is why the forecast price path grows below cost inflation.</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This producer is better placed than most Egyptian peers, but better placed is not unaffected.</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58.34 to EGP 78.47, central EGP 68.41 (+15.9% against the market price of EGP 59.00).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81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45.65 to EGP 59.31, central EGP 52.48 (-11.1% against the market price of EGP 59.00).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32.89 to EGP 42.30, central EGP 36.92 (-37.4% against the market price of EGP 59.00).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2116mn; required at a 17.5% cash return that is a business worth EGP 12091mn before net cash of EGP 1751mn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32.89. So would maintenance capital spending materially above the USD 4.00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58.34</w:t>
            </w:r>
          </w:p>
        </w:tc>
        <w:tc>
          <w:tcPr>
            <w:tcW w:type="dxa" w:w="1656"/>
          </w:tcPr>
          <w:p>
            <w:pPr>
              <w:spacing w:after="20"/>
              <w:jc w:val="right"/>
            </w:pPr>
            <w:r>
              <w:rPr>
                <w:color w:val="1C3A36"/>
                <w:sz w:val="18"/>
              </w:rPr>
              <w:t>68.41</w:t>
            </w:r>
          </w:p>
        </w:tc>
        <w:tc>
          <w:tcPr>
            <w:tcW w:type="dxa" w:w="1469"/>
          </w:tcPr>
          <w:p>
            <w:pPr>
              <w:spacing w:after="20"/>
              <w:jc w:val="right"/>
            </w:pPr>
            <w:r>
              <w:rPr>
                <w:color w:val="1C3A36"/>
                <w:sz w:val="18"/>
              </w:rPr>
              <w:t>78.47</w:t>
            </w:r>
          </w:p>
        </w:tc>
        <w:tc>
          <w:tcPr>
            <w:tcW w:type="dxa" w:w="1354"/>
          </w:tcPr>
          <w:p>
            <w:pPr>
              <w:spacing w:after="20"/>
              <w:jc w:val="right"/>
            </w:pPr>
            <w:r>
              <w:rPr>
                <w:color w:val="1C3A36"/>
                <w:sz w:val="18"/>
              </w:rPr>
              <w:t>+15.9%</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45.65</w:t>
            </w:r>
          </w:p>
        </w:tc>
        <w:tc>
          <w:tcPr>
            <w:tcW w:type="dxa" w:w="1656"/>
          </w:tcPr>
          <w:p>
            <w:pPr>
              <w:spacing w:after="20"/>
              <w:jc w:val="right"/>
            </w:pPr>
            <w:r>
              <w:rPr>
                <w:color w:val="1C3A36"/>
                <w:sz w:val="18"/>
              </w:rPr>
              <w:t>52.48</w:t>
            </w:r>
          </w:p>
        </w:tc>
        <w:tc>
          <w:tcPr>
            <w:tcW w:type="dxa" w:w="1469"/>
          </w:tcPr>
          <w:p>
            <w:pPr>
              <w:spacing w:after="20"/>
              <w:jc w:val="right"/>
            </w:pPr>
            <w:r>
              <w:rPr>
                <w:color w:val="1C3A36"/>
                <w:sz w:val="18"/>
              </w:rPr>
              <w:t>59.31</w:t>
            </w:r>
          </w:p>
        </w:tc>
        <w:tc>
          <w:tcPr>
            <w:tcW w:type="dxa" w:w="1354"/>
          </w:tcPr>
          <w:p>
            <w:pPr>
              <w:spacing w:after="20"/>
              <w:jc w:val="right"/>
            </w:pPr>
            <w:r>
              <w:rPr>
                <w:color w:val="1C3A36"/>
                <w:sz w:val="18"/>
              </w:rPr>
              <w:t>-11.1%</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32.89</w:t>
            </w:r>
          </w:p>
        </w:tc>
        <w:tc>
          <w:tcPr>
            <w:tcW w:type="dxa" w:w="1656"/>
          </w:tcPr>
          <w:p>
            <w:pPr>
              <w:spacing w:after="20"/>
              <w:jc w:val="right"/>
            </w:pPr>
            <w:r>
              <w:rPr>
                <w:color w:val="1C3A36"/>
                <w:sz w:val="18"/>
              </w:rPr>
              <w:t>36.92</w:t>
            </w:r>
          </w:p>
        </w:tc>
        <w:tc>
          <w:tcPr>
            <w:tcW w:type="dxa" w:w="1469"/>
          </w:tcPr>
          <w:p>
            <w:pPr>
              <w:spacing w:after="20"/>
              <w:jc w:val="right"/>
            </w:pPr>
            <w:r>
              <w:rPr>
                <w:color w:val="1C3A36"/>
                <w:sz w:val="18"/>
              </w:rPr>
              <w:t>42.30</w:t>
            </w:r>
          </w:p>
        </w:tc>
        <w:tc>
          <w:tcPr>
            <w:tcW w:type="dxa" w:w="1354"/>
          </w:tcPr>
          <w:p>
            <w:pPr>
              <w:spacing w:after="20"/>
              <w:jc w:val="right"/>
            </w:pPr>
            <w:r>
              <w:rPr>
                <w:color w:val="1C3A36"/>
                <w:sz w:val="18"/>
              </w:rPr>
              <w:t>-37.4%</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52.48</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-11.1%</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