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3 September 2026, issued 10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ABOVE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22.57 a share against a market price of EGP 13.50. Fair value sits 67.2% ABOVE the price; equivalently the price stands 40.2% BELOW fair value. The range across the lenses is EGP 1.65 to 31.27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21.65, 60.4%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9.37%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66%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1.65</w:t>
            </w:r>
          </w:p>
        </w:tc>
        <w:tc>
          <w:tcPr>
            <w:tcW w:type="dxa" w:w="1037"/>
          </w:tcPr>
          <w:p>
            <w:pPr>
              <w:spacing w:after="20"/>
              <w:jc w:val="right"/>
            </w:pPr>
            <w:r>
              <w:rPr>
                <w:color w:val="1C3A36"/>
                <w:sz w:val="18"/>
              </w:rPr>
              <w:t>22.57</w:t>
            </w:r>
          </w:p>
        </w:tc>
        <w:tc>
          <w:tcPr>
            <w:tcW w:type="dxa" w:w="1037"/>
          </w:tcPr>
          <w:p>
            <w:pPr>
              <w:spacing w:after="20"/>
              <w:jc w:val="right"/>
            </w:pPr>
            <w:r>
              <w:rPr>
                <w:color w:val="1C3A36"/>
                <w:sz w:val="18"/>
              </w:rPr>
              <w:t>31.27</w:t>
            </w:r>
          </w:p>
        </w:tc>
        <w:tc>
          <w:tcPr>
            <w:tcW w:type="dxa" w:w="1037"/>
          </w:tcPr>
          <w:p>
            <w:pPr>
              <w:spacing w:after="20"/>
              <w:jc w:val="right"/>
            </w:pPr>
            <w:r>
              <w:rPr>
                <w:color w:val="1C3A36"/>
                <w:sz w:val="18"/>
              </w:rPr>
              <w:t>67.2%</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16.09</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5.27</w:t>
            </w:r>
          </w:p>
        </w:tc>
        <w:tc>
          <w:tcPr>
            <w:tcW w:type="dxa" w:w="1037"/>
          </w:tcPr>
          <w:p>
            <w:pPr>
              <w:spacing w:after="20"/>
              <w:jc w:val="right"/>
            </w:pPr>
            <w:r>
              <w:rPr>
                <w:color w:val="1C3A36"/>
                <w:sz w:val="18"/>
              </w:rPr>
              <w:t>7.13</w:t>
            </w:r>
          </w:p>
        </w:tc>
        <w:tc>
          <w:tcPr>
            <w:tcW w:type="dxa" w:w="1037"/>
          </w:tcPr>
          <w:p>
            <w:pPr>
              <w:spacing w:after="20"/>
              <w:jc w:val="right"/>
            </w:pPr>
            <w:r>
              <w:rPr>
                <w:color w:val="1C3A36"/>
                <w:sz w:val="18"/>
              </w:rPr>
              <w:t>8.15</w:t>
            </w:r>
          </w:p>
        </w:tc>
        <w:tc>
          <w:tcPr>
            <w:tcW w:type="dxa" w:w="1037"/>
          </w:tcPr>
          <w:p>
            <w:pPr>
              <w:spacing w:after="20"/>
              <w:jc w:val="right"/>
            </w:pPr>
            <w:r>
              <w:rPr>
                <w:color w:val="1C3A36"/>
                <w:sz w:val="18"/>
              </w:rPr>
              <w:t>-47.1%</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1.65</w:t>
            </w:r>
          </w:p>
        </w:tc>
        <w:tc>
          <w:tcPr>
            <w:tcW w:type="dxa" w:w="1037"/>
            <w:shd w:val="clear" w:color="auto" w:fill="F6F1E6"/>
          </w:tcPr>
          <w:p>
            <w:pPr>
              <w:spacing w:after="20"/>
              <w:jc w:val="right"/>
            </w:pPr>
            <w:r>
              <w:rPr>
                <w:b/>
                <w:color w:val="1C3A36"/>
                <w:sz w:val="18"/>
              </w:rPr>
              <w:t>22.57</w:t>
            </w:r>
          </w:p>
        </w:tc>
        <w:tc>
          <w:tcPr>
            <w:tcW w:type="dxa" w:w="1037"/>
            <w:shd w:val="clear" w:color="auto" w:fill="F6F1E6"/>
          </w:tcPr>
          <w:p>
            <w:pPr>
              <w:spacing w:after="20"/>
              <w:jc w:val="right"/>
            </w:pPr>
            <w:r>
              <w:rPr>
                <w:b/>
                <w:color w:val="1C3A36"/>
                <w:sz w:val="18"/>
              </w:rPr>
              <w:t>31.27</w:t>
            </w:r>
          </w:p>
        </w:tc>
        <w:tc>
          <w:tcPr>
            <w:tcW w:type="dxa" w:w="1037"/>
            <w:shd w:val="clear" w:color="auto" w:fill="F6F1E6"/>
          </w:tcPr>
          <w:p>
            <w:pPr>
              <w:spacing w:after="20"/>
              <w:jc w:val="right"/>
            </w:pPr>
            <w:r>
              <w:rPr>
                <w:b/>
                <w:color w:val="1C3A36"/>
                <w:sz w:val="18"/>
              </w:rPr>
              <w:t>67.2%</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1.65–31.27; that is reported as an ENVELOPE. The retired 45/20/20/15 blend of these four would read EGP 16.34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20.38  (-9.7%)</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20.82  (-7.7%)</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20.25  (-10.3%)</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9.00%</w:t>
            </w:r>
          </w:p>
        </w:tc>
        <w:tc>
          <w:tcPr>
            <w:tcW w:type="dxa" w:w="4824"/>
          </w:tcPr>
          <w:p>
            <w:pPr>
              <w:spacing w:after="20"/>
            </w:pPr>
            <w:r>
              <w:rPr>
                <w:color w:val="1C3A36"/>
                <w:sz w:val="17"/>
              </w:rPr>
              <w:t>Egypt 10-year local currency. The TERMINAL rate is DERIVED, not typed: the central bank’s inflation target IN FORCE for the terminal horizon (7%) plus a 2.0% real convention, which is the 9.00% beside it</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0.906</w:t>
            </w:r>
          </w:p>
        </w:tc>
        <w:tc>
          <w:tcPr>
            <w:tcW w:type="dxa" w:w="1296"/>
          </w:tcPr>
          <w:p>
            <w:pPr>
              <w:spacing w:after="20"/>
              <w:jc w:val="right"/>
            </w:pPr>
            <w:r>
              <w:rPr>
                <w:color w:val="1C3A36"/>
                <w:sz w:val="17"/>
              </w:rPr>
              <w:t>0.906</w:t>
            </w:r>
          </w:p>
        </w:tc>
        <w:tc>
          <w:tcPr>
            <w:tcW w:type="dxa" w:w="4824"/>
          </w:tcPr>
          <w:p>
            <w:pPr>
              <w:spacing w:after="20"/>
            </w:pPr>
            <w:r>
              <w:rPr>
                <w:color w:val="1C3A36"/>
                <w:sz w:val="17"/>
              </w:rPr>
              <w:t>own-stock regression, n=256, R² 23.6%, standard error 0.175, 90% interval [0.619, 1.193]</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15.34%</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14.98%</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30.40%</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27.4% cost of equity — and THEN added the same cash back at face in the bridge, which charges for it twice. This edition values the operations at the unlevered rate of 27.44%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27.44%</w:t>
            </w:r>
          </w:p>
        </w:tc>
        <w:tc>
          <w:tcPr>
            <w:tcW w:type="dxa" w:w="1195"/>
          </w:tcPr>
          <w:p>
            <w:pPr>
              <w:spacing w:after="20"/>
              <w:jc w:val="right"/>
            </w:pPr>
            <w:r>
              <w:rPr>
                <w:color w:val="1C3A36"/>
                <w:sz w:val="17"/>
              </w:rPr>
              <w:t>21.00%</w:t>
            </w:r>
          </w:p>
        </w:tc>
        <w:tc>
          <w:tcPr>
            <w:tcW w:type="dxa" w:w="1195"/>
          </w:tcPr>
          <w:p>
            <w:pPr>
              <w:spacing w:after="20"/>
              <w:jc w:val="right"/>
            </w:pPr>
            <w:r>
              <w:rPr>
                <w:color w:val="1C3A36"/>
                <w:sz w:val="17"/>
              </w:rPr>
              <w:t>18.32%</w:t>
            </w:r>
          </w:p>
        </w:tc>
        <w:tc>
          <w:tcPr>
            <w:tcW w:type="dxa" w:w="1195"/>
          </w:tcPr>
          <w:p>
            <w:pPr>
              <w:spacing w:after="20"/>
              <w:jc w:val="right"/>
            </w:pPr>
            <w:r>
              <w:rPr>
                <w:color w:val="1C3A36"/>
                <w:sz w:val="17"/>
              </w:rPr>
              <w:t>16.32%</w:t>
            </w:r>
          </w:p>
        </w:tc>
        <w:tc>
          <w:tcPr>
            <w:tcW w:type="dxa" w:w="1195"/>
          </w:tcPr>
          <w:p>
            <w:pPr>
              <w:spacing w:after="20"/>
              <w:jc w:val="right"/>
            </w:pPr>
            <w:r>
              <w:rPr>
                <w:color w:val="1C3A36"/>
                <w:sz w:val="17"/>
              </w:rPr>
              <w:t>14.98%</w:t>
            </w:r>
          </w:p>
        </w:tc>
        <w:tc>
          <w:tcPr>
            <w:tcW w:type="dxa" w:w="1224"/>
          </w:tcPr>
          <w:p>
            <w:pPr>
              <w:spacing w:after="20"/>
              <w:jc w:val="right"/>
            </w:pPr>
            <w:r>
              <w:rPr>
                <w:color w:val="1C3A36"/>
                <w:sz w:val="17"/>
              </w:rPr>
              <w:t>14.98%</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0.78469</w:t>
            </w:r>
          </w:p>
        </w:tc>
        <w:tc>
          <w:tcPr>
            <w:tcW w:type="dxa" w:w="1195"/>
          </w:tcPr>
          <w:p>
            <w:pPr>
              <w:spacing w:after="20"/>
              <w:jc w:val="right"/>
            </w:pPr>
            <w:r>
              <w:rPr>
                <w:color w:val="1C3A36"/>
                <w:sz w:val="17"/>
              </w:rPr>
              <w:t>0.64850</w:t>
            </w:r>
          </w:p>
        </w:tc>
        <w:tc>
          <w:tcPr>
            <w:tcW w:type="dxa" w:w="1195"/>
          </w:tcPr>
          <w:p>
            <w:pPr>
              <w:spacing w:after="20"/>
              <w:jc w:val="right"/>
            </w:pPr>
            <w:r>
              <w:rPr>
                <w:color w:val="1C3A36"/>
                <w:sz w:val="17"/>
              </w:rPr>
              <w:t>0.54807</w:t>
            </w:r>
          </w:p>
        </w:tc>
        <w:tc>
          <w:tcPr>
            <w:tcW w:type="dxa" w:w="1195"/>
          </w:tcPr>
          <w:p>
            <w:pPr>
              <w:spacing w:after="20"/>
              <w:jc w:val="right"/>
            </w:pPr>
            <w:r>
              <w:rPr>
                <w:color w:val="1C3A36"/>
                <w:sz w:val="17"/>
              </w:rPr>
              <w:t>0.47119</w:t>
            </w:r>
          </w:p>
        </w:tc>
        <w:tc>
          <w:tcPr>
            <w:tcW w:type="dxa" w:w="1195"/>
          </w:tcPr>
          <w:p>
            <w:pPr>
              <w:spacing w:after="20"/>
              <w:jc w:val="right"/>
            </w:pPr>
            <w:r>
              <w:rPr>
                <w:color w:val="1C3A36"/>
                <w:sz w:val="17"/>
              </w:rPr>
              <w:t>0.40981</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0.78469</w:t>
            </w:r>
          </w:p>
        </w:tc>
        <w:tc>
          <w:tcPr>
            <w:tcW w:type="dxa" w:w="1238"/>
          </w:tcPr>
          <w:p>
            <w:pPr>
              <w:spacing w:after="20"/>
              <w:jc w:val="right"/>
            </w:pPr>
            <w:r>
              <w:rPr>
                <w:color w:val="1C3A36"/>
                <w:sz w:val="17"/>
              </w:rPr>
              <w:t>0.64850</w:t>
            </w:r>
          </w:p>
        </w:tc>
        <w:tc>
          <w:tcPr>
            <w:tcW w:type="dxa" w:w="1238"/>
          </w:tcPr>
          <w:p>
            <w:pPr>
              <w:spacing w:after="20"/>
              <w:jc w:val="right"/>
            </w:pPr>
            <w:r>
              <w:rPr>
                <w:color w:val="1C3A36"/>
                <w:sz w:val="17"/>
              </w:rPr>
              <w:t>0.54807</w:t>
            </w:r>
          </w:p>
        </w:tc>
        <w:tc>
          <w:tcPr>
            <w:tcW w:type="dxa" w:w="1238"/>
          </w:tcPr>
          <w:p>
            <w:pPr>
              <w:spacing w:after="20"/>
              <w:jc w:val="right"/>
            </w:pPr>
            <w:r>
              <w:rPr>
                <w:color w:val="1C3A36"/>
                <w:sz w:val="17"/>
              </w:rPr>
              <w:t>0.47119</w:t>
            </w:r>
          </w:p>
        </w:tc>
        <w:tc>
          <w:tcPr>
            <w:tcW w:type="dxa" w:w="1238"/>
          </w:tcPr>
          <w:p>
            <w:pPr>
              <w:spacing w:after="20"/>
              <w:jc w:val="right"/>
            </w:pPr>
            <w:r>
              <w:rPr>
                <w:color w:val="1C3A36"/>
                <w:sz w:val="17"/>
              </w:rPr>
              <w:t>0.40981</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2,037</w:t>
            </w:r>
          </w:p>
        </w:tc>
        <w:tc>
          <w:tcPr>
            <w:tcW w:type="dxa" w:w="1238"/>
            <w:shd w:val="clear" w:color="auto" w:fill="F6F1E6"/>
          </w:tcPr>
          <w:p>
            <w:pPr>
              <w:spacing w:after="20"/>
              <w:jc w:val="right"/>
            </w:pPr>
            <w:r>
              <w:rPr>
                <w:b/>
                <w:color w:val="1C3A36"/>
                <w:sz w:val="17"/>
              </w:rPr>
              <w:t>1,868</w:t>
            </w:r>
          </w:p>
        </w:tc>
        <w:tc>
          <w:tcPr>
            <w:tcW w:type="dxa" w:w="1238"/>
            <w:shd w:val="clear" w:color="auto" w:fill="F6F1E6"/>
          </w:tcPr>
          <w:p>
            <w:pPr>
              <w:spacing w:after="20"/>
              <w:jc w:val="right"/>
            </w:pPr>
            <w:r>
              <w:rPr>
                <w:b/>
                <w:color w:val="1C3A36"/>
                <w:sz w:val="17"/>
              </w:rPr>
              <w:t>1,691</w:t>
            </w:r>
          </w:p>
        </w:tc>
        <w:tc>
          <w:tcPr>
            <w:tcW w:type="dxa" w:w="1238"/>
            <w:shd w:val="clear" w:color="auto" w:fill="F6F1E6"/>
          </w:tcPr>
          <w:p>
            <w:pPr>
              <w:spacing w:after="20"/>
              <w:jc w:val="right"/>
            </w:pPr>
            <w:r>
              <w:rPr>
                <w:b/>
                <w:color w:val="1C3A36"/>
                <w:sz w:val="17"/>
              </w:rPr>
              <w:t>1,523</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9,308</w:t>
            </w:r>
          </w:p>
        </w:tc>
        <w:tc>
          <w:tcPr>
            <w:tcW w:type="dxa" w:w="1296"/>
          </w:tcPr>
          <w:p>
            <w:pPr>
              <w:spacing w:after="20"/>
              <w:jc w:val="right"/>
            </w:pPr>
            <w:r>
              <w:rPr>
                <w:color w:val="1C3A36"/>
                <w:sz w:val="17"/>
              </w:rPr>
              <w:t>7.21</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18,411</w:t>
            </w:r>
          </w:p>
        </w:tc>
        <w:tc>
          <w:tcPr>
            <w:tcW w:type="dxa" w:w="1296"/>
          </w:tcPr>
          <w:p>
            <w:pPr>
              <w:spacing w:after="20"/>
              <w:jc w:val="right"/>
            </w:pPr>
            <w:r>
              <w:rPr>
                <w:color w:val="1C3A36"/>
                <w:sz w:val="17"/>
              </w:rPr>
              <w:t>14.26</w:t>
            </w:r>
          </w:p>
        </w:tc>
        <w:tc>
          <w:tcPr>
            <w:tcW w:type="dxa" w:w="3600"/>
          </w:tcPr>
          <w:p>
            <w:pPr>
              <w:spacing w:after="20"/>
            </w:pPr>
            <w:r>
              <w:rPr>
                <w:color w:val="1C3A36"/>
                <w:sz w:val="17"/>
              </w:rPr>
              <w:t>66.4%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27,719</w:t>
            </w:r>
          </w:p>
        </w:tc>
        <w:tc>
          <w:tcPr>
            <w:tcW w:type="dxa" w:w="1296"/>
            <w:shd w:val="clear" w:color="auto" w:fill="F6F1E6"/>
          </w:tcPr>
          <w:p>
            <w:pPr>
              <w:spacing w:after="20"/>
              <w:jc w:val="right"/>
            </w:pPr>
            <w:r>
              <w:rPr>
                <w:b/>
                <w:color w:val="1C3A36"/>
                <w:sz w:val="17"/>
              </w:rPr>
              <w:t>21.46</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30,720</w:t>
            </w:r>
          </w:p>
        </w:tc>
        <w:tc>
          <w:tcPr>
            <w:tcW w:type="dxa" w:w="1296"/>
          </w:tcPr>
          <w:p>
            <w:pPr>
              <w:spacing w:after="20"/>
              <w:jc w:val="right"/>
            </w:pPr>
            <w:r>
              <w:rPr>
                <w:color w:val="1C3A36"/>
                <w:sz w:val="17"/>
              </w:rPr>
              <w:t>23.79</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(910)</w:t>
            </w:r>
          </w:p>
        </w:tc>
        <w:tc>
          <w:tcPr>
            <w:tcW w:type="dxa" w:w="1296"/>
          </w:tcPr>
          <w:p>
            <w:pPr>
              <w:spacing w:after="20"/>
              <w:jc w:val="right"/>
            </w:pPr>
            <w:r>
              <w:rPr>
                <w:color w:val="1C3A36"/>
                <w:sz w:val="17"/>
              </w:rPr>
              <w:t>(0.70)</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29,150</w:t>
            </w:r>
          </w:p>
        </w:tc>
        <w:tc>
          <w:tcPr>
            <w:tcW w:type="dxa" w:w="1296"/>
            <w:shd w:val="clear" w:color="auto" w:fill="F6F1E6"/>
          </w:tcPr>
          <w:p>
            <w:pPr>
              <w:spacing w:after="20"/>
              <w:jc w:val="right"/>
            </w:pPr>
            <w:r>
              <w:rPr>
                <w:b/>
                <w:color w:val="1C3A36"/>
                <w:sz w:val="17"/>
              </w:rPr>
              <w:t>22.57</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1.22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66.4%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18.48 at 3% to 22.57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19.57</w:t>
            </w:r>
          </w:p>
        </w:tc>
        <w:tc>
          <w:tcPr>
            <w:tcW w:type="dxa" w:w="1080"/>
          </w:tcPr>
          <w:p>
            <w:pPr>
              <w:spacing w:after="20"/>
              <w:jc w:val="right"/>
            </w:pPr>
            <w:r>
              <w:rPr>
                <w:color w:val="1C3A36"/>
                <w:sz w:val="17"/>
              </w:rPr>
              <w:t>21.07</w:t>
            </w:r>
          </w:p>
        </w:tc>
        <w:tc>
          <w:tcPr>
            <w:tcW w:type="dxa" w:w="1080"/>
          </w:tcPr>
          <w:p>
            <w:pPr>
              <w:spacing w:after="20"/>
              <w:jc w:val="right"/>
            </w:pPr>
            <w:r>
              <w:rPr>
                <w:color w:val="1C3A36"/>
                <w:sz w:val="17"/>
              </w:rPr>
              <w:t>22.57</w:t>
            </w:r>
          </w:p>
        </w:tc>
        <w:tc>
          <w:tcPr>
            <w:tcW w:type="dxa" w:w="1080"/>
          </w:tcPr>
          <w:p>
            <w:pPr>
              <w:spacing w:after="20"/>
              <w:jc w:val="right"/>
            </w:pPr>
            <w:r>
              <w:rPr>
                <w:color w:val="1C3A36"/>
                <w:sz w:val="17"/>
              </w:rPr>
              <w:t>24.07</w:t>
            </w:r>
          </w:p>
        </w:tc>
        <w:tc>
          <w:tcPr>
            <w:tcW w:type="dxa" w:w="1080"/>
          </w:tcPr>
          <w:p>
            <w:pPr>
              <w:spacing w:after="20"/>
              <w:jc w:val="right"/>
            </w:pPr>
            <w:r>
              <w:rPr>
                <w:color w:val="1C3A36"/>
                <w:sz w:val="17"/>
              </w:rPr>
              <w:t>25.57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15.19</w:t>
            </w:r>
          </w:p>
        </w:tc>
        <w:tc>
          <w:tcPr>
            <w:tcW w:type="dxa" w:w="1080"/>
          </w:tcPr>
          <w:p>
            <w:pPr>
              <w:spacing w:after="20"/>
              <w:jc w:val="right"/>
            </w:pPr>
            <w:r>
              <w:rPr>
                <w:color w:val="1C3A36"/>
                <w:sz w:val="17"/>
              </w:rPr>
              <w:t>18.67</w:t>
            </w:r>
          </w:p>
        </w:tc>
        <w:tc>
          <w:tcPr>
            <w:tcW w:type="dxa" w:w="1080"/>
          </w:tcPr>
          <w:p>
            <w:pPr>
              <w:spacing w:after="20"/>
              <w:jc w:val="right"/>
            </w:pPr>
            <w:r>
              <w:rPr>
                <w:color w:val="1C3A36"/>
                <w:sz w:val="17"/>
              </w:rPr>
              <w:t>22.57</w:t>
            </w:r>
          </w:p>
        </w:tc>
        <w:tc>
          <w:tcPr>
            <w:tcW w:type="dxa" w:w="1080"/>
          </w:tcPr>
          <w:p>
            <w:pPr>
              <w:spacing w:after="20"/>
              <w:jc w:val="right"/>
            </w:pPr>
            <w:r>
              <w:rPr>
                <w:color w:val="1C3A36"/>
                <w:sz w:val="17"/>
              </w:rPr>
              <w:t>26.35</w:t>
            </w:r>
          </w:p>
        </w:tc>
        <w:tc>
          <w:tcPr>
            <w:tcW w:type="dxa" w:w="1080"/>
          </w:tcPr>
          <w:p>
            <w:pPr>
              <w:spacing w:after="20"/>
              <w:jc w:val="right"/>
            </w:pPr>
            <w:r>
              <w:rPr>
                <w:color w:val="1C3A36"/>
                <w:sz w:val="17"/>
              </w:rPr>
              <w:t>30.57</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21.52</w:t>
            </w:r>
          </w:p>
        </w:tc>
        <w:tc>
          <w:tcPr>
            <w:tcW w:type="dxa" w:w="1080"/>
          </w:tcPr>
          <w:p>
            <w:pPr>
              <w:spacing w:after="20"/>
              <w:jc w:val="right"/>
            </w:pPr>
            <w:r>
              <w:rPr>
                <w:color w:val="1C3A36"/>
                <w:sz w:val="17"/>
              </w:rPr>
              <w:t>22.04</w:t>
            </w:r>
          </w:p>
        </w:tc>
        <w:tc>
          <w:tcPr>
            <w:tcW w:type="dxa" w:w="1080"/>
          </w:tcPr>
          <w:p>
            <w:pPr>
              <w:spacing w:after="20"/>
              <w:jc w:val="right"/>
            </w:pPr>
            <w:r>
              <w:rPr>
                <w:color w:val="1C3A36"/>
                <w:sz w:val="17"/>
              </w:rPr>
              <w:t>22.57</w:t>
            </w:r>
          </w:p>
        </w:tc>
        <w:tc>
          <w:tcPr>
            <w:tcW w:type="dxa" w:w="1080"/>
          </w:tcPr>
          <w:p>
            <w:pPr>
              <w:spacing w:after="20"/>
              <w:jc w:val="right"/>
            </w:pPr>
            <w:r>
              <w:rPr>
                <w:color w:val="1C3A36"/>
                <w:sz w:val="17"/>
              </w:rPr>
              <w:t>23.11</w:t>
            </w:r>
          </w:p>
        </w:tc>
        <w:tc>
          <w:tcPr>
            <w:tcW w:type="dxa" w:w="1080"/>
          </w:tcPr>
          <w:p>
            <w:pPr>
              <w:spacing w:after="20"/>
              <w:jc w:val="right"/>
            </w:pPr>
            <w:r>
              <w:rPr>
                <w:color w:val="1C3A36"/>
                <w:sz w:val="17"/>
              </w:rPr>
              <w:t>23.65</w:t>
            </w:r>
          </w:p>
        </w:tc>
      </w:tr>
      <w:tr>
        <w:tc>
          <w:tcPr>
            <w:tcW w:type="dxa" w:w="4104"/>
          </w:tcPr>
          <w:p>
            <w:pPr>
              <w:spacing w:after="20"/>
            </w:pPr>
            <w:r>
              <w:rPr>
                <w:color w:val="1C3A36"/>
                <w:sz w:val="17"/>
              </w:rPr>
              <w:t>Beta</w:t>
            </w:r>
          </w:p>
        </w:tc>
        <w:tc>
          <w:tcPr>
            <w:tcW w:type="dxa" w:w="1080"/>
          </w:tcPr>
          <w:p>
            <w:pPr>
              <w:spacing w:after="20"/>
              <w:jc w:val="right"/>
            </w:pPr>
            <w:r>
              <w:rPr>
                <w:color w:val="1C3A36"/>
                <w:sz w:val="17"/>
              </w:rPr>
              <w:t>29.24</w:t>
            </w:r>
          </w:p>
        </w:tc>
        <w:tc>
          <w:tcPr>
            <w:tcW w:type="dxa" w:w="1080"/>
          </w:tcPr>
          <w:p>
            <w:pPr>
              <w:spacing w:after="20"/>
              <w:jc w:val="right"/>
            </w:pPr>
            <w:r>
              <w:rPr>
                <w:color w:val="1C3A36"/>
                <w:sz w:val="17"/>
              </w:rPr>
              <w:t>24.49</w:t>
            </w:r>
          </w:p>
        </w:tc>
        <w:tc>
          <w:tcPr>
            <w:tcW w:type="dxa" w:w="1080"/>
          </w:tcPr>
          <w:p>
            <w:pPr>
              <w:spacing w:after="20"/>
              <w:jc w:val="right"/>
            </w:pPr>
            <w:r>
              <w:rPr>
                <w:color w:val="1C3A36"/>
                <w:sz w:val="17"/>
              </w:rPr>
              <w:t>22.57</w:t>
            </w:r>
          </w:p>
        </w:tc>
        <w:tc>
          <w:tcPr>
            <w:tcW w:type="dxa" w:w="1080"/>
          </w:tcPr>
          <w:p>
            <w:pPr>
              <w:spacing w:after="20"/>
              <w:jc w:val="right"/>
            </w:pPr>
            <w:r>
              <w:rPr>
                <w:color w:val="1C3A36"/>
                <w:sz w:val="17"/>
              </w:rPr>
              <w:t>19.20</w:t>
            </w:r>
          </w:p>
        </w:tc>
        <w:tc>
          <w:tcPr>
            <w:tcW w:type="dxa" w:w="1080"/>
          </w:tcPr>
          <w:p>
            <w:pPr>
              <w:spacing w:after="20"/>
              <w:jc w:val="right"/>
            </w:pPr>
            <w:r>
              <w:rPr>
                <w:color w:val="1C3A36"/>
                <w:sz w:val="17"/>
              </w:rPr>
              <w:t>17.61</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24.57</w:t>
            </w:r>
          </w:p>
        </w:tc>
        <w:tc>
          <w:tcPr>
            <w:tcW w:type="dxa" w:w="1080"/>
          </w:tcPr>
          <w:p>
            <w:pPr>
              <w:spacing w:after="20"/>
              <w:jc w:val="right"/>
            </w:pPr>
            <w:r>
              <w:rPr>
                <w:color w:val="1C3A36"/>
                <w:sz w:val="17"/>
              </w:rPr>
              <w:t>23.57</w:t>
            </w:r>
          </w:p>
        </w:tc>
        <w:tc>
          <w:tcPr>
            <w:tcW w:type="dxa" w:w="1080"/>
          </w:tcPr>
          <w:p>
            <w:pPr>
              <w:spacing w:after="20"/>
              <w:jc w:val="right"/>
            </w:pPr>
            <w:r>
              <w:rPr>
                <w:color w:val="1C3A36"/>
                <w:sz w:val="17"/>
              </w:rPr>
              <w:t>22.57</w:t>
            </w:r>
          </w:p>
        </w:tc>
        <w:tc>
          <w:tcPr>
            <w:tcW w:type="dxa" w:w="1080"/>
          </w:tcPr>
          <w:p>
            <w:pPr>
              <w:spacing w:after="20"/>
              <w:jc w:val="right"/>
            </w:pPr>
            <w:r>
              <w:rPr>
                <w:color w:val="1C3A36"/>
                <w:sz w:val="17"/>
              </w:rPr>
              <w:t>21.57</w:t>
            </w:r>
          </w:p>
        </w:tc>
        <w:tc>
          <w:tcPr>
            <w:tcW w:type="dxa" w:w="1080"/>
          </w:tcPr>
          <w:p>
            <w:pPr>
              <w:spacing w:after="20"/>
              <w:jc w:val="right"/>
            </w:pPr>
            <w:r>
              <w:rPr>
                <w:color w:val="1C3A36"/>
                <w:sz w:val="17"/>
              </w:rPr>
              <w:t>20.57</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18.48</w:t>
            </w:r>
          </w:p>
        </w:tc>
        <w:tc>
          <w:tcPr>
            <w:tcW w:type="dxa" w:w="1080"/>
          </w:tcPr>
          <w:p>
            <w:pPr>
              <w:spacing w:after="20"/>
              <w:jc w:val="right"/>
            </w:pPr>
            <w:r>
              <w:rPr>
                <w:color w:val="1C3A36"/>
                <w:sz w:val="17"/>
              </w:rPr>
              <w:t>19.23</w:t>
            </w:r>
          </w:p>
        </w:tc>
        <w:tc>
          <w:tcPr>
            <w:tcW w:type="dxa" w:w="1080"/>
          </w:tcPr>
          <w:p>
            <w:pPr>
              <w:spacing w:after="20"/>
              <w:jc w:val="right"/>
            </w:pPr>
            <w:r>
              <w:rPr>
                <w:color w:val="1C3A36"/>
                <w:sz w:val="17"/>
              </w:rPr>
              <w:t>20.12</w:t>
            </w:r>
          </w:p>
        </w:tc>
        <w:tc>
          <w:tcPr>
            <w:tcW w:type="dxa" w:w="1080"/>
          </w:tcPr>
          <w:p>
            <w:pPr>
              <w:spacing w:after="20"/>
              <w:jc w:val="right"/>
            </w:pPr>
            <w:r>
              <w:rPr>
                <w:color w:val="1C3A36"/>
                <w:sz w:val="17"/>
              </w:rPr>
              <w:t>21.21</w:t>
            </w:r>
          </w:p>
        </w:tc>
        <w:tc>
          <w:tcPr>
            <w:tcW w:type="dxa" w:w="1080"/>
          </w:tcPr>
          <w:p>
            <w:pPr>
              <w:spacing w:after="20"/>
              <w:jc w:val="right"/>
            </w:pPr>
            <w:r>
              <w:rPr>
                <w:color w:val="1C3A36"/>
                <w:sz w:val="17"/>
              </w:rPr>
              <w:t>22.57</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1.50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12.98%</w:t>
            </w:r>
          </w:p>
        </w:tc>
        <w:tc>
          <w:tcPr>
            <w:tcW w:type="dxa" w:w="1224"/>
          </w:tcPr>
          <w:p>
            <w:pPr>
              <w:spacing w:after="20"/>
              <w:jc w:val="right"/>
            </w:pPr>
            <w:r>
              <w:rPr>
                <w:color w:val="1C3A36"/>
                <w:sz w:val="17"/>
              </w:rPr>
              <w:t>21.24</w:t>
            </w:r>
          </w:p>
        </w:tc>
        <w:tc>
          <w:tcPr>
            <w:tcW w:type="dxa" w:w="1224"/>
          </w:tcPr>
          <w:p>
            <w:pPr>
              <w:spacing w:after="20"/>
              <w:jc w:val="right"/>
            </w:pPr>
            <w:r>
              <w:rPr>
                <w:color w:val="1C3A36"/>
                <w:sz w:val="17"/>
              </w:rPr>
              <w:t>22.43</w:t>
            </w:r>
          </w:p>
        </w:tc>
        <w:tc>
          <w:tcPr>
            <w:tcW w:type="dxa" w:w="1224"/>
          </w:tcPr>
          <w:p>
            <w:pPr>
              <w:spacing w:after="20"/>
              <w:jc w:val="right"/>
            </w:pPr>
            <w:r>
              <w:rPr>
                <w:color w:val="1C3A36"/>
                <w:sz w:val="17"/>
              </w:rPr>
              <w:t>23.91</w:t>
            </w:r>
          </w:p>
        </w:tc>
        <w:tc>
          <w:tcPr>
            <w:tcW w:type="dxa" w:w="1224"/>
          </w:tcPr>
          <w:p>
            <w:pPr>
              <w:spacing w:after="20"/>
              <w:jc w:val="right"/>
            </w:pPr>
            <w:r>
              <w:rPr>
                <w:color w:val="1C3A36"/>
                <w:sz w:val="17"/>
              </w:rPr>
              <w:t>25.83</w:t>
            </w:r>
          </w:p>
        </w:tc>
        <w:tc>
          <w:tcPr>
            <w:tcW w:type="dxa" w:w="1224"/>
          </w:tcPr>
          <w:p>
            <w:pPr>
              <w:spacing w:after="20"/>
              <w:jc w:val="right"/>
            </w:pPr>
            <w:r>
              <w:rPr>
                <w:color w:val="1C3A36"/>
                <w:sz w:val="17"/>
              </w:rPr>
              <w:t>28.38</w:t>
            </w:r>
          </w:p>
        </w:tc>
      </w:tr>
      <w:tr>
        <w:tc>
          <w:tcPr>
            <w:tcW w:type="dxa" w:w="3384"/>
          </w:tcPr>
          <w:p>
            <w:pPr>
              <w:spacing w:after="20"/>
            </w:pPr>
            <w:r>
              <w:rPr>
                <w:color w:val="1C3A36"/>
                <w:sz w:val="17"/>
              </w:rPr>
              <w:t>13.98%</w:t>
            </w:r>
          </w:p>
        </w:tc>
        <w:tc>
          <w:tcPr>
            <w:tcW w:type="dxa" w:w="1224"/>
          </w:tcPr>
          <w:p>
            <w:pPr>
              <w:spacing w:after="20"/>
              <w:jc w:val="right"/>
            </w:pPr>
            <w:r>
              <w:rPr>
                <w:color w:val="1C3A36"/>
                <w:sz w:val="17"/>
              </w:rPr>
              <w:t>19.74</w:t>
            </w:r>
          </w:p>
        </w:tc>
        <w:tc>
          <w:tcPr>
            <w:tcW w:type="dxa" w:w="1224"/>
          </w:tcPr>
          <w:p>
            <w:pPr>
              <w:spacing w:after="20"/>
              <w:jc w:val="right"/>
            </w:pPr>
            <w:r>
              <w:rPr>
                <w:color w:val="1C3A36"/>
                <w:sz w:val="17"/>
              </w:rPr>
              <w:t>20.67</w:t>
            </w:r>
          </w:p>
        </w:tc>
        <w:tc>
          <w:tcPr>
            <w:tcW w:type="dxa" w:w="1224"/>
          </w:tcPr>
          <w:p>
            <w:pPr>
              <w:spacing w:after="20"/>
              <w:jc w:val="right"/>
            </w:pPr>
            <w:r>
              <w:rPr>
                <w:color w:val="1C3A36"/>
                <w:sz w:val="17"/>
              </w:rPr>
              <w:t>21.81</w:t>
            </w:r>
          </w:p>
        </w:tc>
        <w:tc>
          <w:tcPr>
            <w:tcW w:type="dxa" w:w="1224"/>
          </w:tcPr>
          <w:p>
            <w:pPr>
              <w:spacing w:after="20"/>
              <w:jc w:val="right"/>
            </w:pPr>
            <w:r>
              <w:rPr>
                <w:color w:val="1C3A36"/>
                <w:sz w:val="17"/>
              </w:rPr>
              <w:t>23.23</w:t>
            </w:r>
          </w:p>
        </w:tc>
        <w:tc>
          <w:tcPr>
            <w:tcW w:type="dxa" w:w="1224"/>
          </w:tcPr>
          <w:p>
            <w:pPr>
              <w:spacing w:after="20"/>
              <w:jc w:val="right"/>
            </w:pPr>
            <w:r>
              <w:rPr>
                <w:color w:val="1C3A36"/>
                <w:sz w:val="17"/>
              </w:rPr>
              <w:t>25.06</w:t>
            </w:r>
          </w:p>
        </w:tc>
      </w:tr>
      <w:tr>
        <w:tc>
          <w:tcPr>
            <w:tcW w:type="dxa" w:w="3384"/>
          </w:tcPr>
          <w:p>
            <w:pPr>
              <w:spacing w:after="20"/>
            </w:pPr>
            <w:r>
              <w:rPr>
                <w:color w:val="1C3A36"/>
                <w:sz w:val="17"/>
              </w:rPr>
              <w:t>14.98%</w:t>
            </w:r>
          </w:p>
        </w:tc>
        <w:tc>
          <w:tcPr>
            <w:tcW w:type="dxa" w:w="1224"/>
          </w:tcPr>
          <w:p>
            <w:pPr>
              <w:spacing w:after="20"/>
              <w:jc w:val="right"/>
            </w:pPr>
            <w:r>
              <w:rPr>
                <w:color w:val="1C3A36"/>
                <w:sz w:val="17"/>
              </w:rPr>
              <w:t>18.48</w:t>
            </w:r>
          </w:p>
        </w:tc>
        <w:tc>
          <w:tcPr>
            <w:tcW w:type="dxa" w:w="1224"/>
          </w:tcPr>
          <w:p>
            <w:pPr>
              <w:spacing w:after="20"/>
              <w:jc w:val="right"/>
            </w:pPr>
            <w:r>
              <w:rPr>
                <w:color w:val="1C3A36"/>
                <w:sz w:val="17"/>
              </w:rPr>
              <w:t>19.23</w:t>
            </w:r>
          </w:p>
        </w:tc>
        <w:tc>
          <w:tcPr>
            <w:tcW w:type="dxa" w:w="1224"/>
          </w:tcPr>
          <w:p>
            <w:pPr>
              <w:spacing w:after="20"/>
              <w:jc w:val="right"/>
            </w:pPr>
            <w:r>
              <w:rPr>
                <w:color w:val="1C3A36"/>
                <w:sz w:val="17"/>
              </w:rPr>
              <w:t>20.12</w:t>
            </w:r>
          </w:p>
        </w:tc>
        <w:tc>
          <w:tcPr>
            <w:tcW w:type="dxa" w:w="1224"/>
          </w:tcPr>
          <w:p>
            <w:pPr>
              <w:spacing w:after="20"/>
              <w:jc w:val="right"/>
            </w:pPr>
            <w:r>
              <w:rPr>
                <w:color w:val="1C3A36"/>
                <w:sz w:val="17"/>
              </w:rPr>
              <w:t>21.21</w:t>
            </w:r>
          </w:p>
        </w:tc>
        <w:tc>
          <w:tcPr>
            <w:tcW w:type="dxa" w:w="1224"/>
          </w:tcPr>
          <w:p>
            <w:pPr>
              <w:spacing w:after="20"/>
              <w:jc w:val="right"/>
            </w:pPr>
            <w:r>
              <w:rPr>
                <w:color w:val="1C3A36"/>
                <w:sz w:val="17"/>
              </w:rPr>
              <w:t>22.57</w:t>
            </w:r>
          </w:p>
        </w:tc>
      </w:tr>
      <w:tr>
        <w:tc>
          <w:tcPr>
            <w:tcW w:type="dxa" w:w="3384"/>
          </w:tcPr>
          <w:p>
            <w:pPr>
              <w:spacing w:after="20"/>
            </w:pPr>
            <w:r>
              <w:rPr>
                <w:color w:val="1C3A36"/>
                <w:sz w:val="17"/>
              </w:rPr>
              <w:t>15.98%</w:t>
            </w:r>
          </w:p>
        </w:tc>
        <w:tc>
          <w:tcPr>
            <w:tcW w:type="dxa" w:w="1224"/>
          </w:tcPr>
          <w:p>
            <w:pPr>
              <w:spacing w:after="20"/>
              <w:jc w:val="right"/>
            </w:pPr>
            <w:r>
              <w:rPr>
                <w:color w:val="1C3A36"/>
                <w:sz w:val="17"/>
              </w:rPr>
              <w:t>17.42</w:t>
            </w:r>
          </w:p>
        </w:tc>
        <w:tc>
          <w:tcPr>
            <w:tcW w:type="dxa" w:w="1224"/>
          </w:tcPr>
          <w:p>
            <w:pPr>
              <w:spacing w:after="20"/>
              <w:jc w:val="right"/>
            </w:pPr>
            <w:r>
              <w:rPr>
                <w:color w:val="1C3A36"/>
                <w:sz w:val="17"/>
              </w:rPr>
              <w:t>18.02</w:t>
            </w:r>
          </w:p>
        </w:tc>
        <w:tc>
          <w:tcPr>
            <w:tcW w:type="dxa" w:w="1224"/>
          </w:tcPr>
          <w:p>
            <w:pPr>
              <w:spacing w:after="20"/>
              <w:jc w:val="right"/>
            </w:pPr>
            <w:r>
              <w:rPr>
                <w:color w:val="1C3A36"/>
                <w:sz w:val="17"/>
              </w:rPr>
              <w:t>18.73</w:t>
            </w:r>
          </w:p>
        </w:tc>
        <w:tc>
          <w:tcPr>
            <w:tcW w:type="dxa" w:w="1224"/>
          </w:tcPr>
          <w:p>
            <w:pPr>
              <w:spacing w:after="20"/>
              <w:jc w:val="right"/>
            </w:pPr>
            <w:r>
              <w:rPr>
                <w:color w:val="1C3A36"/>
                <w:sz w:val="17"/>
              </w:rPr>
              <w:t>19.59</w:t>
            </w:r>
          </w:p>
        </w:tc>
        <w:tc>
          <w:tcPr>
            <w:tcW w:type="dxa" w:w="1224"/>
          </w:tcPr>
          <w:p>
            <w:pPr>
              <w:spacing w:after="20"/>
              <w:jc w:val="right"/>
            </w:pPr>
            <w:r>
              <w:rPr>
                <w:color w:val="1C3A36"/>
                <w:sz w:val="17"/>
              </w:rPr>
              <w:t>20.63</w:t>
            </w:r>
          </w:p>
        </w:tc>
      </w:tr>
      <w:tr>
        <w:tc>
          <w:tcPr>
            <w:tcW w:type="dxa" w:w="3384"/>
          </w:tcPr>
          <w:p>
            <w:pPr>
              <w:spacing w:after="20"/>
            </w:pPr>
            <w:r>
              <w:rPr>
                <w:color w:val="1C3A36"/>
                <w:sz w:val="17"/>
              </w:rPr>
              <w:t>16.98%</w:t>
            </w:r>
          </w:p>
        </w:tc>
        <w:tc>
          <w:tcPr>
            <w:tcW w:type="dxa" w:w="1224"/>
          </w:tcPr>
          <w:p>
            <w:pPr>
              <w:spacing w:after="20"/>
              <w:jc w:val="right"/>
            </w:pPr>
            <w:r>
              <w:rPr>
                <w:color w:val="1C3A36"/>
                <w:sz w:val="17"/>
              </w:rPr>
              <w:t>16.51</w:t>
            </w:r>
          </w:p>
        </w:tc>
        <w:tc>
          <w:tcPr>
            <w:tcW w:type="dxa" w:w="1224"/>
          </w:tcPr>
          <w:p>
            <w:pPr>
              <w:spacing w:after="20"/>
              <w:jc w:val="right"/>
            </w:pPr>
            <w:r>
              <w:rPr>
                <w:color w:val="1C3A36"/>
                <w:sz w:val="17"/>
              </w:rPr>
              <w:t>17.00</w:t>
            </w:r>
          </w:p>
        </w:tc>
        <w:tc>
          <w:tcPr>
            <w:tcW w:type="dxa" w:w="1224"/>
          </w:tcPr>
          <w:p>
            <w:pPr>
              <w:spacing w:after="20"/>
              <w:jc w:val="right"/>
            </w:pPr>
            <w:r>
              <w:rPr>
                <w:color w:val="1C3A36"/>
                <w:sz w:val="17"/>
              </w:rPr>
              <w:t>17.58</w:t>
            </w:r>
          </w:p>
        </w:tc>
        <w:tc>
          <w:tcPr>
            <w:tcW w:type="dxa" w:w="1224"/>
          </w:tcPr>
          <w:p>
            <w:pPr>
              <w:spacing w:after="20"/>
              <w:jc w:val="right"/>
            </w:pPr>
            <w:r>
              <w:rPr>
                <w:color w:val="1C3A36"/>
                <w:sz w:val="17"/>
              </w:rPr>
              <w:t>18.26</w:t>
            </w:r>
          </w:p>
        </w:tc>
        <w:tc>
          <w:tcPr>
            <w:tcW w:type="dxa" w:w="1224"/>
          </w:tcPr>
          <w:p>
            <w:pPr>
              <w:spacing w:after="20"/>
              <w:jc w:val="right"/>
            </w:pPr>
            <w:r>
              <w:rPr>
                <w:color w:val="1C3A36"/>
                <w:sz w:val="17"/>
              </w:rPr>
              <w:t>19.08</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1.65</w:t>
            </w:r>
          </w:p>
        </w:tc>
        <w:tc>
          <w:tcPr>
            <w:tcW w:type="dxa" w:w="1512"/>
          </w:tcPr>
          <w:p>
            <w:pPr>
              <w:spacing w:after="20"/>
              <w:jc w:val="right"/>
            </w:pPr>
            <w:r>
              <w:rPr>
                <w:color w:val="1C3A36"/>
                <w:sz w:val="17"/>
              </w:rPr>
              <w:t>22.57</w:t>
            </w:r>
          </w:p>
        </w:tc>
        <w:tc>
          <w:tcPr>
            <w:tcW w:type="dxa" w:w="1512"/>
          </w:tcPr>
          <w:p>
            <w:pPr>
              <w:spacing w:after="20"/>
              <w:jc w:val="right"/>
            </w:pPr>
            <w:r>
              <w:rPr>
                <w:color w:val="1C3A36"/>
                <w:sz w:val="17"/>
              </w:rPr>
              <w:t>31.27</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1.52 times = (sustainable return 28% less growth) over (cost of equity 20.83% less growth), on book value of EGP 4.70: EGP 7.13.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20.82</w:t>
            </w:r>
          </w:p>
        </w:tc>
        <w:tc>
          <w:tcPr>
            <w:tcW w:type="dxa" w:w="1224"/>
          </w:tcPr>
          <w:p>
            <w:pPr>
              <w:spacing w:after="20"/>
              <w:jc w:val="right"/>
            </w:pPr>
            <w:r>
              <w:rPr>
                <w:color w:val="1C3A36"/>
                <w:sz w:val="17"/>
              </w:rPr>
              <w:t>54.2%</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20.25</w:t>
            </w:r>
          </w:p>
        </w:tc>
        <w:tc>
          <w:tcPr>
            <w:tcW w:type="dxa" w:w="1224"/>
          </w:tcPr>
          <w:p>
            <w:pPr>
              <w:spacing w:after="20"/>
              <w:jc w:val="right"/>
            </w:pPr>
            <w:r>
              <w:rPr>
                <w:color w:val="1C3A36"/>
                <w:sz w:val="17"/>
              </w:rPr>
              <w:t>50.0%</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20.38</w:t>
            </w:r>
          </w:p>
        </w:tc>
        <w:tc>
          <w:tcPr>
            <w:tcW w:type="dxa" w:w="1224"/>
          </w:tcPr>
          <w:p>
            <w:pPr>
              <w:spacing w:after="20"/>
              <w:jc w:val="right"/>
            </w:pPr>
            <w:r>
              <w:rPr>
                <w:color w:val="1C3A36"/>
                <w:sz w:val="17"/>
              </w:rPr>
              <w:t>51.0%</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35.6%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21.65</w:t>
            </w:r>
          </w:p>
        </w:tc>
        <w:tc>
          <w:tcPr>
            <w:tcW w:type="dxa" w:w="1224"/>
            <w:shd w:val="clear" w:color="auto" w:fill="F6F1E6"/>
          </w:tcPr>
          <w:p>
            <w:pPr>
              <w:spacing w:after="20"/>
              <w:jc w:val="right"/>
            </w:pPr>
            <w:r>
              <w:rPr>
                <w:b/>
                <w:color w:val="1C3A36"/>
                <w:sz w:val="17"/>
              </w:rPr>
              <w:t>60.4%</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 contested charge at once and the cash-flow lens reaches EGP 21.65, 60.4% above the market price of EGP 13.50.</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Every concession moves the answer further above the price rather than toward it, which is what makes this table adversarial in the direction that matters: the case against this valuation is not that it has been generous.</w:t>
      </w:r>
    </w:p>
    <w:p>
      <w:pPr>
        <w:spacing w:after="120" w:before="0"/>
      </w:pPr>
      <w:r>
        <w:rPr>
          <w:b w:val="0"/>
          <w:i w:val="0"/>
          <w:color w:val="1C3A36"/>
          <w:sz w:val="21"/>
        </w:rPr>
        <w:t>Two further contested choices are computed rather than conceded. On the RATING-BASIS equity risk premium instead of the CDS basis, the cash-flow lens is EGP 16.43;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22.86. Both are above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27.4% falling to 15.3%, is worth more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9.37% sustained in EVERY forecast year and in perpetuity, against a base year of 9.65% — that is a REDUCTION of 0.28%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9.37%.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5.0,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7.73</w:t>
            </w:r>
          </w:p>
        </w:tc>
        <w:tc>
          <w:tcPr>
            <w:tcW w:type="dxa" w:w="1037"/>
          </w:tcPr>
          <w:p>
            <w:pPr>
              <w:spacing w:after="20"/>
              <w:jc w:val="right"/>
            </w:pPr>
            <w:r>
              <w:rPr>
                <w:color w:val="1C3A36"/>
                <w:sz w:val="17"/>
              </w:rPr>
              <w:t>8.62</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9.76</w:t>
            </w:r>
          </w:p>
        </w:tc>
        <w:tc>
          <w:tcPr>
            <w:tcW w:type="dxa" w:w="1037"/>
          </w:tcPr>
          <w:p>
            <w:pPr>
              <w:spacing w:after="20"/>
              <w:jc w:val="right"/>
            </w:pPr>
            <w:r>
              <w:rPr>
                <w:color w:val="1C3A36"/>
                <w:sz w:val="17"/>
              </w:rPr>
              <w:t>10.88</w:t>
            </w:r>
          </w:p>
        </w:tc>
        <w:tc>
          <w:tcPr>
            <w:tcW w:type="dxa" w:w="1512"/>
          </w:tcPr>
          <w:p>
            <w:pPr>
              <w:spacing w:after="20"/>
              <w:jc w:val="right"/>
            </w:pPr>
            <w:r>
              <w:rPr>
                <w:color w:val="1C3A36"/>
                <w:sz w:val="17"/>
              </w:rPr>
              <w:t>53.5%</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6.94</w:t>
            </w:r>
          </w:p>
        </w:tc>
        <w:tc>
          <w:tcPr>
            <w:tcW w:type="dxa" w:w="1037"/>
          </w:tcPr>
          <w:p>
            <w:pPr>
              <w:spacing w:after="20"/>
              <w:jc w:val="right"/>
            </w:pPr>
            <w:r>
              <w:rPr>
                <w:color w:val="1C3A36"/>
                <w:sz w:val="17"/>
              </w:rPr>
              <w:t>8.39</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10.38</w:t>
            </w:r>
          </w:p>
        </w:tc>
        <w:tc>
          <w:tcPr>
            <w:tcW w:type="dxa" w:w="1037"/>
          </w:tcPr>
          <w:p>
            <w:pPr>
              <w:spacing w:after="20"/>
              <w:jc w:val="right"/>
            </w:pPr>
            <w:r>
              <w:rPr>
                <w:color w:val="1C3A36"/>
                <w:sz w:val="17"/>
              </w:rPr>
              <w:t>12.52</w:t>
            </w:r>
          </w:p>
        </w:tc>
        <w:tc>
          <w:tcPr>
            <w:tcW w:type="dxa" w:w="1512"/>
          </w:tcPr>
          <w:p>
            <w:pPr>
              <w:spacing w:after="20"/>
              <w:jc w:val="right"/>
            </w:pPr>
            <w:r>
              <w:rPr>
                <w:color w:val="1C3A36"/>
                <w:sz w:val="17"/>
              </w:rPr>
              <w:t>56.3%</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22.57</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0.0%</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82.4%</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0.452</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0.960x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22.57  (range 1.65–31.27)</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(6.94–12.52)</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1.50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13.2%</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68.0%</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15.6%</w:t>
            </w:r>
          </w:p>
        </w:tc>
      </w:tr>
      <w:tr>
        <w:tc>
          <w:tcPr>
            <w:tcW w:type="dxa" w:w="6048"/>
          </w:tcPr>
          <w:p>
            <w:pPr>
              <w:spacing w:after="20"/>
            </w:pPr>
            <w:r>
              <w:rPr>
                <w:color w:val="1C3A36"/>
                <w:sz w:val="18"/>
              </w:rPr>
              <w:t>EGP 13.50 (the traded price) to EGP 22.57</w:t>
            </w:r>
          </w:p>
        </w:tc>
        <w:tc>
          <w:tcPr>
            <w:tcW w:type="dxa" w:w="2736"/>
          </w:tcPr>
          <w:p>
            <w:pPr>
              <w:spacing w:after="20"/>
              <w:jc w:val="right"/>
            </w:pPr>
            <w:r>
              <w:rPr>
                <w:color w:val="1C3A36"/>
                <w:sz w:val="18"/>
              </w:rPr>
              <w:t>3.0%</w:t>
            </w:r>
          </w:p>
        </w:tc>
      </w:tr>
      <w:tr>
        <w:tc>
          <w:tcPr>
            <w:tcW w:type="dxa" w:w="6048"/>
          </w:tcPr>
          <w:p>
            <w:pPr>
              <w:spacing w:after="20"/>
            </w:pPr>
            <w:r>
              <w:rPr>
                <w:color w:val="1C3A36"/>
                <w:sz w:val="18"/>
              </w:rPr>
              <w:t>Above EGP 22.57</w:t>
            </w:r>
          </w:p>
        </w:tc>
        <w:tc>
          <w:tcPr>
            <w:tcW w:type="dxa" w:w="2736"/>
          </w:tcPr>
          <w:p>
            <w:pPr>
              <w:spacing w:after="20"/>
              <w:jc w:val="right"/>
            </w:pPr>
            <w:r>
              <w:rPr>
                <w:color w:val="1C3A36"/>
                <w:sz w:val="18"/>
              </w:rPr>
              <w:t>0.1%</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66.4%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22.57 a share, and THAT IS THE BASIS THIS EDITION ADOPTS: the published EGP 22.57 is struck on the reviewed half at a gross margin of 12.428%, not on the twelve-month blend of 9.653%. The superseded blend is retained and priced rather than deleted: it gives EGP 14.35 a share. THE CORRECTION CROSSES THE TRADED PRICE, from below it to well above, and it is taken on the filed evidence rather than withheld for where it lands.</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0.906</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256</w:t>
            </w:r>
          </w:p>
        </w:tc>
        <w:tc>
          <w:tcPr>
            <w:tcW w:type="dxa" w:w="4824"/>
          </w:tcPr>
          <w:p>
            <w:pPr>
              <w:spacing w:after="20"/>
            </w:pPr>
            <w:r>
              <w:rPr>
                <w:color w:val="1C3A36"/>
                <w:sz w:val="17"/>
              </w:rPr>
              <w:t>4.94-year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23.6%</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0.175</w:t>
            </w:r>
          </w:p>
        </w:tc>
        <w:tc>
          <w:tcPr>
            <w:tcW w:type="dxa" w:w="4824"/>
          </w:tcPr>
          <w:p>
            <w:pPr>
              <w:spacing w:after="20"/>
            </w:pPr>
            <w:r>
              <w:rPr>
                <w:color w:val="1C3A36"/>
                <w:sz w:val="17"/>
              </w:rPr>
              <w:t>0.19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[0.619, 1.193]</w:t>
            </w:r>
          </w:p>
        </w:tc>
        <w:tc>
          <w:tcPr>
            <w:tcW w:type="dxa" w:w="4824"/>
          </w:tcPr>
          <w:p>
            <w:pPr>
              <w:spacing w:after="20"/>
            </w:pPr>
            <w:r>
              <w:rPr>
                <w:color w:val="1C3A36"/>
                <w:sz w:val="17"/>
              </w:rPr>
              <w:t>spans 0.63x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2026-09-08</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0.906,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29.24 to 17.61,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27.44%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14.98%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30.58% and the cash-flow lens is EGP 16.43. On GROSS rather than net debt weights — the construction this study rejects, because it counts the cash pile twice — the lens is EGP 22.57.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27.44%</w:t>
            </w:r>
          </w:p>
        </w:tc>
        <w:tc>
          <w:tcPr>
            <w:tcW w:type="dxa" w:w="1296"/>
          </w:tcPr>
          <w:p>
            <w:pPr>
              <w:spacing w:after="20"/>
              <w:jc w:val="right"/>
            </w:pPr>
            <w:r>
              <w:rPr>
                <w:color w:val="1C3A36"/>
                <w:sz w:val="16"/>
              </w:rPr>
              <w:t>21.19%</w:t>
            </w:r>
          </w:p>
        </w:tc>
        <w:tc>
          <w:tcPr>
            <w:tcW w:type="dxa" w:w="1296"/>
          </w:tcPr>
          <w:p>
            <w:pPr>
              <w:spacing w:after="20"/>
              <w:jc w:val="right"/>
            </w:pPr>
            <w:r>
              <w:rPr>
                <w:color w:val="1C3A36"/>
                <w:sz w:val="16"/>
              </w:rPr>
              <w:t>18.59%</w:t>
            </w:r>
          </w:p>
        </w:tc>
        <w:tc>
          <w:tcPr>
            <w:tcW w:type="dxa" w:w="1296"/>
          </w:tcPr>
          <w:p>
            <w:pPr>
              <w:spacing w:after="20"/>
              <w:jc w:val="right"/>
            </w:pPr>
            <w:r>
              <w:rPr>
                <w:color w:val="1C3A36"/>
                <w:sz w:val="16"/>
              </w:rPr>
              <w:t>16.64%</w:t>
            </w:r>
          </w:p>
        </w:tc>
        <w:tc>
          <w:tcPr>
            <w:tcW w:type="dxa" w:w="1296"/>
          </w:tcPr>
          <w:p>
            <w:pPr>
              <w:spacing w:after="20"/>
              <w:jc w:val="right"/>
            </w:pPr>
            <w:r>
              <w:rPr>
                <w:color w:val="1C3A36"/>
                <w:sz w:val="16"/>
              </w:rPr>
              <w:t>15.34%</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0.7847</w:t>
            </w:r>
          </w:p>
        </w:tc>
        <w:tc>
          <w:tcPr>
            <w:tcW w:type="dxa" w:w="1296"/>
          </w:tcPr>
          <w:p>
            <w:pPr>
              <w:spacing w:after="20"/>
              <w:jc w:val="right"/>
            </w:pPr>
            <w:r>
              <w:rPr>
                <w:color w:val="1C3A36"/>
                <w:sz w:val="16"/>
              </w:rPr>
              <w:t>0.6475</w:t>
            </w:r>
          </w:p>
        </w:tc>
        <w:tc>
          <w:tcPr>
            <w:tcW w:type="dxa" w:w="1296"/>
          </w:tcPr>
          <w:p>
            <w:pPr>
              <w:spacing w:after="20"/>
              <w:jc w:val="right"/>
            </w:pPr>
            <w:r>
              <w:rPr>
                <w:color w:val="1C3A36"/>
                <w:sz w:val="16"/>
              </w:rPr>
              <w:t>0.5460</w:t>
            </w:r>
          </w:p>
        </w:tc>
        <w:tc>
          <w:tcPr>
            <w:tcW w:type="dxa" w:w="1296"/>
          </w:tcPr>
          <w:p>
            <w:pPr>
              <w:spacing w:after="20"/>
              <w:jc w:val="right"/>
            </w:pPr>
            <w:r>
              <w:rPr>
                <w:color w:val="1C3A36"/>
                <w:sz w:val="16"/>
              </w:rPr>
              <w:t>0.4681</w:t>
            </w:r>
          </w:p>
        </w:tc>
        <w:tc>
          <w:tcPr>
            <w:tcW w:type="dxa" w:w="1296"/>
          </w:tcPr>
          <w:p>
            <w:pPr>
              <w:spacing w:after="20"/>
              <w:jc w:val="right"/>
            </w:pPr>
            <w:r>
              <w:rPr>
                <w:color w:val="1C3A36"/>
                <w:sz w:val="16"/>
              </w:rPr>
              <w:t>0.4058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2,384</w:t>
            </w:r>
          </w:p>
        </w:tc>
        <w:tc>
          <w:tcPr>
            <w:tcW w:type="dxa" w:w="1296"/>
          </w:tcPr>
          <w:p>
            <w:pPr>
              <w:spacing w:after="20"/>
              <w:jc w:val="right"/>
            </w:pPr>
            <w:r>
              <w:rPr>
                <w:color w:val="1C3A36"/>
                <w:sz w:val="16"/>
              </w:rPr>
              <w:t>2,112</w:t>
            </w:r>
          </w:p>
        </w:tc>
        <w:tc>
          <w:tcPr>
            <w:tcW w:type="dxa" w:w="1296"/>
          </w:tcPr>
          <w:p>
            <w:pPr>
              <w:spacing w:after="20"/>
              <w:jc w:val="right"/>
            </w:pPr>
            <w:r>
              <w:rPr>
                <w:color w:val="1C3A36"/>
                <w:sz w:val="16"/>
              </w:rPr>
              <w:t>1,877</w:t>
            </w:r>
          </w:p>
        </w:tc>
        <w:tc>
          <w:tcPr>
            <w:tcW w:type="dxa" w:w="1296"/>
          </w:tcPr>
          <w:p>
            <w:pPr>
              <w:spacing w:after="20"/>
              <w:jc w:val="right"/>
            </w:pPr>
            <w:r>
              <w:rPr>
                <w:color w:val="1C3A36"/>
                <w:sz w:val="16"/>
              </w:rPr>
              <w:t>1,662</w:t>
            </w:r>
          </w:p>
        </w:tc>
        <w:tc>
          <w:tcPr>
            <w:tcW w:type="dxa" w:w="1296"/>
          </w:tcPr>
          <w:p>
            <w:pPr>
              <w:spacing w:after="20"/>
              <w:jc w:val="right"/>
            </w:pPr>
            <w:r>
              <w:rPr>
                <w:color w:val="1C3A36"/>
                <w:sz w:val="16"/>
              </w:rPr>
              <w:t>1,472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9,507</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16,022</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25,529</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19.77</w:t>
            </w:r>
          </w:p>
        </w:tc>
      </w:tr>
    </w:tbl>
    <w:p>
      <w:pPr>
        <w:spacing w:after="40"/>
      </w:pPr>
    </w:p>
    <w:p>
      <w:pPr>
        <w:spacing w:after="200" w:before="0"/>
      </w:pPr>
      <w:r>
        <w:rPr>
          <w:b w:val="0"/>
          <w:i/>
          <w:color w:val="6E7B77"/>
          <w:sz w:val="17"/>
        </w:rPr>
        <w:t>Table C.2 — Expert 2. Range EGP 0.59 to 26.40. This is the LOWEST of the three at 46.4% against the price, and the reason is the discount rate: an equity claim discounted on the equity glide from 27.4% to 15.3%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7,192</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16,887</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28,756</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23.56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1,954</w:t>
            </w:r>
          </w:p>
        </w:tc>
        <w:tc>
          <w:tcPr>
            <w:tcW w:type="dxa" w:w="1224"/>
          </w:tcPr>
          <w:p>
            <w:pPr>
              <w:spacing w:after="20"/>
              <w:jc w:val="right"/>
            </w:pPr>
            <w:r>
              <w:rPr>
                <w:color w:val="1C3A36"/>
                <w:sz w:val="17"/>
              </w:rPr>
              <w:t>2,433</w:t>
            </w:r>
          </w:p>
        </w:tc>
        <w:tc>
          <w:tcPr>
            <w:tcW w:type="dxa" w:w="1224"/>
          </w:tcPr>
          <w:p>
            <w:pPr>
              <w:spacing w:after="20"/>
              <w:jc w:val="right"/>
            </w:pPr>
            <w:r>
              <w:rPr>
                <w:color w:val="1C3A36"/>
                <w:sz w:val="17"/>
              </w:rPr>
              <w:t>2,688</w:t>
            </w:r>
          </w:p>
        </w:tc>
        <w:tc>
          <w:tcPr>
            <w:tcW w:type="dxa" w:w="1224"/>
          </w:tcPr>
          <w:p>
            <w:pPr>
              <w:spacing w:after="20"/>
              <w:jc w:val="right"/>
            </w:pPr>
            <w:r>
              <w:rPr>
                <w:color w:val="1C3A36"/>
                <w:sz w:val="17"/>
              </w:rPr>
              <w:t>2,886</w:t>
            </w:r>
          </w:p>
        </w:tc>
        <w:tc>
          <w:tcPr>
            <w:tcW w:type="dxa" w:w="1224"/>
          </w:tcPr>
          <w:p>
            <w:pPr>
              <w:spacing w:after="20"/>
              <w:jc w:val="right"/>
            </w:pPr>
            <w:r>
              <w:rPr>
                <w:color w:val="1C3A36"/>
                <w:sz w:val="17"/>
              </w:rPr>
              <w:t>3,046</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35.73%</w:t>
            </w:r>
          </w:p>
        </w:tc>
        <w:tc>
          <w:tcPr>
            <w:tcW w:type="dxa" w:w="1224"/>
          </w:tcPr>
          <w:p>
            <w:pPr>
              <w:spacing w:after="20"/>
              <w:jc w:val="right"/>
            </w:pPr>
            <w:r>
              <w:rPr>
                <w:color w:val="1C3A36"/>
                <w:sz w:val="17"/>
              </w:rPr>
              <w:t>42.89%</w:t>
            </w:r>
          </w:p>
        </w:tc>
        <w:tc>
          <w:tcPr>
            <w:tcW w:type="dxa" w:w="1224"/>
          </w:tcPr>
          <w:p>
            <w:pPr>
              <w:spacing w:after="20"/>
              <w:jc w:val="right"/>
            </w:pPr>
            <w:r>
              <w:rPr>
                <w:color w:val="1C3A36"/>
                <w:sz w:val="17"/>
              </w:rPr>
              <w:t>45.61%</w:t>
            </w:r>
          </w:p>
        </w:tc>
        <w:tc>
          <w:tcPr>
            <w:tcW w:type="dxa" w:w="1224"/>
          </w:tcPr>
          <w:p>
            <w:pPr>
              <w:spacing w:after="20"/>
              <w:jc w:val="right"/>
            </w:pPr>
            <w:r>
              <w:rPr>
                <w:color w:val="1C3A36"/>
                <w:sz w:val="17"/>
              </w:rPr>
              <w:t>47.31%</w:t>
            </w:r>
          </w:p>
        </w:tc>
        <w:tc>
          <w:tcPr>
            <w:tcW w:type="dxa" w:w="1224"/>
          </w:tcPr>
          <w:p>
            <w:pPr>
              <w:spacing w:after="20"/>
              <w:jc w:val="right"/>
            </w:pPr>
            <w:r>
              <w:rPr>
                <w:color w:val="1C3A36"/>
                <w:sz w:val="17"/>
              </w:rPr>
              <w:t>48.18%</w:t>
            </w:r>
          </w:p>
        </w:tc>
      </w:tr>
    </w:tbl>
    <w:p>
      <w:pPr>
        <w:spacing w:after="40"/>
      </w:pPr>
    </w:p>
    <w:p>
      <w:pPr>
        <w:spacing w:after="200" w:before="0"/>
      </w:pPr>
      <w:r>
        <w:rPr>
          <w:b w:val="0"/>
          <w:i/>
          <w:color w:val="6E7B77"/>
          <w:sz w:val="17"/>
        </w:rPr>
        <w:t>Table C.3 — Expert 3. Range EGP 0.15 to 32.12.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11.88,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62.8%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66.4%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16.3% of its enterprise value is capital already in the ground and 58.7%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19.77 and EGP 23.56, a spread of 19.2% of the lower number, with a median of EGP 21.26 against a market price of EGP 13.50 — 57.5%. None of the three sits below the price of EGP 13.50.</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48.2%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11.88 to EGP 23.56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1.49</w:t>
            </w:r>
          </w:p>
        </w:tc>
        <w:tc>
          <w:tcPr>
            <w:tcW w:type="dxa" w:w="792"/>
          </w:tcPr>
          <w:p>
            <w:pPr>
              <w:spacing w:after="20"/>
              <w:jc w:val="right"/>
            </w:pPr>
            <w:r>
              <w:rPr>
                <w:color w:val="1C3A36"/>
                <w:sz w:val="16"/>
              </w:rPr>
              <w:t>7.5%</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7.89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2.30</w:t>
            </w:r>
          </w:p>
        </w:tc>
        <w:tc>
          <w:tcPr>
            <w:tcW w:type="dxa" w:w="792"/>
          </w:tcPr>
          <w:p>
            <w:pPr>
              <w:spacing w:after="20"/>
              <w:jc w:val="right"/>
            </w:pPr>
            <w:r>
              <w:rPr>
                <w:color w:val="1C3A36"/>
                <w:sz w:val="16"/>
              </w:rPr>
              <w:t>10.8%</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11.68</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3.79</w:t>
            </w:r>
          </w:p>
        </w:tc>
        <w:tc>
          <w:tcPr>
            <w:tcW w:type="dxa" w:w="792"/>
          </w:tcPr>
          <w:p>
            <w:pPr>
              <w:spacing w:after="20"/>
              <w:jc w:val="right"/>
            </w:pPr>
            <w:r>
              <w:rPr>
                <w:color w:val="1C3A36"/>
                <w:sz w:val="16"/>
              </w:rPr>
              <w:t>19.2%</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+0.73</w:t>
            </w:r>
          </w:p>
        </w:tc>
        <w:tc>
          <w:tcPr>
            <w:tcW w:type="dxa" w:w="2664"/>
          </w:tcPr>
          <w:p>
            <w:pPr>
              <w:spacing w:after="20"/>
            </w:pPr>
            <w:r>
              <w:rPr>
                <w:color w:val="1C3A36"/>
                <w:sz w:val="16"/>
              </w:rPr>
              <w:t>0.74</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1.31</w:t>
            </w:r>
          </w:p>
        </w:tc>
        <w:tc>
          <w:tcPr>
            <w:tcW w:type="dxa" w:w="792"/>
          </w:tcPr>
          <w:p>
            <w:pPr>
              <w:spacing w:after="20"/>
              <w:jc w:val="right"/>
            </w:pPr>
            <w:r>
              <w:rPr>
                <w:color w:val="1C3A36"/>
                <w:sz w:val="16"/>
              </w:rPr>
              <w:t>6.2%</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20.49 — so the price of time is worth only EGP 0.73 of a 3.79 gap, about 19%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19.77</w:t>
            </w:r>
          </w:p>
        </w:tc>
        <w:tc>
          <w:tcPr>
            <w:tcW w:type="dxa" w:w="1728"/>
          </w:tcPr>
          <w:p>
            <w:pPr>
              <w:spacing w:after="20"/>
              <w:jc w:val="right"/>
            </w:pPr>
            <w:r>
              <w:rPr>
                <w:color w:val="1C3A36"/>
                <w:sz w:val="17"/>
              </w:rPr>
              <w:t>0.59–26.40</w:t>
            </w:r>
          </w:p>
        </w:tc>
        <w:tc>
          <w:tcPr>
            <w:tcW w:type="dxa" w:w="1296"/>
          </w:tcPr>
          <w:p>
            <w:pPr>
              <w:spacing w:after="20"/>
              <w:jc w:val="right"/>
            </w:pPr>
            <w:r>
              <w:rPr>
                <w:color w:val="1C3A36"/>
                <w:sz w:val="17"/>
              </w:rPr>
              <w:t>46.4%</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23.56</w:t>
            </w:r>
          </w:p>
        </w:tc>
        <w:tc>
          <w:tcPr>
            <w:tcW w:type="dxa" w:w="1728"/>
          </w:tcPr>
          <w:p>
            <w:pPr>
              <w:spacing w:after="20"/>
              <w:jc w:val="right"/>
            </w:pPr>
            <w:r>
              <w:rPr>
                <w:color w:val="1C3A36"/>
                <w:sz w:val="17"/>
              </w:rPr>
              <w:t>0.15–32.12</w:t>
            </w:r>
          </w:p>
        </w:tc>
        <w:tc>
          <w:tcPr>
            <w:tcW w:type="dxa" w:w="1296"/>
          </w:tcPr>
          <w:p>
            <w:pPr>
              <w:spacing w:after="20"/>
              <w:jc w:val="right"/>
            </w:pPr>
            <w:r>
              <w:rPr>
                <w:color w:val="1C3A36"/>
                <w:sz w:val="17"/>
              </w:rPr>
              <w:t>74.5%</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21.26</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57.5%</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