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10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(193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abuk_carrying_price</w:t>
            </w:r>
          </w:p>
        </w:tc>
        <w:tc>
          <w:tcPr>
            <w:tcW w:type="dxa" w:w="1944"/>
          </w:tcPr>
          <w:p>
            <w:pPr>
              <w:spacing w:after="20"/>
              <w:jc w:val="left"/>
            </w:pPr>
            <w:r>
              <w:rPr>
                <w:color w:val="1C3A36"/>
                <w:sz w:val="14"/>
              </w:rPr>
              <w:t>81.7</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price the holding is carried at, being the 31-March market close</w:t>
            </w:r>
          </w:p>
        </w:tc>
      </w:tr>
      <w:tr>
        <w:tc>
          <w:tcPr>
            <w:tcW w:type="dxa" w:w="2448"/>
          </w:tcPr>
          <w:p>
            <w:pPr>
              <w:spacing w:after="20"/>
              <w:jc w:val="left"/>
            </w:pPr>
            <w:r>
              <w:rPr>
                <w:color w:val="1C3A36"/>
                <w:sz w:val="14"/>
              </w:rPr>
              <w:t>abuk_shares_held</w:t>
            </w:r>
          </w:p>
        </w:tc>
        <w:tc>
          <w:tcPr>
            <w:tcW w:type="dxa" w:w="1944"/>
          </w:tcPr>
          <w:p>
            <w:pPr>
              <w:spacing w:after="20"/>
              <w:jc w:val="left"/>
            </w:pPr>
            <w:r>
              <w:rPr>
                <w:color w:val="1C3A36"/>
                <w:sz w:val="14"/>
              </w:rPr>
              <w:t>10,262,324</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note 8-1 — the Abu Qir Fertilizers holding, carried at EGP 81.70 a share</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bs_doc_credits_M9FY2526</w:t>
            </w:r>
          </w:p>
        </w:tc>
        <w:tc>
          <w:tcPr>
            <w:tcW w:type="dxa" w:w="1944"/>
          </w:tcPr>
          <w:p>
            <w:pPr>
              <w:spacing w:after="20"/>
              <w:jc w:val="left"/>
            </w:pPr>
            <w:r>
              <w:rPr>
                <w:color w:val="1C3A36"/>
                <w:sz w:val="14"/>
              </w:rPr>
              <w:t>1,407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note 11 — letters of credit for goods and services, disclosed WITHIN the EGP 3,378.2mn inventory line. They are prepayments against goods not yet received, not stock: counting them as inventory overstates working capital and the days it implies (165 against 114)</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fa_accum_dep_FY2425</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accumulated depreciation at 30 June 2025 — read by OCR off the rendered page; the accumulated-depreciation movement table reproduces it, and cost less accumulated reproduces the balance-sheet net book value of 13,587.193</w:t>
            </w:r>
          </w:p>
        </w:tc>
      </w:tr>
      <w:tr>
        <w:tc>
          <w:tcPr>
            <w:tcW w:type="dxa" w:w="2448"/>
          </w:tcPr>
          <w:p>
            <w:pPr>
              <w:spacing w:after="20"/>
              <w:jc w:val="left"/>
            </w:pPr>
            <w:r>
              <w:rPr>
                <w:color w:val="1C3A36"/>
                <w:sz w:val="14"/>
              </w:rPr>
              <w:t>fa_cost_gross_FY2425</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 cost column at 30 June 2025 — read by OCR off the rendered page; the cost movement table (opening balance plus additions less disposals) reproduces this figure exactly</w:t>
            </w:r>
          </w:p>
        </w:tc>
      </w:tr>
      <w:tr>
        <w:tc>
          <w:tcPr>
            <w:tcW w:type="dxa" w:w="2448"/>
          </w:tcPr>
          <w:p>
            <w:pPr>
              <w:spacing w:after="20"/>
              <w:jc w:val="left"/>
            </w:pPr>
            <w:r>
              <w:rPr>
                <w:color w:val="1C3A36"/>
                <w:sz w:val="14"/>
              </w:rPr>
              <w:t>fa_fully_dep_in_use_FY2425</w:t>
            </w:r>
          </w:p>
        </w:tc>
        <w:tc>
          <w:tcPr>
            <w:tcW w:type="dxa" w:w="1944"/>
          </w:tcPr>
          <w:p>
            <w:pPr>
              <w:spacing w:after="20"/>
              <w:jc w:val="left"/>
            </w:pPr>
            <w:r>
              <w:rPr>
                <w:color w:val="1C3A36"/>
                <w:sz w:val="14"/>
              </w:rPr>
              <w:t>220.4956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disclosure of assets fully depreciated and still in production — 1.3% of the depreciable base, which is what makes the gross-over-charge identity read close to a true weighted accounting life here rather than a longer economic cycle</w:t>
            </w:r>
          </w:p>
        </w:tc>
      </w:tr>
      <w:tr>
        <w:tc>
          <w:tcPr>
            <w:tcW w:type="dxa" w:w="2448"/>
          </w:tcPr>
          <w:p>
            <w:pPr>
              <w:spacing w:after="20"/>
              <w:jc w:val="left"/>
            </w:pPr>
            <w:r>
              <w:rPr>
                <w:color w:val="1C3A36"/>
                <w:sz w:val="14"/>
              </w:rPr>
              <w:t>fa_land_FY2425</w:t>
            </w:r>
          </w:p>
        </w:tc>
        <w:tc>
          <w:tcPr>
            <w:tcW w:type="dxa" w:w="1944"/>
          </w:tcPr>
          <w:p>
            <w:pPr>
              <w:spacing w:after="20"/>
              <w:jc w:val="left"/>
            </w:pPr>
            <w:r>
              <w:rPr>
                <w:color w:val="1C3A36"/>
                <w:sz w:val="14"/>
              </w:rPr>
              <w:t>1.6629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land, cross-checked against the total in note 4-6 — land is never depreciated and is removed before any life or age is derived</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abuk_spot_strike</w:t>
            </w:r>
          </w:p>
        </w:tc>
        <w:tc>
          <w:tcPr>
            <w:tcW w:type="dxa" w:w="1944"/>
          </w:tcPr>
          <w:p>
            <w:pPr>
              <w:spacing w:after="20"/>
              <w:jc w:val="left"/>
            </w:pPr>
            <w:r>
              <w:rPr>
                <w:color w:val="1C3A36"/>
                <w:sz w:val="14"/>
              </w:rPr>
              <w:t>94</w:t>
            </w:r>
          </w:p>
        </w:tc>
        <w:tc>
          <w:tcPr>
            <w:tcW w:type="dxa" w:w="1224"/>
          </w:tcPr>
          <w:p>
            <w:pPr>
              <w:spacing w:after="20"/>
              <w:jc w:val="left"/>
            </w:pPr>
            <w:r>
              <w:rPr>
                <w:color w:val="1C3A36"/>
                <w:sz w:val="14"/>
              </w:rPr>
              <w:t>EGP/share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Abu Qir Fertilizers closing price on the Egyptian Exchange, 3 September 2026 — the SAME date and the SAME committed price file this study is struck at, the supplied-price file this edition is struck from. Read from that file rather than typed beside it, so a stake in a listed company and the company holding it are marked on one date</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an_exempt_n_pct</w:t>
            </w:r>
          </w:p>
        </w:tc>
        <w:tc>
          <w:tcPr>
            <w:tcW w:type="dxa" w:w="1944"/>
          </w:tcPr>
          <w:p>
            <w:pPr>
              <w:spacing w:after="20"/>
              <w:jc w:val="left"/>
            </w:pPr>
            <w:r>
              <w:rPr>
                <w:color w:val="1C3A36"/>
                <w:sz w:val="14"/>
              </w:rPr>
              <w:t>0.342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exemption clause — pure ammonium nitrate whose nitrogen content EXCEEDS 34.2% is outside the 10% export duty, verified by joint Customs Authority and export-control sampling of the shipment. Free-zone shipments to productive enterprises are likewise exempt. A fact about the instrument, consumed by no calculation in this study: the duty is charged on the urea export leg, and urea is not exempt</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2026-08-01</w:t>
            </w:r>
          </w:p>
        </w:tc>
        <w:tc>
          <w:tcPr>
            <w:tcW w:type="dxa" w:w="7344"/>
          </w:tcPr>
          <w:p>
            <w:pPr>
              <w:spacing w:after="20"/>
              <w:jc w:val="left"/>
            </w:pPr>
            <w:r>
              <w:rPr>
                <w:color w:val="1C3A36"/>
                <w:sz w:val="14"/>
              </w:rPr>
              <w:t>Ministerial Decision 340 of 2026, effective 1 August 2026, cancelling Decisions 190, 203 and 258 of 2026 and ending the 10% ad valorem export levy on nitrogen fertilisers. The Egyptian Customs Authority issued Circular 46 of 2026 to govern shipments whose declarations were opened before the levy ceased, which is the administrative trace a cancellation leaves and a rumour does not. This study strikes on 3 September 2026, so the rate in force at the strike is nil. The superseded chain is registered below with its own dates, because a duty that existed for three months is a fact about this year and the alternatives grid prices its return</w:t>
            </w:r>
          </w:p>
        </w:tc>
      </w:tr>
      <w:tr>
        <w:tc>
          <w:tcPr>
            <w:tcW w:type="dxa" w:w="2448"/>
          </w:tcPr>
          <w:p>
            <w:pPr>
              <w:spacing w:after="20"/>
              <w:jc w:val="left"/>
            </w:pPr>
            <w:r>
              <w:rPr>
                <w:color w:val="1C3A36"/>
                <w:sz w:val="14"/>
              </w:rPr>
              <w:t>export_duty_2026_superseded</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2026-06-25</w:t>
            </w:r>
          </w:p>
        </w:tc>
        <w:tc>
          <w:tcPr>
            <w:tcW w:type="dxa" w:w="7344"/>
          </w:tcPr>
          <w:p>
            <w:pPr>
              <w:spacing w:after="20"/>
              <w:jc w:val="left"/>
            </w:pPr>
            <w:r>
              <w:rPr>
                <w:color w:val="1C3A36"/>
                <w:sz w:val="14"/>
              </w:rPr>
              <w:t>Decree No. 258 of 2026 of the Minister of Investment and Foreign Trade, published in the Official Gazette on 25 June 2026 — 10% ad valorem on the FOB invoice value of nitrogen fertiliser exports, the invoice certified by the Chamber of Chemical Industries. It replaced a temporary US$90/t duty imposed in May 2026 for three months and was itself cancelled by Decision 340 of 2026 with effect from 1 August 2026. Pure ammonium nitrate above 34.2% nitrogen and free zone shipments were exempt — urea was neither. Retained as the alternative this study prices, not as the rate it charges</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this series does not permit.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 — RETIRED as the ANNA pricing basis on 10-09-2026 in favour of the disclosed realisation below; kept registered because the sensitivity grid still prices the alternative</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erp_cds_superseded</w:t>
            </w:r>
          </w:p>
        </w:tc>
        <w:tc>
          <w:tcPr>
            <w:tcW w:type="dxa" w:w="1944"/>
          </w:tcPr>
          <w:p>
            <w:pPr>
              <w:spacing w:after="20"/>
              <w:jc w:val="left"/>
            </w:pPr>
            <w:r>
              <w:rPr>
                <w:color w:val="1C3A36"/>
                <w:sz w:val="14"/>
              </w:rPr>
              <w:t>0.0942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credit-default-swap equity risk premium this study carried BEFORE the correction of 9 August 2026, reconstructed at the time from a sovereign spread the source file does not carry. Registered as the historical fact it is so the correction note beside it is computed rather than typed.</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sov_spread_cds_superseded</w:t>
            </w:r>
          </w:p>
        </w:tc>
        <w:tc>
          <w:tcPr>
            <w:tcW w:type="dxa" w:w="1944"/>
          </w:tcPr>
          <w:p>
            <w:pPr>
              <w:spacing w:after="20"/>
              <w:jc w:val="left"/>
            </w:pPr>
            <w:r>
              <w:rPr>
                <w:color w:val="1C3A36"/>
                <w:sz w:val="14"/>
              </w:rPr>
              <w:t>0.0355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sovereign credit-default-swap spread the superseded premium above was reconstructed from. It appears in no source file, which is why the premium built on it was corrected; it is registered here for the same reason as the premium.</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(65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single Egyptian inflation path this series uses for every Egyptian company it values (as of 2026-09-02), mapped onto this company's 30 June fiscal year end: each fiscal year takes half of each of the two calendar years it spans, and beyond the path's last published year its long-run rate. That path is 2026 16.0% / 2027 12.0% / 2028 9.0% / 2029 7.5% / 2030 7.0%. No number here is chosen for this study: a company cannot be valued in an economy the study beside it does not recognise, so no valuation in this series sets an inflation rate of its own. Until 3 September 2026 this array read 10.0 / 7.0 / 6.0 / 5.0 / 5.0 and ended at 5% while the same study already took 7% as the long-run rate.</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fa_avg_age_years</w:t>
            </w:r>
          </w:p>
        </w:tc>
        <w:tc>
          <w:tcPr>
            <w:tcW w:type="dxa" w:w="1944"/>
          </w:tcPr>
          <w:p>
            <w:pPr>
              <w:spacing w:after="20"/>
              <w:jc w:val="left"/>
            </w:pPr>
            <w:r>
              <w:rPr>
                <w:color w:val="1C3A36"/>
                <w:sz w:val="14"/>
              </w:rPr>
              <w:t>4.4544</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accumulated depreciation over the year's own charge. Under straight-line depreciation accumulated equals age times charge, so the ratio is the charge-weighted average age of the base. THE THREE CONDITIONS THAT BREAK THAT IDENTITY ARE CHECKED AND CLEAR HERE. There is no residual value: the policy note writes off cost over the useful life and mentions none. No useful life has been reassessed: the disclosed rates are unchanged from the prior year's identical table. And the base was not assembled by acquisition — it is one plant, built and extended by this company. The corroboration is that only EGP 220mn, 1.3% of the base, is fully depreciated and still in production, so almost nothing is past its accounting life and the gross-over-charge life below reads close to a true weighted life rather than a longer economic cycle. 4.45 years against the 11.04 that half of that life would assume: this plant was rebuilt recently and has another complex still under construction.</w:t>
            </w:r>
          </w:p>
        </w:tc>
      </w:tr>
      <w:tr>
        <w:tc>
          <w:tcPr>
            <w:tcW w:type="dxa" w:w="2448"/>
          </w:tcPr>
          <w:p>
            <w:pPr>
              <w:spacing w:after="20"/>
              <w:jc w:val="left"/>
            </w:pPr>
            <w:r>
              <w:rPr>
                <w:color w:val="1C3A36"/>
                <w:sz w:val="14"/>
              </w:rPr>
              <w:t>fa_life_implied_years</w:t>
            </w:r>
          </w:p>
        </w:tc>
        <w:tc>
          <w:tcPr>
            <w:tcW w:type="dxa" w:w="1944"/>
          </w:tcPr>
          <w:p>
            <w:pPr>
              <w:spacing w:after="20"/>
              <w:jc w:val="left"/>
            </w:pPr>
            <w:r>
              <w:rPr>
                <w:color w:val="1C3A36"/>
                <w:sz w:val="14"/>
              </w:rPr>
              <w:t>22.0702</w:t>
            </w:r>
          </w:p>
        </w:tc>
        <w:tc>
          <w:tcPr>
            <w:tcW w:type="dxa" w:w="1224"/>
          </w:tcPr>
          <w:p>
            <w:pPr>
              <w:spacing w:after="20"/>
              <w:jc w:val="left"/>
            </w:pPr>
            <w:r>
              <w:rPr>
                <w:color w:val="1C3A36"/>
                <w:sz w:val="14"/>
              </w:rPr>
              <w:t>years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DERIVED BY IDENTITY, labelled as derived: the depreciable gross cost — cost less land, which is never depreciated — over the year's own charge. It is the replacement cycle the accounts themselves run, and it sits inside the disclosed range: note 5-2 gives 3.95% on the urea and ammonia machinery (25.3 years), 9.5% on the factories (10.5), 6.5% on the workshops (15.4), 6% on the factory buildings (16.7), 2 to 5% on the residential city and the water and sewage pipes (20 to 50) and 4.75% on the intangible (21.1). A weighted life cannot be read off the note because it publishes no class balances, so the identity supplies one and the disclosed range is what checks it.</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 this series no longer averages its methods —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3.54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