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40" w:before="80"/>
      </w:pPr>
      <w:r>
        <w:rPr>
          <w:b/>
          <w:i w:val="0"/>
          <w:color w:val="1C3A36"/>
          <w:sz w:val="24"/>
        </w:rPr>
        <w:t>Independent Valuation Study — Educational Analysis</w:t>
      </w:r>
    </w:p>
    <w:p>
      <w:pPr>
        <w:spacing w:after="40" w:before="0"/>
      </w:pPr>
      <w:r>
        <w:rPr>
          <w:b/>
          <w:i w:val="0"/>
          <w:color w:val="1C3A36"/>
          <w:sz w:val="34"/>
        </w:rPr>
        <w:t>GB Corp S.A.E. (EGX: GBCO)</w:t>
      </w:r>
    </w:p>
    <w:p>
      <w:pPr>
        <w:spacing w:after="160" w:before="0"/>
      </w:pPr>
      <w:r>
        <w:rPr>
          <w:b w:val="0"/>
          <w:i/>
          <w:color w:val="6E7B77"/>
          <w:sz w:val="21"/>
        </w:rPr>
        <w:t>Fundamental analysis · Technical analysis · Monte Carlo simulation — one integrated read</w:t>
      </w:r>
      <w:r>
        <w:rPr>
          <w:b w:val="0"/>
          <w:i/>
          <w:color w:val="6E7B77"/>
          <w:sz w:val="21"/>
        </w:rPr>
        <w:t xml:space="preserve">   ·   edition 17-09-2026   ·   17 September 2026</w:t>
      </w:r>
    </w:p>
    <w:p>
      <w:pPr>
        <w:spacing w:after="200" w:before="0"/>
      </w:pPr>
      <w:r>
        <w:rPr>
          <w:b/>
          <w:i w:val="0"/>
          <w:color w:val="1C3A36"/>
          <w:sz w:val="19"/>
        </w:rPr>
        <w:t xml:space="preserve">Anchor: </w:t>
      </w:r>
      <w:r>
        <w:rPr>
          <w:b w:val="0"/>
          <w:i w:val="0"/>
          <w:color w:val="1C3A36"/>
          <w:sz w:val="19"/>
        </w:rPr>
        <w:t xml:space="preserve">EGP 28.98 (3 September 2026 close) · 1,085.5 mn shares · market capitalisation EGP 31.5 bn · the continuing listed entity of the former GB Auto (Ghabbour), renamed GB Corp in 2023, housing </w:t>
      </w:r>
      <w:r>
        <w:rPr>
          <w:b/>
          <w:i w:val="0"/>
          <w:color w:val="1C3A36"/>
          <w:sz w:val="19"/>
        </w:rPr>
        <w:t>GB Auto</w:t>
      </w:r>
      <w:r>
        <w:rPr>
          <w:b w:val="0"/>
          <w:i w:val="0"/>
          <w:color w:val="1C3A36"/>
          <w:sz w:val="19"/>
        </w:rPr>
        <w:t xml:space="preserve"> (passenger cars, commercial vehicles &amp; construction equipment, tires &amp; trading, light mobility; Egypt · Iraq · Jordan), </w:t>
      </w:r>
      <w:r>
        <w:rPr>
          <w:b/>
          <w:i w:val="0"/>
          <w:color w:val="1C3A36"/>
          <w:sz w:val="19"/>
        </w:rPr>
        <w:t>GB Capital</w:t>
      </w:r>
      <w:r>
        <w:rPr>
          <w:b w:val="0"/>
          <w:i w:val="0"/>
          <w:color w:val="1C3A36"/>
          <w:sz w:val="19"/>
        </w:rPr>
        <w:t xml:space="preserve"> (leasing, factoring, consumer finance, SME lending) and associate stakes led by </w:t>
      </w:r>
      <w:r>
        <w:rPr>
          <w:b/>
          <w:i w:val="0"/>
          <w:color w:val="1C3A36"/>
          <w:sz w:val="19"/>
        </w:rPr>
        <w:t>MNT-Halan</w:t>
      </w:r>
      <w:r>
        <w:rPr>
          <w:b w:val="0"/>
          <w:i w:val="0"/>
          <w:color w:val="1C3A36"/>
          <w:sz w:val="19"/>
        </w:rPr>
        <w:t xml:space="preserve"> · the price cone and the technical read are computed on the exchange library’s own last session, EGP 29.51 on 23 August 2026, and the valuation is struck on the later price above — two clocks, both dated · the valuation lens is the sum of the parts (an assembler-distributor, a captive lender and an unlisted associate, each marked on its own basis) · the basis on which that associate is marked is the whole of the disagreement in this study, and the answer is published on both.</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READ FIRST — what this document is, and is not.</w:t>
            </w:r>
            <w:r>
              <w:rPr>
                <w:color w:val="1C3A36"/>
                <w:sz w:val="19"/>
              </w:rPr>
            </w:r>
          </w:p>
          <w:p>
            <w:pPr>
              <w:spacing w:after="100"/>
            </w:pPr>
            <w:r>
              <w:rPr>
                <w:color w:val="1C3A36"/>
                <w:sz w:val="19"/>
              </w:rPr>
              <w:t>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Egyptian (FRA) or other brokerage or advisory authorisation, provides no financial consultancy, manages no money, and accepts no fees, funds or clients. See the Disclosure &amp; Disclaimer at the end.</w:t>
            </w:r>
          </w:p>
          <w:p>
            <w:pPr>
              <w:spacing w:after="100"/>
            </w:pPr>
            <w:r>
              <w:rPr>
                <w:color w:val="1C3A36"/>
                <w:sz w:val="19"/>
              </w:rPr>
              <w:t>THIS STUDY PUBLISHES TWO ANSWERS AND NOT ONE, and that is deliberate. GB Corp’s largest single component is a minority interest in an unlisted company, and GB Corp itself puts two different numbers on it — the value carried in its own reviewed balance sheet, and the price of the funding round it announced in June 2026. The filings do not decide between them, so neither does this study: both are carried through to the end and published side by side. They are never averaged. A figure between them would be a number nobody computed.</w:t>
            </w:r>
          </w:p>
          <w:p>
            <w:pPr>
              <w:spacing w:after="100"/>
            </w:pPr>
            <w:r>
              <w:rPr>
                <w:color w:val="1C3A36"/>
                <w:sz w:val="19"/>
              </w:rPr>
              <w:t>All values are model outputs presented as ranges and distributions because no single number should be relied on. Reported financials are the company’s own disclosure — the FY2023, FY2024 and FY2025 earnings releases and the reviewed consolidated statements to 30 June 2026; forward-looking inputs — the basis for the associate mark, the mark on the lending arm, the multiples, the cash-flow model and the simulation’s factor probabilities — are the preparer’s judgments and are flagged throughout. The far forecast years are published as ranges rather than points, taken from how wrong this method has been on this company’s own history; Appendix A carries the table and the count behind each band. A note on identity: GB Corp S.A.E. is the renamed GB Auto S.A.E. (Ghabbour Auto); the EGX ticker is GBCO and the price history continues the former AUTO listing. Consult a licensed financial advisor before any investment decision.</w:t>
            </w:r>
          </w:p>
        </w:tc>
      </w:tr>
    </w:tbl>
    <w:p>
      <w:pPr>
        <w:spacing w:after="40"/>
      </w:pPr>
    </w:p>
    <w:p>
      <w:pPr>
        <w:spacing w:after="80" w:before="200"/>
      </w:pPr>
      <w:r>
        <w:rPr>
          <w:b/>
          <w:i w:val="0"/>
          <w:color w:val="1C3A36"/>
          <w:sz w:val="24"/>
        </w:rPr>
        <w:t>Headline</w:t>
      </w:r>
    </w:p>
    <w:p>
      <w:pPr>
        <w:spacing w:after="160" w:before="0"/>
      </w:pPr>
      <w:r>
        <w:rPr>
          <w:b/>
          <w:i w:val="0"/>
          <w:color w:val="1C3A36"/>
          <w:sz w:val="21"/>
        </w:rPr>
        <w:t xml:space="preserve">The operating businesses are worth roughly what the whole company trades for, and everything above that is one unlisted stake nobody can price from the outside. </w:t>
      </w:r>
      <w:r>
        <w:rPr>
          <w:b w:val="0"/>
          <w:i w:val="0"/>
          <w:color w:val="1C3A36"/>
          <w:sz w:val="21"/>
        </w:rPr>
        <w:t xml:space="preserve">At EGP 28.98 the shares sit below both readings of the sum of the parts: EGP 17.83 with MNT-Halan at the value GB Corp’s own reviewed balance sheet carries it at (-38%), and EGP 30.32 with MNT-Halan at the price of the June-2026 funding round (+5%). Those two branches differ in one input and in nothing else: the auto leg, the lender and the residual associates are identical in both. Everything else in this study is agreed between them. </w:t>
      </w:r>
      <w:r>
        <w:rPr>
          <w:b w:val="0"/>
          <w:i w:val="0"/>
          <w:color w:val="1C3A36"/>
          <w:sz w:val="21"/>
        </w:rPr>
        <w:t xml:space="preserve">Take the operating businesses alone — GB Auto at its cash-flow value of EGP 2.6 bn and GB Capital at the EGP 0.5 bn its own disclosed return supports, EGP 3.1 bn between them — and they come to 10% of the entire traded market capitalisation before a single pound of associate value. What the price leaves for the associates is EGP 28.3 bn, against EGP 16.2 bn carried on the reviewed balance sheet. On GB Corp’s stated holding that values MNT-Halan as a whole at about US$1,331 mn, against the US$1,400 mn its June-2026 round was struck at and the US$752 mn the company’s own carrying value implies. The price is below both bases the company itself discloses, and not narrowly. </w:t>
      </w:r>
      <w:r>
        <w:rPr>
          <w:b w:val="0"/>
          <w:i w:val="0"/>
          <w:color w:val="1C3A36"/>
          <w:sz w:val="21"/>
        </w:rPr>
        <w:t xml:space="preserve">Read the other way round, the same gap is far less dramatic and this study says so: </w:t>
      </w:r>
      <w:r>
        <w:rPr>
          <w:b w:val="0"/>
          <w:i w:val="0"/>
          <w:color w:val="1C3A36"/>
          <w:sz w:val="21"/>
        </w:rPr>
        <w:t xml:space="preserve">ask instead what discount rate the price implies on the auto leg, holding every other line where it is published, and the answer is 14.95% against this study’s 14.58% on the round-price branch — a stretch — but only 14.50% on the carrying-value branch, which is an ordinary disagreement about the cost of capital in this market. The associate mark is the quantity the branches actually differ in; it is not the only way to read the gap. </w:t>
      </w:r>
      <w:r>
        <w:rPr>
          <w:b w:val="0"/>
          <w:i w:val="0"/>
          <w:color w:val="1C3A36"/>
          <w:sz w:val="21"/>
        </w:rPr>
        <w:t>The tape is not the counter-argument it once was. On the library’s last session the price sat below its twenty- and fifty-day averages with the oscillator at 40 and the convergence histogram negative — a stock that has come off rather than one that is extended. Over three months the simulation places the fifth-to-ninety-fifth percentile band at roughly EGP 21–45 with a median near EGP 31; that engine prices the stock’s own path and is untouched by anything above.</w:t>
      </w:r>
    </w:p>
    <w:p>
      <w:pPr>
        <w:spacing w:after="80" w:before="200"/>
      </w:pPr>
      <w:r>
        <w:rPr>
          <w:b/>
          <w:i w:val="0"/>
          <w:color w:val="1C3A36"/>
          <w:sz w:val="24"/>
        </w:rPr>
        <w:t>Valuation summary — every read at a glance</w:t>
      </w:r>
    </w:p>
    <w:p>
      <w:pPr>
        <w:spacing w:after="120" w:before="0"/>
      </w:pPr>
      <w:r>
        <w:rPr>
          <w:b w:val="0"/>
          <w:i w:val="0"/>
          <w:color w:val="1C3A36"/>
          <w:sz w:val="19"/>
        </w:rPr>
        <w:t>One table for the reads that follow. The sum of the parts is the primary lens for this class and it IS the answer; the other fundamental reads are published beside it as cross-checks and are never averaged into it. Then what the tape is doing, where price could travel over three months, and how three independent expert methods land. Every row is developed in the sections and appendices below.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096"/>
            <w:shd w:val="clear" w:color="auto" w:fill="EAF0EE"/>
          </w:tcPr>
          <w:p>
            <w:pPr>
              <w:spacing w:after="20"/>
            </w:pPr>
            <w:r>
              <w:rPr>
                <w:b/>
                <w:color w:val="1C3A36"/>
                <w:sz w:val="17"/>
              </w:rPr>
              <w:t>Lens / read</w:t>
            </w:r>
          </w:p>
        </w:tc>
        <w:tc>
          <w:tcPr>
            <w:tcW w:type="dxa" w:w="3384"/>
            <w:shd w:val="clear" w:color="auto" w:fill="EAF0EE"/>
          </w:tcPr>
          <w:p>
            <w:pPr>
              <w:spacing w:after="20"/>
            </w:pPr>
            <w:r>
              <w:rPr>
                <w:b/>
                <w:color w:val="1C3A36"/>
                <w:sz w:val="17"/>
              </w:rPr>
              <w:t>What it measures</w:t>
            </w:r>
          </w:p>
        </w:tc>
        <w:tc>
          <w:tcPr>
            <w:tcW w:type="dxa" w:w="2088"/>
            <w:shd w:val="clear" w:color="auto" w:fill="EAF0EE"/>
          </w:tcPr>
          <w:p>
            <w:pPr>
              <w:spacing w:after="20"/>
            </w:pPr>
            <w:r>
              <w:rPr>
                <w:b/>
                <w:color w:val="1C3A36"/>
                <w:sz w:val="17"/>
              </w:rPr>
              <w:t>Output</w:t>
            </w:r>
          </w:p>
        </w:tc>
        <w:tc>
          <w:tcPr>
            <w:tcW w:type="dxa" w:w="1656"/>
            <w:shd w:val="clear" w:color="auto" w:fill="EAF0EE"/>
          </w:tcPr>
          <w:p>
            <w:pPr>
              <w:spacing w:after="20"/>
            </w:pPr>
            <w:r>
              <w:rPr>
                <w:b/>
                <w:color w:val="1C3A36"/>
                <w:sz w:val="17"/>
              </w:rPr>
              <w:t>Against the price</w:t>
            </w:r>
          </w:p>
        </w:tc>
      </w:tr>
      <w:tr>
        <w:tc>
          <w:tcPr>
            <w:tcW w:type="dxa" w:w="3096"/>
            <w:shd w:val="clear" w:color="auto" w:fill="F6F1E6"/>
          </w:tcPr>
          <w:p>
            <w:pPr>
              <w:spacing w:after="20"/>
            </w:pPr>
            <w:r>
              <w:rPr>
                <w:b/>
                <w:color w:val="1C3A36"/>
                <w:sz w:val="17"/>
              </w:rPr>
              <w:t>FUNDAMENTAL — the class primary, and it is the answer</w:t>
            </w:r>
          </w:p>
        </w:tc>
        <w:tc>
          <w:tcPr>
            <w:tcW w:type="dxa" w:w="3384"/>
            <w:shd w:val="clear" w:color="auto" w:fill="F6F1E6"/>
          </w:tcPr>
          <w:p>
            <w:pPr>
              <w:spacing w:after="20"/>
              <w:jc w:val="right"/>
            </w:pPr>
            <w:r>
              <w:rPr>
                <w:b/>
                <w:color w:val="1C3A36"/>
                <w:sz w:val="17"/>
              </w:rPr>
            </w:r>
          </w:p>
        </w:tc>
        <w:tc>
          <w:tcPr>
            <w:tcW w:type="dxa" w:w="2088"/>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3096"/>
          </w:tcPr>
          <w:p>
            <w:pPr>
              <w:spacing w:after="20"/>
            </w:pPr>
            <w:r>
              <w:rPr>
                <w:color w:val="1C3A36"/>
                <w:sz w:val="17"/>
              </w:rPr>
              <w:t>Sum-of-the-parts · carrying-value branch</w:t>
            </w:r>
          </w:p>
        </w:tc>
        <w:tc>
          <w:tcPr>
            <w:tcW w:type="dxa" w:w="3384"/>
          </w:tcPr>
          <w:p>
            <w:pPr>
              <w:spacing w:after="20"/>
              <w:jc w:val="right"/>
            </w:pPr>
            <w:r>
              <w:rPr>
                <w:color w:val="1C3A36"/>
                <w:sz w:val="17"/>
              </w:rPr>
              <w:t>Auto cash-flow model + lender on residual income + associates at the reviewed carrying value</w:t>
            </w:r>
          </w:p>
        </w:tc>
        <w:tc>
          <w:tcPr>
            <w:tcW w:type="dxa" w:w="2088"/>
          </w:tcPr>
          <w:p>
            <w:pPr>
              <w:spacing w:after="20"/>
              <w:jc w:val="right"/>
            </w:pPr>
            <w:r>
              <w:rPr>
                <w:color w:val="1C3A36"/>
                <w:sz w:val="17"/>
              </w:rPr>
              <w:t>EGP 17.83</w:t>
            </w:r>
          </w:p>
        </w:tc>
        <w:tc>
          <w:tcPr>
            <w:tcW w:type="dxa" w:w="1656"/>
          </w:tcPr>
          <w:p>
            <w:pPr>
              <w:spacing w:after="20"/>
              <w:jc w:val="right"/>
            </w:pPr>
            <w:r>
              <w:rPr>
                <w:color w:val="1C3A36"/>
                <w:sz w:val="17"/>
              </w:rPr>
              <w:t>-38%</w:t>
            </w:r>
          </w:p>
        </w:tc>
      </w:tr>
      <w:tr>
        <w:tc>
          <w:tcPr>
            <w:tcW w:type="dxa" w:w="3096"/>
          </w:tcPr>
          <w:p>
            <w:pPr>
              <w:spacing w:after="20"/>
            </w:pPr>
            <w:r>
              <w:rPr>
                <w:color w:val="1C3A36"/>
                <w:sz w:val="17"/>
              </w:rPr>
              <w:t>Sum-of-the-parts · round-price branch</w:t>
            </w:r>
          </w:p>
        </w:tc>
        <w:tc>
          <w:tcPr>
            <w:tcW w:type="dxa" w:w="3384"/>
          </w:tcPr>
          <w:p>
            <w:pPr>
              <w:spacing w:after="20"/>
              <w:jc w:val="right"/>
            </w:pPr>
            <w:r>
              <w:rPr>
                <w:color w:val="1C3A36"/>
                <w:sz w:val="17"/>
              </w:rPr>
              <w:t>The same three legs, associates at the June-2026 round price</w:t>
            </w:r>
          </w:p>
        </w:tc>
        <w:tc>
          <w:tcPr>
            <w:tcW w:type="dxa" w:w="2088"/>
          </w:tcPr>
          <w:p>
            <w:pPr>
              <w:spacing w:after="20"/>
              <w:jc w:val="right"/>
            </w:pPr>
            <w:r>
              <w:rPr>
                <w:color w:val="1C3A36"/>
                <w:sz w:val="17"/>
              </w:rPr>
              <w:t>EGP 30.32</w:t>
            </w:r>
          </w:p>
        </w:tc>
        <w:tc>
          <w:tcPr>
            <w:tcW w:type="dxa" w:w="1656"/>
          </w:tcPr>
          <w:p>
            <w:pPr>
              <w:spacing w:after="20"/>
              <w:jc w:val="right"/>
            </w:pPr>
            <w:r>
              <w:rPr>
                <w:color w:val="1C3A36"/>
                <w:sz w:val="17"/>
              </w:rPr>
              <w:t>+5%</w:t>
            </w:r>
          </w:p>
        </w:tc>
      </w:tr>
      <w:tr>
        <w:tc>
          <w:tcPr>
            <w:tcW w:type="dxa" w:w="3096"/>
            <w:shd w:val="clear" w:color="auto" w:fill="F6F1E6"/>
          </w:tcPr>
          <w:p>
            <w:pPr>
              <w:spacing w:after="20"/>
            </w:pPr>
            <w:r>
              <w:rPr>
                <w:b/>
                <w:color w:val="1C3A36"/>
                <w:sz w:val="17"/>
              </w:rPr>
              <w:t>FUNDAMENTAL — cross-checks, published beside the answer and never blended into it</w:t>
            </w:r>
          </w:p>
        </w:tc>
        <w:tc>
          <w:tcPr>
            <w:tcW w:type="dxa" w:w="3384"/>
            <w:shd w:val="clear" w:color="auto" w:fill="F6F1E6"/>
          </w:tcPr>
          <w:p>
            <w:pPr>
              <w:spacing w:after="20"/>
              <w:jc w:val="right"/>
            </w:pPr>
            <w:r>
              <w:rPr>
                <w:b/>
                <w:color w:val="1C3A36"/>
                <w:sz w:val="17"/>
              </w:rPr>
            </w:r>
          </w:p>
        </w:tc>
        <w:tc>
          <w:tcPr>
            <w:tcW w:type="dxa" w:w="2088"/>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3096"/>
          </w:tcPr>
          <w:p>
            <w:pPr>
              <w:spacing w:after="20"/>
            </w:pPr>
            <w:r>
              <w:rPr>
                <w:color w:val="1C3A36"/>
                <w:sz w:val="17"/>
              </w:rPr>
              <w:t>Relative multiple</w:t>
            </w:r>
          </w:p>
        </w:tc>
        <w:tc>
          <w:tcPr>
            <w:tcW w:type="dxa" w:w="3384"/>
          </w:tcPr>
          <w:p>
            <w:pPr>
              <w:spacing w:after="20"/>
              <w:jc w:val="right"/>
            </w:pPr>
            <w:r>
              <w:rPr>
                <w:color w:val="1C3A36"/>
                <w:sz w:val="17"/>
              </w:rPr>
              <w:t>FY2026E earnings per share × 6.57×, the median of GB Corp’s own trailing multiple at its last three year-end closes</w:t>
            </w:r>
          </w:p>
        </w:tc>
        <w:tc>
          <w:tcPr>
            <w:tcW w:type="dxa" w:w="2088"/>
          </w:tcPr>
          <w:p>
            <w:pPr>
              <w:spacing w:after="20"/>
              <w:jc w:val="right"/>
            </w:pPr>
            <w:r>
              <w:rPr>
                <w:color w:val="1C3A36"/>
                <w:sz w:val="17"/>
              </w:rPr>
              <w:t>EGP 18.08</w:t>
            </w:r>
          </w:p>
        </w:tc>
        <w:tc>
          <w:tcPr>
            <w:tcW w:type="dxa" w:w="1656"/>
          </w:tcPr>
          <w:p>
            <w:pPr>
              <w:spacing w:after="20"/>
              <w:jc w:val="right"/>
            </w:pPr>
            <w:r>
              <w:rPr>
                <w:color w:val="1C3A36"/>
                <w:sz w:val="17"/>
              </w:rPr>
              <w:t>-38%</w:t>
            </w:r>
          </w:p>
        </w:tc>
      </w:tr>
      <w:tr>
        <w:tc>
          <w:tcPr>
            <w:tcW w:type="dxa" w:w="3096"/>
          </w:tcPr>
          <w:p>
            <w:pPr>
              <w:spacing w:after="20"/>
            </w:pPr>
            <w:r>
              <w:rPr>
                <w:color w:val="1C3A36"/>
                <w:sz w:val="17"/>
              </w:rPr>
              <w:t>Disclosed book value</w:t>
            </w:r>
          </w:p>
        </w:tc>
        <w:tc>
          <w:tcPr>
            <w:tcW w:type="dxa" w:w="3384"/>
          </w:tcPr>
          <w:p>
            <w:pPr>
              <w:spacing w:after="20"/>
              <w:jc w:val="right"/>
            </w:pPr>
            <w:r>
              <w:rPr>
                <w:color w:val="1C3A36"/>
                <w:sz w:val="17"/>
              </w:rPr>
              <w:t>Shareholders’ equity before minority interests at 30 June 2026, per share — a floor, not a value</w:t>
            </w:r>
          </w:p>
        </w:tc>
        <w:tc>
          <w:tcPr>
            <w:tcW w:type="dxa" w:w="2088"/>
          </w:tcPr>
          <w:p>
            <w:pPr>
              <w:spacing w:after="20"/>
              <w:jc w:val="right"/>
            </w:pPr>
            <w:r>
              <w:rPr>
                <w:color w:val="1C3A36"/>
                <w:sz w:val="17"/>
              </w:rPr>
              <w:t>EGP 30.82</w:t>
            </w:r>
          </w:p>
        </w:tc>
        <w:tc>
          <w:tcPr>
            <w:tcW w:type="dxa" w:w="1656"/>
          </w:tcPr>
          <w:p>
            <w:pPr>
              <w:spacing w:after="20"/>
              <w:jc w:val="right"/>
            </w:pPr>
            <w:r>
              <w:rPr>
                <w:color w:val="1C3A36"/>
                <w:sz w:val="17"/>
              </w:rPr>
              <w:t>+6%</w:t>
            </w:r>
          </w:p>
        </w:tc>
      </w:tr>
      <w:tr>
        <w:tc>
          <w:tcPr>
            <w:tcW w:type="dxa" w:w="3096"/>
            <w:shd w:val="clear" w:color="auto" w:fill="F6F1E6"/>
          </w:tcPr>
          <w:p>
            <w:pPr>
              <w:spacing w:after="20"/>
            </w:pPr>
            <w:r>
              <w:rPr>
                <w:b/>
                <w:color w:val="1C3A36"/>
                <w:sz w:val="17"/>
              </w:rPr>
              <w:t>TECHNICAL — what the tape is doing (timing, not value)</w:t>
            </w:r>
          </w:p>
        </w:tc>
        <w:tc>
          <w:tcPr>
            <w:tcW w:type="dxa" w:w="3384"/>
            <w:shd w:val="clear" w:color="auto" w:fill="F6F1E6"/>
          </w:tcPr>
          <w:p>
            <w:pPr>
              <w:spacing w:after="20"/>
              <w:jc w:val="right"/>
            </w:pPr>
            <w:r>
              <w:rPr>
                <w:b/>
                <w:color w:val="1C3A36"/>
                <w:sz w:val="17"/>
              </w:rPr>
            </w:r>
          </w:p>
        </w:tc>
        <w:tc>
          <w:tcPr>
            <w:tcW w:type="dxa" w:w="2088"/>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3096"/>
          </w:tcPr>
          <w:p>
            <w:pPr>
              <w:spacing w:after="20"/>
            </w:pPr>
            <w:r>
              <w:rPr>
                <w:color w:val="1C3A36"/>
                <w:sz w:val="17"/>
              </w:rPr>
              <w:t>Trend</w:t>
            </w:r>
          </w:p>
        </w:tc>
        <w:tc>
          <w:tcPr>
            <w:tcW w:type="dxa" w:w="3384"/>
          </w:tcPr>
          <w:p>
            <w:pPr>
              <w:spacing w:after="20"/>
              <w:jc w:val="right"/>
            </w:pPr>
            <w:r>
              <w:rPr>
                <w:color w:val="1C3A36"/>
                <w:sz w:val="17"/>
              </w:rPr>
              <w:t>Close EGP 29.51 against the 20/50/100/200-day averages</w:t>
            </w:r>
          </w:p>
        </w:tc>
        <w:tc>
          <w:tcPr>
            <w:tcW w:type="dxa" w:w="2088"/>
          </w:tcPr>
          <w:p>
            <w:pPr>
              <w:spacing w:after="20"/>
              <w:jc w:val="right"/>
            </w:pPr>
            <w:r>
              <w:rPr>
                <w:color w:val="1C3A36"/>
                <w:sz w:val="17"/>
              </w:rPr>
              <w:t>Below the two short, above the two long</w:t>
            </w:r>
          </w:p>
        </w:tc>
        <w:tc>
          <w:tcPr>
            <w:tcW w:type="dxa" w:w="1656"/>
          </w:tcPr>
          <w:p>
            <w:pPr>
              <w:spacing w:after="20"/>
              <w:jc w:val="right"/>
            </w:pPr>
            <w:r>
              <w:rPr>
                <w:color w:val="1C3A36"/>
                <w:sz w:val="17"/>
              </w:rPr>
              <w:t>Trend intact, momentum lost</w:t>
            </w:r>
          </w:p>
        </w:tc>
      </w:tr>
      <w:tr>
        <w:tc>
          <w:tcPr>
            <w:tcW w:type="dxa" w:w="3096"/>
          </w:tcPr>
          <w:p>
            <w:pPr>
              <w:spacing w:after="20"/>
            </w:pPr>
            <w:r>
              <w:rPr>
                <w:color w:val="1C3A36"/>
                <w:sz w:val="17"/>
              </w:rPr>
              <w:t>Momentum / range</w:t>
            </w:r>
          </w:p>
        </w:tc>
        <w:tc>
          <w:tcPr>
            <w:tcW w:type="dxa" w:w="3384"/>
          </w:tcPr>
          <w:p>
            <w:pPr>
              <w:spacing w:after="20"/>
              <w:jc w:val="right"/>
            </w:pPr>
            <w:r>
              <w:rPr>
                <w:color w:val="1C3A36"/>
                <w:sz w:val="17"/>
              </w:rPr>
              <w:t>Relative strength · convergence · 52-week range</w:t>
            </w:r>
          </w:p>
        </w:tc>
        <w:tc>
          <w:tcPr>
            <w:tcW w:type="dxa" w:w="2088"/>
          </w:tcPr>
          <w:p>
            <w:pPr>
              <w:spacing w:after="20"/>
              <w:jc w:val="right"/>
            </w:pPr>
            <w:r>
              <w:rPr>
                <w:color w:val="1C3A36"/>
                <w:sz w:val="17"/>
              </w:rPr>
              <w:t>RSI 40 · histogram -0.27 · 19.10–34.20</w:t>
            </w:r>
          </w:p>
        </w:tc>
        <w:tc>
          <w:tcPr>
            <w:tcW w:type="dxa" w:w="1656"/>
          </w:tcPr>
          <w:p>
            <w:pPr>
              <w:spacing w:after="20"/>
              <w:jc w:val="right"/>
            </w:pPr>
            <w:r>
              <w:rPr>
                <w:color w:val="1C3A36"/>
                <w:sz w:val="17"/>
              </w:rPr>
              <w:t>Soft, not oversold</w:t>
            </w:r>
          </w:p>
        </w:tc>
      </w:tr>
      <w:tr>
        <w:tc>
          <w:tcPr>
            <w:tcW w:type="dxa" w:w="3096"/>
            <w:shd w:val="clear" w:color="auto" w:fill="F6F1E6"/>
          </w:tcPr>
          <w:p>
            <w:pPr>
              <w:spacing w:after="20"/>
            </w:pPr>
            <w:r>
              <w:rPr>
                <w:b/>
                <w:color w:val="1C3A36"/>
                <w:sz w:val="17"/>
              </w:rPr>
              <w:t>SIMULATION — where price could go in 3 months (paths from the anchor)</w:t>
            </w:r>
          </w:p>
        </w:tc>
        <w:tc>
          <w:tcPr>
            <w:tcW w:type="dxa" w:w="3384"/>
            <w:shd w:val="clear" w:color="auto" w:fill="F6F1E6"/>
          </w:tcPr>
          <w:p>
            <w:pPr>
              <w:spacing w:after="20"/>
              <w:jc w:val="right"/>
            </w:pPr>
            <w:r>
              <w:rPr>
                <w:b/>
                <w:color w:val="1C3A36"/>
                <w:sz w:val="17"/>
              </w:rPr>
            </w:r>
          </w:p>
        </w:tc>
        <w:tc>
          <w:tcPr>
            <w:tcW w:type="dxa" w:w="2088"/>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3096"/>
          </w:tcPr>
          <w:p>
            <w:pPr>
              <w:spacing w:after="20"/>
            </w:pPr>
            <w:r>
              <w:rPr>
                <w:color w:val="1C3A36"/>
                <w:sz w:val="17"/>
              </w:rPr>
              <w:t>1 month</w:t>
            </w:r>
          </w:p>
        </w:tc>
        <w:tc>
          <w:tcPr>
            <w:tcW w:type="dxa" w:w="3384"/>
          </w:tcPr>
          <w:p>
            <w:pPr>
              <w:spacing w:after="20"/>
              <w:jc w:val="right"/>
            </w:pPr>
            <w:r>
              <w:rPr>
                <w:color w:val="1C3A36"/>
                <w:sz w:val="17"/>
              </w:rPr>
              <w:t>50,000 paths · sixteen factors</w:t>
            </w:r>
          </w:p>
        </w:tc>
        <w:tc>
          <w:tcPr>
            <w:tcW w:type="dxa" w:w="2088"/>
          </w:tcPr>
          <w:p>
            <w:pPr>
              <w:spacing w:after="20"/>
              <w:jc w:val="right"/>
            </w:pPr>
            <w:r>
              <w:rPr>
                <w:color w:val="1C3A36"/>
                <w:sz w:val="17"/>
              </w:rPr>
              <w:t>p5 24.0 · p50 29.9 · p95 37.3</w:t>
            </w:r>
          </w:p>
        </w:tc>
        <w:tc>
          <w:tcPr>
            <w:tcW w:type="dxa" w:w="1656"/>
          </w:tcPr>
          <w:p>
            <w:pPr>
              <w:spacing w:after="20"/>
              <w:jc w:val="right"/>
            </w:pPr>
            <w:r>
              <w:rPr>
                <w:color w:val="1C3A36"/>
                <w:sz w:val="17"/>
              </w:rPr>
              <w:t>Median above the anchor</w:t>
            </w:r>
          </w:p>
        </w:tc>
      </w:tr>
      <w:tr>
        <w:tc>
          <w:tcPr>
            <w:tcW w:type="dxa" w:w="3096"/>
          </w:tcPr>
          <w:p>
            <w:pPr>
              <w:spacing w:after="20"/>
            </w:pPr>
            <w:r>
              <w:rPr>
                <w:color w:val="1C3A36"/>
                <w:sz w:val="17"/>
              </w:rPr>
              <w:t>3 months</w:t>
            </w:r>
          </w:p>
        </w:tc>
        <w:tc>
          <w:tcPr>
            <w:tcW w:type="dxa" w:w="3384"/>
          </w:tcPr>
          <w:p>
            <w:pPr>
              <w:spacing w:after="20"/>
              <w:jc w:val="right"/>
            </w:pPr>
            <w:r>
              <w:rPr>
                <w:color w:val="1C3A36"/>
                <w:sz w:val="17"/>
              </w:rPr>
              <w:t>same engine, longer horizon</w:t>
            </w:r>
          </w:p>
        </w:tc>
        <w:tc>
          <w:tcPr>
            <w:tcW w:type="dxa" w:w="2088"/>
          </w:tcPr>
          <w:p>
            <w:pPr>
              <w:spacing w:after="20"/>
              <w:jc w:val="right"/>
            </w:pPr>
            <w:r>
              <w:rPr>
                <w:color w:val="1C3A36"/>
                <w:sz w:val="17"/>
              </w:rPr>
              <w:t>p5 21.0 · p50 30.7 · p95 44.9</w:t>
            </w:r>
          </w:p>
        </w:tc>
        <w:tc>
          <w:tcPr>
            <w:tcW w:type="dxa" w:w="1656"/>
          </w:tcPr>
          <w:p>
            <w:pPr>
              <w:spacing w:after="20"/>
              <w:jc w:val="right"/>
            </w:pPr>
            <w:r>
              <w:rPr>
                <w:color w:val="1C3A36"/>
                <w:sz w:val="17"/>
              </w:rPr>
              <w:t>Wide, right-skewed</w:t>
            </w:r>
          </w:p>
        </w:tc>
      </w:tr>
      <w:tr>
        <w:tc>
          <w:tcPr>
            <w:tcW w:type="dxa" w:w="3096"/>
            <w:shd w:val="clear" w:color="auto" w:fill="F6F1E6"/>
          </w:tcPr>
          <w:p>
            <w:pPr>
              <w:spacing w:after="20"/>
            </w:pPr>
            <w:r>
              <w:rPr>
                <w:b/>
                <w:color w:val="1C3A36"/>
                <w:sz w:val="17"/>
              </w:rPr>
              <w:t>EXPERT PANEL — three independent methods (Appendix C)</w:t>
            </w:r>
          </w:p>
        </w:tc>
        <w:tc>
          <w:tcPr>
            <w:tcW w:type="dxa" w:w="3384"/>
            <w:shd w:val="clear" w:color="auto" w:fill="F6F1E6"/>
          </w:tcPr>
          <w:p>
            <w:pPr>
              <w:spacing w:after="20"/>
              <w:jc w:val="right"/>
            </w:pPr>
            <w:r>
              <w:rPr>
                <w:b/>
                <w:color w:val="1C3A36"/>
                <w:sz w:val="17"/>
              </w:rPr>
            </w:r>
          </w:p>
        </w:tc>
        <w:tc>
          <w:tcPr>
            <w:tcW w:type="dxa" w:w="2088"/>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3096"/>
          </w:tcPr>
          <w:p>
            <w:pPr>
              <w:spacing w:after="20"/>
            </w:pPr>
            <w:r>
              <w:rPr>
                <w:color w:val="1C3A36"/>
                <w:sz w:val="17"/>
              </w:rPr>
              <w:t>Expert 1 — split-legs net asset value</w:t>
            </w:r>
          </w:p>
        </w:tc>
        <w:tc>
          <w:tcPr>
            <w:tcW w:type="dxa" w:w="3384"/>
          </w:tcPr>
          <w:p>
            <w:pPr>
              <w:spacing w:after="20"/>
              <w:jc w:val="right"/>
            </w:pPr>
            <w:r>
              <w:rPr>
                <w:color w:val="1C3A36"/>
                <w:sz w:val="17"/>
              </w:rPr>
              <w:t>Marks each leg; argues the wrapper discount</w:t>
            </w:r>
          </w:p>
        </w:tc>
        <w:tc>
          <w:tcPr>
            <w:tcW w:type="dxa" w:w="2088"/>
          </w:tcPr>
          <w:p>
            <w:pPr>
              <w:spacing w:after="20"/>
              <w:jc w:val="right"/>
            </w:pPr>
            <w:r>
              <w:rPr>
                <w:color w:val="1C3A36"/>
                <w:sz w:val="17"/>
              </w:rPr>
              <w:t>EGP 32.79</w:t>
            </w:r>
          </w:p>
        </w:tc>
        <w:tc>
          <w:tcPr>
            <w:tcW w:type="dxa" w:w="1656"/>
          </w:tcPr>
          <w:p>
            <w:pPr>
              <w:spacing w:after="20"/>
              <w:jc w:val="right"/>
            </w:pPr>
            <w:r>
              <w:rPr>
                <w:color w:val="1C3A36"/>
                <w:sz w:val="17"/>
              </w:rPr>
              <w:t>Most bullish</w:t>
            </w:r>
          </w:p>
        </w:tc>
      </w:tr>
      <w:tr>
        <w:tc>
          <w:tcPr>
            <w:tcW w:type="dxa" w:w="3096"/>
          </w:tcPr>
          <w:p>
            <w:pPr>
              <w:spacing w:after="20"/>
            </w:pPr>
            <w:r>
              <w:rPr>
                <w:color w:val="1C3A36"/>
                <w:sz w:val="17"/>
              </w:rPr>
              <w:t>Expert 2 — residual income on the whole group</w:t>
            </w:r>
          </w:p>
        </w:tc>
        <w:tc>
          <w:tcPr>
            <w:tcW w:type="dxa" w:w="3384"/>
          </w:tcPr>
          <w:p>
            <w:pPr>
              <w:spacing w:after="20"/>
              <w:jc w:val="right"/>
            </w:pPr>
            <w:r>
              <w:rPr>
                <w:color w:val="1C3A36"/>
                <w:sz w:val="17"/>
              </w:rPr>
              <w:t>What the group’s own reported return justifies against book</w:t>
            </w:r>
          </w:p>
        </w:tc>
        <w:tc>
          <w:tcPr>
            <w:tcW w:type="dxa" w:w="2088"/>
          </w:tcPr>
          <w:p>
            <w:pPr>
              <w:spacing w:after="20"/>
              <w:jc w:val="right"/>
            </w:pPr>
            <w:r>
              <w:rPr>
                <w:color w:val="1C3A36"/>
                <w:sz w:val="17"/>
              </w:rPr>
              <w:t>EGP 7.89</w:t>
            </w:r>
          </w:p>
        </w:tc>
        <w:tc>
          <w:tcPr>
            <w:tcW w:type="dxa" w:w="1656"/>
          </w:tcPr>
          <w:p>
            <w:pPr>
              <w:spacing w:after="20"/>
              <w:jc w:val="right"/>
            </w:pPr>
            <w:r>
              <w:rPr>
                <w:color w:val="1C3A36"/>
                <w:sz w:val="17"/>
              </w:rPr>
              <w:t>Most conservative</w:t>
            </w:r>
          </w:p>
        </w:tc>
      </w:tr>
      <w:tr>
        <w:tc>
          <w:tcPr>
            <w:tcW w:type="dxa" w:w="3096"/>
          </w:tcPr>
          <w:p>
            <w:pPr>
              <w:spacing w:after="20"/>
            </w:pPr>
            <w:r>
              <w:rPr>
                <w:color w:val="1C3A36"/>
                <w:sz w:val="17"/>
              </w:rPr>
              <w:t>Expert 3 — cash returns (return on capital vs its cost)</w:t>
            </w:r>
          </w:p>
        </w:tc>
        <w:tc>
          <w:tcPr>
            <w:tcW w:type="dxa" w:w="3384"/>
          </w:tcPr>
          <w:p>
            <w:pPr>
              <w:spacing w:after="20"/>
              <w:jc w:val="right"/>
            </w:pPr>
            <w:r>
              <w:rPr>
                <w:color w:val="1C3A36"/>
                <w:sz w:val="17"/>
              </w:rPr>
              <w:t>Economic profit on capital employed</w:t>
            </w:r>
          </w:p>
        </w:tc>
        <w:tc>
          <w:tcPr>
            <w:tcW w:type="dxa" w:w="2088"/>
          </w:tcPr>
          <w:p>
            <w:pPr>
              <w:spacing w:after="20"/>
              <w:jc w:val="right"/>
            </w:pPr>
            <w:r>
              <w:rPr>
                <w:color w:val="1C3A36"/>
                <w:sz w:val="17"/>
              </w:rPr>
              <w:t>EGP 38.26</w:t>
            </w:r>
          </w:p>
        </w:tc>
        <w:tc>
          <w:tcPr>
            <w:tcW w:type="dxa" w:w="1656"/>
          </w:tcPr>
          <w:p>
            <w:pPr>
              <w:spacing w:after="20"/>
              <w:jc w:val="right"/>
            </w:pPr>
            <w:r>
              <w:rPr>
                <w:color w:val="1C3A36"/>
                <w:sz w:val="17"/>
              </w:rPr>
              <w:t>In between</w:t>
            </w:r>
          </w:p>
        </w:tc>
      </w:tr>
      <w:tr>
        <w:tc>
          <w:tcPr>
            <w:tcW w:type="dxa" w:w="3096"/>
          </w:tcPr>
          <w:p>
            <w:pPr>
              <w:spacing w:after="20"/>
            </w:pPr>
            <w:r>
              <w:rPr>
                <w:color w:val="1C3A36"/>
                <w:sz w:val="17"/>
              </w:rPr>
              <w:t>Panel spread</w:t>
            </w:r>
          </w:p>
        </w:tc>
        <w:tc>
          <w:tcPr>
            <w:tcW w:type="dxa" w:w="3384"/>
          </w:tcPr>
          <w:p>
            <w:pPr>
              <w:spacing w:after="20"/>
              <w:jc w:val="right"/>
            </w:pPr>
            <w:r>
              <w:rPr>
                <w:color w:val="1C3A36"/>
                <w:sz w:val="17"/>
              </w:rPr>
              <w:t>The spread is the associate mark and the lender basis</w:t>
            </w:r>
          </w:p>
        </w:tc>
        <w:tc>
          <w:tcPr>
            <w:tcW w:type="dxa" w:w="2088"/>
          </w:tcPr>
          <w:p>
            <w:pPr>
              <w:spacing w:after="20"/>
              <w:jc w:val="right"/>
            </w:pPr>
            <w:r>
              <w:rPr>
                <w:color w:val="1C3A36"/>
                <w:sz w:val="17"/>
              </w:rPr>
              <w:t>EGP 7.89–38.26</w:t>
            </w:r>
          </w:p>
        </w:tc>
        <w:tc>
          <w:tcPr>
            <w:tcW w:type="dxa" w:w="1656"/>
          </w:tcPr>
          <w:p>
            <w:pPr>
              <w:spacing w:after="20"/>
              <w:jc w:val="right"/>
            </w:pPr>
            <w:r>
              <w:rPr>
                <w:color w:val="1C3A36"/>
                <w:sz w:val="17"/>
              </w:rPr>
              <w:t>Middle read EGP 32.79</w:t>
            </w:r>
          </w:p>
        </w:tc>
      </w:tr>
    </w:tbl>
    <w:p>
      <w:pPr>
        <w:spacing w:after="40"/>
      </w:pPr>
    </w:p>
    <w:p>
      <w:pPr>
        <w:spacing w:after="160" w:before="0"/>
      </w:pPr>
      <w:r>
        <w:rPr>
          <w:b/>
          <w:i w:val="0"/>
          <w:color w:val="1C3A36"/>
          <w:sz w:val="19"/>
        </w:rPr>
        <w:t xml:space="preserve">Bottom line. </w:t>
      </w:r>
      <w:r>
        <w:rPr>
          <w:b w:val="0"/>
          <w:i w:val="0"/>
          <w:color w:val="1C3A36"/>
          <w:sz w:val="19"/>
        </w:rPr>
        <w:t>There is no single central estimate in this table and there is not supposed to be. The primary lens reads EGP 17.83 on one of GB Corp’s own disclosures about its associate and EGP 30.32 on the other, -38% and +5% against the price; the cross-checks sit either side of the price, the earnings multiple at EGP 18.08 and the disclosed book floor at EGP 30.82 — and the shares trade BELOW their own book. The three experts span EGP 7.89 to 38.26, and what separates them is the same one line. Strip the associate out and this is an operating group priced at about what it earns; put it back at either of the company's own two bases and the shares look cheap. The three-month distribution is indifferent either way: it prices the stock's own measured path, and its median sits above the anchor because that drift is what this stock's own history measures rather than what anybody hopes for. How often the bands built around it have actually held is published at the end of §3, with the count beside the percentage.</w:t>
      </w:r>
    </w:p>
    <w:p>
      <w:pPr>
        <w:spacing w:after="80" w:before="200"/>
      </w:pPr>
      <w:r>
        <w:rPr>
          <w:b/>
          <w:i w:val="0"/>
          <w:color w:val="1C3A36"/>
          <w:sz w:val="24"/>
        </w:rPr>
        <w:t>Company overview — GB Corp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2736"/>
            <w:shd w:val="clear" w:color="auto" w:fill="EAF0EE"/>
          </w:tcPr>
          <w:p>
            <w:pPr>
              <w:spacing w:after="20"/>
            </w:pPr>
            <w:r>
              <w:rPr>
                <w:b/>
                <w:color w:val="1C3A36"/>
                <w:sz w:val="18"/>
              </w:rPr>
              <w:t>Item</w:t>
            </w:r>
          </w:p>
        </w:tc>
        <w:tc>
          <w:tcPr>
            <w:tcW w:type="dxa" w:w="7488"/>
            <w:shd w:val="clear" w:color="auto" w:fill="EAF0EE"/>
          </w:tcPr>
          <w:p>
            <w:pPr>
              <w:spacing w:after="20"/>
            </w:pPr>
            <w:r>
              <w:rPr>
                <w:b/>
                <w:color w:val="1C3A36"/>
                <w:sz w:val="18"/>
              </w:rPr>
              <w:t>Value</w:t>
            </w:r>
          </w:p>
        </w:tc>
      </w:tr>
      <w:tr>
        <w:tc>
          <w:tcPr>
            <w:tcW w:type="dxa" w:w="2736"/>
          </w:tcPr>
          <w:p>
            <w:pPr>
              <w:spacing w:after="20"/>
            </w:pPr>
            <w:r>
              <w:rPr>
                <w:b/>
                <w:color w:val="1C3A36"/>
                <w:sz w:val="18"/>
              </w:rPr>
              <w:t>Listed entity</w:t>
            </w:r>
          </w:p>
        </w:tc>
        <w:tc>
          <w:tcPr>
            <w:tcW w:type="dxa" w:w="7488"/>
          </w:tcPr>
          <w:p>
            <w:pPr>
              <w:spacing w:after="20"/>
              <w:jc w:val="right"/>
            </w:pPr>
            <w:r>
              <w:rPr>
                <w:color w:val="1C3A36"/>
                <w:sz w:val="18"/>
              </w:rPr>
              <w:t>GB Corp S.A.E. (EGX: GBCO; formerly GB Auto / Ghabbour Auto, AUTO)</w:t>
            </w:r>
          </w:p>
        </w:tc>
      </w:tr>
      <w:tr>
        <w:tc>
          <w:tcPr>
            <w:tcW w:type="dxa" w:w="2736"/>
          </w:tcPr>
          <w:p>
            <w:pPr>
              <w:spacing w:after="20"/>
            </w:pPr>
            <w:r>
              <w:rPr>
                <w:b/>
                <w:color w:val="1C3A36"/>
                <w:sz w:val="18"/>
              </w:rPr>
              <w:t>What it owns</w:t>
            </w:r>
          </w:p>
        </w:tc>
        <w:tc>
          <w:tcPr>
            <w:tcW w:type="dxa" w:w="7488"/>
          </w:tcPr>
          <w:p>
            <w:pPr>
              <w:spacing w:after="20"/>
              <w:jc w:val="right"/>
            </w:pPr>
            <w:r>
              <w:rPr>
                <w:color w:val="1C3A36"/>
                <w:sz w:val="18"/>
              </w:rPr>
              <w:t>GB Auto (passenger-car assembly &amp; distribution, commercial vehicles &amp; construction equipment, tires &amp; trading, light mobility) · GB Capital (Drive Finance, GB Lease &amp; Factoring, rentals, Kredit) · associates: MNT-Halan, Misr E-commerce, Bedaia, Kaf for Life Insurance</w:t>
            </w:r>
          </w:p>
        </w:tc>
      </w:tr>
      <w:tr>
        <w:tc>
          <w:tcPr>
            <w:tcW w:type="dxa" w:w="2736"/>
          </w:tcPr>
          <w:p>
            <w:pPr>
              <w:spacing w:after="20"/>
            </w:pPr>
            <w:r>
              <w:rPr>
                <w:b/>
                <w:color w:val="1C3A36"/>
                <w:sz w:val="18"/>
              </w:rPr>
              <w:t>Price / date</w:t>
            </w:r>
          </w:p>
        </w:tc>
        <w:tc>
          <w:tcPr>
            <w:tcW w:type="dxa" w:w="7488"/>
          </w:tcPr>
          <w:p>
            <w:pPr>
              <w:spacing w:after="20"/>
              <w:jc w:val="right"/>
            </w:pPr>
            <w:r>
              <w:rPr>
                <w:color w:val="1C3A36"/>
                <w:sz w:val="18"/>
              </w:rPr>
              <w:t>EGP 28.98 · 3 September 2026 close</w:t>
            </w:r>
          </w:p>
        </w:tc>
      </w:tr>
      <w:tr>
        <w:tc>
          <w:tcPr>
            <w:tcW w:type="dxa" w:w="2736"/>
          </w:tcPr>
          <w:p>
            <w:pPr>
              <w:spacing w:after="20"/>
            </w:pPr>
            <w:r>
              <w:rPr>
                <w:b/>
                <w:color w:val="1C3A36"/>
                <w:sz w:val="18"/>
              </w:rPr>
              <w:t>Shares · market capitalisation</w:t>
            </w:r>
          </w:p>
        </w:tc>
        <w:tc>
          <w:tcPr>
            <w:tcW w:type="dxa" w:w="7488"/>
          </w:tcPr>
          <w:p>
            <w:pPr>
              <w:spacing w:after="20"/>
              <w:jc w:val="right"/>
            </w:pPr>
            <w:r>
              <w:rPr>
                <w:color w:val="1C3A36"/>
                <w:sz w:val="18"/>
              </w:rPr>
              <w:t>1,085.5 mn · EGP 31.5 bn</w:t>
            </w:r>
          </w:p>
        </w:tc>
      </w:tr>
      <w:tr>
        <w:tc>
          <w:tcPr>
            <w:tcW w:type="dxa" w:w="2736"/>
          </w:tcPr>
          <w:p>
            <w:pPr>
              <w:spacing w:after="20"/>
            </w:pPr>
            <w:r>
              <w:rPr>
                <w:b/>
                <w:color w:val="1C3A36"/>
                <w:sz w:val="18"/>
              </w:rPr>
              <w:t>FY2025 revenue / net profit</w:t>
            </w:r>
          </w:p>
        </w:tc>
        <w:tc>
          <w:tcPr>
            <w:tcW w:type="dxa" w:w="7488"/>
          </w:tcPr>
          <w:p>
            <w:pPr>
              <w:spacing w:after="20"/>
              <w:jc w:val="right"/>
            </w:pPr>
            <w:r>
              <w:rPr>
                <w:color w:val="1C3A36"/>
                <w:sz w:val="18"/>
              </w:rPr>
              <w:t>EGP 80,229.8 mn (+49% year on year) · EGP 2,880.0 mn (3.6% of revenue)</w:t>
            </w:r>
          </w:p>
        </w:tc>
      </w:tr>
      <w:tr>
        <w:tc>
          <w:tcPr>
            <w:tcW w:type="dxa" w:w="2736"/>
          </w:tcPr>
          <w:p>
            <w:pPr>
              <w:spacing w:after="20"/>
            </w:pPr>
            <w:r>
              <w:rPr>
                <w:b/>
                <w:color w:val="1C3A36"/>
                <w:sz w:val="18"/>
              </w:rPr>
              <w:t>1H2026 revenue / net profit</w:t>
            </w:r>
          </w:p>
        </w:tc>
        <w:tc>
          <w:tcPr>
            <w:tcW w:type="dxa" w:w="7488"/>
          </w:tcPr>
          <w:p>
            <w:pPr>
              <w:spacing w:after="20"/>
              <w:jc w:val="right"/>
            </w:pPr>
            <w:r>
              <w:rPr>
                <w:color w:val="1C3A36"/>
                <w:sz w:val="18"/>
              </w:rPr>
              <w:t>EGP 48,474.4 mn · EGP 1,262.0 mn (reviewed, six months to 30 June 2026)</w:t>
            </w:r>
          </w:p>
        </w:tc>
      </w:tr>
      <w:tr>
        <w:tc>
          <w:tcPr>
            <w:tcW w:type="dxa" w:w="2736"/>
          </w:tcPr>
          <w:p>
            <w:pPr>
              <w:spacing w:after="20"/>
            </w:pPr>
            <w:r>
              <w:rPr>
                <w:b/>
                <w:color w:val="1C3A36"/>
                <w:sz w:val="18"/>
              </w:rPr>
              <w:t>Group gross margin, FY2023 / FY2024 / FY2025</w:t>
            </w:r>
          </w:p>
        </w:tc>
        <w:tc>
          <w:tcPr>
            <w:tcW w:type="dxa" w:w="7488"/>
          </w:tcPr>
          <w:p>
            <w:pPr>
              <w:spacing w:after="20"/>
              <w:jc w:val="right"/>
            </w:pPr>
            <w:r>
              <w:rPr>
                <w:color w:val="1C3A36"/>
                <w:sz w:val="18"/>
              </w:rPr>
              <w:t>24.31% / 19.48% / 15.49%</w:t>
            </w:r>
          </w:p>
        </w:tc>
      </w:tr>
      <w:tr>
        <w:tc>
          <w:tcPr>
            <w:tcW w:type="dxa" w:w="2736"/>
          </w:tcPr>
          <w:p>
            <w:pPr>
              <w:spacing w:after="20"/>
            </w:pPr>
            <w:r>
              <w:rPr>
                <w:b/>
                <w:color w:val="1C3A36"/>
                <w:sz w:val="18"/>
              </w:rPr>
              <w:t>GB Auto gross margin, reviewed half to 30 June 2026</w:t>
            </w:r>
          </w:p>
        </w:tc>
        <w:tc>
          <w:tcPr>
            <w:tcW w:type="dxa" w:w="7488"/>
          </w:tcPr>
          <w:p>
            <w:pPr>
              <w:spacing w:after="20"/>
              <w:jc w:val="right"/>
            </w:pPr>
            <w:r>
              <w:rPr>
                <w:color w:val="1C3A36"/>
                <w:sz w:val="18"/>
              </w:rPr>
              <w:t>14.30% — the segment revenue and gross profit the release prints for the half</w:t>
            </w:r>
          </w:p>
        </w:tc>
      </w:tr>
      <w:tr>
        <w:tc>
          <w:tcPr>
            <w:tcW w:type="dxa" w:w="2736"/>
          </w:tcPr>
          <w:p>
            <w:pPr>
              <w:spacing w:after="20"/>
            </w:pPr>
            <w:r>
              <w:rPr>
                <w:b/>
                <w:color w:val="1C3A36"/>
                <w:sz w:val="18"/>
              </w:rPr>
              <w:t>Auto net debt · group equity (30 June 2026)</w:t>
            </w:r>
          </w:p>
        </w:tc>
        <w:tc>
          <w:tcPr>
            <w:tcW w:type="dxa" w:w="7488"/>
          </w:tcPr>
          <w:p>
            <w:pPr>
              <w:spacing w:after="20"/>
              <w:jc w:val="right"/>
            </w:pPr>
            <w:r>
              <w:rPr>
                <w:color w:val="1C3A36"/>
                <w:sz w:val="18"/>
              </w:rPr>
              <w:t>EGP 14,493.6 mn · EGP 35,127.9 mn</w:t>
            </w:r>
          </w:p>
        </w:tc>
      </w:tr>
      <w:tr>
        <w:tc>
          <w:tcPr>
            <w:tcW w:type="dxa" w:w="2736"/>
          </w:tcPr>
          <w:p>
            <w:pPr>
              <w:spacing w:after="20"/>
            </w:pPr>
            <w:r>
              <w:rPr>
                <w:b/>
                <w:color w:val="1C3A36"/>
                <w:sz w:val="18"/>
              </w:rPr>
              <w:t>Book value per share (30 June 2026)</w:t>
            </w:r>
          </w:p>
        </w:tc>
        <w:tc>
          <w:tcPr>
            <w:tcW w:type="dxa" w:w="7488"/>
          </w:tcPr>
          <w:p>
            <w:pPr>
              <w:spacing w:after="20"/>
              <w:jc w:val="right"/>
            </w:pPr>
            <w:r>
              <w:rPr>
                <w:color w:val="1C3A36"/>
                <w:sz w:val="18"/>
              </w:rPr>
              <w:t>EGP 30.82 — the shares trade -6% against it</w:t>
            </w:r>
          </w:p>
        </w:tc>
      </w:tr>
      <w:tr>
        <w:tc>
          <w:tcPr>
            <w:tcW w:type="dxa" w:w="2736"/>
          </w:tcPr>
          <w:p>
            <w:pPr>
              <w:spacing w:after="20"/>
            </w:pPr>
            <w:r>
              <w:rPr>
                <w:b/>
                <w:color w:val="1C3A36"/>
                <w:sz w:val="18"/>
              </w:rPr>
              <w:t>52-week range (library, 23 August 2026)</w:t>
            </w:r>
          </w:p>
        </w:tc>
        <w:tc>
          <w:tcPr>
            <w:tcW w:type="dxa" w:w="7488"/>
          </w:tcPr>
          <w:p>
            <w:pPr>
              <w:spacing w:after="20"/>
              <w:jc w:val="right"/>
            </w:pPr>
            <w:r>
              <w:rPr>
                <w:color w:val="1C3A36"/>
                <w:sz w:val="18"/>
              </w:rPr>
              <w:t>EGP 19.10 – 34.20</w:t>
            </w:r>
          </w:p>
        </w:tc>
      </w:tr>
      <w:tr>
        <w:tc>
          <w:tcPr>
            <w:tcW w:type="dxa" w:w="2736"/>
          </w:tcPr>
          <w:p>
            <w:pPr>
              <w:spacing w:after="20"/>
            </w:pPr>
            <w:r>
              <w:rPr>
                <w:b/>
                <w:color w:val="1C3A36"/>
                <w:sz w:val="18"/>
              </w:rPr>
              <w:t>MNT-Halan stake</w:t>
            </w:r>
          </w:p>
        </w:tc>
        <w:tc>
          <w:tcPr>
            <w:tcW w:type="dxa" w:w="7488"/>
          </w:tcPr>
          <w:p>
            <w:pPr>
              <w:spacing w:after="20"/>
              <w:jc w:val="right"/>
            </w:pPr>
            <w:r>
              <w:rPr>
                <w:color w:val="1C3A36"/>
                <w:sz w:val="18"/>
              </w:rPr>
              <w:t>41.61%, stated by the company on 9 June 2026 against 42.58% before that transaction — while its reviewed statements give 42.93% from 44.01% for the same transaction; §1.1 carries both</w:t>
            </w:r>
          </w:p>
        </w:tc>
      </w:tr>
    </w:tbl>
    <w:p>
      <w:pPr>
        <w:spacing w:after="40"/>
      </w:pPr>
    </w:p>
    <w:p>
      <w:pPr>
        <w:spacing w:after="200" w:before="0"/>
      </w:pPr>
      <w:r>
        <w:rPr>
          <w:b w:val="0"/>
          <w:i/>
          <w:color w:val="6E7B77"/>
          <w:sz w:val="17"/>
        </w:rPr>
        <w:t>Source: the company’s own FY2023, FY2024 and FY2025 earnings releases; its 2Q/1H2026 release of 13 August 2026 and the reviewed consolidated statements to 30 June 2026; the MNT-Halan transaction release of 9 June 2026; and the exchange price library. Every figure in this table is read from the study’s committed record.</w:t>
      </w:r>
    </w:p>
    <w:p>
      <w:pPr>
        <w:spacing w:after="120" w:before="280"/>
      </w:pPr>
      <w:r>
        <w:rPr>
          <w:b/>
          <w:i w:val="0"/>
          <w:color w:val="1C3A36"/>
          <w:sz w:val="30"/>
        </w:rPr>
        <w:t>1  Fundamental valuation</w:t>
      </w:r>
    </w:p>
    <w:p>
      <w:pPr>
        <w:spacing w:after="120" w:before="0"/>
      </w:pPr>
      <w:r>
        <w:rPr>
          <w:b w:val="0"/>
          <w:i w:val="0"/>
          <w:color w:val="1C3A36"/>
          <w:sz w:val="21"/>
        </w:rPr>
        <w:t>We value GB Corp as an operating company with a captive finance arm and split the legs: blending an auto assembler-distributor, a leveraged lender and an unlisted fintech associate into one multiple would blur three different economics. The primary lens for this class is therefore a sum of the parts — the Auto operating leg on a free-cash-flow model; GB Capital on the residual income its own disclosed return supports, against its own operating equity; and the associate stakes on the two bases GB Corp itself discloses. That lens is the answer. A relative-multiple read and the disclosed book value are published beside it as cross-checks and carry no weight in it: a number produced by averaging several methods is a new method with parameters nobody tested, wearing the appearance of caution.</w:t>
      </w:r>
    </w:p>
    <w:p>
      <w:pPr>
        <w:spacing w:after="80" w:before="200"/>
      </w:pPr>
      <w:r>
        <w:rPr>
          <w:b/>
          <w:i w:val="0"/>
          <w:color w:val="1C3A36"/>
          <w:sz w:val="24"/>
        </w:rPr>
        <w:t>1.1  The sum of the parts — the primary lens, and both of its branches</w:t>
      </w:r>
    </w:p>
    <w:p>
      <w:pPr>
        <w:spacing w:after="120" w:before="0"/>
      </w:pPr>
      <w:r>
        <w:rPr>
          <w:b w:val="0"/>
          <w:i w:val="0"/>
          <w:color w:val="1C3A36"/>
          <w:sz w:val="21"/>
        </w:rPr>
        <w:t>Each leg is marked on the basis that fits it. The Auto leg takes the §1.2 cash-flow value. GB Capital is marked by residual income in its terminal form — the return the segment earns above the cost of that equity, capitalised — on the segment’s own shareholders’ equity before minority interests LESS the associate holdings carried inside it, so the stake this table adds back at its own mark is not also funding the lender. On a reviewed return of 7.90% against a terminal cost of equity of 18.73% that justifies — GB CORP PUBLISHES A HIGHER FIGURE FOR THE SAME SEGMENT, 15.1% for FY2025 and 13.5% for the first half of 2026, and this study does not adopt it: its numerator carries EGP 986.4 mn of investment gains from associates and its denominator is an equity base those associates sit inside, so importing it would count MNT-Halan once here and again as the largest single line of the sum of the parts. The company’s figure is printed rather than rebutted in silence — 0.08× of the EGP 6,267 mn operating equity. The associates are the branch: MNT-Halan is carried at EGP 15,724 mn in the reviewed balance sheet at 30 June 2026 and marks at EGP 29,273 mn on GB Corp’s stated 41.61% of the US$1,400 mn June-2026 round at EGP/USD 50.2. THE TWO FIGURES ARE NOT THE SAME KIND OF NUMBER and this study no longer says they are: the carrying value is what GB Corp’s own reviewed accounts carry the stake at, and the round price is what other investors paid in a transaction GB Corp took part in and has never adopted as its own carrying value. NOTHING IS DEDUCTED FOR COMPLEXITY: a conglomerate discount is a parameter with nothing observable behind it, and the uncertainty it used to stand in for is in the associate line, where it is now published as two branches rather than smuggled into one.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880"/>
            <w:shd w:val="clear" w:color="auto" w:fill="EAF0EE"/>
          </w:tcPr>
          <w:p>
            <w:pPr>
              <w:spacing w:after="20"/>
            </w:pPr>
            <w:r>
              <w:rPr>
                <w:b/>
                <w:color w:val="1C3A36"/>
                <w:sz w:val="18"/>
              </w:rPr>
              <w:t>Leg</w:t>
            </w:r>
          </w:p>
        </w:tc>
        <w:tc>
          <w:tcPr>
            <w:tcW w:type="dxa" w:w="4176"/>
            <w:shd w:val="clear" w:color="auto" w:fill="EAF0EE"/>
          </w:tcPr>
          <w:p>
            <w:pPr>
              <w:spacing w:after="20"/>
            </w:pPr>
            <w:r>
              <w:rPr>
                <w:b/>
                <w:color w:val="1C3A36"/>
                <w:sz w:val="18"/>
              </w:rPr>
              <w:t>Basis</w:t>
            </w:r>
          </w:p>
        </w:tc>
        <w:tc>
          <w:tcPr>
            <w:tcW w:type="dxa" w:w="1656"/>
            <w:shd w:val="clear" w:color="auto" w:fill="EAF0EE"/>
          </w:tcPr>
          <w:p>
            <w:pPr>
              <w:spacing w:after="20"/>
            </w:pPr>
            <w:r>
              <w:rPr>
                <w:b/>
                <w:color w:val="1C3A36"/>
                <w:sz w:val="18"/>
              </w:rPr>
              <w:t>Carrying-value branch (EGP mn)</w:t>
            </w:r>
          </w:p>
        </w:tc>
        <w:tc>
          <w:tcPr>
            <w:tcW w:type="dxa" w:w="1656"/>
            <w:shd w:val="clear" w:color="auto" w:fill="EAF0EE"/>
          </w:tcPr>
          <w:p>
            <w:pPr>
              <w:spacing w:after="20"/>
            </w:pPr>
            <w:r>
              <w:rPr>
                <w:b/>
                <w:color w:val="1C3A36"/>
                <w:sz w:val="18"/>
              </w:rPr>
              <w:t>Round-price branch (EGP mn)</w:t>
            </w:r>
          </w:p>
        </w:tc>
      </w:tr>
      <w:tr>
        <w:tc>
          <w:tcPr>
            <w:tcW w:type="dxa" w:w="2880"/>
          </w:tcPr>
          <w:p>
            <w:pPr>
              <w:spacing w:after="20"/>
            </w:pPr>
            <w:r>
              <w:rPr>
                <w:b/>
                <w:color w:val="1C3A36"/>
                <w:sz w:val="18"/>
              </w:rPr>
              <w:t>GB Auto operating leg</w:t>
            </w:r>
          </w:p>
        </w:tc>
        <w:tc>
          <w:tcPr>
            <w:tcW w:type="dxa" w:w="4176"/>
          </w:tcPr>
          <w:p>
            <w:pPr>
              <w:spacing w:after="20"/>
              <w:jc w:val="right"/>
            </w:pPr>
            <w:r>
              <w:rPr>
                <w:color w:val="1C3A36"/>
                <w:sz w:val="18"/>
              </w:rPr>
              <w:t>Free-cash-flow model (§1.2), after the leg’s own net debt and minority interests</w:t>
            </w:r>
          </w:p>
        </w:tc>
        <w:tc>
          <w:tcPr>
            <w:tcW w:type="dxa" w:w="1656"/>
          </w:tcPr>
          <w:p>
            <w:pPr>
              <w:spacing w:after="20"/>
              <w:jc w:val="right"/>
            </w:pPr>
            <w:r>
              <w:rPr>
                <w:color w:val="1C3A36"/>
                <w:sz w:val="18"/>
              </w:rPr>
              <w:t>2,645</w:t>
            </w:r>
          </w:p>
        </w:tc>
        <w:tc>
          <w:tcPr>
            <w:tcW w:type="dxa" w:w="1656"/>
          </w:tcPr>
          <w:p>
            <w:pPr>
              <w:spacing w:after="20"/>
              <w:jc w:val="right"/>
            </w:pPr>
            <w:r>
              <w:rPr>
                <w:color w:val="1C3A36"/>
                <w:sz w:val="18"/>
              </w:rPr>
              <w:t>2,645</w:t>
            </w:r>
          </w:p>
        </w:tc>
      </w:tr>
      <w:tr>
        <w:tc>
          <w:tcPr>
            <w:tcW w:type="dxa" w:w="2880"/>
          </w:tcPr>
          <w:p>
            <w:pPr>
              <w:spacing w:after="20"/>
            </w:pPr>
            <w:r>
              <w:rPr>
                <w:b/>
                <w:color w:val="1C3A36"/>
                <w:sz w:val="18"/>
              </w:rPr>
              <w:t>Plus GB Capital lending leg</w:t>
            </w:r>
          </w:p>
        </w:tc>
        <w:tc>
          <w:tcPr>
            <w:tcW w:type="dxa" w:w="4176"/>
          </w:tcPr>
          <w:p>
            <w:pPr>
              <w:spacing w:after="20"/>
              <w:jc w:val="right"/>
            </w:pPr>
            <w:r>
              <w:rPr>
                <w:color w:val="1C3A36"/>
                <w:sz w:val="18"/>
              </w:rPr>
              <w:t>Residual income on the segment’s own operating equity (the multiple and the base are in the paragraph above)</w:t>
            </w:r>
          </w:p>
        </w:tc>
        <w:tc>
          <w:tcPr>
            <w:tcW w:type="dxa" w:w="1656"/>
          </w:tcPr>
          <w:p>
            <w:pPr>
              <w:spacing w:after="20"/>
              <w:jc w:val="right"/>
            </w:pPr>
            <w:r>
              <w:rPr>
                <w:color w:val="1C3A36"/>
                <w:sz w:val="18"/>
              </w:rPr>
              <w:t>482</w:t>
            </w:r>
          </w:p>
        </w:tc>
        <w:tc>
          <w:tcPr>
            <w:tcW w:type="dxa" w:w="1656"/>
          </w:tcPr>
          <w:p>
            <w:pPr>
              <w:spacing w:after="20"/>
              <w:jc w:val="right"/>
            </w:pPr>
            <w:r>
              <w:rPr>
                <w:color w:val="1C3A36"/>
                <w:sz w:val="18"/>
              </w:rPr>
              <w:t>482</w:t>
            </w:r>
          </w:p>
        </w:tc>
      </w:tr>
      <w:tr>
        <w:tc>
          <w:tcPr>
            <w:tcW w:type="dxa" w:w="2880"/>
          </w:tcPr>
          <w:p>
            <w:pPr>
              <w:spacing w:after="20"/>
            </w:pPr>
            <w:r>
              <w:rPr>
                <w:b/>
                <w:color w:val="1C3A36"/>
                <w:sz w:val="18"/>
              </w:rPr>
              <w:t>Plus associate — MNT-Halan</w:t>
            </w:r>
          </w:p>
        </w:tc>
        <w:tc>
          <w:tcPr>
            <w:tcW w:type="dxa" w:w="4176"/>
          </w:tcPr>
          <w:p>
            <w:pPr>
              <w:spacing w:after="20"/>
              <w:jc w:val="right"/>
            </w:pPr>
            <w:r>
              <w:rPr>
                <w:color w:val="1C3A36"/>
                <w:sz w:val="18"/>
              </w:rPr>
              <w:t>Reviewed carrying value · the June-2026 round at the stated stake</w:t>
            </w:r>
          </w:p>
        </w:tc>
        <w:tc>
          <w:tcPr>
            <w:tcW w:type="dxa" w:w="1656"/>
          </w:tcPr>
          <w:p>
            <w:pPr>
              <w:spacing w:after="20"/>
              <w:jc w:val="right"/>
            </w:pPr>
            <w:r>
              <w:rPr>
                <w:color w:val="1C3A36"/>
                <w:sz w:val="18"/>
              </w:rPr>
              <w:t>15,724</w:t>
            </w:r>
          </w:p>
        </w:tc>
        <w:tc>
          <w:tcPr>
            <w:tcW w:type="dxa" w:w="1656"/>
          </w:tcPr>
          <w:p>
            <w:pPr>
              <w:spacing w:after="20"/>
              <w:jc w:val="right"/>
            </w:pPr>
            <w:r>
              <w:rPr>
                <w:color w:val="1C3A36"/>
                <w:sz w:val="18"/>
              </w:rPr>
              <w:t>29,273</w:t>
            </w:r>
          </w:p>
        </w:tc>
      </w:tr>
      <w:tr>
        <w:tc>
          <w:tcPr>
            <w:tcW w:type="dxa" w:w="2880"/>
          </w:tcPr>
          <w:p>
            <w:pPr>
              <w:spacing w:after="20"/>
            </w:pPr>
            <w:r>
              <w:rPr>
                <w:b/>
                <w:color w:val="1C3A36"/>
                <w:sz w:val="18"/>
              </w:rPr>
              <w:t>Plus other associates (Misr E-commerce, Bedaia, Kaf)</w:t>
            </w:r>
          </w:p>
        </w:tc>
        <w:tc>
          <w:tcPr>
            <w:tcW w:type="dxa" w:w="4176"/>
          </w:tcPr>
          <w:p>
            <w:pPr>
              <w:spacing w:after="20"/>
              <w:jc w:val="right"/>
            </w:pPr>
            <w:r>
              <w:rPr>
                <w:color w:val="1C3A36"/>
                <w:sz w:val="18"/>
              </w:rPr>
              <w:t>Residual carrying value, identical in both branches</w:t>
            </w:r>
          </w:p>
        </w:tc>
        <w:tc>
          <w:tcPr>
            <w:tcW w:type="dxa" w:w="1656"/>
          </w:tcPr>
          <w:p>
            <w:pPr>
              <w:spacing w:after="20"/>
              <w:jc w:val="right"/>
            </w:pPr>
            <w:r>
              <w:rPr>
                <w:color w:val="1C3A36"/>
                <w:sz w:val="18"/>
              </w:rPr>
              <w:t>507</w:t>
            </w:r>
          </w:p>
        </w:tc>
        <w:tc>
          <w:tcPr>
            <w:tcW w:type="dxa" w:w="1656"/>
          </w:tcPr>
          <w:p>
            <w:pPr>
              <w:spacing w:after="20"/>
              <w:jc w:val="right"/>
            </w:pPr>
            <w:r>
              <w:rPr>
                <w:color w:val="1C3A36"/>
                <w:sz w:val="18"/>
              </w:rPr>
              <w:t>507</w:t>
            </w:r>
          </w:p>
        </w:tc>
      </w:tr>
      <w:tr>
        <w:tc>
          <w:tcPr>
            <w:tcW w:type="dxa" w:w="2880"/>
            <w:shd w:val="clear" w:color="auto" w:fill="F6F1E6"/>
          </w:tcPr>
          <w:p>
            <w:pPr>
              <w:spacing w:after="20"/>
            </w:pPr>
            <w:r>
              <w:rPr>
                <w:b/>
                <w:color w:val="1C3A36"/>
                <w:sz w:val="18"/>
              </w:rPr>
              <w:t>Sum of the parts — equity value</w:t>
            </w:r>
          </w:p>
        </w:tc>
        <w:tc>
          <w:tcPr>
            <w:tcW w:type="dxa" w:w="4176"/>
            <w:shd w:val="clear" w:color="auto" w:fill="F6F1E6"/>
          </w:tcPr>
          <w:p>
            <w:pPr>
              <w:spacing w:after="20"/>
              <w:jc w:val="right"/>
            </w:pPr>
            <w:r>
              <w:rPr>
                <w:b/>
                <w:color w:val="1C3A36"/>
                <w:sz w:val="18"/>
              </w:rPr>
              <w:t>no discount is applied to either branch</w:t>
            </w:r>
          </w:p>
        </w:tc>
        <w:tc>
          <w:tcPr>
            <w:tcW w:type="dxa" w:w="1656"/>
            <w:shd w:val="clear" w:color="auto" w:fill="F6F1E6"/>
          </w:tcPr>
          <w:p>
            <w:pPr>
              <w:spacing w:after="20"/>
              <w:jc w:val="right"/>
            </w:pPr>
            <w:r>
              <w:rPr>
                <w:b/>
                <w:color w:val="1C3A36"/>
                <w:sz w:val="18"/>
              </w:rPr>
              <w:t>19,358</w:t>
            </w:r>
          </w:p>
        </w:tc>
        <w:tc>
          <w:tcPr>
            <w:tcW w:type="dxa" w:w="1656"/>
            <w:shd w:val="clear" w:color="auto" w:fill="F6F1E6"/>
          </w:tcPr>
          <w:p>
            <w:pPr>
              <w:spacing w:after="20"/>
              <w:jc w:val="right"/>
            </w:pPr>
            <w:r>
              <w:rPr>
                <w:b/>
                <w:color w:val="1C3A36"/>
                <w:sz w:val="18"/>
              </w:rPr>
              <w:t>32,907</w:t>
            </w:r>
          </w:p>
        </w:tc>
      </w:tr>
      <w:tr>
        <w:tc>
          <w:tcPr>
            <w:tcW w:type="dxa" w:w="2880"/>
            <w:shd w:val="clear" w:color="auto" w:fill="F6F1E6"/>
          </w:tcPr>
          <w:p>
            <w:pPr>
              <w:spacing w:after="20"/>
            </w:pPr>
            <w:r>
              <w:rPr>
                <w:b/>
                <w:color w:val="1C3A36"/>
                <w:sz w:val="18"/>
              </w:rPr>
              <w:t>Equity value per share (EGP)</w:t>
            </w:r>
          </w:p>
        </w:tc>
        <w:tc>
          <w:tcPr>
            <w:tcW w:type="dxa" w:w="4176"/>
            <w:shd w:val="clear" w:color="auto" w:fill="F6F1E6"/>
          </w:tcPr>
          <w:p>
            <w:pPr>
              <w:spacing w:after="20"/>
              <w:jc w:val="right"/>
            </w:pPr>
            <w:r>
              <w:rPr>
                <w:b/>
                <w:color w:val="1C3A36"/>
                <w:sz w:val="18"/>
              </w:rPr>
              <w:t>the two answers this study publishes</w:t>
            </w:r>
          </w:p>
        </w:tc>
        <w:tc>
          <w:tcPr>
            <w:tcW w:type="dxa" w:w="1656"/>
            <w:shd w:val="clear" w:color="auto" w:fill="F6F1E6"/>
          </w:tcPr>
          <w:p>
            <w:pPr>
              <w:spacing w:after="20"/>
              <w:jc w:val="right"/>
            </w:pPr>
            <w:r>
              <w:rPr>
                <w:b/>
                <w:color w:val="1C3A36"/>
                <w:sz w:val="18"/>
              </w:rPr>
              <w:t>17.83</w:t>
            </w:r>
          </w:p>
        </w:tc>
        <w:tc>
          <w:tcPr>
            <w:tcW w:type="dxa" w:w="1656"/>
            <w:shd w:val="clear" w:color="auto" w:fill="F6F1E6"/>
          </w:tcPr>
          <w:p>
            <w:pPr>
              <w:spacing w:after="20"/>
              <w:jc w:val="right"/>
            </w:pPr>
            <w:r>
              <w:rPr>
                <w:b/>
                <w:color w:val="1C3A36"/>
                <w:sz w:val="18"/>
              </w:rPr>
              <w:t>30.32</w:t>
            </w:r>
          </w:p>
        </w:tc>
      </w:tr>
      <w:tr>
        <w:tc>
          <w:tcPr>
            <w:tcW w:type="dxa" w:w="2880"/>
          </w:tcPr>
          <w:p>
            <w:pPr>
              <w:spacing w:after="20"/>
            </w:pPr>
            <w:r>
              <w:rPr>
                <w:b/>
                <w:color w:val="1C3A36"/>
                <w:sz w:val="18"/>
              </w:rPr>
              <w:t>Against the price</w:t>
            </w:r>
          </w:p>
        </w:tc>
        <w:tc>
          <w:tcPr>
            <w:tcW w:type="dxa" w:w="4176"/>
          </w:tcPr>
          <w:p>
            <w:pPr>
              <w:spacing w:after="20"/>
              <w:jc w:val="right"/>
            </w:pPr>
            <w:r>
              <w:rPr>
                <w:color w:val="1C3A36"/>
                <w:sz w:val="18"/>
              </w:rPr>
              <w:t>EGP 28.98, 3 September 2026</w:t>
            </w:r>
          </w:p>
        </w:tc>
        <w:tc>
          <w:tcPr>
            <w:tcW w:type="dxa" w:w="1656"/>
          </w:tcPr>
          <w:p>
            <w:pPr>
              <w:spacing w:after="20"/>
              <w:jc w:val="right"/>
            </w:pPr>
            <w:r>
              <w:rPr>
                <w:color w:val="1C3A36"/>
                <w:sz w:val="18"/>
              </w:rPr>
              <w:t>-38%</w:t>
            </w:r>
          </w:p>
        </w:tc>
        <w:tc>
          <w:tcPr>
            <w:tcW w:type="dxa" w:w="1656"/>
          </w:tcPr>
          <w:p>
            <w:pPr>
              <w:spacing w:after="20"/>
              <w:jc w:val="right"/>
            </w:pPr>
            <w:r>
              <w:rPr>
                <w:color w:val="1C3A36"/>
                <w:sz w:val="18"/>
              </w:rPr>
              <w:t>+5%</w:t>
            </w:r>
          </w:p>
        </w:tc>
      </w:tr>
    </w:tbl>
    <w:p>
      <w:pPr>
        <w:spacing w:after="40"/>
      </w:pPr>
    </w:p>
    <w:p>
      <w:pPr>
        <w:spacing w:after="120" w:before="0"/>
      </w:pPr>
      <w:r>
        <w:rPr>
          <w:b/>
          <w:i w:val="0"/>
          <w:color w:val="1C3A36"/>
          <w:sz w:val="21"/>
        </w:rPr>
        <w:t>Two answers, EGP 17.83 and 30.32 per share</w:t>
      </w:r>
      <w:r>
        <w:rPr>
          <w:b w:val="0"/>
          <w:i w:val="0"/>
          <w:color w:val="1C3A36"/>
          <w:sz w:val="21"/>
        </w:rPr>
        <w:t>, and no number between them. The gap between the branches is EGP 13.5 bn, 41.2% of the higher answer. Averaging them would produce a figure neither of GB Corp's disclosures supports, and applying a discount to bridge them would be the free parameter this edition removed arriving under a new name. What the market does with the same line is the subject of §1.7 and §7.</w:t>
      </w:r>
    </w:p>
    <w:p>
      <w:pPr>
        <w:spacing w:after="80" w:before="200"/>
      </w:pPr>
      <w:r>
        <w:rPr>
          <w:b/>
          <w:i w:val="0"/>
          <w:color w:val="1C3A36"/>
          <w:sz w:val="24"/>
        </w:rPr>
        <w:t>The ownership percentage — two figures for one transaction, and both are printed</w:t>
      </w:r>
    </w:p>
    <w:p>
      <w:pPr>
        <w:spacing w:after="120" w:before="0"/>
      </w:pPr>
      <w:r>
        <w:rPr>
          <w:b w:val="0"/>
          <w:i w:val="0"/>
          <w:color w:val="1C3A36"/>
          <w:sz w:val="19"/>
        </w:rPr>
        <w:t>GB Corp’s press release of 9 June 2026 states the holding directly: 41.61%, against 42.58% before that transaction. Its own reviewed statements to 30 June 2026, and the review report on them, give 42.93% from 44.01% for what is plainly the same transaction — most likely a different level of the structure, the intermediate holding vehicle rather than the operating group. This study adopts 41.61%, because it is the figure the round it is applied to was announced with, and prints the other rather than leaving it out. The difference is worth 2.74% of the round-price branch and exactly nothing on the carrying-value branch, whose mark is a pound figure off a pound balance sheet.</w:t>
      </w:r>
    </w:p>
    <w:p>
      <w:pPr>
        <w:spacing w:after="80" w:before="200"/>
      </w:pPr>
      <w:r>
        <w:rPr>
          <w:b/>
          <w:i w:val="0"/>
          <w:color w:val="1C3A36"/>
          <w:sz w:val="24"/>
        </w:rPr>
        <w:t>What the associate mark is worth inside this valuation</w:t>
      </w:r>
    </w:p>
    <w:p>
      <w:pPr>
        <w:spacing w:after="80" w:before="0"/>
      </w:pPr>
      <w:r>
        <w:rPr>
          <w:b w:val="0"/>
          <w:i w:val="0"/>
          <w:color w:val="1C3A36"/>
          <w:sz w:val="19"/>
        </w:rPr>
        <w:t>Because this single line carries the whole disagreement, here is its exact footprint on both of the company’s own bases: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4608"/>
            <w:shd w:val="clear" w:color="auto" w:fill="EAF0EE"/>
          </w:tcPr>
          <w:p>
            <w:pPr>
              <w:spacing w:after="20"/>
            </w:pPr>
            <w:r>
              <w:rPr>
                <w:b/>
                <w:color w:val="1C3A36"/>
                <w:sz w:val="18"/>
              </w:rPr>
              <w:t>MNT-Halan inside the GBCO valuation</w:t>
            </w:r>
          </w:p>
        </w:tc>
        <w:tc>
          <w:tcPr>
            <w:tcW w:type="dxa" w:w="2808"/>
            <w:shd w:val="clear" w:color="auto" w:fill="EAF0EE"/>
          </w:tcPr>
          <w:p>
            <w:pPr>
              <w:spacing w:after="20"/>
            </w:pPr>
            <w:r>
              <w:rPr>
                <w:b/>
                <w:color w:val="1C3A36"/>
                <w:sz w:val="18"/>
              </w:rPr>
              <w:t>Carrying-value branch</w:t>
            </w:r>
          </w:p>
        </w:tc>
        <w:tc>
          <w:tcPr>
            <w:tcW w:type="dxa" w:w="2808"/>
            <w:shd w:val="clear" w:color="auto" w:fill="EAF0EE"/>
          </w:tcPr>
          <w:p>
            <w:pPr>
              <w:spacing w:after="20"/>
            </w:pPr>
            <w:r>
              <w:rPr>
                <w:b/>
                <w:color w:val="1C3A36"/>
                <w:sz w:val="18"/>
              </w:rPr>
              <w:t>Round-price branch</w:t>
            </w:r>
          </w:p>
        </w:tc>
      </w:tr>
      <w:tr>
        <w:tc>
          <w:tcPr>
            <w:tcW w:type="dxa" w:w="4608"/>
          </w:tcPr>
          <w:p>
            <w:pPr>
              <w:spacing w:after="20"/>
            </w:pPr>
            <w:r>
              <w:rPr>
                <w:b/>
                <w:color w:val="1C3A36"/>
                <w:sz w:val="18"/>
              </w:rPr>
              <w:t>The mark (EGP mn)</w:t>
            </w:r>
          </w:p>
        </w:tc>
        <w:tc>
          <w:tcPr>
            <w:tcW w:type="dxa" w:w="2808"/>
          </w:tcPr>
          <w:p>
            <w:pPr>
              <w:spacing w:after="20"/>
              <w:jc w:val="right"/>
            </w:pPr>
            <w:r>
              <w:rPr>
                <w:color w:val="1C3A36"/>
                <w:sz w:val="18"/>
              </w:rPr>
              <w:t>15,724</w:t>
            </w:r>
          </w:p>
        </w:tc>
        <w:tc>
          <w:tcPr>
            <w:tcW w:type="dxa" w:w="2808"/>
          </w:tcPr>
          <w:p>
            <w:pPr>
              <w:spacing w:after="20"/>
              <w:jc w:val="right"/>
            </w:pPr>
            <w:r>
              <w:rPr>
                <w:color w:val="1C3A36"/>
                <w:sz w:val="18"/>
              </w:rPr>
              <w:t>29,273</w:t>
            </w:r>
          </w:p>
        </w:tc>
      </w:tr>
      <w:tr>
        <w:tc>
          <w:tcPr>
            <w:tcW w:type="dxa" w:w="4608"/>
          </w:tcPr>
          <w:p>
            <w:pPr>
              <w:spacing w:after="20"/>
            </w:pPr>
            <w:r>
              <w:rPr>
                <w:b/>
                <w:color w:val="1C3A36"/>
                <w:sz w:val="18"/>
              </w:rPr>
              <w:t>MNT-Halan as a whole, implied (US$ mn)</w:t>
            </w:r>
          </w:p>
        </w:tc>
        <w:tc>
          <w:tcPr>
            <w:tcW w:type="dxa" w:w="2808"/>
          </w:tcPr>
          <w:p>
            <w:pPr>
              <w:spacing w:after="20"/>
              <w:jc w:val="right"/>
            </w:pPr>
            <w:r>
              <w:rPr>
                <w:color w:val="1C3A36"/>
                <w:sz w:val="18"/>
              </w:rPr>
              <w:t>752</w:t>
            </w:r>
          </w:p>
        </w:tc>
        <w:tc>
          <w:tcPr>
            <w:tcW w:type="dxa" w:w="2808"/>
          </w:tcPr>
          <w:p>
            <w:pPr>
              <w:spacing w:after="20"/>
              <w:jc w:val="right"/>
            </w:pPr>
            <w:r>
              <w:rPr>
                <w:color w:val="1C3A36"/>
                <w:sz w:val="18"/>
              </w:rPr>
              <w:t>1,400</w:t>
            </w:r>
          </w:p>
        </w:tc>
      </w:tr>
      <w:tr>
        <w:tc>
          <w:tcPr>
            <w:tcW w:type="dxa" w:w="4608"/>
          </w:tcPr>
          <w:p>
            <w:pPr>
              <w:spacing w:after="20"/>
            </w:pPr>
            <w:r>
              <w:rPr>
                <w:b/>
                <w:color w:val="1C3A36"/>
                <w:sz w:val="18"/>
              </w:rPr>
              <w:t>Per share (EGP)</w:t>
            </w:r>
          </w:p>
        </w:tc>
        <w:tc>
          <w:tcPr>
            <w:tcW w:type="dxa" w:w="2808"/>
          </w:tcPr>
          <w:p>
            <w:pPr>
              <w:spacing w:after="20"/>
              <w:jc w:val="right"/>
            </w:pPr>
            <w:r>
              <w:rPr>
                <w:color w:val="1C3A36"/>
                <w:sz w:val="18"/>
              </w:rPr>
              <w:t>14.49</w:t>
            </w:r>
          </w:p>
        </w:tc>
        <w:tc>
          <w:tcPr>
            <w:tcW w:type="dxa" w:w="2808"/>
          </w:tcPr>
          <w:p>
            <w:pPr>
              <w:spacing w:after="20"/>
              <w:jc w:val="right"/>
            </w:pPr>
            <w:r>
              <w:rPr>
                <w:color w:val="1C3A36"/>
                <w:sz w:val="18"/>
              </w:rPr>
              <w:t>26.97</w:t>
            </w:r>
          </w:p>
        </w:tc>
      </w:tr>
      <w:tr>
        <w:tc>
          <w:tcPr>
            <w:tcW w:type="dxa" w:w="4608"/>
          </w:tcPr>
          <w:p>
            <w:pPr>
              <w:spacing w:after="20"/>
            </w:pPr>
            <w:r>
              <w:rPr>
                <w:b/>
                <w:color w:val="1C3A36"/>
                <w:sz w:val="18"/>
              </w:rPr>
              <w:t>Share of the equity value on that branch</w:t>
            </w:r>
          </w:p>
        </w:tc>
        <w:tc>
          <w:tcPr>
            <w:tcW w:type="dxa" w:w="2808"/>
          </w:tcPr>
          <w:p>
            <w:pPr>
              <w:spacing w:after="20"/>
              <w:jc w:val="right"/>
            </w:pPr>
            <w:r>
              <w:rPr>
                <w:color w:val="1C3A36"/>
                <w:sz w:val="18"/>
              </w:rPr>
              <w:t>81%</w:t>
            </w:r>
          </w:p>
        </w:tc>
        <w:tc>
          <w:tcPr>
            <w:tcW w:type="dxa" w:w="2808"/>
          </w:tcPr>
          <w:p>
            <w:pPr>
              <w:spacing w:after="20"/>
              <w:jc w:val="right"/>
            </w:pPr>
            <w:r>
              <w:rPr>
                <w:color w:val="1C3A36"/>
                <w:sz w:val="18"/>
              </w:rPr>
              <w:t>89%</w:t>
            </w:r>
          </w:p>
        </w:tc>
      </w:tr>
      <w:tr>
        <w:tc>
          <w:tcPr>
            <w:tcW w:type="dxa" w:w="4608"/>
          </w:tcPr>
          <w:p>
            <w:pPr>
              <w:spacing w:after="20"/>
            </w:pPr>
            <w:r>
              <w:rPr>
                <w:b/>
                <w:color w:val="1C3A36"/>
                <w:sz w:val="18"/>
              </w:rPr>
              <w:t>Share of the traded market capitalisation (EGP 31.5 bn)</w:t>
            </w:r>
          </w:p>
        </w:tc>
        <w:tc>
          <w:tcPr>
            <w:tcW w:type="dxa" w:w="2808"/>
          </w:tcPr>
          <w:p>
            <w:pPr>
              <w:spacing w:after="20"/>
              <w:jc w:val="right"/>
            </w:pPr>
            <w:r>
              <w:rPr>
                <w:color w:val="1C3A36"/>
                <w:sz w:val="18"/>
              </w:rPr>
              <w:t>50%</w:t>
            </w:r>
          </w:p>
        </w:tc>
        <w:tc>
          <w:tcPr>
            <w:tcW w:type="dxa" w:w="2808"/>
          </w:tcPr>
          <w:p>
            <w:pPr>
              <w:spacing w:after="20"/>
              <w:jc w:val="right"/>
            </w:pPr>
            <w:r>
              <w:rPr>
                <w:color w:val="1C3A36"/>
                <w:sz w:val="18"/>
              </w:rPr>
              <w:t>93%</w:t>
            </w:r>
          </w:p>
        </w:tc>
      </w:tr>
      <w:tr>
        <w:tc>
          <w:tcPr>
            <w:tcW w:type="dxa" w:w="4608"/>
          </w:tcPr>
          <w:p>
            <w:pPr>
              <w:spacing w:after="20"/>
            </w:pPr>
            <w:r>
              <w:rPr>
                <w:b/>
                <w:color w:val="1C3A36"/>
                <w:sz w:val="18"/>
              </w:rPr>
              <w:t>What the traded price leaves for ALL the associates (EGP mn)</w:t>
            </w:r>
          </w:p>
        </w:tc>
        <w:tc>
          <w:tcPr>
            <w:tcW w:type="dxa" w:w="2808"/>
          </w:tcPr>
          <w:p>
            <w:pPr>
              <w:spacing w:after="20"/>
              <w:jc w:val="right"/>
            </w:pPr>
            <w:r>
              <w:rPr>
                <w:color w:val="1C3A36"/>
                <w:sz w:val="18"/>
              </w:rPr>
              <w:t>28,330</w:t>
            </w:r>
          </w:p>
        </w:tc>
        <w:tc>
          <w:tcPr>
            <w:tcW w:type="dxa" w:w="2808"/>
          </w:tcPr>
          <w:p>
            <w:pPr>
              <w:spacing w:after="20"/>
              <w:jc w:val="right"/>
            </w:pPr>
            <w:r>
              <w:rPr>
                <w:color w:val="1C3A36"/>
                <w:sz w:val="18"/>
              </w:rPr>
              <w:t>28,330</w:t>
            </w:r>
          </w:p>
        </w:tc>
      </w:tr>
      <w:tr>
        <w:tc>
          <w:tcPr>
            <w:tcW w:type="dxa" w:w="4608"/>
          </w:tcPr>
          <w:p>
            <w:pPr>
              <w:spacing w:after="20"/>
            </w:pPr>
            <w:r>
              <w:rPr>
                <w:b/>
                <w:color w:val="1C3A36"/>
                <w:sz w:val="18"/>
              </w:rPr>
              <w:t>— that is a discount to this branch’s associates line of</w:t>
            </w:r>
          </w:p>
        </w:tc>
        <w:tc>
          <w:tcPr>
            <w:tcW w:type="dxa" w:w="2808"/>
          </w:tcPr>
          <w:p>
            <w:pPr>
              <w:spacing w:after="20"/>
              <w:jc w:val="right"/>
            </w:pPr>
            <w:r>
              <w:rPr>
                <w:color w:val="1C3A36"/>
                <w:sz w:val="18"/>
              </w:rPr>
              <w:t>-74.6%</w:t>
            </w:r>
          </w:p>
        </w:tc>
        <w:tc>
          <w:tcPr>
            <w:tcW w:type="dxa" w:w="2808"/>
          </w:tcPr>
          <w:p>
            <w:pPr>
              <w:spacing w:after="20"/>
              <w:jc w:val="right"/>
            </w:pPr>
            <w:r>
              <w:rPr>
                <w:color w:val="1C3A36"/>
                <w:sz w:val="18"/>
              </w:rPr>
              <w:t>4.9%</w:t>
            </w:r>
          </w:p>
        </w:tc>
      </w:tr>
      <w:tr>
        <w:tc>
          <w:tcPr>
            <w:tcW w:type="dxa" w:w="4608"/>
          </w:tcPr>
          <w:p>
            <w:pPr>
              <w:spacing w:after="20"/>
            </w:pPr>
            <w:r>
              <w:rPr>
                <w:b/>
                <w:color w:val="1C3A36"/>
                <w:sz w:val="18"/>
              </w:rPr>
              <w:t>What it leaves for MNT-Halan alone, the others held at carrying value (EGP mn)</w:t>
            </w:r>
          </w:p>
        </w:tc>
        <w:tc>
          <w:tcPr>
            <w:tcW w:type="dxa" w:w="2808"/>
          </w:tcPr>
          <w:p>
            <w:pPr>
              <w:spacing w:after="20"/>
              <w:jc w:val="right"/>
            </w:pPr>
            <w:r>
              <w:rPr>
                <w:color w:val="1C3A36"/>
                <w:sz w:val="18"/>
              </w:rPr>
              <w:t>27,823</w:t>
            </w:r>
          </w:p>
        </w:tc>
        <w:tc>
          <w:tcPr>
            <w:tcW w:type="dxa" w:w="2808"/>
          </w:tcPr>
          <w:p>
            <w:pPr>
              <w:spacing w:after="20"/>
              <w:jc w:val="right"/>
            </w:pPr>
            <w:r>
              <w:rPr>
                <w:color w:val="1C3A36"/>
                <w:sz w:val="18"/>
              </w:rPr>
              <w:t>27,823</w:t>
            </w:r>
          </w:p>
        </w:tc>
      </w:tr>
    </w:tbl>
    <w:p>
      <w:pPr>
        <w:spacing w:after="40"/>
      </w:pPr>
    </w:p>
    <w:p>
      <w:pPr>
        <w:spacing w:after="200" w:before="0"/>
      </w:pPr>
      <w:r>
        <w:rPr>
          <w:b w:val="0"/>
          <w:i/>
          <w:color w:val="6E7B77"/>
          <w:sz w:val="17"/>
        </w:rPr>
        <w:t>The last three rows are the same arithmetic read backwards and they are a DIAGNOSTIC, not an input: the market capitalisation less this study’s marks on the two operating legs is what the price leaves over for the associates. Nothing solved from the price enters the valuation above it.</w:t>
      </w:r>
    </w:p>
    <w:p>
      <w:pPr>
        <w:spacing w:after="80" w:before="200"/>
      </w:pPr>
      <w:r>
        <w:rPr>
          <w:b/>
          <w:i w:val="0"/>
          <w:color w:val="1C3A36"/>
          <w:sz w:val="24"/>
        </w:rPr>
        <w:t>The mark ladder — what each level of the associate mark is worth per share</w:t>
      </w:r>
    </w:p>
    <w:p>
      <w:pPr>
        <w:spacing w:after="120" w:before="0"/>
      </w:pPr>
      <w:r>
        <w:rPr>
          <w:b w:val="0"/>
          <w:i w:val="0"/>
          <w:color w:val="1C3A36"/>
          <w:sz w:val="19"/>
        </w:rPr>
        <w:t>The stake itself is not the open question; the company has stated it. What is open is the basis on which a minority interest in an unlisted company should be carried. The ladder below prices that question directly, holding every other line at its published value: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232"/>
            <w:shd w:val="clear" w:color="auto" w:fill="EAF0EE"/>
          </w:tcPr>
          <w:p>
            <w:pPr>
              <w:spacing w:after="20"/>
            </w:pPr>
            <w:r>
              <w:rPr>
                <w:b/>
                <w:color w:val="1C3A36"/>
                <w:sz w:val="17"/>
              </w:rPr>
              <w:t>MNT-Halan mark (EGP mn)</w:t>
            </w:r>
          </w:p>
        </w:tc>
        <w:tc>
          <w:tcPr>
            <w:tcW w:type="dxa" w:w="2304"/>
            <w:shd w:val="clear" w:color="auto" w:fill="EAF0EE"/>
          </w:tcPr>
          <w:p>
            <w:pPr>
              <w:spacing w:after="20"/>
            </w:pPr>
            <w:r>
              <w:rPr>
                <w:b/>
                <w:color w:val="1C3A36"/>
                <w:sz w:val="17"/>
              </w:rPr>
              <w:t>MNT-Halan as a whole (US$ mn)</w:t>
            </w:r>
          </w:p>
        </w:tc>
        <w:tc>
          <w:tcPr>
            <w:tcW w:type="dxa" w:w="2160"/>
            <w:shd w:val="clear" w:color="auto" w:fill="EAF0EE"/>
          </w:tcPr>
          <w:p>
            <w:pPr>
              <w:spacing w:after="20"/>
            </w:pPr>
            <w:r>
              <w:rPr>
                <w:b/>
                <w:color w:val="1C3A36"/>
                <w:sz w:val="17"/>
              </w:rPr>
              <w:t>Sum of the parts (EGP/share)</w:t>
            </w:r>
          </w:p>
        </w:tc>
        <w:tc>
          <w:tcPr>
            <w:tcW w:type="dxa" w:w="3528"/>
            <w:shd w:val="clear" w:color="auto" w:fill="EAF0EE"/>
          </w:tcPr>
          <w:p>
            <w:pPr>
              <w:spacing w:after="20"/>
            </w:pPr>
            <w:r>
              <w:rPr>
                <w:b/>
                <w:color w:val="1C3A36"/>
                <w:sz w:val="17"/>
              </w:rPr>
              <w:t>Note</w:t>
            </w:r>
          </w:p>
        </w:tc>
      </w:tr>
      <w:tr>
        <w:tc>
          <w:tcPr>
            <w:tcW w:type="dxa" w:w="2232"/>
          </w:tcPr>
          <w:p>
            <w:pPr>
              <w:spacing w:after="20"/>
            </w:pPr>
            <w:r>
              <w:rPr>
                <w:b/>
                <w:color w:val="1C3A36"/>
                <w:sz w:val="17"/>
              </w:rPr>
              <w:t>7,318</w:t>
            </w:r>
          </w:p>
        </w:tc>
        <w:tc>
          <w:tcPr>
            <w:tcW w:type="dxa" w:w="2304"/>
          </w:tcPr>
          <w:p>
            <w:pPr>
              <w:spacing w:after="20"/>
              <w:jc w:val="right"/>
            </w:pPr>
            <w:r>
              <w:rPr>
                <w:color w:val="1C3A36"/>
                <w:sz w:val="17"/>
              </w:rPr>
              <w:t>350</w:t>
            </w:r>
          </w:p>
        </w:tc>
        <w:tc>
          <w:tcPr>
            <w:tcW w:type="dxa" w:w="2160"/>
          </w:tcPr>
          <w:p>
            <w:pPr>
              <w:spacing w:after="20"/>
              <w:jc w:val="right"/>
            </w:pPr>
            <w:r>
              <w:rPr>
                <w:color w:val="1C3A36"/>
                <w:sz w:val="17"/>
              </w:rPr>
              <w:t>10.09</w:t>
            </w:r>
          </w:p>
        </w:tc>
        <w:tc>
          <w:tcPr>
            <w:tcW w:type="dxa" w:w="3528"/>
          </w:tcPr>
          <w:p>
            <w:pPr>
              <w:spacing w:after="20"/>
              <w:jc w:val="right"/>
            </w:pPr>
            <w:r>
              <w:rPr>
                <w:color w:val="1C3A36"/>
                <w:sz w:val="17"/>
              </w:rPr>
            </w:r>
          </w:p>
        </w:tc>
      </w:tr>
      <w:tr>
        <w:tc>
          <w:tcPr>
            <w:tcW w:type="dxa" w:w="2232"/>
          </w:tcPr>
          <w:p>
            <w:pPr>
              <w:spacing w:after="20"/>
            </w:pPr>
            <w:r>
              <w:rPr>
                <w:b/>
                <w:color w:val="1C3A36"/>
                <w:sz w:val="17"/>
              </w:rPr>
              <w:t>14,636</w:t>
            </w:r>
          </w:p>
        </w:tc>
        <w:tc>
          <w:tcPr>
            <w:tcW w:type="dxa" w:w="2304"/>
          </w:tcPr>
          <w:p>
            <w:pPr>
              <w:spacing w:after="20"/>
              <w:jc w:val="right"/>
            </w:pPr>
            <w:r>
              <w:rPr>
                <w:color w:val="1C3A36"/>
                <w:sz w:val="17"/>
              </w:rPr>
              <w:t>700</w:t>
            </w:r>
          </w:p>
        </w:tc>
        <w:tc>
          <w:tcPr>
            <w:tcW w:type="dxa" w:w="2160"/>
          </w:tcPr>
          <w:p>
            <w:pPr>
              <w:spacing w:after="20"/>
              <w:jc w:val="right"/>
            </w:pPr>
            <w:r>
              <w:rPr>
                <w:color w:val="1C3A36"/>
                <w:sz w:val="17"/>
              </w:rPr>
              <w:t>16.83</w:t>
            </w:r>
          </w:p>
        </w:tc>
        <w:tc>
          <w:tcPr>
            <w:tcW w:type="dxa" w:w="3528"/>
          </w:tcPr>
          <w:p>
            <w:pPr>
              <w:spacing w:after="20"/>
              <w:jc w:val="right"/>
            </w:pPr>
            <w:r>
              <w:rPr>
                <w:color w:val="1C3A36"/>
                <w:sz w:val="17"/>
              </w:rPr>
            </w:r>
          </w:p>
        </w:tc>
      </w:tr>
      <w:tr>
        <w:tc>
          <w:tcPr>
            <w:tcW w:type="dxa" w:w="2232"/>
          </w:tcPr>
          <w:p>
            <w:pPr>
              <w:spacing w:after="20"/>
            </w:pPr>
            <w:r>
              <w:rPr>
                <w:b/>
                <w:color w:val="1C3A36"/>
                <w:sz w:val="17"/>
              </w:rPr>
              <w:t>15,724</w:t>
            </w:r>
          </w:p>
        </w:tc>
        <w:tc>
          <w:tcPr>
            <w:tcW w:type="dxa" w:w="2304"/>
          </w:tcPr>
          <w:p>
            <w:pPr>
              <w:spacing w:after="20"/>
              <w:jc w:val="right"/>
            </w:pPr>
            <w:r>
              <w:rPr>
                <w:color w:val="1C3A36"/>
                <w:sz w:val="17"/>
              </w:rPr>
              <w:t>752</w:t>
            </w:r>
          </w:p>
        </w:tc>
        <w:tc>
          <w:tcPr>
            <w:tcW w:type="dxa" w:w="2160"/>
          </w:tcPr>
          <w:p>
            <w:pPr>
              <w:spacing w:after="20"/>
              <w:jc w:val="right"/>
            </w:pPr>
            <w:r>
              <w:rPr>
                <w:color w:val="1C3A36"/>
                <w:sz w:val="17"/>
              </w:rPr>
              <w:t>17.83</w:t>
            </w:r>
          </w:p>
        </w:tc>
        <w:tc>
          <w:tcPr>
            <w:tcW w:type="dxa" w:w="3528"/>
          </w:tcPr>
          <w:p>
            <w:pPr>
              <w:spacing w:after="20"/>
              <w:jc w:val="right"/>
            </w:pPr>
            <w:r>
              <w:rPr>
                <w:color w:val="1C3A36"/>
                <w:sz w:val="17"/>
              </w:rPr>
              <w:t>the reviewed carrying value at 30 June 2026 — the LOWER published branch</w:t>
            </w:r>
          </w:p>
        </w:tc>
      </w:tr>
      <w:tr>
        <w:tc>
          <w:tcPr>
            <w:tcW w:type="dxa" w:w="2232"/>
          </w:tcPr>
          <w:p>
            <w:pPr>
              <w:spacing w:after="20"/>
            </w:pPr>
            <w:r>
              <w:rPr>
                <w:b/>
                <w:color w:val="1C3A36"/>
                <w:sz w:val="17"/>
              </w:rPr>
              <w:t>21,954</w:t>
            </w:r>
          </w:p>
        </w:tc>
        <w:tc>
          <w:tcPr>
            <w:tcW w:type="dxa" w:w="2304"/>
          </w:tcPr>
          <w:p>
            <w:pPr>
              <w:spacing w:after="20"/>
              <w:jc w:val="right"/>
            </w:pPr>
            <w:r>
              <w:rPr>
                <w:color w:val="1C3A36"/>
                <w:sz w:val="17"/>
              </w:rPr>
              <w:t>1,050</w:t>
            </w:r>
          </w:p>
        </w:tc>
        <w:tc>
          <w:tcPr>
            <w:tcW w:type="dxa" w:w="2160"/>
          </w:tcPr>
          <w:p>
            <w:pPr>
              <w:spacing w:after="20"/>
              <w:jc w:val="right"/>
            </w:pPr>
            <w:r>
              <w:rPr>
                <w:color w:val="1C3A36"/>
                <w:sz w:val="17"/>
              </w:rPr>
              <w:t>23.57</w:t>
            </w:r>
          </w:p>
        </w:tc>
        <w:tc>
          <w:tcPr>
            <w:tcW w:type="dxa" w:w="3528"/>
          </w:tcPr>
          <w:p>
            <w:pPr>
              <w:spacing w:after="20"/>
              <w:jc w:val="right"/>
            </w:pPr>
            <w:r>
              <w:rPr>
                <w:color w:val="1C3A36"/>
                <w:sz w:val="17"/>
              </w:rPr>
            </w:r>
          </w:p>
        </w:tc>
      </w:tr>
      <w:tr>
        <w:tc>
          <w:tcPr>
            <w:tcW w:type="dxa" w:w="2232"/>
          </w:tcPr>
          <w:p>
            <w:pPr>
              <w:spacing w:after="20"/>
            </w:pPr>
            <w:r>
              <w:rPr>
                <w:b/>
                <w:color w:val="1C3A36"/>
                <w:sz w:val="17"/>
              </w:rPr>
              <w:t>27,823</w:t>
            </w:r>
          </w:p>
        </w:tc>
        <w:tc>
          <w:tcPr>
            <w:tcW w:type="dxa" w:w="2304"/>
          </w:tcPr>
          <w:p>
            <w:pPr>
              <w:spacing w:after="20"/>
              <w:jc w:val="right"/>
            </w:pPr>
            <w:r>
              <w:rPr>
                <w:color w:val="1C3A36"/>
                <w:sz w:val="17"/>
              </w:rPr>
              <w:t>1,331</w:t>
            </w:r>
          </w:p>
        </w:tc>
        <w:tc>
          <w:tcPr>
            <w:tcW w:type="dxa" w:w="2160"/>
          </w:tcPr>
          <w:p>
            <w:pPr>
              <w:spacing w:after="20"/>
              <w:jc w:val="right"/>
            </w:pPr>
            <w:r>
              <w:rPr>
                <w:color w:val="1C3A36"/>
                <w:sz w:val="17"/>
              </w:rPr>
              <w:t>28.98</w:t>
            </w:r>
          </w:p>
        </w:tc>
        <w:tc>
          <w:tcPr>
            <w:tcW w:type="dxa" w:w="3528"/>
          </w:tcPr>
          <w:p>
            <w:pPr>
              <w:spacing w:after="20"/>
              <w:jc w:val="right"/>
            </w:pPr>
            <w:r>
              <w:rPr>
                <w:color w:val="1C3A36"/>
                <w:sz w:val="17"/>
              </w:rPr>
              <w:t>what the traded price leaves for MNT-Halan alone, the other associates held at carrying value</w:t>
            </w:r>
          </w:p>
        </w:tc>
      </w:tr>
      <w:tr>
        <w:tc>
          <w:tcPr>
            <w:tcW w:type="dxa" w:w="2232"/>
          </w:tcPr>
          <w:p>
            <w:pPr>
              <w:spacing w:after="20"/>
            </w:pPr>
            <w:r>
              <w:rPr>
                <w:b/>
                <w:color w:val="1C3A36"/>
                <w:sz w:val="17"/>
              </w:rPr>
              <w:t>29,273</w:t>
            </w:r>
          </w:p>
        </w:tc>
        <w:tc>
          <w:tcPr>
            <w:tcW w:type="dxa" w:w="2304"/>
          </w:tcPr>
          <w:p>
            <w:pPr>
              <w:spacing w:after="20"/>
              <w:jc w:val="right"/>
            </w:pPr>
            <w:r>
              <w:rPr>
                <w:color w:val="1C3A36"/>
                <w:sz w:val="17"/>
              </w:rPr>
              <w:t>1,400</w:t>
            </w:r>
          </w:p>
        </w:tc>
        <w:tc>
          <w:tcPr>
            <w:tcW w:type="dxa" w:w="2160"/>
          </w:tcPr>
          <w:p>
            <w:pPr>
              <w:spacing w:after="20"/>
              <w:jc w:val="right"/>
            </w:pPr>
            <w:r>
              <w:rPr>
                <w:color w:val="1C3A36"/>
                <w:sz w:val="17"/>
              </w:rPr>
              <w:t>30.32</w:t>
            </w:r>
          </w:p>
        </w:tc>
        <w:tc>
          <w:tcPr>
            <w:tcW w:type="dxa" w:w="3528"/>
          </w:tcPr>
          <w:p>
            <w:pPr>
              <w:spacing w:after="20"/>
              <w:jc w:val="right"/>
            </w:pPr>
            <w:r>
              <w:rPr>
                <w:color w:val="1C3A36"/>
                <w:sz w:val="17"/>
              </w:rPr>
              <w:t>the June-2026 round at the stated stake — the HIGHER published branch</w:t>
            </w:r>
          </w:p>
        </w:tc>
      </w:tr>
    </w:tbl>
    <w:p>
      <w:pPr>
        <w:spacing w:after="40"/>
      </w:pPr>
    </w:p>
    <w:p>
      <w:pPr>
        <w:spacing w:after="200" w:before="0"/>
      </w:pPr>
      <w:r>
        <w:rPr>
          <w:b w:val="0"/>
          <w:i/>
          <w:color w:val="6E7B77"/>
          <w:sz w:val="17"/>
        </w:rPr>
        <w:t>Every row recomputes the whole sum of the parts at that mark; the auto leg, the lender and the other associates are held exactly where §1.2 and this section publish them. The two published branches are the two rows the note column names, and the top row is the mark the traded price itself implies — which is why it reproduces the traded price exactly.</w:t>
      </w:r>
    </w:p>
    <w:p>
      <w:pPr>
        <w:spacing w:after="80" w:before="200"/>
      </w:pPr>
      <w:r>
        <w:rPr>
          <w:b/>
          <w:i w:val="0"/>
          <w:color w:val="1C3A36"/>
          <w:sz w:val="24"/>
        </w:rPr>
        <w:t>1.2  The Auto-leg cash-flow model</w:t>
      </w:r>
    </w:p>
    <w:p>
      <w:pPr>
        <w:spacing w:after="120" w:before="0"/>
      </w:pPr>
      <w:r>
        <w:rPr>
          <w:b w:val="0"/>
          <w:i w:val="0"/>
          <w:color w:val="1C3A36"/>
          <w:sz w:val="21"/>
        </w:rPr>
        <w:t>The Auto leg is built bottom-up on disclosed units × average selling price per line of business: volumes and revenue are published per line, so the price is arithmetic rather than an assumption, and the driver table is in §1.6 and Appendix A. Gross margin opens at 13.80% and settles at 14.50%; selling and administrative cost holds near 7.3% of revenue; capital expenditure opens at EGP 3,000 mn and is then held FLAT AS A SHARE OF REVENUE — this company publishes no capital-expenditure figure, maintenance disclosure or costed investment plan anywhere, so there is no disclosure in which a declining path could be measured, and the opening level itself rests on described plans and is registered as outstanding rather than repaired; and the crux — net working capital — is held flat at 22.6% of revenue, anchored on the reviewed half and carried unchanged, because the payables re-extension a declining path would need is contradicted by the company’s own filings: days payable ran 112.7 to 83.3 and the cash cycle lengthened rather than shortened. The cost of capital is not one crisis rate held for ever: it is a schedule, built through the house cost-of-capital module from a normalised risk-free rate of 19.59%, a regression beta of 0.8907 and an equity risk premium of 9.41%, gliding from 14.58% in the first forecast year to a norm-built terminal of 11.59%. Terminal growth is stored as a REAL rate of 0.0% on the house Egyptian inflation path and recomputes to 7.00% nominal; it is not a typed nominal figure. §1.8 carries the whole build.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024"/>
            <w:shd w:val="clear" w:color="auto" w:fill="EAF0EE"/>
          </w:tcPr>
          <w:p>
            <w:pPr>
              <w:spacing w:after="20"/>
            </w:pPr>
            <w:r>
              <w:rPr>
                <w:b/>
                <w:color w:val="1C3A36"/>
                <w:sz w:val="17"/>
              </w:rPr>
              <w:t>EGP mn</w:t>
            </w:r>
          </w:p>
        </w:tc>
        <w:tc>
          <w:tcPr>
            <w:tcW w:type="dxa" w:w="1440"/>
            <w:shd w:val="clear" w:color="auto" w:fill="EAF0EE"/>
          </w:tcPr>
          <w:p>
            <w:pPr>
              <w:spacing w:after="20"/>
            </w:pPr>
            <w:r>
              <w:rPr>
                <w:b/>
                <w:color w:val="1C3A36"/>
                <w:sz w:val="17"/>
              </w:rPr>
              <w:t>FY26E</w:t>
            </w:r>
          </w:p>
        </w:tc>
        <w:tc>
          <w:tcPr>
            <w:tcW w:type="dxa" w:w="1440"/>
            <w:shd w:val="clear" w:color="auto" w:fill="EAF0EE"/>
          </w:tcPr>
          <w:p>
            <w:pPr>
              <w:spacing w:after="20"/>
            </w:pPr>
            <w:r>
              <w:rPr>
                <w:b/>
                <w:color w:val="1C3A36"/>
                <w:sz w:val="17"/>
              </w:rPr>
              <w:t>FY27E</w:t>
            </w:r>
          </w:p>
        </w:tc>
        <w:tc>
          <w:tcPr>
            <w:tcW w:type="dxa" w:w="1440"/>
            <w:shd w:val="clear" w:color="auto" w:fill="EAF0EE"/>
          </w:tcPr>
          <w:p>
            <w:pPr>
              <w:spacing w:after="20"/>
            </w:pPr>
            <w:r>
              <w:rPr>
                <w:b/>
                <w:color w:val="1C3A36"/>
                <w:sz w:val="17"/>
              </w:rPr>
              <w:t>FY28E</w:t>
            </w:r>
          </w:p>
        </w:tc>
        <w:tc>
          <w:tcPr>
            <w:tcW w:type="dxa" w:w="1440"/>
            <w:shd w:val="clear" w:color="auto" w:fill="EAF0EE"/>
          </w:tcPr>
          <w:p>
            <w:pPr>
              <w:spacing w:after="20"/>
            </w:pPr>
            <w:r>
              <w:rPr>
                <w:b/>
                <w:color w:val="1C3A36"/>
                <w:sz w:val="17"/>
              </w:rPr>
              <w:t>FY29E</w:t>
            </w:r>
          </w:p>
        </w:tc>
        <w:tc>
          <w:tcPr>
            <w:tcW w:type="dxa" w:w="1440"/>
            <w:shd w:val="clear" w:color="auto" w:fill="EAF0EE"/>
          </w:tcPr>
          <w:p>
            <w:pPr>
              <w:spacing w:after="20"/>
            </w:pPr>
            <w:r>
              <w:rPr>
                <w:b/>
                <w:color w:val="1C3A36"/>
                <w:sz w:val="17"/>
              </w:rPr>
              <w:t>FY30E</w:t>
            </w:r>
          </w:p>
        </w:tc>
      </w:tr>
      <w:tr>
        <w:tc>
          <w:tcPr>
            <w:tcW w:type="dxa" w:w="3024"/>
          </w:tcPr>
          <w:p>
            <w:pPr>
              <w:spacing w:after="20"/>
            </w:pPr>
            <w:r>
              <w:rPr>
                <w:b/>
                <w:color w:val="1C3A36"/>
                <w:sz w:val="17"/>
              </w:rPr>
              <w:t>Auto revenue</w:t>
            </w:r>
          </w:p>
        </w:tc>
        <w:tc>
          <w:tcPr>
            <w:tcW w:type="dxa" w:w="1440"/>
          </w:tcPr>
          <w:p>
            <w:pPr>
              <w:spacing w:after="20"/>
              <w:jc w:val="right"/>
            </w:pPr>
            <w:r>
              <w:rPr>
                <w:color w:val="1C3A36"/>
                <w:sz w:val="17"/>
              </w:rPr>
              <w:t>79,677</w:t>
            </w:r>
          </w:p>
        </w:tc>
        <w:tc>
          <w:tcPr>
            <w:tcW w:type="dxa" w:w="1440"/>
          </w:tcPr>
          <w:p>
            <w:pPr>
              <w:spacing w:after="20"/>
              <w:jc w:val="right"/>
            </w:pPr>
            <w:r>
              <w:rPr>
                <w:color w:val="1C3A36"/>
                <w:sz w:val="17"/>
              </w:rPr>
              <w:t>96,864</w:t>
            </w:r>
          </w:p>
        </w:tc>
        <w:tc>
          <w:tcPr>
            <w:tcW w:type="dxa" w:w="1440"/>
          </w:tcPr>
          <w:p>
            <w:pPr>
              <w:spacing w:after="20"/>
              <w:jc w:val="right"/>
            </w:pPr>
            <w:r>
              <w:rPr>
                <w:color w:val="1C3A36"/>
                <w:sz w:val="17"/>
              </w:rPr>
              <w:t>113,587</w:t>
            </w:r>
          </w:p>
        </w:tc>
        <w:tc>
          <w:tcPr>
            <w:tcW w:type="dxa" w:w="1440"/>
          </w:tcPr>
          <w:p>
            <w:pPr>
              <w:spacing w:after="20"/>
              <w:jc w:val="right"/>
            </w:pPr>
            <w:r>
              <w:rPr>
                <w:color w:val="1C3A36"/>
                <w:sz w:val="17"/>
              </w:rPr>
              <w:t>129,841</w:t>
            </w:r>
          </w:p>
        </w:tc>
        <w:tc>
          <w:tcPr>
            <w:tcW w:type="dxa" w:w="1440"/>
          </w:tcPr>
          <w:p>
            <w:pPr>
              <w:spacing w:after="20"/>
              <w:jc w:val="right"/>
            </w:pPr>
            <w:r>
              <w:rPr>
                <w:color w:val="1C3A36"/>
                <w:sz w:val="17"/>
              </w:rPr>
              <w:t>145,889</w:t>
            </w:r>
          </w:p>
        </w:tc>
      </w:tr>
      <w:tr>
        <w:tc>
          <w:tcPr>
            <w:tcW w:type="dxa" w:w="3024"/>
          </w:tcPr>
          <w:p>
            <w:pPr>
              <w:spacing w:after="20"/>
            </w:pPr>
            <w:r>
              <w:rPr>
                <w:b/>
                <w:color w:val="1C3A36"/>
                <w:sz w:val="17"/>
              </w:rPr>
              <w:t>Operating profit before depreciation</w:t>
            </w:r>
          </w:p>
        </w:tc>
        <w:tc>
          <w:tcPr>
            <w:tcW w:type="dxa" w:w="1440"/>
          </w:tcPr>
          <w:p>
            <w:pPr>
              <w:spacing w:after="20"/>
              <w:jc w:val="right"/>
            </w:pPr>
            <w:r>
              <w:rPr>
                <w:color w:val="1C3A36"/>
                <w:sz w:val="17"/>
              </w:rPr>
              <w:t>6,773</w:t>
            </w:r>
          </w:p>
        </w:tc>
        <w:tc>
          <w:tcPr>
            <w:tcW w:type="dxa" w:w="1440"/>
          </w:tcPr>
          <w:p>
            <w:pPr>
              <w:spacing w:after="20"/>
              <w:jc w:val="right"/>
            </w:pPr>
            <w:r>
              <w:rPr>
                <w:color w:val="1C3A36"/>
                <w:sz w:val="17"/>
              </w:rPr>
              <w:t>8,718</w:t>
            </w:r>
          </w:p>
        </w:tc>
        <w:tc>
          <w:tcPr>
            <w:tcW w:type="dxa" w:w="1440"/>
          </w:tcPr>
          <w:p>
            <w:pPr>
              <w:spacing w:after="20"/>
              <w:jc w:val="right"/>
            </w:pPr>
            <w:r>
              <w:rPr>
                <w:color w:val="1C3A36"/>
                <w:sz w:val="17"/>
              </w:rPr>
              <w:t>10,677</w:t>
            </w:r>
          </w:p>
        </w:tc>
        <w:tc>
          <w:tcPr>
            <w:tcW w:type="dxa" w:w="1440"/>
          </w:tcPr>
          <w:p>
            <w:pPr>
              <w:spacing w:after="20"/>
              <w:jc w:val="right"/>
            </w:pPr>
            <w:r>
              <w:rPr>
                <w:color w:val="1C3A36"/>
                <w:sz w:val="17"/>
              </w:rPr>
              <w:t>12,335</w:t>
            </w:r>
          </w:p>
        </w:tc>
        <w:tc>
          <w:tcPr>
            <w:tcW w:type="dxa" w:w="1440"/>
          </w:tcPr>
          <w:p>
            <w:pPr>
              <w:spacing w:after="20"/>
              <w:jc w:val="right"/>
            </w:pPr>
            <w:r>
              <w:rPr>
                <w:color w:val="1C3A36"/>
                <w:sz w:val="17"/>
              </w:rPr>
              <w:t>13,859</w:t>
            </w:r>
          </w:p>
        </w:tc>
      </w:tr>
      <w:tr>
        <w:tc>
          <w:tcPr>
            <w:tcW w:type="dxa" w:w="3024"/>
          </w:tcPr>
          <w:p>
            <w:pPr>
              <w:spacing w:after="20"/>
            </w:pPr>
            <w:r>
              <w:rPr>
                <w:b/>
                <w:color w:val="1C3A36"/>
                <w:sz w:val="17"/>
              </w:rPr>
              <w:t>Depreciation &amp; amortisation</w:t>
            </w:r>
          </w:p>
        </w:tc>
        <w:tc>
          <w:tcPr>
            <w:tcW w:type="dxa" w:w="1440"/>
          </w:tcPr>
          <w:p>
            <w:pPr>
              <w:spacing w:after="20"/>
              <w:jc w:val="right"/>
            </w:pPr>
            <w:r>
              <w:rPr>
                <w:color w:val="1C3A36"/>
                <w:sz w:val="17"/>
              </w:rPr>
              <w:t>(876)</w:t>
            </w:r>
          </w:p>
        </w:tc>
        <w:tc>
          <w:tcPr>
            <w:tcW w:type="dxa" w:w="1440"/>
          </w:tcPr>
          <w:p>
            <w:pPr>
              <w:spacing w:after="20"/>
              <w:jc w:val="right"/>
            </w:pPr>
            <w:r>
              <w:rPr>
                <w:color w:val="1C3A36"/>
                <w:sz w:val="17"/>
              </w:rPr>
              <w:t>(1,066)</w:t>
            </w:r>
          </w:p>
        </w:tc>
        <w:tc>
          <w:tcPr>
            <w:tcW w:type="dxa" w:w="1440"/>
          </w:tcPr>
          <w:p>
            <w:pPr>
              <w:spacing w:after="20"/>
              <w:jc w:val="right"/>
            </w:pPr>
            <w:r>
              <w:rPr>
                <w:color w:val="1C3A36"/>
                <w:sz w:val="17"/>
              </w:rPr>
              <w:t>(1,249)</w:t>
            </w:r>
          </w:p>
        </w:tc>
        <w:tc>
          <w:tcPr>
            <w:tcW w:type="dxa" w:w="1440"/>
          </w:tcPr>
          <w:p>
            <w:pPr>
              <w:spacing w:after="20"/>
              <w:jc w:val="right"/>
            </w:pPr>
            <w:r>
              <w:rPr>
                <w:color w:val="1C3A36"/>
                <w:sz w:val="17"/>
              </w:rPr>
              <w:t>(1,428)</w:t>
            </w:r>
          </w:p>
        </w:tc>
        <w:tc>
          <w:tcPr>
            <w:tcW w:type="dxa" w:w="1440"/>
          </w:tcPr>
          <w:p>
            <w:pPr>
              <w:spacing w:after="20"/>
              <w:jc w:val="right"/>
            </w:pPr>
            <w:r>
              <w:rPr>
                <w:color w:val="1C3A36"/>
                <w:sz w:val="17"/>
              </w:rPr>
              <w:t>(1,605)</w:t>
            </w:r>
          </w:p>
        </w:tc>
      </w:tr>
      <w:tr>
        <w:tc>
          <w:tcPr>
            <w:tcW w:type="dxa" w:w="3024"/>
          </w:tcPr>
          <w:p>
            <w:pPr>
              <w:spacing w:after="20"/>
            </w:pPr>
            <w:r>
              <w:rPr>
                <w:b/>
                <w:color w:val="1C3A36"/>
                <w:sz w:val="17"/>
              </w:rPr>
              <w:t>Operating profit</w:t>
            </w:r>
          </w:p>
        </w:tc>
        <w:tc>
          <w:tcPr>
            <w:tcW w:type="dxa" w:w="1440"/>
          </w:tcPr>
          <w:p>
            <w:pPr>
              <w:spacing w:after="20"/>
              <w:jc w:val="right"/>
            </w:pPr>
            <w:r>
              <w:rPr>
                <w:color w:val="1C3A36"/>
                <w:sz w:val="17"/>
              </w:rPr>
              <w:t>5,896</w:t>
            </w:r>
          </w:p>
        </w:tc>
        <w:tc>
          <w:tcPr>
            <w:tcW w:type="dxa" w:w="1440"/>
          </w:tcPr>
          <w:p>
            <w:pPr>
              <w:spacing w:after="20"/>
              <w:jc w:val="right"/>
            </w:pPr>
            <w:r>
              <w:rPr>
                <w:color w:val="1C3A36"/>
                <w:sz w:val="17"/>
              </w:rPr>
              <w:t>7,652</w:t>
            </w:r>
          </w:p>
        </w:tc>
        <w:tc>
          <w:tcPr>
            <w:tcW w:type="dxa" w:w="1440"/>
          </w:tcPr>
          <w:p>
            <w:pPr>
              <w:spacing w:after="20"/>
              <w:jc w:val="right"/>
            </w:pPr>
            <w:r>
              <w:rPr>
                <w:color w:val="1C3A36"/>
                <w:sz w:val="17"/>
              </w:rPr>
              <w:t>9,428</w:t>
            </w:r>
          </w:p>
        </w:tc>
        <w:tc>
          <w:tcPr>
            <w:tcW w:type="dxa" w:w="1440"/>
          </w:tcPr>
          <w:p>
            <w:pPr>
              <w:spacing w:after="20"/>
              <w:jc w:val="right"/>
            </w:pPr>
            <w:r>
              <w:rPr>
                <w:color w:val="1C3A36"/>
                <w:sz w:val="17"/>
              </w:rPr>
              <w:t>10,907</w:t>
            </w:r>
          </w:p>
        </w:tc>
        <w:tc>
          <w:tcPr>
            <w:tcW w:type="dxa" w:w="1440"/>
          </w:tcPr>
          <w:p>
            <w:pPr>
              <w:spacing w:after="20"/>
              <w:jc w:val="right"/>
            </w:pPr>
            <w:r>
              <w:rPr>
                <w:color w:val="1C3A36"/>
                <w:sz w:val="17"/>
              </w:rPr>
              <w:t>12,255</w:t>
            </w:r>
          </w:p>
        </w:tc>
      </w:tr>
      <w:tr>
        <w:tc>
          <w:tcPr>
            <w:tcW w:type="dxa" w:w="3024"/>
          </w:tcPr>
          <w:p>
            <w:pPr>
              <w:spacing w:after="20"/>
            </w:pPr>
            <w:r>
              <w:rPr>
                <w:b/>
                <w:color w:val="1C3A36"/>
                <w:sz w:val="17"/>
              </w:rPr>
              <w:t>Operating profit after tax at 28%</w:t>
            </w:r>
          </w:p>
        </w:tc>
        <w:tc>
          <w:tcPr>
            <w:tcW w:type="dxa" w:w="1440"/>
          </w:tcPr>
          <w:p>
            <w:pPr>
              <w:spacing w:after="20"/>
              <w:jc w:val="right"/>
            </w:pPr>
            <w:r>
              <w:rPr>
                <w:color w:val="1C3A36"/>
                <w:sz w:val="17"/>
              </w:rPr>
              <w:t>4,245</w:t>
            </w:r>
          </w:p>
        </w:tc>
        <w:tc>
          <w:tcPr>
            <w:tcW w:type="dxa" w:w="1440"/>
          </w:tcPr>
          <w:p>
            <w:pPr>
              <w:spacing w:after="20"/>
              <w:jc w:val="right"/>
            </w:pPr>
            <w:r>
              <w:rPr>
                <w:color w:val="1C3A36"/>
                <w:sz w:val="17"/>
              </w:rPr>
              <w:t>5,510</w:t>
            </w:r>
          </w:p>
        </w:tc>
        <w:tc>
          <w:tcPr>
            <w:tcW w:type="dxa" w:w="1440"/>
          </w:tcPr>
          <w:p>
            <w:pPr>
              <w:spacing w:after="20"/>
              <w:jc w:val="right"/>
            </w:pPr>
            <w:r>
              <w:rPr>
                <w:color w:val="1C3A36"/>
                <w:sz w:val="17"/>
              </w:rPr>
              <w:t>6,788</w:t>
            </w:r>
          </w:p>
        </w:tc>
        <w:tc>
          <w:tcPr>
            <w:tcW w:type="dxa" w:w="1440"/>
          </w:tcPr>
          <w:p>
            <w:pPr>
              <w:spacing w:after="20"/>
              <w:jc w:val="right"/>
            </w:pPr>
            <w:r>
              <w:rPr>
                <w:color w:val="1C3A36"/>
                <w:sz w:val="17"/>
              </w:rPr>
              <w:t>7,853</w:t>
            </w:r>
          </w:p>
        </w:tc>
        <w:tc>
          <w:tcPr>
            <w:tcW w:type="dxa" w:w="1440"/>
          </w:tcPr>
          <w:p>
            <w:pPr>
              <w:spacing w:after="20"/>
              <w:jc w:val="right"/>
            </w:pPr>
            <w:r>
              <w:rPr>
                <w:color w:val="1C3A36"/>
                <w:sz w:val="17"/>
              </w:rPr>
              <w:t>8,823</w:t>
            </w:r>
          </w:p>
        </w:tc>
      </w:tr>
      <w:tr>
        <w:tc>
          <w:tcPr>
            <w:tcW w:type="dxa" w:w="3024"/>
          </w:tcPr>
          <w:p>
            <w:pPr>
              <w:spacing w:after="20"/>
            </w:pPr>
            <w:r>
              <w:rPr>
                <w:b/>
                <w:color w:val="1C3A36"/>
                <w:sz w:val="17"/>
              </w:rPr>
              <w:t>Plus depreciation &amp; amortisation</w:t>
            </w:r>
          </w:p>
        </w:tc>
        <w:tc>
          <w:tcPr>
            <w:tcW w:type="dxa" w:w="1440"/>
          </w:tcPr>
          <w:p>
            <w:pPr>
              <w:spacing w:after="20"/>
              <w:jc w:val="right"/>
            </w:pPr>
            <w:r>
              <w:rPr>
                <w:color w:val="1C3A36"/>
                <w:sz w:val="17"/>
              </w:rPr>
              <w:t>876</w:t>
            </w:r>
          </w:p>
        </w:tc>
        <w:tc>
          <w:tcPr>
            <w:tcW w:type="dxa" w:w="1440"/>
          </w:tcPr>
          <w:p>
            <w:pPr>
              <w:spacing w:after="20"/>
              <w:jc w:val="right"/>
            </w:pPr>
            <w:r>
              <w:rPr>
                <w:color w:val="1C3A36"/>
                <w:sz w:val="17"/>
              </w:rPr>
              <w:t>1,066</w:t>
            </w:r>
          </w:p>
        </w:tc>
        <w:tc>
          <w:tcPr>
            <w:tcW w:type="dxa" w:w="1440"/>
          </w:tcPr>
          <w:p>
            <w:pPr>
              <w:spacing w:after="20"/>
              <w:jc w:val="right"/>
            </w:pPr>
            <w:r>
              <w:rPr>
                <w:color w:val="1C3A36"/>
                <w:sz w:val="17"/>
              </w:rPr>
              <w:t>1,249</w:t>
            </w:r>
          </w:p>
        </w:tc>
        <w:tc>
          <w:tcPr>
            <w:tcW w:type="dxa" w:w="1440"/>
          </w:tcPr>
          <w:p>
            <w:pPr>
              <w:spacing w:after="20"/>
              <w:jc w:val="right"/>
            </w:pPr>
            <w:r>
              <w:rPr>
                <w:color w:val="1C3A36"/>
                <w:sz w:val="17"/>
              </w:rPr>
              <w:t>1,428</w:t>
            </w:r>
          </w:p>
        </w:tc>
        <w:tc>
          <w:tcPr>
            <w:tcW w:type="dxa" w:w="1440"/>
          </w:tcPr>
          <w:p>
            <w:pPr>
              <w:spacing w:after="20"/>
              <w:jc w:val="right"/>
            </w:pPr>
            <w:r>
              <w:rPr>
                <w:color w:val="1C3A36"/>
                <w:sz w:val="17"/>
              </w:rPr>
              <w:t>1,605</w:t>
            </w:r>
          </w:p>
        </w:tc>
      </w:tr>
      <w:tr>
        <w:tc>
          <w:tcPr>
            <w:tcW w:type="dxa" w:w="3024"/>
          </w:tcPr>
          <w:p>
            <w:pPr>
              <w:spacing w:after="20"/>
            </w:pPr>
            <w:r>
              <w:rPr>
                <w:b/>
                <w:color w:val="1C3A36"/>
                <w:sz w:val="17"/>
              </w:rPr>
              <w:t>Less capital expenditure</w:t>
            </w:r>
          </w:p>
        </w:tc>
        <w:tc>
          <w:tcPr>
            <w:tcW w:type="dxa" w:w="1440"/>
          </w:tcPr>
          <w:p>
            <w:pPr>
              <w:spacing w:after="20"/>
              <w:jc w:val="right"/>
            </w:pPr>
            <w:r>
              <w:rPr>
                <w:color w:val="1C3A36"/>
                <w:sz w:val="17"/>
              </w:rPr>
              <w:t>(3,000)</w:t>
            </w:r>
          </w:p>
        </w:tc>
        <w:tc>
          <w:tcPr>
            <w:tcW w:type="dxa" w:w="1440"/>
          </w:tcPr>
          <w:p>
            <w:pPr>
              <w:spacing w:after="20"/>
              <w:jc w:val="right"/>
            </w:pPr>
            <w:r>
              <w:rPr>
                <w:color w:val="1C3A36"/>
                <w:sz w:val="17"/>
              </w:rPr>
              <w:t>(3,647)</w:t>
            </w:r>
          </w:p>
        </w:tc>
        <w:tc>
          <w:tcPr>
            <w:tcW w:type="dxa" w:w="1440"/>
          </w:tcPr>
          <w:p>
            <w:pPr>
              <w:spacing w:after="20"/>
              <w:jc w:val="right"/>
            </w:pPr>
            <w:r>
              <w:rPr>
                <w:color w:val="1C3A36"/>
                <w:sz w:val="17"/>
              </w:rPr>
              <w:t>(4,277)</w:t>
            </w:r>
          </w:p>
        </w:tc>
        <w:tc>
          <w:tcPr>
            <w:tcW w:type="dxa" w:w="1440"/>
          </w:tcPr>
          <w:p>
            <w:pPr>
              <w:spacing w:after="20"/>
              <w:jc w:val="right"/>
            </w:pPr>
            <w:r>
              <w:rPr>
                <w:color w:val="1C3A36"/>
                <w:sz w:val="17"/>
              </w:rPr>
              <w:t>(4,889)</w:t>
            </w:r>
          </w:p>
        </w:tc>
        <w:tc>
          <w:tcPr>
            <w:tcW w:type="dxa" w:w="1440"/>
          </w:tcPr>
          <w:p>
            <w:pPr>
              <w:spacing w:after="20"/>
              <w:jc w:val="right"/>
            </w:pPr>
            <w:r>
              <w:rPr>
                <w:color w:val="1C3A36"/>
                <w:sz w:val="17"/>
              </w:rPr>
              <w:t>(5,493)</w:t>
            </w:r>
          </w:p>
        </w:tc>
      </w:tr>
      <w:tr>
        <w:tc>
          <w:tcPr>
            <w:tcW w:type="dxa" w:w="3024"/>
          </w:tcPr>
          <w:p>
            <w:pPr>
              <w:spacing w:after="20"/>
            </w:pPr>
            <w:r>
              <w:rPr>
                <w:b/>
                <w:color w:val="1C3A36"/>
                <w:sz w:val="17"/>
              </w:rPr>
              <w:t>Less increase in working capital</w:t>
            </w:r>
          </w:p>
        </w:tc>
        <w:tc>
          <w:tcPr>
            <w:tcW w:type="dxa" w:w="1440"/>
          </w:tcPr>
          <w:p>
            <w:pPr>
              <w:spacing w:after="20"/>
              <w:jc w:val="right"/>
            </w:pPr>
            <w:r>
              <w:rPr>
                <w:color w:val="1C3A36"/>
                <w:sz w:val="17"/>
              </w:rPr>
              <w:t>(896)</w:t>
            </w:r>
          </w:p>
        </w:tc>
        <w:tc>
          <w:tcPr>
            <w:tcW w:type="dxa" w:w="1440"/>
          </w:tcPr>
          <w:p>
            <w:pPr>
              <w:spacing w:after="20"/>
              <w:jc w:val="right"/>
            </w:pPr>
            <w:r>
              <w:rPr>
                <w:color w:val="1C3A36"/>
                <w:sz w:val="17"/>
              </w:rPr>
              <w:t>(3,880)</w:t>
            </w:r>
          </w:p>
        </w:tc>
        <w:tc>
          <w:tcPr>
            <w:tcW w:type="dxa" w:w="1440"/>
          </w:tcPr>
          <w:p>
            <w:pPr>
              <w:spacing w:after="20"/>
              <w:jc w:val="right"/>
            </w:pPr>
            <w:r>
              <w:rPr>
                <w:color w:val="1C3A36"/>
                <w:sz w:val="17"/>
              </w:rPr>
              <w:t>(3,776)</w:t>
            </w:r>
          </w:p>
        </w:tc>
        <w:tc>
          <w:tcPr>
            <w:tcW w:type="dxa" w:w="1440"/>
          </w:tcPr>
          <w:p>
            <w:pPr>
              <w:spacing w:after="20"/>
              <w:jc w:val="right"/>
            </w:pPr>
            <w:r>
              <w:rPr>
                <w:color w:val="1C3A36"/>
                <w:sz w:val="17"/>
              </w:rPr>
              <w:t>(3,670)</w:t>
            </w:r>
          </w:p>
        </w:tc>
        <w:tc>
          <w:tcPr>
            <w:tcW w:type="dxa" w:w="1440"/>
          </w:tcPr>
          <w:p>
            <w:pPr>
              <w:spacing w:after="20"/>
              <w:jc w:val="right"/>
            </w:pPr>
            <w:r>
              <w:rPr>
                <w:color w:val="1C3A36"/>
                <w:sz w:val="17"/>
              </w:rPr>
              <w:t>(3,623)</w:t>
            </w:r>
          </w:p>
        </w:tc>
      </w:tr>
      <w:tr>
        <w:tc>
          <w:tcPr>
            <w:tcW w:type="dxa" w:w="3024"/>
          </w:tcPr>
          <w:p>
            <w:pPr>
              <w:spacing w:after="20"/>
            </w:pPr>
            <w:r>
              <w:rPr>
                <w:b/>
                <w:color w:val="1C3A36"/>
                <w:sz w:val="17"/>
              </w:rPr>
              <w:t>Less the part of 2026 earned before the bridge date</w:t>
            </w:r>
          </w:p>
        </w:tc>
        <w:tc>
          <w:tcPr>
            <w:tcW w:type="dxa" w:w="1440"/>
          </w:tcPr>
          <w:p>
            <w:pPr>
              <w:spacing w:after="20"/>
              <w:jc w:val="right"/>
            </w:pPr>
            <w:r>
              <w:rPr>
                <w:color w:val="1C3A36"/>
                <w:sz w:val="17"/>
              </w:rPr>
              <w:t>(1,066)</w:t>
            </w:r>
          </w:p>
        </w:tc>
        <w:tc>
          <w:tcPr>
            <w:tcW w:type="dxa" w:w="1440"/>
          </w:tcPr>
          <w:p>
            <w:pPr>
              <w:spacing w:after="20"/>
              <w:jc w:val="right"/>
            </w:pPr>
            <w:r>
              <w:rPr>
                <w:color w:val="1C3A36"/>
                <w:sz w:val="17"/>
              </w:rPr>
              <w:t>—</w:t>
            </w:r>
          </w:p>
        </w:tc>
        <w:tc>
          <w:tcPr>
            <w:tcW w:type="dxa" w:w="1440"/>
          </w:tcPr>
          <w:p>
            <w:pPr>
              <w:spacing w:after="20"/>
              <w:jc w:val="right"/>
            </w:pPr>
            <w:r>
              <w:rPr>
                <w:color w:val="1C3A36"/>
                <w:sz w:val="17"/>
              </w:rPr>
              <w:t>—</w:t>
            </w:r>
          </w:p>
        </w:tc>
        <w:tc>
          <w:tcPr>
            <w:tcW w:type="dxa" w:w="1440"/>
          </w:tcPr>
          <w:p>
            <w:pPr>
              <w:spacing w:after="20"/>
              <w:jc w:val="right"/>
            </w:pPr>
            <w:r>
              <w:rPr>
                <w:color w:val="1C3A36"/>
                <w:sz w:val="17"/>
              </w:rPr>
              <w:t>—</w:t>
            </w:r>
          </w:p>
        </w:tc>
        <w:tc>
          <w:tcPr>
            <w:tcW w:type="dxa" w:w="1440"/>
          </w:tcPr>
          <w:p>
            <w:pPr>
              <w:spacing w:after="20"/>
              <w:jc w:val="right"/>
            </w:pPr>
            <w:r>
              <w:rPr>
                <w:color w:val="1C3A36"/>
                <w:sz w:val="17"/>
              </w:rPr>
              <w:t>—</w:t>
            </w:r>
          </w:p>
        </w:tc>
      </w:tr>
      <w:tr>
        <w:tc>
          <w:tcPr>
            <w:tcW w:type="dxa" w:w="3024"/>
          </w:tcPr>
          <w:p>
            <w:pPr>
              <w:spacing w:after="20"/>
            </w:pPr>
            <w:r>
              <w:rPr>
                <w:b/>
                <w:color w:val="1C3A36"/>
                <w:sz w:val="17"/>
              </w:rPr>
              <w:t>Free cash flow to the firm</w:t>
            </w:r>
          </w:p>
        </w:tc>
        <w:tc>
          <w:tcPr>
            <w:tcW w:type="dxa" w:w="1440"/>
          </w:tcPr>
          <w:p>
            <w:pPr>
              <w:spacing w:after="20"/>
              <w:jc w:val="right"/>
            </w:pPr>
            <w:r>
              <w:rPr>
                <w:color w:val="1C3A36"/>
                <w:sz w:val="17"/>
              </w:rPr>
              <w:t>160</w:t>
            </w:r>
          </w:p>
        </w:tc>
        <w:tc>
          <w:tcPr>
            <w:tcW w:type="dxa" w:w="1440"/>
          </w:tcPr>
          <w:p>
            <w:pPr>
              <w:spacing w:after="20"/>
              <w:jc w:val="right"/>
            </w:pPr>
            <w:r>
              <w:rPr>
                <w:color w:val="1C3A36"/>
                <w:sz w:val="17"/>
              </w:rPr>
              <w:t>-952</w:t>
            </w:r>
          </w:p>
        </w:tc>
        <w:tc>
          <w:tcPr>
            <w:tcW w:type="dxa" w:w="1440"/>
          </w:tcPr>
          <w:p>
            <w:pPr>
              <w:spacing w:after="20"/>
              <w:jc w:val="right"/>
            </w:pPr>
            <w:r>
              <w:rPr>
                <w:color w:val="1C3A36"/>
                <w:sz w:val="17"/>
              </w:rPr>
              <w:t>-15</w:t>
            </w:r>
          </w:p>
        </w:tc>
        <w:tc>
          <w:tcPr>
            <w:tcW w:type="dxa" w:w="1440"/>
          </w:tcPr>
          <w:p>
            <w:pPr>
              <w:spacing w:after="20"/>
              <w:jc w:val="right"/>
            </w:pPr>
            <w:r>
              <w:rPr>
                <w:color w:val="1C3A36"/>
                <w:sz w:val="17"/>
              </w:rPr>
              <w:t>722</w:t>
            </w:r>
          </w:p>
        </w:tc>
        <w:tc>
          <w:tcPr>
            <w:tcW w:type="dxa" w:w="1440"/>
          </w:tcPr>
          <w:p>
            <w:pPr>
              <w:spacing w:after="20"/>
              <w:jc w:val="right"/>
            </w:pPr>
            <w:r>
              <w:rPr>
                <w:color w:val="1C3A36"/>
                <w:sz w:val="17"/>
              </w:rPr>
              <w:t>1,312</w:t>
            </w:r>
          </w:p>
        </w:tc>
      </w:tr>
      <w:tr>
        <w:tc>
          <w:tcPr>
            <w:tcW w:type="dxa" w:w="3024"/>
          </w:tcPr>
          <w:p>
            <w:pPr>
              <w:spacing w:after="20"/>
            </w:pPr>
            <w:r>
              <w:rPr>
                <w:b/>
                <w:color w:val="1C3A36"/>
                <w:sz w:val="17"/>
              </w:rPr>
              <w:t>Discount factor</w:t>
            </w:r>
          </w:p>
        </w:tc>
        <w:tc>
          <w:tcPr>
            <w:tcW w:type="dxa" w:w="1440"/>
          </w:tcPr>
          <w:p>
            <w:pPr>
              <w:spacing w:after="20"/>
              <w:jc w:val="right"/>
            </w:pPr>
            <w:r>
              <w:rPr>
                <w:color w:val="1C3A36"/>
                <w:sz w:val="17"/>
              </w:rPr>
              <w:t>0.873</w:t>
            </w:r>
          </w:p>
        </w:tc>
        <w:tc>
          <w:tcPr>
            <w:tcW w:type="dxa" w:w="1440"/>
          </w:tcPr>
          <w:p>
            <w:pPr>
              <w:spacing w:after="20"/>
              <w:jc w:val="right"/>
            </w:pPr>
            <w:r>
              <w:rPr>
                <w:color w:val="1C3A36"/>
                <w:sz w:val="17"/>
              </w:rPr>
              <w:t>0.769</w:t>
            </w:r>
          </w:p>
        </w:tc>
        <w:tc>
          <w:tcPr>
            <w:tcW w:type="dxa" w:w="1440"/>
          </w:tcPr>
          <w:p>
            <w:pPr>
              <w:spacing w:after="20"/>
              <w:jc w:val="right"/>
            </w:pPr>
            <w:r>
              <w:rPr>
                <w:color w:val="1C3A36"/>
                <w:sz w:val="17"/>
              </w:rPr>
              <w:t>0.682</w:t>
            </w:r>
          </w:p>
        </w:tc>
        <w:tc>
          <w:tcPr>
            <w:tcW w:type="dxa" w:w="1440"/>
          </w:tcPr>
          <w:p>
            <w:pPr>
              <w:spacing w:after="20"/>
              <w:jc w:val="right"/>
            </w:pPr>
            <w:r>
              <w:rPr>
                <w:color w:val="1C3A36"/>
                <w:sz w:val="17"/>
              </w:rPr>
              <w:t>0.609</w:t>
            </w:r>
          </w:p>
        </w:tc>
        <w:tc>
          <w:tcPr>
            <w:tcW w:type="dxa" w:w="1440"/>
          </w:tcPr>
          <w:p>
            <w:pPr>
              <w:spacing w:after="20"/>
              <w:jc w:val="right"/>
            </w:pPr>
            <w:r>
              <w:rPr>
                <w:color w:val="1C3A36"/>
                <w:sz w:val="17"/>
              </w:rPr>
              <w:t>0.546</w:t>
            </w:r>
          </w:p>
        </w:tc>
      </w:tr>
      <w:tr>
        <w:tc>
          <w:tcPr>
            <w:tcW w:type="dxa" w:w="3024"/>
          </w:tcPr>
          <w:p>
            <w:pPr>
              <w:spacing w:after="20"/>
            </w:pPr>
            <w:r>
              <w:rPr>
                <w:b/>
                <w:color w:val="1C3A36"/>
                <w:sz w:val="17"/>
              </w:rPr>
              <w:t>Present value of free cash flow</w:t>
            </w:r>
          </w:p>
        </w:tc>
        <w:tc>
          <w:tcPr>
            <w:tcW w:type="dxa" w:w="1440"/>
          </w:tcPr>
          <w:p>
            <w:pPr>
              <w:spacing w:after="20"/>
              <w:jc w:val="right"/>
            </w:pPr>
            <w:r>
              <w:rPr>
                <w:color w:val="1C3A36"/>
                <w:sz w:val="17"/>
              </w:rPr>
              <w:t>139</w:t>
            </w:r>
          </w:p>
        </w:tc>
        <w:tc>
          <w:tcPr>
            <w:tcW w:type="dxa" w:w="1440"/>
          </w:tcPr>
          <w:p>
            <w:pPr>
              <w:spacing w:after="20"/>
              <w:jc w:val="right"/>
            </w:pPr>
            <w:r>
              <w:rPr>
                <w:color w:val="1C3A36"/>
                <w:sz w:val="17"/>
              </w:rPr>
              <w:t>-732</w:t>
            </w:r>
          </w:p>
        </w:tc>
        <w:tc>
          <w:tcPr>
            <w:tcW w:type="dxa" w:w="1440"/>
          </w:tcPr>
          <w:p>
            <w:pPr>
              <w:spacing w:after="20"/>
              <w:jc w:val="right"/>
            </w:pPr>
            <w:r>
              <w:rPr>
                <w:color w:val="1C3A36"/>
                <w:sz w:val="17"/>
              </w:rPr>
              <w:t>-10</w:t>
            </w:r>
          </w:p>
        </w:tc>
        <w:tc>
          <w:tcPr>
            <w:tcW w:type="dxa" w:w="1440"/>
          </w:tcPr>
          <w:p>
            <w:pPr>
              <w:spacing w:after="20"/>
              <w:jc w:val="right"/>
            </w:pPr>
            <w:r>
              <w:rPr>
                <w:color w:val="1C3A36"/>
                <w:sz w:val="17"/>
              </w:rPr>
              <w:t>440</w:t>
            </w:r>
          </w:p>
        </w:tc>
        <w:tc>
          <w:tcPr>
            <w:tcW w:type="dxa" w:w="1440"/>
          </w:tcPr>
          <w:p>
            <w:pPr>
              <w:spacing w:after="20"/>
              <w:jc w:val="right"/>
            </w:pPr>
            <w:r>
              <w:rPr>
                <w:color w:val="1C3A36"/>
                <w:sz w:val="17"/>
              </w:rPr>
              <w:t>716</w:t>
            </w:r>
          </w:p>
        </w:tc>
      </w:tr>
    </w:tbl>
    <w:p>
      <w:pPr>
        <w:spacing w:after="40"/>
      </w:pPr>
    </w:p>
    <w:p>
      <w:pPr>
        <w:spacing w:after="200" w:before="0"/>
      </w:pPr>
      <w:r>
        <w:rPr>
          <w:b w:val="0"/>
          <w:i/>
          <w:color w:val="6E7B77"/>
          <w:sz w:val="17"/>
        </w:rPr>
        <w:t>The discount factors are the cost-of-capital schedule’s own cumulative factors, one forward rate per year; they are not a single rate compounded. Deductions are printed as magnitudes in brackets and the labels state the operation, so the column can be followed from operating profit after tax to free cash flow.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5760"/>
            <w:shd w:val="clear" w:color="auto" w:fill="EAF0EE"/>
          </w:tcPr>
          <w:p>
            <w:pPr>
              <w:spacing w:after="20"/>
            </w:pPr>
            <w:r>
              <w:rPr>
                <w:b/>
                <w:color w:val="1C3A36"/>
                <w:sz w:val="18"/>
              </w:rPr>
              <w:t>Bridge to the Auto leg’s equity value</w:t>
            </w:r>
          </w:p>
        </w:tc>
        <w:tc>
          <w:tcPr>
            <w:tcW w:type="dxa" w:w="2304"/>
            <w:shd w:val="clear" w:color="auto" w:fill="EAF0EE"/>
          </w:tcPr>
          <w:p>
            <w:pPr>
              <w:spacing w:after="20"/>
            </w:pPr>
            <w:r>
              <w:rPr>
                <w:b/>
                <w:color w:val="1C3A36"/>
                <w:sz w:val="18"/>
              </w:rPr>
              <w:t>EGP mn</w:t>
            </w:r>
          </w:p>
        </w:tc>
      </w:tr>
      <w:tr>
        <w:tc>
          <w:tcPr>
            <w:tcW w:type="dxa" w:w="5760"/>
          </w:tcPr>
          <w:p>
            <w:pPr>
              <w:spacing w:after="20"/>
            </w:pPr>
            <w:r>
              <w:rPr>
                <w:b/>
                <w:color w:val="1C3A36"/>
                <w:sz w:val="18"/>
              </w:rPr>
              <w:t>Σ present value of explicit free cash flow</w:t>
            </w:r>
          </w:p>
        </w:tc>
        <w:tc>
          <w:tcPr>
            <w:tcW w:type="dxa" w:w="2304"/>
          </w:tcPr>
          <w:p>
            <w:pPr>
              <w:spacing w:after="20"/>
              <w:jc w:val="right"/>
            </w:pPr>
            <w:r>
              <w:rPr>
                <w:color w:val="1C3A36"/>
                <w:sz w:val="18"/>
              </w:rPr>
              <w:t>553</w:t>
            </w:r>
          </w:p>
        </w:tc>
      </w:tr>
      <w:tr>
        <w:tc>
          <w:tcPr>
            <w:tcW w:type="dxa" w:w="5760"/>
          </w:tcPr>
          <w:p>
            <w:pPr>
              <w:spacing w:after="20"/>
            </w:pPr>
            <w:r>
              <w:rPr>
                <w:b/>
                <w:color w:val="1C3A36"/>
                <w:sz w:val="18"/>
              </w:rPr>
              <w:t>Terminal value at 7.00% nominal growth</w:t>
            </w:r>
          </w:p>
        </w:tc>
        <w:tc>
          <w:tcPr>
            <w:tcW w:type="dxa" w:w="2304"/>
          </w:tcPr>
          <w:p>
            <w:pPr>
              <w:spacing w:after="20"/>
              <w:jc w:val="right"/>
            </w:pPr>
            <w:r>
              <w:rPr>
                <w:color w:val="1C3A36"/>
                <w:sz w:val="18"/>
              </w:rPr>
              <w:t>30,598</w:t>
            </w:r>
          </w:p>
        </w:tc>
      </w:tr>
      <w:tr>
        <w:tc>
          <w:tcPr>
            <w:tcW w:type="dxa" w:w="5760"/>
          </w:tcPr>
          <w:p>
            <w:pPr>
              <w:spacing w:after="20"/>
            </w:pPr>
            <w:r>
              <w:rPr>
                <w:b/>
                <w:color w:val="1C3A36"/>
                <w:sz w:val="18"/>
              </w:rPr>
              <w:t>Present value of the terminal value</w:t>
            </w:r>
          </w:p>
        </w:tc>
        <w:tc>
          <w:tcPr>
            <w:tcW w:type="dxa" w:w="2304"/>
          </w:tcPr>
          <w:p>
            <w:pPr>
              <w:spacing w:after="20"/>
              <w:jc w:val="right"/>
            </w:pPr>
            <w:r>
              <w:rPr>
                <w:color w:val="1C3A36"/>
                <w:sz w:val="18"/>
              </w:rPr>
              <w:t>16,706</w:t>
            </w:r>
          </w:p>
        </w:tc>
      </w:tr>
      <w:tr>
        <w:tc>
          <w:tcPr>
            <w:tcW w:type="dxa" w:w="5760"/>
          </w:tcPr>
          <w:p>
            <w:pPr>
              <w:spacing w:after="20"/>
            </w:pPr>
            <w:r>
              <w:rPr>
                <w:b/>
                <w:color w:val="1C3A36"/>
                <w:sz w:val="18"/>
              </w:rPr>
              <w:t>Enterprise value — Auto leg</w:t>
            </w:r>
          </w:p>
        </w:tc>
        <w:tc>
          <w:tcPr>
            <w:tcW w:type="dxa" w:w="2304"/>
          </w:tcPr>
          <w:p>
            <w:pPr>
              <w:spacing w:after="20"/>
              <w:jc w:val="right"/>
            </w:pPr>
            <w:r>
              <w:rPr>
                <w:color w:val="1C3A36"/>
                <w:sz w:val="18"/>
              </w:rPr>
              <w:t>17,259</w:t>
            </w:r>
          </w:p>
        </w:tc>
      </w:tr>
      <w:tr>
        <w:tc>
          <w:tcPr>
            <w:tcW w:type="dxa" w:w="5760"/>
          </w:tcPr>
          <w:p>
            <w:pPr>
              <w:spacing w:after="20"/>
            </w:pPr>
            <w:r>
              <w:rPr>
                <w:b/>
                <w:color w:val="1C3A36"/>
                <w:sz w:val="18"/>
              </w:rPr>
              <w:t>Terminal value as a share of enterprise value</w:t>
            </w:r>
          </w:p>
        </w:tc>
        <w:tc>
          <w:tcPr>
            <w:tcW w:type="dxa" w:w="2304"/>
          </w:tcPr>
          <w:p>
            <w:pPr>
              <w:spacing w:after="20"/>
              <w:jc w:val="right"/>
            </w:pPr>
            <w:r>
              <w:rPr>
                <w:color w:val="1C3A36"/>
                <w:sz w:val="18"/>
              </w:rPr>
              <w:t>97%</w:t>
            </w:r>
          </w:p>
        </w:tc>
      </w:tr>
      <w:tr>
        <w:tc>
          <w:tcPr>
            <w:tcW w:type="dxa" w:w="5760"/>
          </w:tcPr>
          <w:p>
            <w:pPr>
              <w:spacing w:after="20"/>
            </w:pPr>
            <w:r>
              <w:rPr>
                <w:b/>
                <w:color w:val="1C3A36"/>
                <w:sz w:val="18"/>
              </w:rPr>
              <w:t>less: Auto net debt</w:t>
            </w:r>
          </w:p>
        </w:tc>
        <w:tc>
          <w:tcPr>
            <w:tcW w:type="dxa" w:w="2304"/>
          </w:tcPr>
          <w:p>
            <w:pPr>
              <w:spacing w:after="20"/>
              <w:jc w:val="right"/>
            </w:pPr>
            <w:r>
              <w:rPr>
                <w:color w:val="1C3A36"/>
                <w:sz w:val="18"/>
              </w:rPr>
              <w:t>(14,494)</w:t>
            </w:r>
          </w:p>
        </w:tc>
      </w:tr>
      <w:tr>
        <w:tc>
          <w:tcPr>
            <w:tcW w:type="dxa" w:w="5760"/>
          </w:tcPr>
          <w:p>
            <w:pPr>
              <w:spacing w:after="20"/>
            </w:pPr>
            <w:r>
              <w:rPr>
                <w:b/>
                <w:color w:val="1C3A36"/>
                <w:sz w:val="18"/>
              </w:rPr>
              <w:t>Auto equity value, before the minority</w:t>
            </w:r>
          </w:p>
        </w:tc>
        <w:tc>
          <w:tcPr>
            <w:tcW w:type="dxa" w:w="2304"/>
          </w:tcPr>
          <w:p>
            <w:pPr>
              <w:spacing w:after="20"/>
              <w:jc w:val="right"/>
            </w:pPr>
            <w:r>
              <w:rPr>
                <w:color w:val="1C3A36"/>
                <w:sz w:val="18"/>
              </w:rPr>
              <w:t>2,766</w:t>
            </w:r>
          </w:p>
        </w:tc>
      </w:tr>
      <w:tr>
        <w:tc>
          <w:tcPr>
            <w:tcW w:type="dxa" w:w="5760"/>
          </w:tcPr>
          <w:p>
            <w:pPr>
              <w:spacing w:after="20"/>
            </w:pPr>
            <w:r>
              <w:rPr>
                <w:b/>
                <w:color w:val="1C3A36"/>
                <w:sz w:val="18"/>
              </w:rPr>
              <w:t>less: the minority's 4.35% share of it</w:t>
            </w:r>
          </w:p>
        </w:tc>
        <w:tc>
          <w:tcPr>
            <w:tcW w:type="dxa" w:w="2304"/>
          </w:tcPr>
          <w:p>
            <w:pPr>
              <w:spacing w:after="20"/>
              <w:jc w:val="right"/>
            </w:pPr>
            <w:r>
              <w:rPr>
                <w:color w:val="1C3A36"/>
                <w:sz w:val="18"/>
              </w:rPr>
              <w:t>(120)</w:t>
            </w:r>
          </w:p>
        </w:tc>
      </w:tr>
      <w:tr>
        <w:tc>
          <w:tcPr>
            <w:tcW w:type="dxa" w:w="5760"/>
          </w:tcPr>
          <w:p>
            <w:pPr>
              <w:spacing w:after="20"/>
            </w:pPr>
            <w:r>
              <w:rPr>
                <w:b/>
                <w:color w:val="1C3A36"/>
                <w:sz w:val="18"/>
              </w:rPr>
              <w:t>Auto equity value</w:t>
            </w:r>
          </w:p>
        </w:tc>
        <w:tc>
          <w:tcPr>
            <w:tcW w:type="dxa" w:w="2304"/>
          </w:tcPr>
          <w:p>
            <w:pPr>
              <w:spacing w:after="20"/>
              <w:jc w:val="right"/>
            </w:pPr>
            <w:r>
              <w:rPr>
                <w:color w:val="1C3A36"/>
                <w:sz w:val="18"/>
              </w:rPr>
              <w:t>2,645</w:t>
            </w:r>
          </w:p>
        </w:tc>
      </w:tr>
    </w:tbl>
    <w:p>
      <w:pPr>
        <w:spacing w:after="40"/>
      </w:pPr>
    </w:p>
    <w:p>
      <w:pPr>
        <w:spacing w:after="120" w:before="0"/>
      </w:pPr>
      <w:r>
        <w:rPr>
          <w:b w:val="0"/>
          <w:i w:val="0"/>
          <w:color w:val="1C3A36"/>
          <w:sz w:val="21"/>
        </w:rPr>
        <w:t>Two honesty notes. First, 97% of the enterprise value sits in the terminal value — this is a growth-and-rates bet dressed as a five-year model, which is why §1.9 sensitises the discount-rate and terminal-growth grid rather than hiding it. Second, the explicit-period cash flow is thin in the first year (EGP 160 mn) precisely because growth consumes working capital; the value is in the steady state, not the ramp. Both are disclosed rather than blended away.</w:t>
      </w:r>
    </w:p>
    <w:p>
      <w:pPr>
        <w:spacing w:after="120" w:before="0"/>
      </w:pPr>
      <w:r>
        <w:rPr>
          <w:b w:val="0"/>
          <w:i w:val="0"/>
          <w:color w:val="1C3A36"/>
          <w:sz w:val="19"/>
        </w:rPr>
        <w:t>A third note, and it is a refusal rather than a caveat. The house standard is that a terminal rests on a DISCLOSED asset life, and no usable life could be sourced for this company: the accounting-policy note discloses rate RANGES by asset class rather than a scalar, and the identity route — recovering an implied life from the property, plant and equipment note — returns a span that depends on an undisclosed land split and produces per-class rates that contradict the disclosed bands. A life this desk chose would not be a disclosed life, so none was chosen; the terminal is carried on the construction described above and the refusal is recorded rather than papered over. Appendix B’s research register carries that search among this study’s negative results.</w:t>
      </w:r>
    </w:p>
    <w:p>
      <w:pPr>
        <w:spacing w:after="80" w:before="200"/>
      </w:pPr>
      <w:r>
        <w:rPr>
          <w:b/>
          <w:i w:val="0"/>
          <w:color w:val="1C3A36"/>
          <w:sz w:val="24"/>
        </w:rPr>
        <w:t>1.3  Relative multiples — a cross-check, on the company’s own history</w:t>
      </w:r>
    </w:p>
    <w:p>
      <w:pPr>
        <w:spacing w:after="120" w:before="0"/>
      </w:pPr>
      <w:r>
        <w:rPr>
          <w:b w:val="0"/>
          <w:i w:val="0"/>
          <w:color w:val="1C3A36"/>
          <w:sz w:val="21"/>
        </w:rPr>
        <w:t>On the model's own forward build — group net profit attributable of EGP 3,009 mn in the first forecast year, earnings per share of EGP 2.75 — GB Corp trades at 10.52× forward earnings. The multiple applied here is NOT that one, and the distinction is the whole point of the lens: a multiple taken off the current price values the company at what it already trades at. It is the MEDIAN of GB Corp’s own trailing multiple at its last three year-end closes — 4.70× · 6.57× · 10.25× — which is 6.57×. THAT IS 3 OBSERVATIONS, and the count is published with the median because a median of three is a thin statistic and a reader is entitled to know how thin. The lens returns one value rather than a range, because a range around a median of three would be an invented spread.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192"/>
            <w:shd w:val="clear" w:color="auto" w:fill="EAF0EE"/>
          </w:tcPr>
          <w:p>
            <w:pPr>
              <w:spacing w:after="20"/>
            </w:pPr>
            <w:r>
              <w:rPr>
                <w:b/>
                <w:color w:val="1C3A36"/>
                <w:sz w:val="18"/>
              </w:rPr>
              <w:t>Relative basis</w:t>
            </w:r>
          </w:p>
        </w:tc>
        <w:tc>
          <w:tcPr>
            <w:tcW w:type="dxa" w:w="2592"/>
            <w:shd w:val="clear" w:color="auto" w:fill="EAF0EE"/>
          </w:tcPr>
          <w:p>
            <w:pPr>
              <w:spacing w:after="20"/>
            </w:pPr>
            <w:r>
              <w:rPr>
                <w:b/>
                <w:color w:val="1C3A36"/>
                <w:sz w:val="18"/>
              </w:rPr>
              <w:t>Value</w:t>
            </w:r>
          </w:p>
        </w:tc>
      </w:tr>
      <w:tr>
        <w:tc>
          <w:tcPr>
            <w:tcW w:type="dxa" w:w="6192"/>
          </w:tcPr>
          <w:p>
            <w:pPr>
              <w:spacing w:after="20"/>
            </w:pPr>
            <w:r>
              <w:rPr>
                <w:b/>
                <w:color w:val="1C3A36"/>
                <w:sz w:val="18"/>
              </w:rPr>
              <w:t>FY2026E group net profit attributable (EGP mn)</w:t>
            </w:r>
          </w:p>
        </w:tc>
        <w:tc>
          <w:tcPr>
            <w:tcW w:type="dxa" w:w="2592"/>
          </w:tcPr>
          <w:p>
            <w:pPr>
              <w:spacing w:after="20"/>
              <w:jc w:val="right"/>
            </w:pPr>
            <w:r>
              <w:rPr>
                <w:color w:val="1C3A36"/>
                <w:sz w:val="18"/>
              </w:rPr>
              <w:t>3,009</w:t>
            </w:r>
          </w:p>
        </w:tc>
      </w:tr>
      <w:tr>
        <w:tc>
          <w:tcPr>
            <w:tcW w:type="dxa" w:w="6192"/>
          </w:tcPr>
          <w:p>
            <w:pPr>
              <w:spacing w:after="20"/>
            </w:pPr>
            <w:r>
              <w:rPr>
                <w:b/>
                <w:color w:val="1C3A36"/>
                <w:sz w:val="18"/>
              </w:rPr>
              <w:t>Less the employees’ share of profit and the board bonus, at the 0.68% rate the latest audited year discloses</w:t>
            </w:r>
          </w:p>
        </w:tc>
        <w:tc>
          <w:tcPr>
            <w:tcW w:type="dxa" w:w="2592"/>
          </w:tcPr>
          <w:p>
            <w:pPr>
              <w:spacing w:after="20"/>
              <w:jc w:val="right"/>
            </w:pPr>
            <w:r>
              <w:rPr>
                <w:color w:val="1C3A36"/>
                <w:sz w:val="18"/>
              </w:rPr>
              <w:t>(20)</w:t>
            </w:r>
          </w:p>
        </w:tc>
      </w:tr>
      <w:tr>
        <w:tc>
          <w:tcPr>
            <w:tcW w:type="dxa" w:w="6192"/>
          </w:tcPr>
          <w:p>
            <w:pPr>
              <w:spacing w:after="20"/>
            </w:pPr>
            <w:r>
              <w:rPr>
                <w:b/>
                <w:color w:val="1C3A36"/>
                <w:sz w:val="18"/>
              </w:rPr>
              <w:t>Earnings the company divides (EGP mn)</w:t>
            </w:r>
          </w:p>
        </w:tc>
        <w:tc>
          <w:tcPr>
            <w:tcW w:type="dxa" w:w="2592"/>
          </w:tcPr>
          <w:p>
            <w:pPr>
              <w:spacing w:after="20"/>
              <w:jc w:val="right"/>
            </w:pPr>
            <w:r>
              <w:rPr>
                <w:color w:val="1C3A36"/>
                <w:sz w:val="18"/>
              </w:rPr>
              <w:t>2,989</w:t>
            </w:r>
          </w:p>
        </w:tc>
      </w:tr>
      <w:tr>
        <w:tc>
          <w:tcPr>
            <w:tcW w:type="dxa" w:w="6192"/>
          </w:tcPr>
          <w:p>
            <w:pPr>
              <w:spacing w:after="20"/>
            </w:pPr>
            <w:r>
              <w:rPr>
                <w:b/>
                <w:color w:val="1C3A36"/>
                <w:sz w:val="18"/>
              </w:rPr>
              <w:t>Divided by shares in issue (mn)</w:t>
            </w:r>
          </w:p>
        </w:tc>
        <w:tc>
          <w:tcPr>
            <w:tcW w:type="dxa" w:w="2592"/>
          </w:tcPr>
          <w:p>
            <w:pPr>
              <w:spacing w:after="20"/>
              <w:jc w:val="right"/>
            </w:pPr>
            <w:r>
              <w:rPr>
                <w:color w:val="1C3A36"/>
                <w:sz w:val="18"/>
              </w:rPr>
              <w:t>1,085.5</w:t>
            </w:r>
          </w:p>
        </w:tc>
      </w:tr>
      <w:tr>
        <w:tc>
          <w:tcPr>
            <w:tcW w:type="dxa" w:w="6192"/>
          </w:tcPr>
          <w:p>
            <w:pPr>
              <w:spacing w:after="20"/>
            </w:pPr>
            <w:r>
              <w:rPr>
                <w:b/>
                <w:color w:val="1C3A36"/>
                <w:sz w:val="18"/>
              </w:rPr>
              <w:t>Earnings per share (EGP), on the published basic basis</w:t>
            </w:r>
          </w:p>
        </w:tc>
        <w:tc>
          <w:tcPr>
            <w:tcW w:type="dxa" w:w="2592"/>
          </w:tcPr>
          <w:p>
            <w:pPr>
              <w:spacing w:after="20"/>
              <w:jc w:val="right"/>
            </w:pPr>
            <w:r>
              <w:rPr>
                <w:color w:val="1C3A36"/>
                <w:sz w:val="18"/>
              </w:rPr>
              <w:t>2.75</w:t>
            </w:r>
          </w:p>
        </w:tc>
      </w:tr>
      <w:tr>
        <w:tc>
          <w:tcPr>
            <w:tcW w:type="dxa" w:w="6192"/>
          </w:tcPr>
          <w:p>
            <w:pPr>
              <w:spacing w:after="20"/>
            </w:pPr>
            <w:r>
              <w:rPr>
                <w:b/>
                <w:color w:val="1C3A36"/>
                <w:sz w:val="18"/>
              </w:rPr>
              <w:t>Times the multiple applied — the median of the company’s own three year-end closes</w:t>
            </w:r>
          </w:p>
        </w:tc>
        <w:tc>
          <w:tcPr>
            <w:tcW w:type="dxa" w:w="2592"/>
          </w:tcPr>
          <w:p>
            <w:pPr>
              <w:spacing w:after="20"/>
              <w:jc w:val="right"/>
            </w:pPr>
            <w:r>
              <w:rPr>
                <w:color w:val="1C3A36"/>
                <w:sz w:val="18"/>
              </w:rPr>
              <w:t>6.57×</w:t>
            </w:r>
          </w:p>
        </w:tc>
      </w:tr>
      <w:tr>
        <w:tc>
          <w:tcPr>
            <w:tcW w:type="dxa" w:w="6192"/>
          </w:tcPr>
          <w:p>
            <w:pPr>
              <w:spacing w:after="20"/>
            </w:pPr>
            <w:r>
              <w:rPr>
                <w:b/>
                <w:color w:val="1C3A36"/>
                <w:sz w:val="18"/>
              </w:rPr>
              <w:t>Fair value per share (EGP)</w:t>
            </w:r>
          </w:p>
        </w:tc>
        <w:tc>
          <w:tcPr>
            <w:tcW w:type="dxa" w:w="2592"/>
          </w:tcPr>
          <w:p>
            <w:pPr>
              <w:spacing w:after="20"/>
              <w:jc w:val="right"/>
            </w:pPr>
            <w:r>
              <w:rPr>
                <w:color w:val="1C3A36"/>
                <w:sz w:val="18"/>
              </w:rPr>
              <w:t>18.08</w:t>
            </w:r>
          </w:p>
        </w:tc>
      </w:tr>
      <w:tr>
        <w:tc>
          <w:tcPr>
            <w:tcW w:type="dxa" w:w="6192"/>
          </w:tcPr>
          <w:p>
            <w:pPr>
              <w:spacing w:after="20"/>
            </w:pPr>
            <w:r>
              <w:rPr>
                <w:b/>
                <w:color w:val="1C3A36"/>
                <w:sz w:val="18"/>
              </w:rPr>
              <w:t>Memo — the multiple the traded price implies on the same earnings</w:t>
            </w:r>
          </w:p>
        </w:tc>
        <w:tc>
          <w:tcPr>
            <w:tcW w:type="dxa" w:w="2592"/>
          </w:tcPr>
          <w:p>
            <w:pPr>
              <w:spacing w:after="20"/>
              <w:jc w:val="right"/>
            </w:pPr>
            <w:r>
              <w:rPr>
                <w:color w:val="1C3A36"/>
                <w:sz w:val="18"/>
              </w:rPr>
              <w:t>10.52×</w:t>
            </w:r>
          </w:p>
        </w:tc>
      </w:tr>
    </w:tbl>
    <w:p>
      <w:pPr>
        <w:spacing w:after="40"/>
      </w:pPr>
    </w:p>
    <w:p>
      <w:pPr>
        <w:spacing w:after="120" w:before="0"/>
      </w:pPr>
      <w:r>
        <w:rPr>
          <w:b/>
          <w:i w:val="0"/>
          <w:color w:val="1C3A36"/>
          <w:sz w:val="21"/>
        </w:rPr>
        <w:t>Relative cross-check EGP 18.08</w:t>
      </w:r>
      <w:r>
        <w:rPr>
          <w:b w:val="0"/>
          <w:i w:val="0"/>
          <w:color w:val="1C3A36"/>
          <w:sz w:val="21"/>
        </w:rPr>
        <w:t xml:space="preserve"> — -38% against the price, and the most conservative read in the study: it pays for one year's earnings on the company's own historical rating and gives nothing at all for the working-capital release or the associate stake. It is a CROSS-CHECK. It carries no weight in the answer, and the reason is that the largest asset on GB Corp's balance sheet contributes to its earnings only through an equity-accounted share of profit that the reviewers of those very statements could not verify.</w:t>
      </w:r>
    </w:p>
    <w:p>
      <w:pPr>
        <w:spacing w:after="80" w:before="200"/>
      </w:pPr>
      <w:r>
        <w:rPr>
          <w:b/>
          <w:i w:val="0"/>
          <w:color w:val="1C3A36"/>
          <w:sz w:val="24"/>
        </w:rPr>
        <w:t>1.4  Earnings power — why this class carries no normalised-earnings lens, and the book floor instead</w:t>
      </w:r>
    </w:p>
    <w:p>
      <w:pPr>
        <w:spacing w:after="120" w:before="0"/>
      </w:pPr>
      <w:r>
        <w:rPr>
          <w:b w:val="0"/>
          <w:i w:val="0"/>
          <w:color w:val="1C3A36"/>
          <w:sz w:val="21"/>
        </w:rPr>
        <w:t>A normalised-earnings read — mid-cycle profit times a through-cycle multiple — is a lens this study does NOT carry, and the reason is specific to this issuer rather than a matter of taste. Normalising earnings means averaging out the cycle to find the level a business can sustain. GB Corp’s reported earnings do not swing with an operating cycle alone: they swing with what its associates are marked at.</w:t>
      </w:r>
    </w:p>
    <w:p>
      <w:pPr>
        <w:spacing w:after="120" w:before="0"/>
      </w:pPr>
      <w:r>
        <w:rPr>
          <w:b w:val="0"/>
          <w:i w:val="0"/>
          <w:color w:val="1C3A36"/>
          <w:sz w:val="21"/>
        </w:rPr>
        <w:t>The company’s own filed record makes the point. Its share of associates’ results ran EGP 1,061.7 mn, 867.6 mn and 974.8 mn in FY2023, FY2024 and FY2025 — that is 56%, 30% and 34% of profit attributable to the parent in those years, and the quarterly figures behind them move by a large multiple from one quarter to the next. On top of that sits a revaluation booked on deconsolidating an associate, which GB Corp itself strips out of its own return measure. A mid-cycle average of a series driven by that is an average of marks, not of trading. Normalising earnings that swing on associate marks normalises noise, and a lens built on it would look precise and mean nothing.</w:t>
      </w:r>
    </w:p>
    <w:p>
      <w:pPr>
        <w:spacing w:after="80" w:before="0"/>
      </w:pPr>
      <w:r>
        <w:rPr>
          <w:b w:val="0"/>
          <w:i w:val="0"/>
          <w:color w:val="1C3A36"/>
          <w:sz w:val="19"/>
        </w:rPr>
        <w:t>What is published in its place is the figure that needs no normalisation at all, because the company discloses it directly: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192"/>
            <w:shd w:val="clear" w:color="auto" w:fill="EAF0EE"/>
          </w:tcPr>
          <w:p>
            <w:pPr>
              <w:spacing w:after="20"/>
            </w:pPr>
            <w:r>
              <w:rPr>
                <w:b/>
                <w:color w:val="1C3A36"/>
                <w:sz w:val="18"/>
              </w:rPr>
              <w:t>The disclosed book floor</w:t>
            </w:r>
          </w:p>
        </w:tc>
        <w:tc>
          <w:tcPr>
            <w:tcW w:type="dxa" w:w="2592"/>
            <w:shd w:val="clear" w:color="auto" w:fill="EAF0EE"/>
          </w:tcPr>
          <w:p>
            <w:pPr>
              <w:spacing w:after="20"/>
            </w:pPr>
            <w:r>
              <w:rPr>
                <w:b/>
                <w:color w:val="1C3A36"/>
                <w:sz w:val="18"/>
              </w:rPr>
              <w:t>Value</w:t>
            </w:r>
          </w:p>
        </w:tc>
      </w:tr>
      <w:tr>
        <w:tc>
          <w:tcPr>
            <w:tcW w:type="dxa" w:w="6192"/>
          </w:tcPr>
          <w:p>
            <w:pPr>
              <w:spacing w:after="20"/>
            </w:pPr>
            <w:r>
              <w:rPr>
                <w:b/>
                <w:color w:val="1C3A36"/>
                <w:sz w:val="18"/>
              </w:rPr>
              <w:t>Shareholders’ equity before minority interests, 30 June 2026 (EGP mn)</w:t>
            </w:r>
          </w:p>
        </w:tc>
        <w:tc>
          <w:tcPr>
            <w:tcW w:type="dxa" w:w="2592"/>
          </w:tcPr>
          <w:p>
            <w:pPr>
              <w:spacing w:after="20"/>
              <w:jc w:val="right"/>
            </w:pPr>
            <w:r>
              <w:rPr>
                <w:color w:val="1C3A36"/>
                <w:sz w:val="18"/>
              </w:rPr>
              <w:t>33,454.3</w:t>
            </w:r>
          </w:p>
        </w:tc>
      </w:tr>
      <w:tr>
        <w:tc>
          <w:tcPr>
            <w:tcW w:type="dxa" w:w="6192"/>
          </w:tcPr>
          <w:p>
            <w:pPr>
              <w:spacing w:after="20"/>
            </w:pPr>
            <w:r>
              <w:rPr>
                <w:b/>
                <w:color w:val="1C3A36"/>
                <w:sz w:val="18"/>
              </w:rPr>
              <w:t>Divided by shares in issue (mn)</w:t>
            </w:r>
          </w:p>
        </w:tc>
        <w:tc>
          <w:tcPr>
            <w:tcW w:type="dxa" w:w="2592"/>
          </w:tcPr>
          <w:p>
            <w:pPr>
              <w:spacing w:after="20"/>
              <w:jc w:val="right"/>
            </w:pPr>
            <w:r>
              <w:rPr>
                <w:color w:val="1C3A36"/>
                <w:sz w:val="18"/>
              </w:rPr>
              <w:t>1,085.5</w:t>
            </w:r>
          </w:p>
        </w:tc>
      </w:tr>
      <w:tr>
        <w:tc>
          <w:tcPr>
            <w:tcW w:type="dxa" w:w="6192"/>
          </w:tcPr>
          <w:p>
            <w:pPr>
              <w:spacing w:after="20"/>
            </w:pPr>
            <w:r>
              <w:rPr>
                <w:b/>
                <w:color w:val="1C3A36"/>
                <w:sz w:val="18"/>
              </w:rPr>
              <w:t>Book value per share (EGP)</w:t>
            </w:r>
          </w:p>
        </w:tc>
        <w:tc>
          <w:tcPr>
            <w:tcW w:type="dxa" w:w="2592"/>
          </w:tcPr>
          <w:p>
            <w:pPr>
              <w:spacing w:after="20"/>
              <w:jc w:val="right"/>
            </w:pPr>
            <w:r>
              <w:rPr>
                <w:color w:val="1C3A36"/>
                <w:sz w:val="18"/>
              </w:rPr>
              <w:t>30.82</w:t>
            </w:r>
          </w:p>
        </w:tc>
      </w:tr>
      <w:tr>
        <w:tc>
          <w:tcPr>
            <w:tcW w:type="dxa" w:w="6192"/>
          </w:tcPr>
          <w:p>
            <w:pPr>
              <w:spacing w:after="20"/>
            </w:pPr>
            <w:r>
              <w:rPr>
                <w:b/>
                <w:color w:val="1C3A36"/>
                <w:sz w:val="18"/>
              </w:rPr>
              <w:t>Memo — total equity including minority interests, same date (EGP mn)</w:t>
            </w:r>
          </w:p>
        </w:tc>
        <w:tc>
          <w:tcPr>
            <w:tcW w:type="dxa" w:w="2592"/>
          </w:tcPr>
          <w:p>
            <w:pPr>
              <w:spacing w:after="20"/>
              <w:jc w:val="right"/>
            </w:pPr>
            <w:r>
              <w:rPr>
                <w:color w:val="1C3A36"/>
                <w:sz w:val="18"/>
              </w:rPr>
              <w:t>35,127.9</w:t>
            </w:r>
          </w:p>
        </w:tc>
      </w:tr>
      <w:tr>
        <w:tc>
          <w:tcPr>
            <w:tcW w:type="dxa" w:w="6192"/>
          </w:tcPr>
          <w:p>
            <w:pPr>
              <w:spacing w:after="20"/>
            </w:pPr>
            <w:r>
              <w:rPr>
                <w:b/>
                <w:color w:val="1C3A36"/>
                <w:sz w:val="18"/>
              </w:rPr>
              <w:t>The traded price against book</w:t>
            </w:r>
          </w:p>
        </w:tc>
        <w:tc>
          <w:tcPr>
            <w:tcW w:type="dxa" w:w="2592"/>
          </w:tcPr>
          <w:p>
            <w:pPr>
              <w:spacing w:after="20"/>
              <w:jc w:val="right"/>
            </w:pPr>
            <w:r>
              <w:rPr>
                <w:color w:val="1C3A36"/>
                <w:sz w:val="18"/>
              </w:rPr>
              <w:t>EGP 28.98, -6%</w:t>
            </w:r>
          </w:p>
        </w:tc>
      </w:tr>
    </w:tbl>
    <w:p>
      <w:pPr>
        <w:spacing w:after="40"/>
      </w:pPr>
    </w:p>
    <w:p>
      <w:pPr>
        <w:spacing w:after="120" w:before="0"/>
      </w:pPr>
      <w:r>
        <w:rPr>
          <w:b/>
          <w:i w:val="0"/>
          <w:color w:val="1C3A36"/>
          <w:sz w:val="21"/>
        </w:rPr>
        <w:t>Book value EGP 30.82 per share, and the shares trade below it</w:t>
      </w:r>
      <w:r>
        <w:rPr>
          <w:b w:val="0"/>
          <w:i w:val="0"/>
          <w:color w:val="1C3A36"/>
          <w:sz w:val="21"/>
        </w:rPr>
        <w:t xml:space="preserve"> — -6%. This is a DISCLOSED FLOOR and it carries no weight in any answer above; book is struck at historical cost and says nothing about what a business earns. It is worth printing for one reason: a reader who distrusts every forecast in this document, every multiple and both bases for the associate mark can still observe that the market is paying less than the accounting value of the equity — and that book value itself contains the associate at the lower of the two marks, not the higher.</w:t>
      </w:r>
    </w:p>
    <w:p>
      <w:pPr>
        <w:spacing w:after="80" w:before="200"/>
      </w:pPr>
      <w:r>
        <w:rPr>
          <w:b/>
          <w:i w:val="0"/>
          <w:color w:val="1C3A36"/>
          <w:sz w:val="24"/>
        </w:rPr>
        <w:t>1.5  Synthesis — one primary, two branches, and the cross-checks beside them</w:t>
      </w:r>
    </w:p>
    <w:p>
      <w:pPr>
        <w:spacing w:after="120" w:before="0"/>
      </w:pPr>
      <w:r>
        <w:rPr>
          <w:b w:val="0"/>
          <w:i w:val="0"/>
          <w:color w:val="1C3A36"/>
          <w:sz w:val="21"/>
        </w:rPr>
        <w:t>There is no weighted blend in this study and no central estimate. The class primary is the sum of the parts and it IS the answer; the relative multiple and the disclosed book value are cross-checks, published in the same table so a reader can see the disagreement rather than an average of it. The primary has two branches because one input has two company-published values and the filings do not choose; the branches are carried to the end and printed side by side. The envelope below is the RANGE OF THE READS on one clock — the two branches and the relative multiple — and it is not a spread invented around a central, because there is no central to invent one around.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600"/>
            <w:shd w:val="clear" w:color="auto" w:fill="EAF0EE"/>
          </w:tcPr>
          <w:p>
            <w:pPr>
              <w:spacing w:after="20"/>
            </w:pPr>
            <w:r>
              <w:rPr>
                <w:b/>
                <w:color w:val="1C3A36"/>
                <w:sz w:val="18"/>
              </w:rPr>
              <w:t>Read</w:t>
            </w:r>
          </w:p>
        </w:tc>
        <w:tc>
          <w:tcPr>
            <w:tcW w:type="dxa" w:w="2448"/>
            <w:shd w:val="clear" w:color="auto" w:fill="EAF0EE"/>
          </w:tcPr>
          <w:p>
            <w:pPr>
              <w:spacing w:after="20"/>
            </w:pPr>
            <w:r>
              <w:rPr>
                <w:b/>
                <w:color w:val="1C3A36"/>
                <w:sz w:val="18"/>
              </w:rPr>
              <w:t>Role</w:t>
            </w:r>
          </w:p>
        </w:tc>
        <w:tc>
          <w:tcPr>
            <w:tcW w:type="dxa" w:w="1944"/>
            <w:shd w:val="clear" w:color="auto" w:fill="EAF0EE"/>
          </w:tcPr>
          <w:p>
            <w:pPr>
              <w:spacing w:after="20"/>
            </w:pPr>
            <w:r>
              <w:rPr>
                <w:b/>
                <w:color w:val="1C3A36"/>
                <w:sz w:val="18"/>
              </w:rPr>
              <w:t>EGP per share</w:t>
            </w:r>
          </w:p>
        </w:tc>
        <w:tc>
          <w:tcPr>
            <w:tcW w:type="dxa" w:w="1944"/>
            <w:shd w:val="clear" w:color="auto" w:fill="EAF0EE"/>
          </w:tcPr>
          <w:p>
            <w:pPr>
              <w:spacing w:after="20"/>
            </w:pPr>
            <w:r>
              <w:rPr>
                <w:b/>
                <w:color w:val="1C3A36"/>
                <w:sz w:val="18"/>
              </w:rPr>
              <w:t>Against the price</w:t>
            </w:r>
          </w:p>
        </w:tc>
      </w:tr>
      <w:tr>
        <w:tc>
          <w:tcPr>
            <w:tcW w:type="dxa" w:w="3600"/>
          </w:tcPr>
          <w:p>
            <w:pPr>
              <w:spacing w:after="20"/>
            </w:pPr>
            <w:r>
              <w:rPr>
                <w:b/>
                <w:color w:val="1C3A36"/>
                <w:sz w:val="18"/>
              </w:rPr>
              <w:t>Sum of the parts — carrying-value branch</w:t>
            </w:r>
          </w:p>
        </w:tc>
        <w:tc>
          <w:tcPr>
            <w:tcW w:type="dxa" w:w="2448"/>
          </w:tcPr>
          <w:p>
            <w:pPr>
              <w:spacing w:after="20"/>
              <w:jc w:val="right"/>
            </w:pPr>
            <w:r>
              <w:rPr>
                <w:color w:val="1C3A36"/>
                <w:sz w:val="18"/>
              </w:rPr>
              <w:t>Class primary — the answer</w:t>
            </w:r>
          </w:p>
        </w:tc>
        <w:tc>
          <w:tcPr>
            <w:tcW w:type="dxa" w:w="1944"/>
          </w:tcPr>
          <w:p>
            <w:pPr>
              <w:spacing w:after="20"/>
              <w:jc w:val="right"/>
            </w:pPr>
            <w:r>
              <w:rPr>
                <w:color w:val="1C3A36"/>
                <w:sz w:val="18"/>
              </w:rPr>
              <w:t>17.83</w:t>
            </w:r>
          </w:p>
        </w:tc>
        <w:tc>
          <w:tcPr>
            <w:tcW w:type="dxa" w:w="1944"/>
          </w:tcPr>
          <w:p>
            <w:pPr>
              <w:spacing w:after="20"/>
              <w:jc w:val="right"/>
            </w:pPr>
            <w:r>
              <w:rPr>
                <w:color w:val="1C3A36"/>
                <w:sz w:val="18"/>
              </w:rPr>
              <w:t>-38%</w:t>
            </w:r>
          </w:p>
        </w:tc>
      </w:tr>
      <w:tr>
        <w:tc>
          <w:tcPr>
            <w:tcW w:type="dxa" w:w="3600"/>
          </w:tcPr>
          <w:p>
            <w:pPr>
              <w:spacing w:after="20"/>
            </w:pPr>
            <w:r>
              <w:rPr>
                <w:b/>
                <w:color w:val="1C3A36"/>
                <w:sz w:val="18"/>
              </w:rPr>
              <w:t>Sum of the parts — round-price branch</w:t>
            </w:r>
          </w:p>
        </w:tc>
        <w:tc>
          <w:tcPr>
            <w:tcW w:type="dxa" w:w="2448"/>
          </w:tcPr>
          <w:p>
            <w:pPr>
              <w:spacing w:after="20"/>
              <w:jc w:val="right"/>
            </w:pPr>
            <w:r>
              <w:rPr>
                <w:color w:val="1C3A36"/>
                <w:sz w:val="18"/>
              </w:rPr>
              <w:t>Class primary — the answer</w:t>
            </w:r>
          </w:p>
        </w:tc>
        <w:tc>
          <w:tcPr>
            <w:tcW w:type="dxa" w:w="1944"/>
          </w:tcPr>
          <w:p>
            <w:pPr>
              <w:spacing w:after="20"/>
              <w:jc w:val="right"/>
            </w:pPr>
            <w:r>
              <w:rPr>
                <w:color w:val="1C3A36"/>
                <w:sz w:val="18"/>
              </w:rPr>
              <w:t>30.32</w:t>
            </w:r>
          </w:p>
        </w:tc>
        <w:tc>
          <w:tcPr>
            <w:tcW w:type="dxa" w:w="1944"/>
          </w:tcPr>
          <w:p>
            <w:pPr>
              <w:spacing w:after="20"/>
              <w:jc w:val="right"/>
            </w:pPr>
            <w:r>
              <w:rPr>
                <w:color w:val="1C3A36"/>
                <w:sz w:val="18"/>
              </w:rPr>
              <w:t>+5%</w:t>
            </w:r>
          </w:p>
        </w:tc>
      </w:tr>
      <w:tr>
        <w:tc>
          <w:tcPr>
            <w:tcW w:type="dxa" w:w="3600"/>
          </w:tcPr>
          <w:p>
            <w:pPr>
              <w:spacing w:after="20"/>
            </w:pPr>
            <w:r>
              <w:rPr>
                <w:b/>
                <w:color w:val="1C3A36"/>
                <w:sz w:val="18"/>
              </w:rPr>
              <w:t>Relative multiple on FY2026E earnings</w:t>
            </w:r>
          </w:p>
        </w:tc>
        <w:tc>
          <w:tcPr>
            <w:tcW w:type="dxa" w:w="2448"/>
          </w:tcPr>
          <w:p>
            <w:pPr>
              <w:spacing w:after="20"/>
              <w:jc w:val="right"/>
            </w:pPr>
            <w:r>
              <w:rPr>
                <w:color w:val="1C3A36"/>
                <w:sz w:val="18"/>
              </w:rPr>
              <w:t>Cross-check</w:t>
            </w:r>
          </w:p>
        </w:tc>
        <w:tc>
          <w:tcPr>
            <w:tcW w:type="dxa" w:w="1944"/>
          </w:tcPr>
          <w:p>
            <w:pPr>
              <w:spacing w:after="20"/>
              <w:jc w:val="right"/>
            </w:pPr>
            <w:r>
              <w:rPr>
                <w:color w:val="1C3A36"/>
                <w:sz w:val="18"/>
              </w:rPr>
              <w:t>18.08</w:t>
            </w:r>
          </w:p>
        </w:tc>
        <w:tc>
          <w:tcPr>
            <w:tcW w:type="dxa" w:w="1944"/>
          </w:tcPr>
          <w:p>
            <w:pPr>
              <w:spacing w:after="20"/>
              <w:jc w:val="right"/>
            </w:pPr>
            <w:r>
              <w:rPr>
                <w:color w:val="1C3A36"/>
                <w:sz w:val="18"/>
              </w:rPr>
              <w:t>-38%</w:t>
            </w:r>
          </w:p>
        </w:tc>
      </w:tr>
      <w:tr>
        <w:tc>
          <w:tcPr>
            <w:tcW w:type="dxa" w:w="3600"/>
          </w:tcPr>
          <w:p>
            <w:pPr>
              <w:spacing w:after="20"/>
            </w:pPr>
            <w:r>
              <w:rPr>
                <w:b/>
                <w:color w:val="1C3A36"/>
                <w:sz w:val="18"/>
              </w:rPr>
              <w:t>Disclosed book value</w:t>
            </w:r>
          </w:p>
        </w:tc>
        <w:tc>
          <w:tcPr>
            <w:tcW w:type="dxa" w:w="2448"/>
          </w:tcPr>
          <w:p>
            <w:pPr>
              <w:spacing w:after="20"/>
              <w:jc w:val="right"/>
            </w:pPr>
            <w:r>
              <w:rPr>
                <w:color w:val="1C3A36"/>
                <w:sz w:val="18"/>
              </w:rPr>
              <w:t>Cross-check — a floor</w:t>
            </w:r>
          </w:p>
        </w:tc>
        <w:tc>
          <w:tcPr>
            <w:tcW w:type="dxa" w:w="1944"/>
          </w:tcPr>
          <w:p>
            <w:pPr>
              <w:spacing w:after="20"/>
              <w:jc w:val="right"/>
            </w:pPr>
            <w:r>
              <w:rPr>
                <w:color w:val="1C3A36"/>
                <w:sz w:val="18"/>
              </w:rPr>
              <w:t>30.82</w:t>
            </w:r>
          </w:p>
        </w:tc>
        <w:tc>
          <w:tcPr>
            <w:tcW w:type="dxa" w:w="1944"/>
          </w:tcPr>
          <w:p>
            <w:pPr>
              <w:spacing w:after="20"/>
              <w:jc w:val="right"/>
            </w:pPr>
            <w:r>
              <w:rPr>
                <w:color w:val="1C3A36"/>
                <w:sz w:val="18"/>
              </w:rPr>
              <w:t>+6%</w:t>
            </w:r>
          </w:p>
        </w:tc>
      </w:tr>
      <w:tr>
        <w:tc>
          <w:tcPr>
            <w:tcW w:type="dxa" w:w="3600"/>
            <w:shd w:val="clear" w:color="auto" w:fill="F6F1E6"/>
          </w:tcPr>
          <w:p>
            <w:pPr>
              <w:spacing w:after="20"/>
            </w:pPr>
            <w:r>
              <w:rPr>
                <w:b/>
                <w:color w:val="1C3A36"/>
                <w:sz w:val="18"/>
              </w:rPr>
              <w:t>Envelope of the present-value reads</w:t>
            </w:r>
          </w:p>
        </w:tc>
        <w:tc>
          <w:tcPr>
            <w:tcW w:type="dxa" w:w="2448"/>
            <w:shd w:val="clear" w:color="auto" w:fill="F6F1E6"/>
          </w:tcPr>
          <w:p>
            <w:pPr>
              <w:spacing w:after="20"/>
              <w:jc w:val="right"/>
            </w:pPr>
            <w:r>
              <w:rPr>
                <w:b/>
                <w:color w:val="1C3A36"/>
                <w:sz w:val="18"/>
              </w:rPr>
              <w:t>the range, never an average</w:t>
            </w:r>
          </w:p>
        </w:tc>
        <w:tc>
          <w:tcPr>
            <w:tcW w:type="dxa" w:w="1944"/>
            <w:shd w:val="clear" w:color="auto" w:fill="F6F1E6"/>
          </w:tcPr>
          <w:p>
            <w:pPr>
              <w:spacing w:after="20"/>
              <w:jc w:val="right"/>
            </w:pPr>
            <w:r>
              <w:rPr>
                <w:b/>
                <w:color w:val="1C3A36"/>
                <w:sz w:val="18"/>
              </w:rPr>
              <w:t>17.83 – 30.32</w:t>
            </w:r>
          </w:p>
        </w:tc>
        <w:tc>
          <w:tcPr>
            <w:tcW w:type="dxa" w:w="1944"/>
            <w:shd w:val="clear" w:color="auto" w:fill="F6F1E6"/>
          </w:tcPr>
          <w:p>
            <w:pPr>
              <w:spacing w:after="20"/>
              <w:jc w:val="right"/>
            </w:pPr>
            <w:r>
              <w:rPr>
                <w:b/>
                <w:color w:val="1C3A36"/>
                <w:sz w:val="18"/>
              </w:rPr>
              <w:t>-38% to +5%</w:t>
            </w:r>
          </w:p>
        </w:tc>
      </w:tr>
    </w:tbl>
    <w:p>
      <w:pPr>
        <w:spacing w:after="40"/>
      </w:pPr>
    </w:p>
    <w:p>
      <w:pPr>
        <w:spacing w:after="200" w:before="0"/>
      </w:pPr>
      <w:r>
        <w:rPr>
          <w:b w:val="0"/>
          <w:i/>
          <w:color w:val="6E7B77"/>
          <w:sz w:val="17"/>
        </w:rPr>
        <w:t>The envelope spans the present-value reads — both branches of the primary and the relative multiple. The disclosed book value is a floor and is deliberately not in it: a floor is not a valuation.</w:t>
      </w:r>
    </w:p>
    <w:p>
      <w:pPr>
        <w:spacing w:after="40"/>
        <w:jc w:val="center"/>
      </w:pPr>
      <w:r>
        <w:drawing>
          <wp:inline xmlns:a="http://schemas.openxmlformats.org/drawingml/2006/main" xmlns:pic="http://schemas.openxmlformats.org/drawingml/2006/picture">
            <wp:extent cx="5760720" cy="2078610"/>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5760720" cy="2078610"/>
                    </a:xfrm>
                    <a:prstGeom prst="rect"/>
                  </pic:spPr>
                </pic:pic>
              </a:graphicData>
            </a:graphic>
          </wp:inline>
        </w:drawing>
      </w:r>
    </w:p>
    <w:p>
      <w:pPr>
        <w:spacing w:after="200" w:before="0"/>
      </w:pPr>
      <w:r>
        <w:rPr>
          <w:b w:val="0"/>
          <w:i/>
          <w:color w:val="6E7B77"/>
          <w:sz w:val="17"/>
        </w:rPr>
        <w:t>Figure 1 — Valuation football field. The primary lens is drawn as the span between its two branches with a brass tick on each; the cross-checks are single marks; the gold band is the envelope of the present-value reads; the ink line is the price.</w:t>
      </w:r>
    </w:p>
    <w:p>
      <w:pPr>
        <w:spacing w:after="120" w:before="0"/>
      </w:pPr>
      <w:r>
        <w:rPr>
          <w:b/>
          <w:i w:val="0"/>
          <w:color w:val="1C3A36"/>
          <w:sz w:val="21"/>
        </w:rPr>
        <w:t>The answer is EGP 17.83 on one of the company’s disclosures and EGP 30.32 on the other</w:t>
      </w:r>
      <w:r>
        <w:rPr>
          <w:b w:val="0"/>
          <w:i w:val="0"/>
          <w:color w:val="1C3A36"/>
          <w:sz w:val="21"/>
        </w:rPr>
        <w:t>, -38% and +5% against the price. The width of this picture is not four independent methods converging or failing to converge. Two of the marks — the primary’s branches — differ only in the associate line, and the two cross-checks do not touch that line at all: the earnings multiple reads EGP 18.08 and the disclosed book floor EGP 30.82, both within 38% of the traded price. That split is itself the finding, and it is the same finding on either branch: strip the associate out and this is an operating group priced about where its own earnings and its own book say it should be; put it back at either company-published mark and the shares look cheap.</w:t>
      </w:r>
    </w:p>
    <w:p>
      <w:pPr>
        <w:spacing w:after="80" w:before="200"/>
      </w:pPr>
      <w:r>
        <w:rPr>
          <w:b/>
          <w:i w:val="0"/>
          <w:color w:val="1C3A36"/>
          <w:sz w:val="24"/>
        </w:rPr>
        <w:t>1.6  The legs, and the units × price driver table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2736"/>
            <w:shd w:val="clear" w:color="auto" w:fill="EAF0EE"/>
          </w:tcPr>
          <w:p>
            <w:pPr>
              <w:spacing w:after="20"/>
            </w:pPr>
            <w:r>
              <w:rPr>
                <w:b/>
                <w:color w:val="1C3A36"/>
                <w:sz w:val="17"/>
              </w:rPr>
              <w:t>Leg</w:t>
            </w:r>
          </w:p>
        </w:tc>
        <w:tc>
          <w:tcPr>
            <w:tcW w:type="dxa" w:w="1728"/>
            <w:shd w:val="clear" w:color="auto" w:fill="EAF0EE"/>
          </w:tcPr>
          <w:p>
            <w:pPr>
              <w:spacing w:after="20"/>
            </w:pPr>
            <w:r>
              <w:rPr>
                <w:b/>
                <w:color w:val="1C3A36"/>
                <w:sz w:val="17"/>
              </w:rPr>
              <w:t>Cyclicality</w:t>
            </w:r>
          </w:p>
        </w:tc>
        <w:tc>
          <w:tcPr>
            <w:tcW w:type="dxa" w:w="2736"/>
            <w:shd w:val="clear" w:color="auto" w:fill="EAF0EE"/>
          </w:tcPr>
          <w:p>
            <w:pPr>
              <w:spacing w:after="20"/>
            </w:pPr>
            <w:r>
              <w:rPr>
                <w:b/>
                <w:color w:val="1C3A36"/>
                <w:sz w:val="17"/>
              </w:rPr>
              <w:t>Margin / return trend</w:t>
            </w:r>
          </w:p>
        </w:tc>
        <w:tc>
          <w:tcPr>
            <w:tcW w:type="dxa" w:w="1944"/>
            <w:shd w:val="clear" w:color="auto" w:fill="EAF0EE"/>
          </w:tcPr>
          <w:p>
            <w:pPr>
              <w:spacing w:after="20"/>
            </w:pPr>
            <w:r>
              <w:rPr>
                <w:b/>
                <w:color w:val="1C3A36"/>
                <w:sz w:val="17"/>
              </w:rPr>
              <w:t>Capital intensity</w:t>
            </w:r>
          </w:p>
        </w:tc>
        <w:tc>
          <w:tcPr>
            <w:tcW w:type="dxa" w:w="1224"/>
            <w:shd w:val="clear" w:color="auto" w:fill="EAF0EE"/>
          </w:tcPr>
          <w:p>
            <w:pPr>
              <w:spacing w:after="20"/>
            </w:pPr>
            <w:r>
              <w:rPr>
                <w:b/>
                <w:color w:val="1C3A36"/>
                <w:sz w:val="17"/>
              </w:rPr>
              <w:t>Swing role</w:t>
            </w:r>
          </w:p>
        </w:tc>
      </w:tr>
      <w:tr>
        <w:tc>
          <w:tcPr>
            <w:tcW w:type="dxa" w:w="2736"/>
          </w:tcPr>
          <w:p>
            <w:pPr>
              <w:spacing w:after="20"/>
            </w:pPr>
            <w:r>
              <w:rPr>
                <w:b/>
                <w:color w:val="1C3A36"/>
                <w:sz w:val="17"/>
              </w:rPr>
              <w:t>GB Auto — passenger cars</w:t>
            </w:r>
          </w:p>
        </w:tc>
        <w:tc>
          <w:tcPr>
            <w:tcW w:type="dxa" w:w="1728"/>
          </w:tcPr>
          <w:p>
            <w:pPr>
              <w:spacing w:after="20"/>
              <w:jc w:val="right"/>
            </w:pPr>
            <w:r>
              <w:rPr>
                <w:color w:val="1C3A36"/>
                <w:sz w:val="17"/>
              </w:rPr>
              <w:t>High (rates, currency, imports)</w:t>
            </w:r>
          </w:p>
        </w:tc>
        <w:tc>
          <w:tcPr>
            <w:tcW w:type="dxa" w:w="2736"/>
          </w:tcPr>
          <w:p>
            <w:pPr>
              <w:spacing w:after="20"/>
              <w:jc w:val="right"/>
            </w:pPr>
            <w:r>
              <w:rPr>
                <w:color w:val="1C3A36"/>
                <w:sz w:val="17"/>
              </w:rPr>
              <w:t>Auto gross margin 14.30% in the reviewed half; the forecast opens at 13.80%</w:t>
            </w:r>
          </w:p>
        </w:tc>
        <w:tc>
          <w:tcPr>
            <w:tcW w:type="dxa" w:w="1944"/>
          </w:tcPr>
          <w:p>
            <w:pPr>
              <w:spacing w:after="20"/>
              <w:jc w:val="right"/>
            </w:pPr>
            <w:r>
              <w:rPr>
                <w:color w:val="1C3A36"/>
                <w:sz w:val="17"/>
              </w:rPr>
              <w:t>Very high (working capital)</w:t>
            </w:r>
          </w:p>
        </w:tc>
        <w:tc>
          <w:tcPr>
            <w:tcW w:type="dxa" w:w="1224"/>
          </w:tcPr>
          <w:p>
            <w:pPr>
              <w:spacing w:after="20"/>
              <w:jc w:val="right"/>
            </w:pPr>
            <w:r>
              <w:rPr>
                <w:color w:val="1C3A36"/>
                <w:sz w:val="17"/>
              </w:rPr>
              <w:t>Dominant</w:t>
            </w:r>
          </w:p>
        </w:tc>
      </w:tr>
      <w:tr>
        <w:tc>
          <w:tcPr>
            <w:tcW w:type="dxa" w:w="2736"/>
          </w:tcPr>
          <w:p>
            <w:pPr>
              <w:spacing w:after="20"/>
            </w:pPr>
            <w:r>
              <w:rPr>
                <w:b/>
                <w:color w:val="1C3A36"/>
                <w:sz w:val="17"/>
              </w:rPr>
              <w:t>GB Auto — commercial vehicles, trading, mobility</w:t>
            </w:r>
          </w:p>
        </w:tc>
        <w:tc>
          <w:tcPr>
            <w:tcW w:type="dxa" w:w="1728"/>
          </w:tcPr>
          <w:p>
            <w:pPr>
              <w:spacing w:after="20"/>
              <w:jc w:val="right"/>
            </w:pPr>
            <w:r>
              <w:rPr>
                <w:color w:val="1C3A36"/>
                <w:sz w:val="17"/>
              </w:rPr>
              <w:t>Moderate</w:t>
            </w:r>
          </w:p>
        </w:tc>
        <w:tc>
          <w:tcPr>
            <w:tcW w:type="dxa" w:w="2736"/>
          </w:tcPr>
          <w:p>
            <w:pPr>
              <w:spacing w:after="20"/>
              <w:jc w:val="right"/>
            </w:pPr>
            <w:r>
              <w:rPr>
                <w:color w:val="1C3A36"/>
                <w:sz w:val="17"/>
              </w:rPr>
              <w:t>Bus exports scaling</w:t>
            </w:r>
          </w:p>
        </w:tc>
        <w:tc>
          <w:tcPr>
            <w:tcW w:type="dxa" w:w="1944"/>
          </w:tcPr>
          <w:p>
            <w:pPr>
              <w:spacing w:after="20"/>
              <w:jc w:val="right"/>
            </w:pPr>
            <w:r>
              <w:rPr>
                <w:color w:val="1C3A36"/>
                <w:sz w:val="17"/>
              </w:rPr>
              <w:t>Moderate</w:t>
            </w:r>
          </w:p>
        </w:tc>
        <w:tc>
          <w:tcPr>
            <w:tcW w:type="dxa" w:w="1224"/>
          </w:tcPr>
          <w:p>
            <w:pPr>
              <w:spacing w:after="20"/>
              <w:jc w:val="right"/>
            </w:pPr>
            <w:r>
              <w:rPr>
                <w:color w:val="1C3A36"/>
                <w:sz w:val="17"/>
              </w:rPr>
              <w:t>Diversifier</w:t>
            </w:r>
          </w:p>
        </w:tc>
      </w:tr>
      <w:tr>
        <w:tc>
          <w:tcPr>
            <w:tcW w:type="dxa" w:w="2736"/>
          </w:tcPr>
          <w:p>
            <w:pPr>
              <w:spacing w:after="20"/>
            </w:pPr>
            <w:r>
              <w:rPr>
                <w:b/>
                <w:color w:val="1C3A36"/>
                <w:sz w:val="17"/>
              </w:rPr>
              <w:t>GB Capital</w:t>
            </w:r>
          </w:p>
        </w:tc>
        <w:tc>
          <w:tcPr>
            <w:tcW w:type="dxa" w:w="1728"/>
          </w:tcPr>
          <w:p>
            <w:pPr>
              <w:spacing w:after="20"/>
              <w:jc w:val="right"/>
            </w:pPr>
            <w:r>
              <w:rPr>
                <w:color w:val="1C3A36"/>
                <w:sz w:val="17"/>
              </w:rPr>
              <w:t>Credit cycle</w:t>
            </w:r>
          </w:p>
        </w:tc>
        <w:tc>
          <w:tcPr>
            <w:tcW w:type="dxa" w:w="2736"/>
          </w:tcPr>
          <w:p>
            <w:pPr>
              <w:spacing w:after="20"/>
              <w:jc w:val="right"/>
            </w:pPr>
            <w:r>
              <w:rPr>
                <w:color w:val="1C3A36"/>
                <w:sz w:val="17"/>
              </w:rPr>
              <w:t>Reviewed return on operating equity 7.90%</w:t>
            </w:r>
          </w:p>
        </w:tc>
        <w:tc>
          <w:tcPr>
            <w:tcW w:type="dxa" w:w="1944"/>
          </w:tcPr>
          <w:p>
            <w:pPr>
              <w:spacing w:after="20"/>
              <w:jc w:val="right"/>
            </w:pPr>
            <w:r>
              <w:rPr>
                <w:color w:val="1C3A36"/>
                <w:sz w:val="17"/>
              </w:rPr>
              <w:t>Leveraged by construction</w:t>
            </w:r>
          </w:p>
        </w:tc>
        <w:tc>
          <w:tcPr>
            <w:tcW w:type="dxa" w:w="1224"/>
          </w:tcPr>
          <w:p>
            <w:pPr>
              <w:spacing w:after="20"/>
              <w:jc w:val="right"/>
            </w:pPr>
            <w:r>
              <w:rPr>
                <w:color w:val="1C3A36"/>
                <w:sz w:val="17"/>
              </w:rPr>
              <w:t>Compounder</w:t>
            </w:r>
          </w:p>
        </w:tc>
      </w:tr>
      <w:tr>
        <w:tc>
          <w:tcPr>
            <w:tcW w:type="dxa" w:w="2736"/>
          </w:tcPr>
          <w:p>
            <w:pPr>
              <w:spacing w:after="20"/>
            </w:pPr>
            <w:r>
              <w:rPr>
                <w:b/>
                <w:color w:val="1C3A36"/>
                <w:sz w:val="17"/>
              </w:rPr>
              <w:t>Associates (MNT-Halan and others)</w:t>
            </w:r>
          </w:p>
        </w:tc>
        <w:tc>
          <w:tcPr>
            <w:tcW w:type="dxa" w:w="1728"/>
          </w:tcPr>
          <w:p>
            <w:pPr>
              <w:spacing w:after="20"/>
              <w:jc w:val="right"/>
            </w:pPr>
            <w:r>
              <w:rPr>
                <w:color w:val="1C3A36"/>
                <w:sz w:val="17"/>
              </w:rPr>
              <w:t>Venture-like</w:t>
            </w:r>
          </w:p>
        </w:tc>
        <w:tc>
          <w:tcPr>
            <w:tcW w:type="dxa" w:w="2736"/>
          </w:tcPr>
          <w:p>
            <w:pPr>
              <w:spacing w:after="20"/>
              <w:jc w:val="right"/>
            </w:pPr>
            <w:r>
              <w:rPr>
                <w:color w:val="1C3A36"/>
                <w:sz w:val="17"/>
              </w:rPr>
              <w:t>Two company-published marks; no public price</w:t>
            </w:r>
          </w:p>
        </w:tc>
        <w:tc>
          <w:tcPr>
            <w:tcW w:type="dxa" w:w="1944"/>
          </w:tcPr>
          <w:p>
            <w:pPr>
              <w:spacing w:after="20"/>
              <w:jc w:val="right"/>
            </w:pPr>
            <w:r>
              <w:rPr>
                <w:color w:val="1C3A36"/>
                <w:sz w:val="17"/>
              </w:rPr>
              <w:t>Off balance sheet</w:t>
            </w:r>
          </w:p>
        </w:tc>
        <w:tc>
          <w:tcPr>
            <w:tcW w:type="dxa" w:w="1224"/>
          </w:tcPr>
          <w:p>
            <w:pPr>
              <w:spacing w:after="20"/>
              <w:jc w:val="right"/>
            </w:pPr>
            <w:r>
              <w:rPr>
                <w:color w:val="1C3A36"/>
                <w:sz w:val="17"/>
              </w:rPr>
              <w:t>The whole disagreement</w:t>
            </w:r>
          </w:p>
        </w:tc>
      </w:tr>
    </w:tbl>
    <w:p>
      <w:pPr>
        <w:spacing w:after="40"/>
      </w:pPr>
    </w:p>
    <w:p>
      <w:pPr>
        <w:spacing w:after="120" w:before="0"/>
      </w:pPr>
      <w:r>
        <w:rPr>
          <w:b w:val="0"/>
          <w:i w:val="0"/>
          <w:color w:val="1C3A36"/>
          <w:sz w:val="19"/>
        </w:rPr>
        <w:t>The bottom-up build. Every historical figure below is the company’s own disclosure; the forecast columns are the model’s own driver path: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168"/>
            <w:shd w:val="clear" w:color="auto" w:fill="EAF0EE"/>
          </w:tcPr>
          <w:p>
            <w:pPr>
              <w:spacing w:after="20"/>
            </w:pPr>
            <w:r>
              <w:rPr>
                <w:b/>
                <w:color w:val="1C3A36"/>
                <w:sz w:val="17"/>
              </w:rPr>
              <w:t>Driver</w:t>
            </w:r>
          </w:p>
        </w:tc>
        <w:tc>
          <w:tcPr>
            <w:tcW w:type="dxa" w:w="1368"/>
            <w:shd w:val="clear" w:color="auto" w:fill="EAF0EE"/>
          </w:tcPr>
          <w:p>
            <w:pPr>
              <w:spacing w:after="20"/>
            </w:pPr>
            <w:r>
              <w:rPr>
                <w:b/>
                <w:color w:val="1C3A36"/>
                <w:sz w:val="17"/>
              </w:rPr>
              <w:t>FY2023</w:t>
            </w:r>
          </w:p>
        </w:tc>
        <w:tc>
          <w:tcPr>
            <w:tcW w:type="dxa" w:w="1368"/>
            <w:shd w:val="clear" w:color="auto" w:fill="EAF0EE"/>
          </w:tcPr>
          <w:p>
            <w:pPr>
              <w:spacing w:after="20"/>
            </w:pPr>
            <w:r>
              <w:rPr>
                <w:b/>
                <w:color w:val="1C3A36"/>
                <w:sz w:val="17"/>
              </w:rPr>
              <w:t>FY2024</w:t>
            </w:r>
          </w:p>
        </w:tc>
        <w:tc>
          <w:tcPr>
            <w:tcW w:type="dxa" w:w="1368"/>
            <w:shd w:val="clear" w:color="auto" w:fill="EAF0EE"/>
          </w:tcPr>
          <w:p>
            <w:pPr>
              <w:spacing w:after="20"/>
            </w:pPr>
            <w:r>
              <w:rPr>
                <w:b/>
                <w:color w:val="1C3A36"/>
                <w:sz w:val="17"/>
              </w:rPr>
              <w:t>FY2025</w:t>
            </w:r>
          </w:p>
        </w:tc>
        <w:tc>
          <w:tcPr>
            <w:tcW w:type="dxa" w:w="1440"/>
            <w:shd w:val="clear" w:color="auto" w:fill="EAF0EE"/>
          </w:tcPr>
          <w:p>
            <w:pPr>
              <w:spacing w:after="20"/>
            </w:pPr>
            <w:r>
              <w:rPr>
                <w:b/>
                <w:color w:val="1C3A36"/>
                <w:sz w:val="17"/>
              </w:rPr>
              <w:t>FY2026E</w:t>
            </w:r>
          </w:p>
        </w:tc>
        <w:tc>
          <w:tcPr>
            <w:tcW w:type="dxa" w:w="1440"/>
            <w:shd w:val="clear" w:color="auto" w:fill="EAF0EE"/>
          </w:tcPr>
          <w:p>
            <w:pPr>
              <w:spacing w:after="20"/>
            </w:pPr>
            <w:r>
              <w:rPr>
                <w:b/>
                <w:color w:val="1C3A36"/>
                <w:sz w:val="17"/>
              </w:rPr>
              <w:t>FY2030E</w:t>
            </w:r>
          </w:p>
        </w:tc>
      </w:tr>
      <w:tr>
        <w:tc>
          <w:tcPr>
            <w:tcW w:type="dxa" w:w="3168"/>
          </w:tcPr>
          <w:p>
            <w:pPr>
              <w:spacing w:after="20"/>
            </w:pPr>
            <w:r>
              <w:rPr>
                <w:b/>
                <w:color w:val="1C3A36"/>
                <w:sz w:val="17"/>
              </w:rPr>
              <w:t>Passenger-car volume (units)</w:t>
            </w:r>
          </w:p>
        </w:tc>
        <w:tc>
          <w:tcPr>
            <w:tcW w:type="dxa" w:w="1368"/>
          </w:tcPr>
          <w:p>
            <w:pPr>
              <w:spacing w:after="20"/>
              <w:jc w:val="right"/>
            </w:pPr>
            <w:r>
              <w:rPr>
                <w:color w:val="1C3A36"/>
                <w:sz w:val="17"/>
              </w:rPr>
              <w:t>26,994</w:t>
            </w:r>
          </w:p>
        </w:tc>
        <w:tc>
          <w:tcPr>
            <w:tcW w:type="dxa" w:w="1368"/>
          </w:tcPr>
          <w:p>
            <w:pPr>
              <w:spacing w:after="20"/>
              <w:jc w:val="right"/>
            </w:pPr>
            <w:r>
              <w:rPr>
                <w:color w:val="1C3A36"/>
                <w:sz w:val="17"/>
              </w:rPr>
              <w:t>42,043</w:t>
            </w:r>
          </w:p>
        </w:tc>
        <w:tc>
          <w:tcPr>
            <w:tcW w:type="dxa" w:w="1368"/>
          </w:tcPr>
          <w:p>
            <w:pPr>
              <w:spacing w:after="20"/>
              <w:jc w:val="right"/>
            </w:pPr>
            <w:r>
              <w:rPr>
                <w:color w:val="1C3A36"/>
                <w:sz w:val="17"/>
              </w:rPr>
              <w:t>56,548</w:t>
            </w:r>
          </w:p>
        </w:tc>
        <w:tc>
          <w:tcPr>
            <w:tcW w:type="dxa" w:w="1440"/>
          </w:tcPr>
          <w:p>
            <w:pPr>
              <w:spacing w:after="20"/>
              <w:jc w:val="right"/>
            </w:pPr>
            <w:r>
              <w:rPr>
                <w:color w:val="1C3A36"/>
                <w:sz w:val="17"/>
              </w:rPr>
              <w:t>63,334</w:t>
            </w:r>
          </w:p>
        </w:tc>
        <w:tc>
          <w:tcPr>
            <w:tcW w:type="dxa" w:w="1440"/>
          </w:tcPr>
          <w:p>
            <w:pPr>
              <w:spacing w:after="20"/>
              <w:jc w:val="right"/>
            </w:pPr>
            <w:r>
              <w:rPr>
                <w:color w:val="1C3A36"/>
                <w:sz w:val="17"/>
              </w:rPr>
              <w:t>90,921</w:t>
            </w:r>
          </w:p>
        </w:tc>
      </w:tr>
      <w:tr>
        <w:tc>
          <w:tcPr>
            <w:tcW w:type="dxa" w:w="3168"/>
          </w:tcPr>
          <w:p>
            <w:pPr>
              <w:spacing w:after="20"/>
            </w:pPr>
            <w:r>
              <w:rPr>
                <w:b/>
                <w:color w:val="1C3A36"/>
                <w:sz w:val="17"/>
              </w:rPr>
              <w:t>Passenger-car price (EGP mn/unit)</w:t>
            </w:r>
          </w:p>
        </w:tc>
        <w:tc>
          <w:tcPr>
            <w:tcW w:type="dxa" w:w="1368"/>
          </w:tcPr>
          <w:p>
            <w:pPr>
              <w:spacing w:after="20"/>
              <w:jc w:val="right"/>
            </w:pPr>
            <w:r>
              <w:rPr>
                <w:color w:val="1C3A36"/>
                <w:sz w:val="17"/>
              </w:rPr>
              <w:t>0.61</w:t>
            </w:r>
          </w:p>
        </w:tc>
        <w:tc>
          <w:tcPr>
            <w:tcW w:type="dxa" w:w="1368"/>
          </w:tcPr>
          <w:p>
            <w:pPr>
              <w:spacing w:after="20"/>
              <w:jc w:val="right"/>
            </w:pPr>
            <w:r>
              <w:rPr>
                <w:color w:val="1C3A36"/>
                <w:sz w:val="17"/>
              </w:rPr>
              <w:t>0.87</w:t>
            </w:r>
          </w:p>
        </w:tc>
        <w:tc>
          <w:tcPr>
            <w:tcW w:type="dxa" w:w="1368"/>
          </w:tcPr>
          <w:p>
            <w:pPr>
              <w:spacing w:after="20"/>
              <w:jc w:val="right"/>
            </w:pPr>
            <w:r>
              <w:rPr>
                <w:color w:val="1C3A36"/>
                <w:sz w:val="17"/>
              </w:rPr>
              <w:t>0.93</w:t>
            </w:r>
          </w:p>
        </w:tc>
        <w:tc>
          <w:tcPr>
            <w:tcW w:type="dxa" w:w="1440"/>
          </w:tcPr>
          <w:p>
            <w:pPr>
              <w:spacing w:after="20"/>
              <w:jc w:val="right"/>
            </w:pPr>
            <w:r>
              <w:rPr>
                <w:color w:val="1C3A36"/>
                <w:sz w:val="17"/>
              </w:rPr>
              <w:t>0.99</w:t>
            </w:r>
          </w:p>
        </w:tc>
        <w:tc>
          <w:tcPr>
            <w:tcW w:type="dxa" w:w="1440"/>
          </w:tcPr>
          <w:p>
            <w:pPr>
              <w:spacing w:after="20"/>
              <w:jc w:val="right"/>
            </w:pPr>
            <w:r>
              <w:rPr>
                <w:color w:val="1C3A36"/>
                <w:sz w:val="17"/>
              </w:rPr>
              <w:t>1.27</w:t>
            </w:r>
          </w:p>
        </w:tc>
      </w:tr>
      <w:tr>
        <w:tc>
          <w:tcPr>
            <w:tcW w:type="dxa" w:w="3168"/>
          </w:tcPr>
          <w:p>
            <w:pPr>
              <w:spacing w:after="20"/>
            </w:pPr>
            <w:r>
              <w:rPr>
                <w:b/>
                <w:color w:val="1C3A36"/>
                <w:sz w:val="17"/>
              </w:rPr>
              <w:t>Passenger-car revenue (EGP mn)</w:t>
            </w:r>
          </w:p>
        </w:tc>
        <w:tc>
          <w:tcPr>
            <w:tcW w:type="dxa" w:w="1368"/>
          </w:tcPr>
          <w:p>
            <w:pPr>
              <w:spacing w:after="20"/>
              <w:jc w:val="right"/>
            </w:pPr>
            <w:r>
              <w:rPr>
                <w:color w:val="1C3A36"/>
                <w:sz w:val="17"/>
              </w:rPr>
              <w:t>16,544</w:t>
            </w:r>
          </w:p>
        </w:tc>
        <w:tc>
          <w:tcPr>
            <w:tcW w:type="dxa" w:w="1368"/>
          </w:tcPr>
          <w:p>
            <w:pPr>
              <w:spacing w:after="20"/>
              <w:jc w:val="right"/>
            </w:pPr>
            <w:r>
              <w:rPr>
                <w:color w:val="1C3A36"/>
                <w:sz w:val="17"/>
              </w:rPr>
              <w:t>36,533</w:t>
            </w:r>
          </w:p>
        </w:tc>
        <w:tc>
          <w:tcPr>
            <w:tcW w:type="dxa" w:w="1368"/>
          </w:tcPr>
          <w:p>
            <w:pPr>
              <w:spacing w:after="20"/>
              <w:jc w:val="right"/>
            </w:pPr>
            <w:r>
              <w:rPr>
                <w:color w:val="1C3A36"/>
                <w:sz w:val="17"/>
              </w:rPr>
              <w:t>52,827</w:t>
            </w:r>
          </w:p>
        </w:tc>
        <w:tc>
          <w:tcPr>
            <w:tcW w:type="dxa" w:w="1440"/>
          </w:tcPr>
          <w:p>
            <w:pPr>
              <w:spacing w:after="20"/>
              <w:jc w:val="right"/>
            </w:pPr>
            <w:r>
              <w:rPr>
                <w:color w:val="1C3A36"/>
                <w:sz w:val="17"/>
              </w:rPr>
              <w:t>62,717</w:t>
            </w:r>
          </w:p>
        </w:tc>
        <w:tc>
          <w:tcPr>
            <w:tcW w:type="dxa" w:w="1440"/>
          </w:tcPr>
          <w:p>
            <w:pPr>
              <w:spacing w:after="20"/>
              <w:jc w:val="right"/>
            </w:pPr>
            <w:r>
              <w:rPr>
                <w:color w:val="1C3A36"/>
                <w:sz w:val="17"/>
              </w:rPr>
              <w:t>115,821</w:t>
            </w:r>
          </w:p>
        </w:tc>
      </w:tr>
      <w:tr>
        <w:tc>
          <w:tcPr>
            <w:tcW w:type="dxa" w:w="3168"/>
          </w:tcPr>
          <w:p>
            <w:pPr>
              <w:spacing w:after="20"/>
            </w:pPr>
            <w:r>
              <w:rPr>
                <w:b/>
                <w:color w:val="1C3A36"/>
                <w:sz w:val="17"/>
              </w:rPr>
              <w:t>Commercial vehicles &amp; equipment</w:t>
            </w:r>
          </w:p>
        </w:tc>
        <w:tc>
          <w:tcPr>
            <w:tcW w:type="dxa" w:w="1368"/>
          </w:tcPr>
          <w:p>
            <w:pPr>
              <w:spacing w:after="20"/>
              <w:jc w:val="right"/>
            </w:pPr>
            <w:r>
              <w:rPr>
                <w:color w:val="1C3A36"/>
                <w:sz w:val="17"/>
              </w:rPr>
              <w:t>—</w:t>
            </w:r>
          </w:p>
        </w:tc>
        <w:tc>
          <w:tcPr>
            <w:tcW w:type="dxa" w:w="1368"/>
          </w:tcPr>
          <w:p>
            <w:pPr>
              <w:spacing w:after="20"/>
              <w:jc w:val="right"/>
            </w:pPr>
            <w:r>
              <w:rPr>
                <w:color w:val="1C3A36"/>
                <w:sz w:val="17"/>
              </w:rPr>
              <w:t>—</w:t>
            </w:r>
          </w:p>
        </w:tc>
        <w:tc>
          <w:tcPr>
            <w:tcW w:type="dxa" w:w="1368"/>
          </w:tcPr>
          <w:p>
            <w:pPr>
              <w:spacing w:after="20"/>
              <w:jc w:val="right"/>
            </w:pPr>
            <w:r>
              <w:rPr>
                <w:color w:val="1C3A36"/>
                <w:sz w:val="17"/>
              </w:rPr>
              <w:t>5,957</w:t>
            </w:r>
          </w:p>
        </w:tc>
        <w:tc>
          <w:tcPr>
            <w:tcW w:type="dxa" w:w="1440"/>
          </w:tcPr>
          <w:p>
            <w:pPr>
              <w:spacing w:after="20"/>
              <w:jc w:val="right"/>
            </w:pPr>
            <w:r>
              <w:rPr>
                <w:color w:val="1C3A36"/>
                <w:sz w:val="17"/>
              </w:rPr>
              <w:t>7,818</w:t>
            </w:r>
          </w:p>
        </w:tc>
        <w:tc>
          <w:tcPr>
            <w:tcW w:type="dxa" w:w="1440"/>
          </w:tcPr>
          <w:p>
            <w:pPr>
              <w:spacing w:after="20"/>
              <w:jc w:val="right"/>
            </w:pPr>
            <w:r>
              <w:rPr>
                <w:color w:val="1C3A36"/>
                <w:sz w:val="17"/>
              </w:rPr>
              <w:t>14,921</w:t>
            </w:r>
          </w:p>
        </w:tc>
      </w:tr>
      <w:tr>
        <w:tc>
          <w:tcPr>
            <w:tcW w:type="dxa" w:w="3168"/>
          </w:tcPr>
          <w:p>
            <w:pPr>
              <w:spacing w:after="20"/>
            </w:pPr>
            <w:r>
              <w:rPr>
                <w:b/>
                <w:color w:val="1C3A36"/>
                <w:sz w:val="17"/>
              </w:rPr>
              <w:t>Light mobility</w:t>
            </w:r>
          </w:p>
        </w:tc>
        <w:tc>
          <w:tcPr>
            <w:tcW w:type="dxa" w:w="1368"/>
          </w:tcPr>
          <w:p>
            <w:pPr>
              <w:spacing w:after="20"/>
              <w:jc w:val="right"/>
            </w:pPr>
            <w:r>
              <w:rPr>
                <w:color w:val="1C3A36"/>
                <w:sz w:val="17"/>
              </w:rPr>
              <w:t>—</w:t>
            </w:r>
          </w:p>
        </w:tc>
        <w:tc>
          <w:tcPr>
            <w:tcW w:type="dxa" w:w="1368"/>
          </w:tcPr>
          <w:p>
            <w:pPr>
              <w:spacing w:after="20"/>
              <w:jc w:val="right"/>
            </w:pPr>
            <w:r>
              <w:rPr>
                <w:color w:val="1C3A36"/>
                <w:sz w:val="17"/>
              </w:rPr>
              <w:t>—</w:t>
            </w:r>
          </w:p>
        </w:tc>
        <w:tc>
          <w:tcPr>
            <w:tcW w:type="dxa" w:w="1368"/>
          </w:tcPr>
          <w:p>
            <w:pPr>
              <w:spacing w:after="20"/>
              <w:jc w:val="right"/>
            </w:pPr>
            <w:r>
              <w:rPr>
                <w:color w:val="1C3A36"/>
                <w:sz w:val="17"/>
              </w:rPr>
              <w:t>2,204</w:t>
            </w:r>
          </w:p>
        </w:tc>
        <w:tc>
          <w:tcPr>
            <w:tcW w:type="dxa" w:w="1440"/>
          </w:tcPr>
          <w:p>
            <w:pPr>
              <w:spacing w:after="20"/>
              <w:jc w:val="right"/>
            </w:pPr>
            <w:r>
              <w:rPr>
                <w:color w:val="1C3A36"/>
                <w:sz w:val="17"/>
              </w:rPr>
              <w:t>3,008</w:t>
            </w:r>
          </w:p>
        </w:tc>
        <w:tc>
          <w:tcPr>
            <w:tcW w:type="dxa" w:w="1440"/>
          </w:tcPr>
          <w:p>
            <w:pPr>
              <w:spacing w:after="20"/>
              <w:jc w:val="right"/>
            </w:pPr>
            <w:r>
              <w:rPr>
                <w:color w:val="1C3A36"/>
                <w:sz w:val="17"/>
              </w:rPr>
              <w:t>6,217</w:t>
            </w:r>
          </w:p>
        </w:tc>
      </w:tr>
      <w:tr>
        <w:tc>
          <w:tcPr>
            <w:tcW w:type="dxa" w:w="3168"/>
          </w:tcPr>
          <w:p>
            <w:pPr>
              <w:spacing w:after="20"/>
            </w:pPr>
            <w:r>
              <w:rPr>
                <w:b/>
                <w:color w:val="1C3A36"/>
                <w:sz w:val="17"/>
              </w:rPr>
              <w:t>Trading (tires and parts)</w:t>
            </w:r>
          </w:p>
        </w:tc>
        <w:tc>
          <w:tcPr>
            <w:tcW w:type="dxa" w:w="1368"/>
          </w:tcPr>
          <w:p>
            <w:pPr>
              <w:spacing w:after="20"/>
              <w:jc w:val="right"/>
            </w:pPr>
            <w:r>
              <w:rPr>
                <w:color w:val="1C3A36"/>
                <w:sz w:val="17"/>
              </w:rPr>
              <w:t>—</w:t>
            </w:r>
          </w:p>
        </w:tc>
        <w:tc>
          <w:tcPr>
            <w:tcW w:type="dxa" w:w="1368"/>
          </w:tcPr>
          <w:p>
            <w:pPr>
              <w:spacing w:after="20"/>
              <w:jc w:val="right"/>
            </w:pPr>
            <w:r>
              <w:rPr>
                <w:color w:val="1C3A36"/>
                <w:sz w:val="17"/>
              </w:rPr>
              <w:t>—</w:t>
            </w:r>
          </w:p>
        </w:tc>
        <w:tc>
          <w:tcPr>
            <w:tcW w:type="dxa" w:w="1368"/>
          </w:tcPr>
          <w:p>
            <w:pPr>
              <w:spacing w:after="20"/>
              <w:jc w:val="right"/>
            </w:pPr>
            <w:r>
              <w:rPr>
                <w:color w:val="1C3A36"/>
                <w:sz w:val="17"/>
              </w:rPr>
              <w:t>4,243</w:t>
            </w:r>
          </w:p>
        </w:tc>
        <w:tc>
          <w:tcPr>
            <w:tcW w:type="dxa" w:w="1440"/>
          </w:tcPr>
          <w:p>
            <w:pPr>
              <w:spacing w:after="20"/>
              <w:jc w:val="right"/>
            </w:pPr>
            <w:r>
              <w:rPr>
                <w:color w:val="1C3A36"/>
                <w:sz w:val="17"/>
              </w:rPr>
              <w:t>5,007</w:t>
            </w:r>
          </w:p>
        </w:tc>
        <w:tc>
          <w:tcPr>
            <w:tcW w:type="dxa" w:w="1440"/>
          </w:tcPr>
          <w:p>
            <w:pPr>
              <w:spacing w:after="20"/>
              <w:jc w:val="right"/>
            </w:pPr>
            <w:r>
              <w:rPr>
                <w:color w:val="1C3A36"/>
                <w:sz w:val="17"/>
              </w:rPr>
              <w:t>7,803</w:t>
            </w:r>
          </w:p>
        </w:tc>
      </w:tr>
      <w:tr>
        <w:tc>
          <w:tcPr>
            <w:tcW w:type="dxa" w:w="3168"/>
          </w:tcPr>
          <w:p>
            <w:pPr>
              <w:spacing w:after="20"/>
            </w:pPr>
            <w:r>
              <w:rPr>
                <w:b/>
                <w:color w:val="1C3A36"/>
                <w:sz w:val="17"/>
              </w:rPr>
              <w:t>GB Auto total revenue</w:t>
            </w:r>
          </w:p>
        </w:tc>
        <w:tc>
          <w:tcPr>
            <w:tcW w:type="dxa" w:w="1368"/>
          </w:tcPr>
          <w:p>
            <w:pPr>
              <w:spacing w:after="20"/>
              <w:jc w:val="right"/>
            </w:pPr>
            <w:r>
              <w:rPr>
                <w:color w:val="1C3A36"/>
                <w:sz w:val="17"/>
              </w:rPr>
              <w:t>—</w:t>
            </w:r>
          </w:p>
        </w:tc>
        <w:tc>
          <w:tcPr>
            <w:tcW w:type="dxa" w:w="1368"/>
          </w:tcPr>
          <w:p>
            <w:pPr>
              <w:spacing w:after="20"/>
              <w:jc w:val="right"/>
            </w:pPr>
            <w:r>
              <w:rPr>
                <w:color w:val="1C3A36"/>
                <w:sz w:val="17"/>
              </w:rPr>
              <w:t>—</w:t>
            </w:r>
          </w:p>
        </w:tc>
        <w:tc>
          <w:tcPr>
            <w:tcW w:type="dxa" w:w="1368"/>
          </w:tcPr>
          <w:p>
            <w:pPr>
              <w:spacing w:after="20"/>
              <w:jc w:val="right"/>
            </w:pPr>
            <w:r>
              <w:rPr>
                <w:color w:val="1C3A36"/>
                <w:sz w:val="17"/>
              </w:rPr>
              <w:t>66,358</w:t>
            </w:r>
          </w:p>
        </w:tc>
        <w:tc>
          <w:tcPr>
            <w:tcW w:type="dxa" w:w="1440"/>
          </w:tcPr>
          <w:p>
            <w:pPr>
              <w:spacing w:after="20"/>
              <w:jc w:val="right"/>
            </w:pPr>
            <w:r>
              <w:rPr>
                <w:color w:val="1C3A36"/>
                <w:sz w:val="17"/>
              </w:rPr>
              <w:t>79,677</w:t>
            </w:r>
          </w:p>
        </w:tc>
        <w:tc>
          <w:tcPr>
            <w:tcW w:type="dxa" w:w="1440"/>
          </w:tcPr>
          <w:p>
            <w:pPr>
              <w:spacing w:after="20"/>
              <w:jc w:val="right"/>
            </w:pPr>
            <w:r>
              <w:rPr>
                <w:color w:val="1C3A36"/>
                <w:sz w:val="17"/>
              </w:rPr>
              <w:t>145,889</w:t>
            </w:r>
          </w:p>
        </w:tc>
      </w:tr>
    </w:tbl>
    <w:p>
      <w:pPr>
        <w:spacing w:after="40"/>
      </w:pPr>
    </w:p>
    <w:p>
      <w:pPr>
        <w:spacing w:after="200" w:before="0"/>
      </w:pPr>
      <w:r>
        <w:rPr>
          <w:b w:val="0"/>
          <w:i/>
          <w:color w:val="6E7B77"/>
          <w:sz w:val="17"/>
        </w:rPr>
        <w:t>Sources: the company’s own FY2023, FY2024 and FY2025 earnings releases, segment volume and revenue tables. THE OPERATING-PROFIT LINE IS COMPUTED FROM THE ROWS ABOVE IT AND THE COMPANY’S OWN PRESENTATION CHANGED. GB Corp’s “Operating Profit” EXCLUDED provisions in its FY2023 presentation and includes them from FY2024, so the two years as reported — 3,977 and 6,177 — are not on one basis and neither sums from the rows printed above it. One basis is used across all three years here, giving 3,708 and 5,821; the company’s own FY2025 release prints the second of those in its own table. A restatement is noted beside, never substituted. A dash marks a line this TABLE does not carry for that year rather than a nil figure. The earlier delivered edition said the study’s committed record did not carry them, which was not right: the record does carry FY2023 and FY2024 segment splits and the workbook prints them. What this table shows is the base year and the forecast, because those are the years the driver build actually uses. The forecast columns are the model’s own driver path.</w:t>
      </w:r>
    </w:p>
    <w:p>
      <w:pPr>
        <w:spacing w:after="120" w:before="0"/>
      </w:pPr>
      <w:r>
        <w:rPr>
          <w:b w:val="0"/>
          <w:i w:val="0"/>
          <w:color w:val="1C3A36"/>
          <w:sz w:val="19"/>
        </w:rPr>
        <w:t>One further pair of figures the workbook carries and this document did not: the study’s own committed SCENARIO SPAN on the primary, EGP 7.91 to 73.91 per share. It is a stress on the model at once rather than one driver at a time — a gross-margin shift, the whole cost-of-capital ladder moved together, terminal growth shifted in real terms, and the marks on the lender and the associates moved with them. IT IS NOT THE ENVELOPE and sits outside it on both sides: the envelope is the range of the present-value READS, which is a different object. Both are published here rather than one in each file.</w:t>
      </w:r>
    </w:p>
    <w:p>
      <w:pPr>
        <w:spacing w:after="80" w:before="200"/>
      </w:pPr>
      <w:r>
        <w:rPr>
          <w:b/>
          <w:i w:val="0"/>
          <w:color w:val="1C3A36"/>
          <w:sz w:val="24"/>
        </w:rPr>
        <w:t>1.7  The crux: the basis of the associate mark, then cash conversion and the rate path</w:t>
      </w:r>
    </w:p>
    <w:p>
      <w:pPr>
        <w:spacing w:after="120" w:before="0"/>
      </w:pPr>
      <w:r>
        <w:rPr>
          <w:b w:val="0"/>
          <w:i w:val="0"/>
          <w:color w:val="1C3A36"/>
          <w:sz w:val="21"/>
        </w:rPr>
        <w:t>Three judgments drive this valuation, in order of size. First and by a wide margin: not what GB Corp’s MNT-Halan stake IS — the company stated it — but on what BASIS a minority interest in an unlisted company should be carried. The two the company itself publishes are EGP 15,724 mn and EGP 29,273 mn, a difference of 41.2% of the higher answer, and this study does not choose between them. What the traded price implies for that line is EGP 28,330 mn for ALL the associates together — a discount of -74.6% to the reviewed carrying value and 4.9% to the round-price read. A discount of that size to a private round is arguable; a discount of that size to a figure a reviewing accountant has signed a balance sheet on is a different claim, and it is the one the market is making. Second, where Auto working-capital intensity settles: it is modelled from is held flat at 22.6% of revenue, and because the auto leg’s free cash flow is a thin residual, where that intensity settles moves it directly — §1.9 prices the grid rather than a single point estimate. Third, the Egyptian nominal-rate path: the schedule glides from 14.58% to 11.59% against terminal growth of 7.00%, a terminal real spread of 4.59%. A fourth exposure is regional: part of passenger-car revenue is Iraq and Jordan, where conflict has already cut volumes, and this study does not hold a sourced split of that revenue for the reviewed half, so it is named as an exposure and not priced.</w:t>
      </w:r>
    </w:p>
    <w:p>
      <w:pPr>
        <w:spacing w:after="120" w:before="0"/>
      </w:pPr>
      <w:r>
        <w:rPr>
          <w:b/>
          <w:i w:val="0"/>
          <w:color w:val="1C3A36"/>
          <w:sz w:val="19"/>
        </w:rPr>
        <w:t xml:space="preserve">And the same gap asked of a different input does not look nearly so stark. </w:t>
      </w:r>
      <w:r>
        <w:rPr>
          <w:b w:val="0"/>
          <w:i w:val="0"/>
          <w:color w:val="1C3A36"/>
          <w:sz w:val="19"/>
        </w:rPr>
        <w:t>The paragraph above solves the price for the associate mark, which is the input the two branches actually differ in. Solve it instead for the auto leg’s cost of capital, holding every other line at its published value, and the traded price implies 14.95% against this study’s 14.58% on the round-price branch — 0.4 points, a stretch on a leg worth less than half the sum of the parts — but only 14.50% on the carrying-value branch, -0.1 points, which is an ordinary disagreement about the cost of capital in this market. A reader is entitled to both readings, and on the branch this study can most easily defend the market is not making an extraordinary claim at all. Neither figure is used anywhere in the valuation; both are solved from it.</w:t>
      </w:r>
    </w:p>
    <w:p>
      <w:pPr>
        <w:spacing w:after="80" w:before="200"/>
      </w:pPr>
      <w:r>
        <w:rPr>
          <w:b/>
          <w:i w:val="0"/>
          <w:color w:val="1C3A36"/>
          <w:sz w:val="24"/>
        </w:rPr>
        <w:t>1.8  Macro and country — rates, the pound, and the cost of capital</w:t>
      </w:r>
    </w:p>
    <w:p>
      <w:pPr>
        <w:spacing w:after="120" w:before="0"/>
      </w:pPr>
      <w:r>
        <w:rPr>
          <w:b w:val="0"/>
          <w:i w:val="0"/>
          <w:color w:val="1C3A36"/>
          <w:sz w:val="21"/>
        </w:rPr>
        <w:t>GB Corp is a leveraged play on Egyptian nominal normalisation. Every cut lowers GB Capital’s funding cost and compresses the discount rate this study applies. IT DOES NOT AUTOMATICALLY WIDEN THE LENDER’S SPREAD, and the delivered edition said it did: the interest-rate-risk note shows the lending book is overwhelmingly VARIABLE-rate, with only about a quarter of it fixed, so a cut passes through to the asset side as well as to the funding side. The pound sets assembly input costs and the pound value of the MNT-Halan round-price mark, so a step devaluation is the single nastiest macro scenario for both margin and multiple — AND ONLY ONE OF THOSE TWO IS IN THIS MODEL. The round-price mark is translated at the house path’s own rate and moves with it; the margin is NOT built from a cost stack that responds to the pound. It is anchored on the segment gross margin GB Corp filed for the half and carried forward, because the releases disclose gross profit BY LEG and no cost line beneath it, so there is no input this study could escalate. That is a stated limitation of the cost side rather than a claim about it, and it is why the devaluation scenario is named here and not priced on the margin. The cost-of-capital build below is produced by the house module rather than assembled by hand, and the whole schedule is published — not one rate held for ever: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3744"/>
            <w:shd w:val="clear" w:color="auto" w:fill="EAF0EE"/>
          </w:tcPr>
          <w:p>
            <w:pPr>
              <w:spacing w:after="20"/>
            </w:pPr>
            <w:r>
              <w:rPr>
                <w:b/>
                <w:color w:val="1C3A36"/>
                <w:sz w:val="17"/>
              </w:rPr>
              <w:t>Cost-of-capital build</w:t>
            </w:r>
          </w:p>
        </w:tc>
        <w:tc>
          <w:tcPr>
            <w:tcW w:type="dxa" w:w="1872"/>
            <w:shd w:val="clear" w:color="auto" w:fill="EAF0EE"/>
          </w:tcPr>
          <w:p>
            <w:pPr>
              <w:spacing w:after="20"/>
            </w:pPr>
            <w:r>
              <w:rPr>
                <w:b/>
                <w:color w:val="1C3A36"/>
                <w:sz w:val="17"/>
              </w:rPr>
              <w:t>Value</w:t>
            </w:r>
          </w:p>
        </w:tc>
        <w:tc>
          <w:tcPr>
            <w:tcW w:type="dxa" w:w="4320"/>
            <w:shd w:val="clear" w:color="auto" w:fill="EAF0EE"/>
          </w:tcPr>
          <w:p>
            <w:pPr>
              <w:spacing w:after="20"/>
            </w:pPr>
            <w:r>
              <w:rPr>
                <w:b/>
                <w:color w:val="1C3A36"/>
                <w:sz w:val="17"/>
              </w:rPr>
              <w:t>Source</w:t>
            </w:r>
          </w:p>
        </w:tc>
      </w:tr>
      <w:tr>
        <w:tc>
          <w:tcPr>
            <w:tcW w:type="dxa" w:w="3744"/>
          </w:tcPr>
          <w:p>
            <w:pPr>
              <w:spacing w:after="20"/>
            </w:pPr>
            <w:r>
              <w:rPr>
                <w:b/>
                <w:color w:val="1C3A36"/>
                <w:sz w:val="17"/>
              </w:rPr>
              <w:t>Observed risk-free rate</w:t>
            </w:r>
          </w:p>
        </w:tc>
        <w:tc>
          <w:tcPr>
            <w:tcW w:type="dxa" w:w="1872"/>
          </w:tcPr>
          <w:p>
            <w:pPr>
              <w:spacing w:after="20"/>
              <w:jc w:val="right"/>
            </w:pPr>
            <w:r>
              <w:rPr>
                <w:color w:val="1C3A36"/>
                <w:sz w:val="17"/>
              </w:rPr>
              <w:t>23.00%</w:t>
            </w:r>
          </w:p>
        </w:tc>
        <w:tc>
          <w:tcPr>
            <w:tcW w:type="dxa" w:w="4320"/>
          </w:tcPr>
          <w:p>
            <w:pPr>
              <w:spacing w:after="20"/>
              <w:jc w:val="right"/>
            </w:pPr>
            <w:r>
              <w:rPr>
                <w:color w:val="1C3A36"/>
                <w:sz w:val="17"/>
              </w:rPr>
              <w:t>Egypt 10-year local-currency government bond yield, house macro path</w:t>
            </w:r>
          </w:p>
        </w:tc>
      </w:tr>
      <w:tr>
        <w:tc>
          <w:tcPr>
            <w:tcW w:type="dxa" w:w="3744"/>
          </w:tcPr>
          <w:p>
            <w:pPr>
              <w:spacing w:after="20"/>
            </w:pPr>
            <w:r>
              <w:rPr>
                <w:b/>
                <w:color w:val="1C3A36"/>
                <w:sz w:val="17"/>
              </w:rPr>
              <w:t>less: Egypt’s own sovereign default spread</w:t>
            </w:r>
          </w:p>
        </w:tc>
        <w:tc>
          <w:tcPr>
            <w:tcW w:type="dxa" w:w="1872"/>
          </w:tcPr>
          <w:p>
            <w:pPr>
              <w:spacing w:after="20"/>
              <w:jc w:val="right"/>
            </w:pPr>
            <w:r>
              <w:rPr>
                <w:color w:val="1C3A36"/>
                <w:sz w:val="17"/>
              </w:rPr>
              <w:t>3.41%</w:t>
            </w:r>
          </w:p>
        </w:tc>
        <w:tc>
          <w:tcPr>
            <w:tcW w:type="dxa" w:w="4320"/>
          </w:tcPr>
          <w:p>
            <w:pPr>
              <w:spacing w:after="20"/>
              <w:jc w:val="right"/>
            </w:pPr>
            <w:r>
              <w:rPr>
                <w:color w:val="1C3A36"/>
                <w:sz w:val="17"/>
              </w:rPr>
              <w:t>so country risk is counted exactly once, inside the premium below</w:t>
            </w:r>
          </w:p>
        </w:tc>
      </w:tr>
      <w:tr>
        <w:tc>
          <w:tcPr>
            <w:tcW w:type="dxa" w:w="3744"/>
          </w:tcPr>
          <w:p>
            <w:pPr>
              <w:spacing w:after="20"/>
            </w:pPr>
            <w:r>
              <w:rPr>
                <w:b/>
                <w:color w:val="1C3A36"/>
                <w:sz w:val="17"/>
              </w:rPr>
              <w:t>Normalised risk-free rate</w:t>
            </w:r>
          </w:p>
        </w:tc>
        <w:tc>
          <w:tcPr>
            <w:tcW w:type="dxa" w:w="1872"/>
          </w:tcPr>
          <w:p>
            <w:pPr>
              <w:spacing w:after="20"/>
              <w:jc w:val="right"/>
            </w:pPr>
            <w:r>
              <w:rPr>
                <w:color w:val="1C3A36"/>
                <w:sz w:val="17"/>
              </w:rPr>
              <w:t>19.59%</w:t>
            </w:r>
          </w:p>
        </w:tc>
        <w:tc>
          <w:tcPr>
            <w:tcW w:type="dxa" w:w="4320"/>
          </w:tcPr>
          <w:p>
            <w:pPr>
              <w:spacing w:after="20"/>
              <w:jc w:val="right"/>
            </w:pPr>
            <w:r>
              <w:rPr>
                <w:color w:val="1C3A36"/>
                <w:sz w:val="17"/>
              </w:rPr>
              <w:t>the difference of the two rows above</w:t>
            </w:r>
          </w:p>
        </w:tc>
      </w:tr>
      <w:tr>
        <w:tc>
          <w:tcPr>
            <w:tcW w:type="dxa" w:w="3744"/>
          </w:tcPr>
          <w:p>
            <w:pPr>
              <w:spacing w:after="20"/>
            </w:pPr>
            <w:r>
              <w:rPr>
                <w:b/>
                <w:color w:val="1C3A36"/>
                <w:sz w:val="17"/>
              </w:rPr>
              <w:t>Equity beta</w:t>
            </w:r>
          </w:p>
        </w:tc>
        <w:tc>
          <w:tcPr>
            <w:tcW w:type="dxa" w:w="1872"/>
          </w:tcPr>
          <w:p>
            <w:pPr>
              <w:spacing w:after="20"/>
              <w:jc w:val="right"/>
            </w:pPr>
            <w:r>
              <w:rPr>
                <w:color w:val="1C3A36"/>
                <w:sz w:val="17"/>
              </w:rPr>
              <w:t>0.8907</w:t>
            </w:r>
          </w:p>
        </w:tc>
        <w:tc>
          <w:tcPr>
            <w:tcW w:type="dxa" w:w="4320"/>
          </w:tcPr>
          <w:p>
            <w:pPr>
              <w:spacing w:after="20"/>
              <w:jc w:val="right"/>
            </w:pPr>
            <w:r>
              <w:rPr>
                <w:color w:val="1C3A36"/>
                <w:sz w:val="17"/>
              </w:rPr>
              <w:t>own-stock weekly regression against the published EGX30 index</w:t>
            </w:r>
          </w:p>
        </w:tc>
      </w:tr>
      <w:tr>
        <w:tc>
          <w:tcPr>
            <w:tcW w:type="dxa" w:w="3744"/>
          </w:tcPr>
          <w:p>
            <w:pPr>
              <w:spacing w:after="20"/>
            </w:pPr>
            <w:r>
              <w:rPr>
                <w:b/>
                <w:color w:val="1C3A36"/>
                <w:sz w:val="17"/>
              </w:rPr>
              <w:t>Equity risk premium (market basis, adopted)</w:t>
            </w:r>
          </w:p>
        </w:tc>
        <w:tc>
          <w:tcPr>
            <w:tcW w:type="dxa" w:w="1872"/>
          </w:tcPr>
          <w:p>
            <w:pPr>
              <w:spacing w:after="20"/>
              <w:jc w:val="right"/>
            </w:pPr>
            <w:r>
              <w:rPr>
                <w:color w:val="1C3A36"/>
                <w:sz w:val="17"/>
              </w:rPr>
              <w:t>9.41%</w:t>
            </w:r>
          </w:p>
        </w:tc>
        <w:tc>
          <w:tcPr>
            <w:tcW w:type="dxa" w:w="4320"/>
          </w:tcPr>
          <w:p>
            <w:pPr>
              <w:spacing w:after="20"/>
              <w:jc w:val="right"/>
            </w:pPr>
            <w:r>
              <w:rPr>
                <w:color w:val="1C3A36"/>
                <w:sz w:val="17"/>
              </w:rPr>
              <w:t>the sovereign’s own row, read for this country</w:t>
            </w:r>
          </w:p>
        </w:tc>
      </w:tr>
      <w:tr>
        <w:tc>
          <w:tcPr>
            <w:tcW w:type="dxa" w:w="3744"/>
          </w:tcPr>
          <w:p>
            <w:pPr>
              <w:spacing w:after="20"/>
            </w:pPr>
            <w:r>
              <w:rPr>
                <w:b/>
                <w:color w:val="1C3A36"/>
                <w:sz w:val="17"/>
              </w:rPr>
              <w:t>Equity risk premium (rating basis, alternative)</w:t>
            </w:r>
          </w:p>
        </w:tc>
        <w:tc>
          <w:tcPr>
            <w:tcW w:type="dxa" w:w="1872"/>
          </w:tcPr>
          <w:p>
            <w:pPr>
              <w:spacing w:after="20"/>
              <w:jc w:val="right"/>
            </w:pPr>
            <w:r>
              <w:rPr>
                <w:color w:val="1C3A36"/>
                <w:sz w:val="17"/>
              </w:rPr>
              <w:t>13.94%</w:t>
            </w:r>
          </w:p>
        </w:tc>
        <w:tc>
          <w:tcPr>
            <w:tcW w:type="dxa" w:w="4320"/>
          </w:tcPr>
          <w:p>
            <w:pPr>
              <w:spacing w:after="20"/>
              <w:jc w:val="right"/>
            </w:pPr>
            <w:r>
              <w:rPr>
                <w:color w:val="1C3A36"/>
                <w:sz w:val="17"/>
              </w:rPr>
              <w:t>same source, rating-based column; published beside the adopted basis</w:t>
            </w:r>
          </w:p>
        </w:tc>
      </w:tr>
      <w:tr>
        <w:tc>
          <w:tcPr>
            <w:tcW w:type="dxa" w:w="3744"/>
          </w:tcPr>
          <w:p>
            <w:pPr>
              <w:spacing w:after="20"/>
            </w:pPr>
            <w:r>
              <w:rPr>
                <w:b/>
                <w:color w:val="1C3A36"/>
                <w:sz w:val="17"/>
              </w:rPr>
              <w:t>Cost of equity, explicit window</w:t>
            </w:r>
          </w:p>
        </w:tc>
        <w:tc>
          <w:tcPr>
            <w:tcW w:type="dxa" w:w="1872"/>
          </w:tcPr>
          <w:p>
            <w:pPr>
              <w:spacing w:after="20"/>
              <w:jc w:val="right"/>
            </w:pPr>
            <w:r>
              <w:rPr>
                <w:color w:val="1C3A36"/>
                <w:sz w:val="17"/>
              </w:rPr>
              <w:t>27.97%</w:t>
            </w:r>
          </w:p>
        </w:tc>
        <w:tc>
          <w:tcPr>
            <w:tcW w:type="dxa" w:w="4320"/>
          </w:tcPr>
          <w:p>
            <w:pPr>
              <w:spacing w:after="20"/>
              <w:jc w:val="right"/>
            </w:pPr>
            <w:r>
              <w:rPr>
                <w:color w:val="1C3A36"/>
                <w:sz w:val="17"/>
              </w:rPr>
              <w:t>reproduces from the normalised rate plus beta times the premium; 29.05% on the rating basis</w:t>
            </w:r>
          </w:p>
        </w:tc>
      </w:tr>
      <w:tr>
        <w:tc>
          <w:tcPr>
            <w:tcW w:type="dxa" w:w="3744"/>
          </w:tcPr>
          <w:p>
            <w:pPr>
              <w:spacing w:after="20"/>
            </w:pPr>
            <w:r>
              <w:rPr>
                <w:b/>
                <w:color w:val="1C3A36"/>
                <w:sz w:val="17"/>
              </w:rPr>
              <w:t>Cost of equity, terminal</w:t>
            </w:r>
          </w:p>
        </w:tc>
        <w:tc>
          <w:tcPr>
            <w:tcW w:type="dxa" w:w="1872"/>
          </w:tcPr>
          <w:p>
            <w:pPr>
              <w:spacing w:after="20"/>
              <w:jc w:val="right"/>
            </w:pPr>
            <w:r>
              <w:rPr>
                <w:color w:val="1C3A36"/>
                <w:sz w:val="17"/>
              </w:rPr>
              <w:t>18.73%</w:t>
            </w:r>
          </w:p>
        </w:tc>
        <w:tc>
          <w:tcPr>
            <w:tcW w:type="dxa" w:w="4320"/>
          </w:tcPr>
          <w:p>
            <w:pPr>
              <w:spacing w:after="20"/>
              <w:jc w:val="right"/>
            </w:pPr>
            <w:r>
              <w:rPr>
                <w:color w:val="1C3A36"/>
                <w:sz w:val="17"/>
              </w:rPr>
              <w:t>the rate the lender’s residual income is capitalised at in §1.1</w:t>
            </w:r>
          </w:p>
        </w:tc>
      </w:tr>
      <w:tr>
        <w:tc>
          <w:tcPr>
            <w:tcW w:type="dxa" w:w="3744"/>
          </w:tcPr>
          <w:p>
            <w:pPr>
              <w:spacing w:after="20"/>
            </w:pPr>
            <w:r>
              <w:rPr>
                <w:b/>
                <w:color w:val="1C3A36"/>
                <w:sz w:val="17"/>
              </w:rPr>
              <w:t>Pre-tax cost of debt</w:t>
            </w:r>
          </w:p>
        </w:tc>
        <w:tc>
          <w:tcPr>
            <w:tcW w:type="dxa" w:w="1872"/>
          </w:tcPr>
          <w:p>
            <w:pPr>
              <w:spacing w:after="20"/>
              <w:jc w:val="right"/>
            </w:pPr>
            <w:r>
              <w:rPr>
                <w:color w:val="1C3A36"/>
                <w:sz w:val="17"/>
              </w:rPr>
              <w:t>18.20%</w:t>
            </w:r>
          </w:p>
        </w:tc>
        <w:tc>
          <w:tcPr>
            <w:tcW w:type="dxa" w:w="4320"/>
          </w:tcPr>
          <w:p>
            <w:pPr>
              <w:spacing w:after="20"/>
              <w:jc w:val="right"/>
            </w:pPr>
            <w:r>
              <w:rPr>
                <w:color w:val="1C3A36"/>
                <w:sz w:val="17"/>
              </w:rPr>
              <w:t>the company’s own effective borrowing rate, computed on the borrowings that actually bear the interest</w:t>
            </w:r>
          </w:p>
        </w:tc>
      </w:tr>
      <w:tr>
        <w:tc>
          <w:tcPr>
            <w:tcW w:type="dxa" w:w="3744"/>
          </w:tcPr>
          <w:p>
            <w:pPr>
              <w:spacing w:after="20"/>
            </w:pPr>
            <w:r>
              <w:rPr>
                <w:b/>
                <w:color w:val="1C3A36"/>
                <w:sz w:val="17"/>
              </w:rPr>
              <w:t>After-tax cost of debt</w:t>
            </w:r>
          </w:p>
        </w:tc>
        <w:tc>
          <w:tcPr>
            <w:tcW w:type="dxa" w:w="1872"/>
          </w:tcPr>
          <w:p>
            <w:pPr>
              <w:spacing w:after="20"/>
              <w:jc w:val="right"/>
            </w:pPr>
            <w:r>
              <w:rPr>
                <w:color w:val="1C3A36"/>
                <w:sz w:val="17"/>
              </w:rPr>
              <w:t>13.11%</w:t>
            </w:r>
          </w:p>
        </w:tc>
        <w:tc>
          <w:tcPr>
            <w:tcW w:type="dxa" w:w="4320"/>
          </w:tcPr>
          <w:p>
            <w:pPr>
              <w:spacing w:after="20"/>
              <w:jc w:val="right"/>
            </w:pPr>
            <w:r>
              <w:rPr>
                <w:color w:val="1C3A36"/>
                <w:sz w:val="17"/>
              </w:rPr>
              <w:t>86.1% of the book is local-currency on the split DERIVED from note 26's two disclosed rates; the dollar tranche is measured at the rate actually paid, and carrying it at its LOCAL-EQUIVALENT cost instead is priced in §1.8 and registered rather than applied</w:t>
            </w:r>
          </w:p>
        </w:tc>
      </w:tr>
      <w:tr>
        <w:tc>
          <w:tcPr>
            <w:tcW w:type="dxa" w:w="3744"/>
          </w:tcPr>
          <w:p>
            <w:pPr>
              <w:spacing w:after="20"/>
            </w:pPr>
            <w:r>
              <w:rPr>
                <w:b/>
                <w:color w:val="1C3A36"/>
                <w:sz w:val="17"/>
              </w:rPr>
              <w:t>Weights (equity / debt)</w:t>
            </w:r>
          </w:p>
        </w:tc>
        <w:tc>
          <w:tcPr>
            <w:tcW w:type="dxa" w:w="1872"/>
          </w:tcPr>
          <w:p>
            <w:pPr>
              <w:spacing w:after="20"/>
              <w:jc w:val="right"/>
            </w:pPr>
            <w:r>
              <w:rPr>
                <w:color w:val="1C3A36"/>
                <w:sz w:val="17"/>
              </w:rPr>
              <w:t>9.9% / 90.1%</w:t>
            </w:r>
          </w:p>
        </w:tc>
        <w:tc>
          <w:tcPr>
            <w:tcW w:type="dxa" w:w="4320"/>
          </w:tcPr>
          <w:p>
            <w:pPr>
              <w:spacing w:after="20"/>
              <w:jc w:val="right"/>
            </w:pPr>
            <w:r>
              <w:rPr>
                <w:color w:val="1C3A36"/>
                <w:sz w:val="17"/>
              </w:rPr>
              <w:t>market capitalisation against disclosed borrowings</w:t>
            </w:r>
          </w:p>
        </w:tc>
      </w:tr>
      <w:tr>
        <w:tc>
          <w:tcPr>
            <w:tcW w:type="dxa" w:w="3744"/>
          </w:tcPr>
          <w:p>
            <w:pPr>
              <w:spacing w:after="20"/>
            </w:pPr>
            <w:r>
              <w:rPr>
                <w:b/>
                <w:color w:val="1C3A36"/>
                <w:sz w:val="17"/>
              </w:rPr>
              <w:t>Weighted cost of capital, first forecast year</w:t>
            </w:r>
          </w:p>
        </w:tc>
        <w:tc>
          <w:tcPr>
            <w:tcW w:type="dxa" w:w="1872"/>
          </w:tcPr>
          <w:p>
            <w:pPr>
              <w:spacing w:after="20"/>
              <w:jc w:val="right"/>
            </w:pPr>
            <w:r>
              <w:rPr>
                <w:color w:val="1C3A36"/>
                <w:sz w:val="17"/>
              </w:rPr>
              <w:t>14.58%</w:t>
            </w:r>
          </w:p>
        </w:tc>
        <w:tc>
          <w:tcPr>
            <w:tcW w:type="dxa" w:w="4320"/>
          </w:tcPr>
          <w:p>
            <w:pPr>
              <w:spacing w:after="20"/>
              <w:jc w:val="right"/>
            </w:pPr>
            <w:r>
              <w:rPr>
                <w:color w:val="1C3A36"/>
                <w:sz w:val="17"/>
              </w:rPr>
              <w:t>14.69% on the rating-based alternative</w:t>
            </w:r>
          </w:p>
        </w:tc>
      </w:tr>
      <w:tr>
        <w:tc>
          <w:tcPr>
            <w:tcW w:type="dxa" w:w="3744"/>
          </w:tcPr>
          <w:p>
            <w:pPr>
              <w:spacing w:after="20"/>
            </w:pPr>
            <w:r>
              <w:rPr>
                <w:b/>
                <w:color w:val="1C3A36"/>
                <w:sz w:val="17"/>
              </w:rPr>
              <w:t>Weighted cost of capital, terminal</w:t>
            </w:r>
          </w:p>
        </w:tc>
        <w:tc>
          <w:tcPr>
            <w:tcW w:type="dxa" w:w="1872"/>
          </w:tcPr>
          <w:p>
            <w:pPr>
              <w:spacing w:after="20"/>
              <w:jc w:val="right"/>
            </w:pPr>
            <w:r>
              <w:rPr>
                <w:color w:val="1C3A36"/>
                <w:sz w:val="17"/>
              </w:rPr>
              <w:t>11.59%</w:t>
            </w:r>
          </w:p>
        </w:tc>
        <w:tc>
          <w:tcPr>
            <w:tcW w:type="dxa" w:w="4320"/>
          </w:tcPr>
          <w:p>
            <w:pPr>
              <w:spacing w:after="20"/>
              <w:jc w:val="right"/>
            </w:pPr>
            <w:r>
              <w:rPr>
                <w:color w:val="1C3A36"/>
                <w:sz w:val="17"/>
              </w:rPr>
              <w:t>norm-built, reached by a glide inherited from the policy-rate path</w:t>
            </w:r>
          </w:p>
        </w:tc>
      </w:tr>
      <w:tr>
        <w:tc>
          <w:tcPr>
            <w:tcW w:type="dxa" w:w="3744"/>
          </w:tcPr>
          <w:p>
            <w:pPr>
              <w:spacing w:after="20"/>
            </w:pPr>
            <w:r>
              <w:rPr>
                <w:b/>
                <w:color w:val="1C3A36"/>
                <w:sz w:val="17"/>
              </w:rPr>
              <w:t>Terminal growth (real, then nominal)</w:t>
            </w:r>
          </w:p>
        </w:tc>
        <w:tc>
          <w:tcPr>
            <w:tcW w:type="dxa" w:w="1872"/>
          </w:tcPr>
          <w:p>
            <w:pPr>
              <w:spacing w:after="20"/>
              <w:jc w:val="right"/>
            </w:pPr>
            <w:r>
              <w:rPr>
                <w:color w:val="1C3A36"/>
                <w:sz w:val="17"/>
              </w:rPr>
              <w:t>0.0% → 7.00%</w:t>
            </w:r>
          </w:p>
        </w:tc>
        <w:tc>
          <w:tcPr>
            <w:tcW w:type="dxa" w:w="4320"/>
          </w:tcPr>
          <w:p>
            <w:pPr>
              <w:spacing w:after="20"/>
              <w:jc w:val="right"/>
            </w:pPr>
            <w:r>
              <w:rPr>
                <w:color w:val="1C3A36"/>
                <w:sz w:val="17"/>
              </w:rPr>
              <w:t>stored as a real rate on the house inflation path and recomputed; never typed as a nominal figure</w:t>
            </w:r>
          </w:p>
        </w:tc>
      </w:tr>
    </w:tbl>
    <w:p>
      <w:pPr>
        <w:spacing w:after="40"/>
      </w:pPr>
    </w:p>
    <w:p>
      <w:pPr>
        <w:spacing w:after="120" w:before="0"/>
      </w:pPr>
      <w:r>
        <w:rPr>
          <w:b w:val="0"/>
          <w:i w:val="0"/>
          <w:color w:val="1C3A36"/>
          <w:sz w:val="19"/>
        </w:rPr>
        <w:t>Three honesty notes on this build. First, the beta is the stock’s own regression against the published index of the exchange it is listed on — 0.8907, on weekly observations over nearly five years, clearing the minimum sample, explanatory power and precision required before a regression beta may be used at all — and it replaces an assumed unit beta the superseded edition carried because an earlier attempt on five annual observations was unusable. Second, the country risk enters exactly once: the observed local yield is reduced by this sovereign’s own default spread and the premium added back carries the country risk, rather than the raw yield being combined with a country-loaded premium. Third, both premium bases are published and the market basis is named as the adopted one; the rating basis is shown beside it rather than averaged into it. Fourth, and it belongs here because a refusal can still leave a charge behind: the terminal spends 3.42 times its own book depreciation on capital expenditure — EGP 5,493 mn against 1,605 mn. A company replacing its base over the 10.9-to-17.1-year composite the filings support would spend about book depreciation grossed for cost inflation, so this terminal charges ABOVE replacement rather than below it. That is the one direction the inference runs without a sourced life, and it is the conservative one. And the beta’s own uncertainty is priced on the regression’s OWN standard error of 0.2041 rather than against a unit beta: one standard error either side is 0.6866 to 1.0947, which is a wider exposure than the distance to 1.0 and is the honest way to state it.</w:t>
      </w:r>
    </w:p>
    <w:p>
      <w:pPr>
        <w:spacing w:after="120" w:before="0"/>
      </w:pPr>
      <w:r>
        <w:rPr>
          <w:b w:val="0"/>
          <w:i/>
          <w:color w:val="6E7B77"/>
          <w:sz w:val="18"/>
        </w:rPr>
        <w:t>Disclosed staleness of the macro anchors: The house Egyptian path's sovereign quote and currency spot are both anchored 2026-08-06 and this study is struck against the latest known price, 2026-09-03 — 28 days later. Refreshing a house macro path is a house-level act rather than a step of one name's rebuild, so the staleness is DISCLOSED and deliberately accepted rather than switched off, exactly as this house already treats a deliberately-accepted stale sovereign quote.</w:t>
      </w:r>
    </w:p>
    <w:p>
      <w:pPr>
        <w:spacing w:after="80" w:before="200"/>
      </w:pPr>
      <w:r>
        <w:rPr>
          <w:b/>
          <w:i w:val="0"/>
          <w:color w:val="1C3A36"/>
          <w:sz w:val="24"/>
        </w:rPr>
        <w:t>1.9  Sensitivity — the mark, the rate path, and terminal growth</w:t>
      </w:r>
    </w:p>
    <w:p>
      <w:pPr>
        <w:spacing w:after="120" w:before="0"/>
      </w:pPr>
      <w:r>
        <w:rPr>
          <w:b w:val="0"/>
          <w:i w:val="0"/>
          <w:color w:val="1C3A36"/>
          <w:sz w:val="21"/>
        </w:rPr>
        <w:t>The crux is priced first, and on its own axes. The grid below re-prices the whole sum of the parts across the two things this study cannot settle from the filings: what MNT-Halan is worth, and what the auto leg’s operations should be discounted at. Every other line is held exactly where it is published. There is no complexity-discount axis, because this study applies no complexity discount — the uncertainty that a discount used to stand in for is the vertical axis of this grid.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384"/>
            <w:shd w:val="clear" w:color="auto" w:fill="EAF0EE"/>
          </w:tcPr>
          <w:p>
            <w:pPr>
              <w:spacing w:after="20"/>
            </w:pPr>
            <w:r>
              <w:rPr>
                <w:b/>
                <w:color w:val="1C3A36"/>
                <w:sz w:val="17"/>
              </w:rPr>
              <w:t>MNT-Halan mark (EGP mn) \ first-year cost of capital</w:t>
            </w:r>
          </w:p>
        </w:tc>
        <w:tc>
          <w:tcPr>
            <w:tcW w:type="dxa" w:w="1224"/>
            <w:shd w:val="clear" w:color="auto" w:fill="EAF0EE"/>
          </w:tcPr>
          <w:p>
            <w:pPr>
              <w:spacing w:after="20"/>
            </w:pPr>
            <w:r>
              <w:rPr>
                <w:b/>
                <w:color w:val="1C3A36"/>
                <w:sz w:val="17"/>
              </w:rPr>
              <w:t>12.6%</w:t>
            </w:r>
          </w:p>
        </w:tc>
        <w:tc>
          <w:tcPr>
            <w:tcW w:type="dxa" w:w="1224"/>
            <w:shd w:val="clear" w:color="auto" w:fill="EAF0EE"/>
          </w:tcPr>
          <w:p>
            <w:pPr>
              <w:spacing w:after="20"/>
            </w:pPr>
            <w:r>
              <w:rPr>
                <w:b/>
                <w:color w:val="1C3A36"/>
                <w:sz w:val="17"/>
              </w:rPr>
              <w:t>13.6%</w:t>
            </w:r>
          </w:p>
        </w:tc>
        <w:tc>
          <w:tcPr>
            <w:tcW w:type="dxa" w:w="1224"/>
            <w:shd w:val="clear" w:color="auto" w:fill="EAF0EE"/>
          </w:tcPr>
          <w:p>
            <w:pPr>
              <w:spacing w:after="20"/>
            </w:pPr>
            <w:r>
              <w:rPr>
                <w:b/>
                <w:color w:val="1C3A36"/>
                <w:sz w:val="17"/>
              </w:rPr>
              <w:t>14.6%</w:t>
            </w:r>
          </w:p>
        </w:tc>
        <w:tc>
          <w:tcPr>
            <w:tcW w:type="dxa" w:w="1224"/>
            <w:shd w:val="clear" w:color="auto" w:fill="EAF0EE"/>
          </w:tcPr>
          <w:p>
            <w:pPr>
              <w:spacing w:after="20"/>
            </w:pPr>
            <w:r>
              <w:rPr>
                <w:b/>
                <w:color w:val="1C3A36"/>
                <w:sz w:val="17"/>
              </w:rPr>
              <w:t>15.6%</w:t>
            </w:r>
          </w:p>
        </w:tc>
        <w:tc>
          <w:tcPr>
            <w:tcW w:type="dxa" w:w="1224"/>
            <w:shd w:val="clear" w:color="auto" w:fill="EAF0EE"/>
          </w:tcPr>
          <w:p>
            <w:pPr>
              <w:spacing w:after="20"/>
            </w:pPr>
            <w:r>
              <w:rPr>
                <w:b/>
                <w:color w:val="1C3A36"/>
                <w:sz w:val="17"/>
              </w:rPr>
              <w:t>16.6%</w:t>
            </w:r>
          </w:p>
        </w:tc>
      </w:tr>
      <w:tr>
        <w:tc>
          <w:tcPr>
            <w:tcW w:type="dxa" w:w="3384"/>
          </w:tcPr>
          <w:p>
            <w:pPr>
              <w:spacing w:after="20"/>
            </w:pPr>
            <w:r>
              <w:rPr>
                <w:b/>
                <w:color w:val="1C3A36"/>
                <w:sz w:val="17"/>
              </w:rPr>
              <w:t>7,318</w:t>
            </w:r>
          </w:p>
        </w:tc>
        <w:tc>
          <w:tcPr>
            <w:tcW w:type="dxa" w:w="1224"/>
          </w:tcPr>
          <w:p>
            <w:pPr>
              <w:spacing w:after="20"/>
              <w:jc w:val="right"/>
            </w:pPr>
            <w:r>
              <w:rPr>
                <w:color w:val="1C3A36"/>
                <w:sz w:val="17"/>
              </w:rPr>
              <w:t>n.m.</w:t>
            </w:r>
          </w:p>
        </w:tc>
        <w:tc>
          <w:tcPr>
            <w:tcW w:type="dxa" w:w="1224"/>
          </w:tcPr>
          <w:p>
            <w:pPr>
              <w:spacing w:after="20"/>
              <w:jc w:val="right"/>
            </w:pPr>
            <w:r>
              <w:rPr>
                <w:color w:val="1C3A36"/>
                <w:sz w:val="17"/>
              </w:rPr>
              <w:t>n.m.</w:t>
            </w:r>
          </w:p>
        </w:tc>
        <w:tc>
          <w:tcPr>
            <w:tcW w:type="dxa" w:w="1224"/>
          </w:tcPr>
          <w:p>
            <w:pPr>
              <w:spacing w:after="20"/>
              <w:jc w:val="right"/>
            </w:pPr>
            <w:r>
              <w:rPr>
                <w:color w:val="1C3A36"/>
                <w:sz w:val="17"/>
              </w:rPr>
              <w:t>10.1</w:t>
            </w:r>
          </w:p>
        </w:tc>
        <w:tc>
          <w:tcPr>
            <w:tcW w:type="dxa" w:w="1224"/>
          </w:tcPr>
          <w:p>
            <w:pPr>
              <w:spacing w:after="20"/>
              <w:jc w:val="right"/>
            </w:pPr>
            <w:r>
              <w:rPr>
                <w:color w:val="1C3A36"/>
                <w:sz w:val="17"/>
              </w:rPr>
              <w:t>6.9</w:t>
            </w:r>
          </w:p>
        </w:tc>
        <w:tc>
          <w:tcPr>
            <w:tcW w:type="dxa" w:w="1224"/>
          </w:tcPr>
          <w:p>
            <w:pPr>
              <w:spacing w:after="20"/>
              <w:jc w:val="right"/>
            </w:pPr>
            <w:r>
              <w:rPr>
                <w:color w:val="1C3A36"/>
                <w:sz w:val="17"/>
              </w:rPr>
              <w:t>4.7</w:t>
            </w:r>
          </w:p>
        </w:tc>
      </w:tr>
      <w:tr>
        <w:tc>
          <w:tcPr>
            <w:tcW w:type="dxa" w:w="3384"/>
          </w:tcPr>
          <w:p>
            <w:pPr>
              <w:spacing w:after="20"/>
            </w:pPr>
            <w:r>
              <w:rPr>
                <w:b/>
                <w:color w:val="1C3A36"/>
                <w:sz w:val="17"/>
              </w:rPr>
              <w:t>14,636</w:t>
            </w:r>
          </w:p>
        </w:tc>
        <w:tc>
          <w:tcPr>
            <w:tcW w:type="dxa" w:w="1224"/>
          </w:tcPr>
          <w:p>
            <w:pPr>
              <w:spacing w:after="20"/>
              <w:jc w:val="right"/>
            </w:pPr>
            <w:r>
              <w:rPr>
                <w:color w:val="1C3A36"/>
                <w:sz w:val="17"/>
              </w:rPr>
              <w:t>n.m.</w:t>
            </w:r>
          </w:p>
        </w:tc>
        <w:tc>
          <w:tcPr>
            <w:tcW w:type="dxa" w:w="1224"/>
          </w:tcPr>
          <w:p>
            <w:pPr>
              <w:spacing w:after="20"/>
              <w:jc w:val="right"/>
            </w:pPr>
            <w:r>
              <w:rPr>
                <w:color w:val="1C3A36"/>
                <w:sz w:val="17"/>
              </w:rPr>
              <w:t>n.m.</w:t>
            </w:r>
          </w:p>
        </w:tc>
        <w:tc>
          <w:tcPr>
            <w:tcW w:type="dxa" w:w="1224"/>
          </w:tcPr>
          <w:p>
            <w:pPr>
              <w:spacing w:after="20"/>
              <w:jc w:val="right"/>
            </w:pPr>
            <w:r>
              <w:rPr>
                <w:color w:val="1C3A36"/>
                <w:sz w:val="17"/>
              </w:rPr>
              <w:t>16.8</w:t>
            </w:r>
          </w:p>
        </w:tc>
        <w:tc>
          <w:tcPr>
            <w:tcW w:type="dxa" w:w="1224"/>
          </w:tcPr>
          <w:p>
            <w:pPr>
              <w:spacing w:after="20"/>
              <w:jc w:val="right"/>
            </w:pPr>
            <w:r>
              <w:rPr>
                <w:color w:val="1C3A36"/>
                <w:sz w:val="17"/>
              </w:rPr>
              <w:t>13.6</w:t>
            </w:r>
          </w:p>
        </w:tc>
        <w:tc>
          <w:tcPr>
            <w:tcW w:type="dxa" w:w="1224"/>
          </w:tcPr>
          <w:p>
            <w:pPr>
              <w:spacing w:after="20"/>
              <w:jc w:val="right"/>
            </w:pPr>
            <w:r>
              <w:rPr>
                <w:color w:val="1C3A36"/>
                <w:sz w:val="17"/>
              </w:rPr>
              <w:t>11.4</w:t>
            </w:r>
          </w:p>
        </w:tc>
      </w:tr>
      <w:tr>
        <w:tc>
          <w:tcPr>
            <w:tcW w:type="dxa" w:w="3384"/>
          </w:tcPr>
          <w:p>
            <w:pPr>
              <w:spacing w:after="20"/>
            </w:pPr>
            <w:r>
              <w:rPr>
                <w:b/>
                <w:color w:val="1C3A36"/>
                <w:sz w:val="17"/>
              </w:rPr>
              <w:t>15,724  ‡</w:t>
            </w:r>
          </w:p>
        </w:tc>
        <w:tc>
          <w:tcPr>
            <w:tcW w:type="dxa" w:w="1224"/>
          </w:tcPr>
          <w:p>
            <w:pPr>
              <w:spacing w:after="20"/>
              <w:jc w:val="right"/>
            </w:pPr>
            <w:r>
              <w:rPr>
                <w:color w:val="1C3A36"/>
                <w:sz w:val="17"/>
              </w:rPr>
              <w:t>n.m.</w:t>
            </w:r>
          </w:p>
        </w:tc>
        <w:tc>
          <w:tcPr>
            <w:tcW w:type="dxa" w:w="1224"/>
          </w:tcPr>
          <w:p>
            <w:pPr>
              <w:spacing w:after="20"/>
              <w:jc w:val="right"/>
            </w:pPr>
            <w:r>
              <w:rPr>
                <w:color w:val="1C3A36"/>
                <w:sz w:val="17"/>
              </w:rPr>
              <w:t>n.m.</w:t>
            </w:r>
          </w:p>
        </w:tc>
        <w:tc>
          <w:tcPr>
            <w:tcW w:type="dxa" w:w="1224"/>
          </w:tcPr>
          <w:p>
            <w:pPr>
              <w:spacing w:after="20"/>
              <w:jc w:val="right"/>
            </w:pPr>
            <w:r>
              <w:rPr>
                <w:color w:val="1C3A36"/>
                <w:sz w:val="17"/>
              </w:rPr>
              <w:t>17.8</w:t>
            </w:r>
          </w:p>
        </w:tc>
        <w:tc>
          <w:tcPr>
            <w:tcW w:type="dxa" w:w="1224"/>
          </w:tcPr>
          <w:p>
            <w:pPr>
              <w:spacing w:after="20"/>
              <w:jc w:val="right"/>
            </w:pPr>
            <w:r>
              <w:rPr>
                <w:color w:val="1C3A36"/>
                <w:sz w:val="17"/>
              </w:rPr>
              <w:t>14.6</w:t>
            </w:r>
          </w:p>
        </w:tc>
        <w:tc>
          <w:tcPr>
            <w:tcW w:type="dxa" w:w="1224"/>
          </w:tcPr>
          <w:p>
            <w:pPr>
              <w:spacing w:after="20"/>
              <w:jc w:val="right"/>
            </w:pPr>
            <w:r>
              <w:rPr>
                <w:color w:val="1C3A36"/>
                <w:sz w:val="17"/>
              </w:rPr>
              <w:t>12.4</w:t>
            </w:r>
          </w:p>
        </w:tc>
      </w:tr>
      <w:tr>
        <w:tc>
          <w:tcPr>
            <w:tcW w:type="dxa" w:w="3384"/>
          </w:tcPr>
          <w:p>
            <w:pPr>
              <w:spacing w:after="20"/>
            </w:pPr>
            <w:r>
              <w:rPr>
                <w:b/>
                <w:color w:val="1C3A36"/>
                <w:sz w:val="17"/>
              </w:rPr>
              <w:t>21,954</w:t>
            </w:r>
          </w:p>
        </w:tc>
        <w:tc>
          <w:tcPr>
            <w:tcW w:type="dxa" w:w="1224"/>
          </w:tcPr>
          <w:p>
            <w:pPr>
              <w:spacing w:after="20"/>
              <w:jc w:val="right"/>
            </w:pPr>
            <w:r>
              <w:rPr>
                <w:color w:val="1C3A36"/>
                <w:sz w:val="17"/>
              </w:rPr>
              <w:t>n.m.</w:t>
            </w:r>
          </w:p>
        </w:tc>
        <w:tc>
          <w:tcPr>
            <w:tcW w:type="dxa" w:w="1224"/>
          </w:tcPr>
          <w:p>
            <w:pPr>
              <w:spacing w:after="20"/>
              <w:jc w:val="right"/>
            </w:pPr>
            <w:r>
              <w:rPr>
                <w:color w:val="1C3A36"/>
                <w:sz w:val="17"/>
              </w:rPr>
              <w:t>n.m.</w:t>
            </w:r>
          </w:p>
        </w:tc>
        <w:tc>
          <w:tcPr>
            <w:tcW w:type="dxa" w:w="1224"/>
          </w:tcPr>
          <w:p>
            <w:pPr>
              <w:spacing w:after="20"/>
              <w:jc w:val="right"/>
            </w:pPr>
            <w:r>
              <w:rPr>
                <w:color w:val="1C3A36"/>
                <w:sz w:val="17"/>
              </w:rPr>
              <w:t>23.6</w:t>
            </w:r>
          </w:p>
        </w:tc>
        <w:tc>
          <w:tcPr>
            <w:tcW w:type="dxa" w:w="1224"/>
          </w:tcPr>
          <w:p>
            <w:pPr>
              <w:spacing w:after="20"/>
              <w:jc w:val="right"/>
            </w:pPr>
            <w:r>
              <w:rPr>
                <w:color w:val="1C3A36"/>
                <w:sz w:val="17"/>
              </w:rPr>
              <w:t>20.4</w:t>
            </w:r>
          </w:p>
        </w:tc>
        <w:tc>
          <w:tcPr>
            <w:tcW w:type="dxa" w:w="1224"/>
          </w:tcPr>
          <w:p>
            <w:pPr>
              <w:spacing w:after="20"/>
              <w:jc w:val="right"/>
            </w:pPr>
            <w:r>
              <w:rPr>
                <w:color w:val="1C3A36"/>
                <w:sz w:val="17"/>
              </w:rPr>
              <w:t>18.2</w:t>
            </w:r>
          </w:p>
        </w:tc>
      </w:tr>
      <w:tr>
        <w:tc>
          <w:tcPr>
            <w:tcW w:type="dxa" w:w="3384"/>
          </w:tcPr>
          <w:p>
            <w:pPr>
              <w:spacing w:after="20"/>
            </w:pPr>
            <w:r>
              <w:rPr>
                <w:b/>
                <w:color w:val="1C3A36"/>
                <w:sz w:val="17"/>
              </w:rPr>
              <w:t>29,273  ‡</w:t>
            </w:r>
          </w:p>
        </w:tc>
        <w:tc>
          <w:tcPr>
            <w:tcW w:type="dxa" w:w="1224"/>
          </w:tcPr>
          <w:p>
            <w:pPr>
              <w:spacing w:after="20"/>
              <w:jc w:val="right"/>
            </w:pPr>
            <w:r>
              <w:rPr>
                <w:color w:val="1C3A36"/>
                <w:sz w:val="17"/>
              </w:rPr>
              <w:t>n.m.</w:t>
            </w:r>
          </w:p>
        </w:tc>
        <w:tc>
          <w:tcPr>
            <w:tcW w:type="dxa" w:w="1224"/>
          </w:tcPr>
          <w:p>
            <w:pPr>
              <w:spacing w:after="20"/>
              <w:jc w:val="right"/>
            </w:pPr>
            <w:r>
              <w:rPr>
                <w:color w:val="1C3A36"/>
                <w:sz w:val="17"/>
              </w:rPr>
              <w:t>n.m.</w:t>
            </w:r>
          </w:p>
        </w:tc>
        <w:tc>
          <w:tcPr>
            <w:tcW w:type="dxa" w:w="1224"/>
          </w:tcPr>
          <w:p>
            <w:pPr>
              <w:spacing w:after="20"/>
              <w:jc w:val="right"/>
            </w:pPr>
            <w:r>
              <w:rPr>
                <w:color w:val="1C3A36"/>
                <w:sz w:val="17"/>
              </w:rPr>
              <w:t>30.3</w:t>
            </w:r>
          </w:p>
        </w:tc>
        <w:tc>
          <w:tcPr>
            <w:tcW w:type="dxa" w:w="1224"/>
          </w:tcPr>
          <w:p>
            <w:pPr>
              <w:spacing w:after="20"/>
              <w:jc w:val="right"/>
            </w:pPr>
            <w:r>
              <w:rPr>
                <w:color w:val="1C3A36"/>
                <w:sz w:val="17"/>
              </w:rPr>
              <w:t>27.1</w:t>
            </w:r>
          </w:p>
        </w:tc>
        <w:tc>
          <w:tcPr>
            <w:tcW w:type="dxa" w:w="1224"/>
          </w:tcPr>
          <w:p>
            <w:pPr>
              <w:spacing w:after="20"/>
              <w:jc w:val="right"/>
            </w:pPr>
            <w:r>
              <w:rPr>
                <w:color w:val="1C3A36"/>
                <w:sz w:val="17"/>
              </w:rPr>
              <w:t>24.9</w:t>
            </w:r>
          </w:p>
        </w:tc>
      </w:tr>
    </w:tbl>
    <w:p>
      <w:pPr>
        <w:spacing w:after="40"/>
      </w:pPr>
    </w:p>
    <w:p>
      <w:pPr>
        <w:spacing w:after="200" w:before="0"/>
      </w:pPr>
      <w:r>
        <w:rPr>
          <w:b w:val="0"/>
          <w:i/>
          <w:color w:val="6E7B77"/>
          <w:sz w:val="17"/>
        </w:rPr>
        <w:t>Sum-of-the-parts fair value, EGP per share, spanning EGP 4.7 to 30.3 across the grid. 10 cells print n.m. rather than a figure, and the rule is stated rather than left to be inferred: where the shift leaves less than 4.5 percentage points between the terminal cost of capital and terminal growth, a perpetuity is arithmetically explosive and economically meaningless, so it is not printed as a valuation. Those cells are computable and they run to roughly EGP 102, which is the number the suppression withholds and is stated here so nothing is hidden. The two rows marked ‡ are the study’s two published branches; the centre column is the model’s own first-year cost of capital of 14.58%. The rate axis shifts the WHOLE schedule, explicit years and terminal together, because moving one rate and not the others would price one date at two prices.</w:t>
      </w:r>
    </w:p>
    <w:p>
      <w:pPr>
        <w:spacing w:after="40"/>
        <w:jc w:val="center"/>
      </w:pPr>
      <w:r>
        <w:drawing>
          <wp:inline xmlns:a="http://schemas.openxmlformats.org/drawingml/2006/main" xmlns:pic="http://schemas.openxmlformats.org/drawingml/2006/picture">
            <wp:extent cx="5120640" cy="2627697"/>
            <wp:docPr id="2" name="Picture 2"/>
            <wp:cNvGraphicFramePr>
              <a:graphicFrameLocks noChangeAspect="1"/>
            </wp:cNvGraphicFramePr>
            <a:graphic>
              <a:graphicData uri="http://schemas.openxmlformats.org/drawingml/2006/picture">
                <pic:pic>
                  <pic:nvPicPr>
                    <pic:cNvPr id="0" name="fig2_sens.png"/>
                    <pic:cNvPicPr/>
                  </pic:nvPicPr>
                  <pic:blipFill>
                    <a:blip r:embed="rId10"/>
                    <a:stretch>
                      <a:fillRect/>
                    </a:stretch>
                  </pic:blipFill>
                  <pic:spPr>
                    <a:xfrm>
                      <a:off x="0" y="0"/>
                      <a:ext cx="5120640" cy="2627697"/>
                    </a:xfrm>
                    <a:prstGeom prst="rect"/>
                  </pic:spPr>
                </pic:pic>
              </a:graphicData>
            </a:graphic>
          </wp:inline>
        </w:drawing>
      </w:r>
    </w:p>
    <w:p>
      <w:pPr>
        <w:spacing w:after="200" w:before="0"/>
      </w:pPr>
      <w:r>
        <w:rPr>
          <w:b w:val="0"/>
          <w:i/>
          <w:color w:val="6E7B77"/>
          <w:sz w:val="17"/>
        </w:rPr>
        <w:t>Figure 2 — the same grid drawn. Rows are the MNT-Halan mark, columns the first-year cost of capital on the auto leg; the two published branches are the marked rows.</w:t>
      </w:r>
    </w:p>
    <w:p>
      <w:pPr>
        <w:spacing w:after="120" w:before="120"/>
      </w:pPr>
      <w:r>
        <w:rPr>
          <w:b w:val="0"/>
          <w:i w:val="0"/>
          <w:color w:val="1C3A36"/>
          <w:sz w:val="19"/>
        </w:rPr>
        <w:t>The second grid holds the associate at the round-price branch and moves the rate path against terminal growth: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2736"/>
            <w:shd w:val="clear" w:color="auto" w:fill="EAF0EE"/>
          </w:tcPr>
          <w:p>
            <w:pPr>
              <w:spacing w:after="20"/>
            </w:pPr>
            <w:r>
              <w:rPr>
                <w:b/>
                <w:color w:val="1C3A36"/>
                <w:sz w:val="18"/>
              </w:rPr>
              <w:t>Cost of capital \ terminal growth</w:t>
            </w:r>
          </w:p>
        </w:tc>
        <w:tc>
          <w:tcPr>
            <w:tcW w:type="dxa" w:w="1368"/>
            <w:shd w:val="clear" w:color="auto" w:fill="EAF0EE"/>
          </w:tcPr>
          <w:p>
            <w:pPr>
              <w:spacing w:after="20"/>
            </w:pPr>
            <w:r>
              <w:rPr>
                <w:b/>
                <w:color w:val="1C3A36"/>
                <w:sz w:val="18"/>
              </w:rPr>
              <w:t>5.0%</w:t>
            </w:r>
          </w:p>
        </w:tc>
        <w:tc>
          <w:tcPr>
            <w:tcW w:type="dxa" w:w="1368"/>
            <w:shd w:val="clear" w:color="auto" w:fill="EAF0EE"/>
          </w:tcPr>
          <w:p>
            <w:pPr>
              <w:spacing w:after="20"/>
            </w:pPr>
            <w:r>
              <w:rPr>
                <w:b/>
                <w:color w:val="1C3A36"/>
                <w:sz w:val="18"/>
              </w:rPr>
              <w:t>6.0%</w:t>
            </w:r>
          </w:p>
        </w:tc>
        <w:tc>
          <w:tcPr>
            <w:tcW w:type="dxa" w:w="1368"/>
            <w:shd w:val="clear" w:color="auto" w:fill="EAF0EE"/>
          </w:tcPr>
          <w:p>
            <w:pPr>
              <w:spacing w:after="20"/>
            </w:pPr>
            <w:r>
              <w:rPr>
                <w:b/>
                <w:color w:val="1C3A36"/>
                <w:sz w:val="18"/>
              </w:rPr>
              <w:t>7.0%</w:t>
            </w:r>
          </w:p>
        </w:tc>
        <w:tc>
          <w:tcPr>
            <w:tcW w:type="dxa" w:w="1368"/>
            <w:shd w:val="clear" w:color="auto" w:fill="EAF0EE"/>
          </w:tcPr>
          <w:p>
            <w:pPr>
              <w:spacing w:after="20"/>
            </w:pPr>
            <w:r>
              <w:rPr>
                <w:b/>
                <w:color w:val="1C3A36"/>
                <w:sz w:val="18"/>
              </w:rPr>
              <w:t>8.0%</w:t>
            </w:r>
          </w:p>
        </w:tc>
        <w:tc>
          <w:tcPr>
            <w:tcW w:type="dxa" w:w="1368"/>
            <w:shd w:val="clear" w:color="auto" w:fill="EAF0EE"/>
          </w:tcPr>
          <w:p>
            <w:pPr>
              <w:spacing w:after="20"/>
            </w:pPr>
            <w:r>
              <w:rPr>
                <w:b/>
                <w:color w:val="1C3A36"/>
                <w:sz w:val="18"/>
              </w:rPr>
              <w:t>9.0%</w:t>
            </w:r>
          </w:p>
        </w:tc>
      </w:tr>
      <w:tr>
        <w:tc>
          <w:tcPr>
            <w:tcW w:type="dxa" w:w="2736"/>
          </w:tcPr>
          <w:p>
            <w:pPr>
              <w:spacing w:after="20"/>
            </w:pPr>
            <w:r>
              <w:rPr>
                <w:b/>
                <w:color w:val="1C3A36"/>
                <w:sz w:val="18"/>
              </w:rPr>
              <w:t>12.6%</w:t>
            </w:r>
          </w:p>
        </w:tc>
        <w:tc>
          <w:tcPr>
            <w:tcW w:type="dxa" w:w="1368"/>
          </w:tcPr>
          <w:p>
            <w:pPr>
              <w:spacing w:after="20"/>
              <w:jc w:val="right"/>
            </w:pPr>
            <w:r>
              <w:rPr>
                <w:color w:val="1C3A36"/>
                <w:sz w:val="18"/>
              </w:rPr>
              <w:t>31.5</w:t>
            </w:r>
          </w:p>
        </w:tc>
        <w:tc>
          <w:tcPr>
            <w:tcW w:type="dxa" w:w="1368"/>
          </w:tcPr>
          <w:p>
            <w:pPr>
              <w:spacing w:after="20"/>
              <w:jc w:val="right"/>
            </w:pPr>
            <w:r>
              <w:rPr>
                <w:color w:val="1C3A36"/>
                <w:sz w:val="18"/>
              </w:rPr>
              <w:t>n.m.</w:t>
            </w:r>
          </w:p>
        </w:tc>
        <w:tc>
          <w:tcPr>
            <w:tcW w:type="dxa" w:w="1368"/>
          </w:tcPr>
          <w:p>
            <w:pPr>
              <w:spacing w:after="20"/>
              <w:jc w:val="right"/>
            </w:pPr>
            <w:r>
              <w:rPr>
                <w:color w:val="1C3A36"/>
                <w:sz w:val="18"/>
              </w:rPr>
              <w:t>n.m.</w:t>
            </w:r>
          </w:p>
        </w:tc>
        <w:tc>
          <w:tcPr>
            <w:tcW w:type="dxa" w:w="1368"/>
          </w:tcPr>
          <w:p>
            <w:pPr>
              <w:spacing w:after="20"/>
              <w:jc w:val="right"/>
            </w:pPr>
            <w:r>
              <w:rPr>
                <w:color w:val="1C3A36"/>
                <w:sz w:val="18"/>
              </w:rPr>
              <w:t>n.m.</w:t>
            </w:r>
          </w:p>
        </w:tc>
        <w:tc>
          <w:tcPr>
            <w:tcW w:type="dxa" w:w="1368"/>
          </w:tcPr>
          <w:p>
            <w:pPr>
              <w:spacing w:after="20"/>
              <w:jc w:val="right"/>
            </w:pPr>
            <w:r>
              <w:rPr>
                <w:color w:val="1C3A36"/>
                <w:sz w:val="18"/>
              </w:rPr>
              <w:t>n.m.</w:t>
            </w:r>
          </w:p>
        </w:tc>
      </w:tr>
      <w:tr>
        <w:tc>
          <w:tcPr>
            <w:tcW w:type="dxa" w:w="2736"/>
          </w:tcPr>
          <w:p>
            <w:pPr>
              <w:spacing w:after="20"/>
            </w:pPr>
            <w:r>
              <w:rPr>
                <w:b/>
                <w:color w:val="1C3A36"/>
                <w:sz w:val="18"/>
              </w:rPr>
              <w:t>13.6%</w:t>
            </w:r>
          </w:p>
        </w:tc>
        <w:tc>
          <w:tcPr>
            <w:tcW w:type="dxa" w:w="1368"/>
          </w:tcPr>
          <w:p>
            <w:pPr>
              <w:spacing w:after="20"/>
              <w:jc w:val="right"/>
            </w:pPr>
            <w:r>
              <w:rPr>
                <w:color w:val="1C3A36"/>
                <w:sz w:val="18"/>
              </w:rPr>
              <w:t>28.0</w:t>
            </w:r>
          </w:p>
        </w:tc>
        <w:tc>
          <w:tcPr>
            <w:tcW w:type="dxa" w:w="1368"/>
          </w:tcPr>
          <w:p>
            <w:pPr>
              <w:spacing w:after="20"/>
              <w:jc w:val="right"/>
            </w:pPr>
            <w:r>
              <w:rPr>
                <w:color w:val="1C3A36"/>
                <w:sz w:val="18"/>
              </w:rPr>
              <w:t>30.9</w:t>
            </w:r>
          </w:p>
        </w:tc>
        <w:tc>
          <w:tcPr>
            <w:tcW w:type="dxa" w:w="1368"/>
          </w:tcPr>
          <w:p>
            <w:pPr>
              <w:spacing w:after="20"/>
              <w:jc w:val="right"/>
            </w:pPr>
            <w:r>
              <w:rPr>
                <w:color w:val="1C3A36"/>
                <w:sz w:val="18"/>
              </w:rPr>
              <w:t>n.m.</w:t>
            </w:r>
          </w:p>
        </w:tc>
        <w:tc>
          <w:tcPr>
            <w:tcW w:type="dxa" w:w="1368"/>
          </w:tcPr>
          <w:p>
            <w:pPr>
              <w:spacing w:after="20"/>
              <w:jc w:val="right"/>
            </w:pPr>
            <w:r>
              <w:rPr>
                <w:color w:val="1C3A36"/>
                <w:sz w:val="18"/>
              </w:rPr>
              <w:t>n.m.</w:t>
            </w:r>
          </w:p>
        </w:tc>
        <w:tc>
          <w:tcPr>
            <w:tcW w:type="dxa" w:w="1368"/>
          </w:tcPr>
          <w:p>
            <w:pPr>
              <w:spacing w:after="20"/>
              <w:jc w:val="right"/>
            </w:pPr>
            <w:r>
              <w:rPr>
                <w:color w:val="1C3A36"/>
                <w:sz w:val="18"/>
              </w:rPr>
              <w:t>n.m.</w:t>
            </w:r>
          </w:p>
        </w:tc>
      </w:tr>
      <w:tr>
        <w:tc>
          <w:tcPr>
            <w:tcW w:type="dxa" w:w="2736"/>
          </w:tcPr>
          <w:p>
            <w:pPr>
              <w:spacing w:after="20"/>
            </w:pPr>
            <w:r>
              <w:rPr>
                <w:b/>
                <w:color w:val="1C3A36"/>
                <w:sz w:val="18"/>
              </w:rPr>
              <w:t>14.6%</w:t>
            </w:r>
          </w:p>
        </w:tc>
        <w:tc>
          <w:tcPr>
            <w:tcW w:type="dxa" w:w="1368"/>
          </w:tcPr>
          <w:p>
            <w:pPr>
              <w:spacing w:after="20"/>
              <w:jc w:val="right"/>
            </w:pPr>
            <w:r>
              <w:rPr>
                <w:color w:val="1C3A36"/>
                <w:sz w:val="18"/>
              </w:rPr>
              <w:t>25.7</w:t>
            </w:r>
          </w:p>
        </w:tc>
        <w:tc>
          <w:tcPr>
            <w:tcW w:type="dxa" w:w="1368"/>
          </w:tcPr>
          <w:p>
            <w:pPr>
              <w:spacing w:after="20"/>
              <w:jc w:val="right"/>
            </w:pPr>
            <w:r>
              <w:rPr>
                <w:color w:val="1C3A36"/>
                <w:sz w:val="18"/>
              </w:rPr>
              <w:t>27.6</w:t>
            </w:r>
          </w:p>
        </w:tc>
        <w:tc>
          <w:tcPr>
            <w:tcW w:type="dxa" w:w="1368"/>
          </w:tcPr>
          <w:p>
            <w:pPr>
              <w:spacing w:after="20"/>
              <w:jc w:val="right"/>
            </w:pPr>
            <w:r>
              <w:rPr>
                <w:color w:val="1C3A36"/>
                <w:sz w:val="18"/>
              </w:rPr>
              <w:t>30.3</w:t>
            </w:r>
          </w:p>
        </w:tc>
        <w:tc>
          <w:tcPr>
            <w:tcW w:type="dxa" w:w="1368"/>
          </w:tcPr>
          <w:p>
            <w:pPr>
              <w:spacing w:after="20"/>
              <w:jc w:val="right"/>
            </w:pPr>
            <w:r>
              <w:rPr>
                <w:color w:val="1C3A36"/>
                <w:sz w:val="18"/>
              </w:rPr>
              <w:t>n.m.</w:t>
            </w:r>
          </w:p>
        </w:tc>
        <w:tc>
          <w:tcPr>
            <w:tcW w:type="dxa" w:w="1368"/>
          </w:tcPr>
          <w:p>
            <w:pPr>
              <w:spacing w:after="20"/>
              <w:jc w:val="right"/>
            </w:pPr>
            <w:r>
              <w:rPr>
                <w:color w:val="1C3A36"/>
                <w:sz w:val="18"/>
              </w:rPr>
              <w:t>n.m.</w:t>
            </w:r>
          </w:p>
        </w:tc>
      </w:tr>
      <w:tr>
        <w:tc>
          <w:tcPr>
            <w:tcW w:type="dxa" w:w="2736"/>
          </w:tcPr>
          <w:p>
            <w:pPr>
              <w:spacing w:after="20"/>
            </w:pPr>
            <w:r>
              <w:rPr>
                <w:b/>
                <w:color w:val="1C3A36"/>
                <w:sz w:val="18"/>
              </w:rPr>
              <w:t>15.6%</w:t>
            </w:r>
          </w:p>
        </w:tc>
        <w:tc>
          <w:tcPr>
            <w:tcW w:type="dxa" w:w="1368"/>
          </w:tcPr>
          <w:p>
            <w:pPr>
              <w:spacing w:after="20"/>
              <w:jc w:val="right"/>
            </w:pPr>
            <w:r>
              <w:rPr>
                <w:color w:val="1C3A36"/>
                <w:sz w:val="18"/>
              </w:rPr>
              <w:t>23.9</w:t>
            </w:r>
          </w:p>
        </w:tc>
        <w:tc>
          <w:tcPr>
            <w:tcW w:type="dxa" w:w="1368"/>
          </w:tcPr>
          <w:p>
            <w:pPr>
              <w:spacing w:after="20"/>
              <w:jc w:val="right"/>
            </w:pPr>
            <w:r>
              <w:rPr>
                <w:color w:val="1C3A36"/>
                <w:sz w:val="18"/>
              </w:rPr>
              <w:t>25.3</w:t>
            </w:r>
          </w:p>
        </w:tc>
        <w:tc>
          <w:tcPr>
            <w:tcW w:type="dxa" w:w="1368"/>
          </w:tcPr>
          <w:p>
            <w:pPr>
              <w:spacing w:after="20"/>
              <w:jc w:val="right"/>
            </w:pPr>
            <w:r>
              <w:rPr>
                <w:color w:val="1C3A36"/>
                <w:sz w:val="18"/>
              </w:rPr>
              <w:t>27.1</w:t>
            </w:r>
          </w:p>
        </w:tc>
        <w:tc>
          <w:tcPr>
            <w:tcW w:type="dxa" w:w="1368"/>
          </w:tcPr>
          <w:p>
            <w:pPr>
              <w:spacing w:after="20"/>
              <w:jc w:val="right"/>
            </w:pPr>
            <w:r>
              <w:rPr>
                <w:color w:val="1C3A36"/>
                <w:sz w:val="18"/>
              </w:rPr>
              <w:t>29.8</w:t>
            </w:r>
          </w:p>
        </w:tc>
        <w:tc>
          <w:tcPr>
            <w:tcW w:type="dxa" w:w="1368"/>
          </w:tcPr>
          <w:p>
            <w:pPr>
              <w:spacing w:after="20"/>
              <w:jc w:val="right"/>
            </w:pPr>
            <w:r>
              <w:rPr>
                <w:color w:val="1C3A36"/>
                <w:sz w:val="18"/>
              </w:rPr>
              <w:t>n.m.</w:t>
            </w:r>
          </w:p>
        </w:tc>
      </w:tr>
      <w:tr>
        <w:tc>
          <w:tcPr>
            <w:tcW w:type="dxa" w:w="2736"/>
          </w:tcPr>
          <w:p>
            <w:pPr>
              <w:spacing w:after="20"/>
            </w:pPr>
            <w:r>
              <w:rPr>
                <w:b/>
                <w:color w:val="1C3A36"/>
                <w:sz w:val="18"/>
              </w:rPr>
              <w:t>16.6%</w:t>
            </w:r>
          </w:p>
        </w:tc>
        <w:tc>
          <w:tcPr>
            <w:tcW w:type="dxa" w:w="1368"/>
          </w:tcPr>
          <w:p>
            <w:pPr>
              <w:spacing w:after="20"/>
              <w:jc w:val="right"/>
            </w:pPr>
            <w:r>
              <w:rPr>
                <w:color w:val="1C3A36"/>
                <w:sz w:val="18"/>
              </w:rPr>
              <w:t>22.6</w:t>
            </w:r>
          </w:p>
        </w:tc>
        <w:tc>
          <w:tcPr>
            <w:tcW w:type="dxa" w:w="1368"/>
          </w:tcPr>
          <w:p>
            <w:pPr>
              <w:spacing w:after="20"/>
              <w:jc w:val="right"/>
            </w:pPr>
            <w:r>
              <w:rPr>
                <w:color w:val="1C3A36"/>
                <w:sz w:val="18"/>
              </w:rPr>
              <w:t>23.6</w:t>
            </w:r>
          </w:p>
        </w:tc>
        <w:tc>
          <w:tcPr>
            <w:tcW w:type="dxa" w:w="1368"/>
          </w:tcPr>
          <w:p>
            <w:pPr>
              <w:spacing w:after="20"/>
              <w:jc w:val="right"/>
            </w:pPr>
            <w:r>
              <w:rPr>
                <w:color w:val="1C3A36"/>
                <w:sz w:val="18"/>
              </w:rPr>
              <w:t>24.9</w:t>
            </w:r>
          </w:p>
        </w:tc>
        <w:tc>
          <w:tcPr>
            <w:tcW w:type="dxa" w:w="1368"/>
          </w:tcPr>
          <w:p>
            <w:pPr>
              <w:spacing w:after="20"/>
              <w:jc w:val="right"/>
            </w:pPr>
            <w:r>
              <w:rPr>
                <w:color w:val="1C3A36"/>
                <w:sz w:val="18"/>
              </w:rPr>
              <w:t>26.7</w:t>
            </w:r>
          </w:p>
        </w:tc>
        <w:tc>
          <w:tcPr>
            <w:tcW w:type="dxa" w:w="1368"/>
          </w:tcPr>
          <w:p>
            <w:pPr>
              <w:spacing w:after="20"/>
              <w:jc w:val="right"/>
            </w:pPr>
            <w:r>
              <w:rPr>
                <w:color w:val="1C3A36"/>
                <w:sz w:val="18"/>
              </w:rPr>
              <w:t>29.3</w:t>
            </w:r>
          </w:p>
        </w:tc>
      </w:tr>
    </w:tbl>
    <w:p>
      <w:pPr>
        <w:spacing w:after="40"/>
      </w:pPr>
    </w:p>
    <w:p>
      <w:pPr>
        <w:spacing w:after="200" w:before="0"/>
      </w:pPr>
      <w:r>
        <w:rPr>
          <w:b w:val="0"/>
          <w:i/>
          <w:color w:val="6E7B77"/>
          <w:sz w:val="17"/>
        </w:rPr>
        <w:t>Sum-of-the-parts fair value on the round-price branch, EGP per share. The centre cell, 14.6% against 7.0%, is EGP 30.3 — the published branch. Both axes are centred on the model's own build rather than on round numbers. On the carrying-value branch every cell is EGP 12.48 lower, because the branches differ by a constant.</w:t>
      </w:r>
    </w:p>
    <w:p>
      <w:pPr>
        <w:spacing w:after="120" w:before="280"/>
      </w:pPr>
      <w:r>
        <w:rPr>
          <w:b/>
          <w:i w:val="0"/>
          <w:color w:val="1C3A36"/>
          <w:sz w:val="30"/>
        </w:rPr>
        <w:t>2  Technical and price structure</w:t>
      </w:r>
    </w:p>
    <w:p>
      <w:pPr>
        <w:spacing w:after="120" w:before="0"/>
      </w:pPr>
      <w:r>
        <w:rPr>
          <w:b w:val="0"/>
          <w:i w:val="0"/>
          <w:color w:val="1C3A36"/>
          <w:sz w:val="21"/>
        </w:rPr>
        <w:t>The technical read is computed on the exchange library’s own last session — EGP 29.51 on 23 August 2026 — which is a different and older clock than the price the valuation is struck on. On that session the price sat below the 20- and 50-day averages and above the 100- and 200-day averages: the long trend is intact and the short one has rolled over. The oscillator reads 40.2, below neutral and well above oversold; the convergence histogram is -0.27, so short-term momentum is negative. The 52-week range runs EGP 19.10 to 34.20, and the session sits 69% of the way up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880"/>
            <w:shd w:val="clear" w:color="auto" w:fill="EAF0EE"/>
          </w:tcPr>
          <w:p>
            <w:pPr>
              <w:spacing w:after="20"/>
            </w:pPr>
            <w:r>
              <w:rPr>
                <w:b/>
                <w:color w:val="1C3A36"/>
                <w:sz w:val="18"/>
              </w:rPr>
              <w:t>Indicator</w:t>
            </w:r>
          </w:p>
        </w:tc>
        <w:tc>
          <w:tcPr>
            <w:tcW w:type="dxa" w:w="3744"/>
            <w:shd w:val="clear" w:color="auto" w:fill="EAF0EE"/>
          </w:tcPr>
          <w:p>
            <w:pPr>
              <w:spacing w:after="20"/>
            </w:pPr>
            <w:r>
              <w:rPr>
                <w:b/>
                <w:color w:val="1C3A36"/>
                <w:sz w:val="18"/>
              </w:rPr>
              <w:t>Reading</w:t>
            </w:r>
          </w:p>
        </w:tc>
        <w:tc>
          <w:tcPr>
            <w:tcW w:type="dxa" w:w="3600"/>
            <w:shd w:val="clear" w:color="auto" w:fill="EAF0EE"/>
          </w:tcPr>
          <w:p>
            <w:pPr>
              <w:spacing w:after="20"/>
            </w:pPr>
            <w:r>
              <w:rPr>
                <w:b/>
                <w:color w:val="1C3A36"/>
                <w:sz w:val="18"/>
              </w:rPr>
              <w:t>Signal</w:t>
            </w:r>
          </w:p>
        </w:tc>
      </w:tr>
      <w:tr>
        <w:tc>
          <w:tcPr>
            <w:tcW w:type="dxa" w:w="2880"/>
          </w:tcPr>
          <w:p>
            <w:pPr>
              <w:spacing w:after="20"/>
            </w:pPr>
            <w:r>
              <w:rPr>
                <w:b/>
                <w:color w:val="1C3A36"/>
                <w:sz w:val="18"/>
              </w:rPr>
              <w:t>Close the read is computed on</w:t>
            </w:r>
          </w:p>
        </w:tc>
        <w:tc>
          <w:tcPr>
            <w:tcW w:type="dxa" w:w="3744"/>
          </w:tcPr>
          <w:p>
            <w:pPr>
              <w:spacing w:after="20"/>
              <w:jc w:val="right"/>
            </w:pPr>
            <w:r>
              <w:rPr>
                <w:color w:val="1C3A36"/>
                <w:sz w:val="18"/>
              </w:rPr>
              <w:t>EGP 29.51 (23 August 2026)</w:t>
            </w:r>
          </w:p>
        </w:tc>
        <w:tc>
          <w:tcPr>
            <w:tcW w:type="dxa" w:w="3600"/>
          </w:tcPr>
          <w:p>
            <w:pPr>
              <w:spacing w:after="20"/>
              <w:jc w:val="right"/>
            </w:pPr>
            <w:r>
              <w:rPr>
                <w:color w:val="1C3A36"/>
                <w:sz w:val="18"/>
              </w:rPr>
              <w:t>—</w:t>
            </w:r>
          </w:p>
        </w:tc>
      </w:tr>
      <w:tr>
        <w:tc>
          <w:tcPr>
            <w:tcW w:type="dxa" w:w="2880"/>
          </w:tcPr>
          <w:p>
            <w:pPr>
              <w:spacing w:after="20"/>
            </w:pPr>
            <w:r>
              <w:rPr>
                <w:b/>
                <w:color w:val="1C3A36"/>
                <w:sz w:val="18"/>
              </w:rPr>
              <w:t>20-day / 50-day average</w:t>
            </w:r>
          </w:p>
        </w:tc>
        <w:tc>
          <w:tcPr>
            <w:tcW w:type="dxa" w:w="3744"/>
          </w:tcPr>
          <w:p>
            <w:pPr>
              <w:spacing w:after="20"/>
              <w:jc w:val="right"/>
            </w:pPr>
            <w:r>
              <w:rPr>
                <w:color w:val="1C3A36"/>
                <w:sz w:val="18"/>
              </w:rPr>
              <w:t>EGP 30.80 / 30.83</w:t>
            </w:r>
          </w:p>
        </w:tc>
        <w:tc>
          <w:tcPr>
            <w:tcW w:type="dxa" w:w="3600"/>
          </w:tcPr>
          <w:p>
            <w:pPr>
              <w:spacing w:after="20"/>
              <w:jc w:val="right"/>
            </w:pPr>
            <w:r>
              <w:rPr>
                <w:color w:val="1C3A36"/>
                <w:sz w:val="18"/>
              </w:rPr>
              <w:t>Price -4.2% / -4.3% — short-term down</w:t>
            </w:r>
          </w:p>
        </w:tc>
      </w:tr>
      <w:tr>
        <w:tc>
          <w:tcPr>
            <w:tcW w:type="dxa" w:w="2880"/>
          </w:tcPr>
          <w:p>
            <w:pPr>
              <w:spacing w:after="20"/>
            </w:pPr>
            <w:r>
              <w:rPr>
                <w:b/>
                <w:color w:val="1C3A36"/>
                <w:sz w:val="18"/>
              </w:rPr>
              <w:t>100-day / 200-day average</w:t>
            </w:r>
          </w:p>
        </w:tc>
        <w:tc>
          <w:tcPr>
            <w:tcW w:type="dxa" w:w="3744"/>
          </w:tcPr>
          <w:p>
            <w:pPr>
              <w:spacing w:after="20"/>
              <w:jc w:val="right"/>
            </w:pPr>
            <w:r>
              <w:rPr>
                <w:color w:val="1C3A36"/>
                <w:sz w:val="18"/>
              </w:rPr>
              <w:t>EGP 28.63 / 28.04</w:t>
            </w:r>
          </w:p>
        </w:tc>
        <w:tc>
          <w:tcPr>
            <w:tcW w:type="dxa" w:w="3600"/>
          </w:tcPr>
          <w:p>
            <w:pPr>
              <w:spacing w:after="20"/>
              <w:jc w:val="right"/>
            </w:pPr>
            <w:r>
              <w:rPr>
                <w:color w:val="1C3A36"/>
                <w:sz w:val="18"/>
              </w:rPr>
              <w:t>Price +3.1% / +5.2% — long trend intact</w:t>
            </w:r>
          </w:p>
        </w:tc>
      </w:tr>
      <w:tr>
        <w:tc>
          <w:tcPr>
            <w:tcW w:type="dxa" w:w="2880"/>
          </w:tcPr>
          <w:p>
            <w:pPr>
              <w:spacing w:after="20"/>
            </w:pPr>
            <w:r>
              <w:rPr>
                <w:b/>
                <w:color w:val="1C3A36"/>
                <w:sz w:val="18"/>
              </w:rPr>
              <w:t>Relative strength (14)</w:t>
            </w:r>
          </w:p>
        </w:tc>
        <w:tc>
          <w:tcPr>
            <w:tcW w:type="dxa" w:w="3744"/>
          </w:tcPr>
          <w:p>
            <w:pPr>
              <w:spacing w:after="20"/>
              <w:jc w:val="right"/>
            </w:pPr>
            <w:r>
              <w:rPr>
                <w:color w:val="1C3A36"/>
                <w:sz w:val="18"/>
              </w:rPr>
              <w:t>40.2</w:t>
            </w:r>
          </w:p>
        </w:tc>
        <w:tc>
          <w:tcPr>
            <w:tcW w:type="dxa" w:w="3600"/>
          </w:tcPr>
          <w:p>
            <w:pPr>
              <w:spacing w:after="20"/>
              <w:jc w:val="right"/>
            </w:pPr>
            <w:r>
              <w:rPr>
                <w:color w:val="1C3A36"/>
                <w:sz w:val="18"/>
              </w:rPr>
              <w:t>Below neutral, above oversold</w:t>
            </w:r>
          </w:p>
        </w:tc>
      </w:tr>
      <w:tr>
        <w:tc>
          <w:tcPr>
            <w:tcW w:type="dxa" w:w="2880"/>
          </w:tcPr>
          <w:p>
            <w:pPr>
              <w:spacing w:after="20"/>
            </w:pPr>
            <w:r>
              <w:rPr>
                <w:b/>
                <w:color w:val="1C3A36"/>
                <w:sz w:val="18"/>
              </w:rPr>
              <w:t>Convergence (12,26,9)</w:t>
            </w:r>
          </w:p>
        </w:tc>
        <w:tc>
          <w:tcPr>
            <w:tcW w:type="dxa" w:w="3744"/>
          </w:tcPr>
          <w:p>
            <w:pPr>
              <w:spacing w:after="20"/>
              <w:jc w:val="right"/>
            </w:pPr>
            <w:r>
              <w:rPr>
                <w:color w:val="1C3A36"/>
                <w:sz w:val="18"/>
              </w:rPr>
              <w:t>line -0.24 / signal +0.03 / histogram -0.27</w:t>
            </w:r>
          </w:p>
        </w:tc>
        <w:tc>
          <w:tcPr>
            <w:tcW w:type="dxa" w:w="3600"/>
          </w:tcPr>
          <w:p>
            <w:pPr>
              <w:spacing w:after="20"/>
              <w:jc w:val="right"/>
            </w:pPr>
            <w:r>
              <w:rPr>
                <w:color w:val="1C3A36"/>
                <w:sz w:val="18"/>
              </w:rPr>
              <w:t>Negative — momentum has rolled</w:t>
            </w:r>
          </w:p>
        </w:tc>
      </w:tr>
      <w:tr>
        <w:tc>
          <w:tcPr>
            <w:tcW w:type="dxa" w:w="2880"/>
          </w:tcPr>
          <w:p>
            <w:pPr>
              <w:spacing w:after="20"/>
            </w:pPr>
            <w:r>
              <w:rPr>
                <w:b/>
                <w:color w:val="1C3A36"/>
                <w:sz w:val="18"/>
              </w:rPr>
              <w:t>52-week range</w:t>
            </w:r>
          </w:p>
        </w:tc>
        <w:tc>
          <w:tcPr>
            <w:tcW w:type="dxa" w:w="3744"/>
          </w:tcPr>
          <w:p>
            <w:pPr>
              <w:spacing w:after="20"/>
              <w:jc w:val="right"/>
            </w:pPr>
            <w:r>
              <w:rPr>
                <w:color w:val="1C3A36"/>
                <w:sz w:val="18"/>
              </w:rPr>
              <w:t>EGP 19.10 – 34.20</w:t>
            </w:r>
          </w:p>
        </w:tc>
        <w:tc>
          <w:tcPr>
            <w:tcW w:type="dxa" w:w="3600"/>
          </w:tcPr>
          <w:p>
            <w:pPr>
              <w:spacing w:after="20"/>
              <w:jc w:val="right"/>
            </w:pPr>
            <w:r>
              <w:rPr>
                <w:color w:val="1C3A36"/>
                <w:sz w:val="18"/>
              </w:rPr>
              <w:t>69% of the way up the range</w:t>
            </w:r>
          </w:p>
        </w:tc>
      </w:tr>
      <w:tr>
        <w:tc>
          <w:tcPr>
            <w:tcW w:type="dxa" w:w="2880"/>
          </w:tcPr>
          <w:p>
            <w:pPr>
              <w:spacing w:after="20"/>
            </w:pPr>
            <w:r>
              <w:rPr>
                <w:b/>
                <w:color w:val="1C3A36"/>
                <w:sz w:val="18"/>
              </w:rPr>
              <w:t>Realised volatility (252 sessions)</w:t>
            </w:r>
          </w:p>
        </w:tc>
        <w:tc>
          <w:tcPr>
            <w:tcW w:type="dxa" w:w="3744"/>
          </w:tcPr>
          <w:p>
            <w:pPr>
              <w:spacing w:after="20"/>
              <w:jc w:val="right"/>
            </w:pPr>
            <w:r>
              <w:rPr>
                <w:color w:val="1C3A36"/>
                <w:sz w:val="18"/>
              </w:rPr>
              <w:t>35.1%</w:t>
            </w:r>
          </w:p>
        </w:tc>
        <w:tc>
          <w:tcPr>
            <w:tcW w:type="dxa" w:w="3600"/>
          </w:tcPr>
          <w:p>
            <w:pPr>
              <w:spacing w:after="20"/>
              <w:jc w:val="right"/>
            </w:pPr>
            <w:r>
              <w:rPr>
                <w:color w:val="1C3A36"/>
                <w:sz w:val="18"/>
              </w:rPr>
              <w:t>Elevated but off crisis highs</w:t>
            </w:r>
          </w:p>
        </w:tc>
      </w:tr>
    </w:tbl>
    <w:p>
      <w:pPr>
        <w:spacing w:after="40"/>
      </w:pPr>
    </w:p>
    <w:p>
      <w:pPr>
        <w:spacing w:after="40"/>
        <w:jc w:val="center"/>
      </w:pPr>
      <w:r>
        <w:drawing>
          <wp:inline xmlns:a="http://schemas.openxmlformats.org/drawingml/2006/main" xmlns:pic="http://schemas.openxmlformats.org/drawingml/2006/picture">
            <wp:extent cx="5852160" cy="2285129"/>
            <wp:docPr id="3" name="Picture 3"/>
            <wp:cNvGraphicFramePr>
              <a:graphicFrameLocks noChangeAspect="1"/>
            </wp:cNvGraphicFramePr>
            <a:graphic>
              <a:graphicData uri="http://schemas.openxmlformats.org/drawingml/2006/picture">
                <pic:pic>
                  <pic:nvPicPr>
                    <pic:cNvPr id="0" name="fig3_ma.png"/>
                    <pic:cNvPicPr/>
                  </pic:nvPicPr>
                  <pic:blipFill>
                    <a:blip r:embed="rId11"/>
                    <a:stretch>
                      <a:fillRect/>
                    </a:stretch>
                  </pic:blipFill>
                  <pic:spPr>
                    <a:xfrm>
                      <a:off x="0" y="0"/>
                      <a:ext cx="5852160" cy="2285129"/>
                    </a:xfrm>
                    <a:prstGeom prst="rect"/>
                  </pic:spPr>
                </pic:pic>
              </a:graphicData>
            </a:graphic>
          </wp:inline>
        </w:drawing>
      </w:r>
    </w:p>
    <w:p>
      <w:pPr>
        <w:spacing w:after="200" w:before="0"/>
      </w:pPr>
      <w:r>
        <w:rPr>
          <w:b w:val="0"/>
          <w:i/>
          <w:color w:val="6E7B77"/>
          <w:sz w:val="17"/>
        </w:rPr>
        <w:t>Figure 3 — Price versus the moving-average stack, last 260 sessions of the exchange library.</w:t>
      </w:r>
    </w:p>
    <w:p>
      <w:pPr>
        <w:spacing w:after="120" w:before="0"/>
      </w:pPr>
      <w:r>
        <w:rPr>
          <w:b w:val="0"/>
          <w:i w:val="0"/>
          <w:color w:val="1C3A36"/>
          <w:sz w:val="21"/>
        </w:rPr>
        <w:t>For the probabilistic work this matters in one way. A tape that has come off its short averages with negative momentum thins the near-term upside tail rather than thickening it. The technical and fundamental pictures still disagree — the fundamental work says value has been reached on either branch and the tape says the market is not yet interested — and §6 reads the resulting probability zones without forcing a reconciliation between them.</w:t>
      </w:r>
    </w:p>
    <w:p>
      <w:pPr>
        <w:spacing w:after="120" w:before="280"/>
      </w:pPr>
      <w:r>
        <w:rPr>
          <w:b/>
          <w:i w:val="0"/>
          <w:color w:val="1C3A36"/>
          <w:sz w:val="30"/>
        </w:rPr>
        <w:t>3  A probabilistic price map</w:t>
      </w:r>
    </w:p>
    <w:p>
      <w:pPr>
        <w:spacing w:after="80" w:before="0"/>
      </w:pPr>
      <w:r>
        <w:rPr>
          <w:b w:val="0"/>
          <w:i w:val="0"/>
          <w:color w:val="1C3A36"/>
          <w:sz w:val="19"/>
        </w:rPr>
        <w:t>The probability read below opens the section: computed from the same 50,000 paths as everything that follows, it is a summary of the distribution rather than an input to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4752"/>
            <w:shd w:val="clear" w:color="auto" w:fill="F6F1E6"/>
          </w:tcPr>
          <w:p>
            <w:pPr>
              <w:spacing w:after="20"/>
            </w:pPr>
            <w:r>
              <w:rPr>
                <w:b/>
                <w:color w:val="1C3A36"/>
                <w:sz w:val="18"/>
              </w:rPr>
              <w:t>The probability read (3 months)</w:t>
            </w:r>
          </w:p>
        </w:tc>
        <w:tc>
          <w:tcPr>
            <w:tcW w:type="dxa" w:w="4752"/>
            <w:shd w:val="clear" w:color="auto" w:fill="F6F1E6"/>
          </w:tcPr>
          <w:p>
            <w:pPr>
              <w:spacing w:after="20"/>
            </w:pPr>
            <w:r>
              <w:rPr>
                <w:b/>
                <w:color w:val="1C3A36"/>
                <w:sz w:val="18"/>
              </w:rPr>
            </w:r>
          </w:p>
        </w:tc>
      </w:tr>
      <w:tr>
        <w:tc>
          <w:tcPr>
            <w:tcW w:type="dxa" w:w="4752"/>
          </w:tcPr>
          <w:p>
            <w:pPr>
              <w:spacing w:after="20"/>
            </w:pPr>
            <w:r>
              <w:rPr>
                <w:b/>
                <w:color w:val="1C3A36"/>
                <w:sz w:val="18"/>
              </w:rPr>
              <w:t>Probability the price finishes above the anchor</w:t>
            </w:r>
          </w:p>
        </w:tc>
        <w:tc>
          <w:tcPr>
            <w:tcW w:type="dxa" w:w="4752"/>
          </w:tcPr>
          <w:p>
            <w:pPr>
              <w:spacing w:after="20"/>
              <w:jc w:val="right"/>
            </w:pPr>
            <w:r>
              <w:rPr>
                <w:color w:val="1C3A36"/>
                <w:sz w:val="18"/>
              </w:rPr>
              <w:t>58%</w:t>
            </w:r>
          </w:p>
        </w:tc>
      </w:tr>
      <w:tr>
        <w:tc>
          <w:tcPr>
            <w:tcW w:type="dxa" w:w="4752"/>
          </w:tcPr>
          <w:p>
            <w:pPr>
              <w:spacing w:after="20"/>
            </w:pPr>
            <w:r>
              <w:rPr>
                <w:b/>
                <w:color w:val="1C3A36"/>
                <w:sz w:val="18"/>
              </w:rPr>
              <w:t>Probability of +10% against −10% — the odds</w:t>
            </w:r>
          </w:p>
        </w:tc>
        <w:tc>
          <w:tcPr>
            <w:tcW w:type="dxa" w:w="4752"/>
          </w:tcPr>
          <w:p>
            <w:pPr>
              <w:spacing w:after="20"/>
              <w:jc w:val="right"/>
            </w:pPr>
            <w:r>
              <w:rPr>
                <w:color w:val="1C3A36"/>
                <w:sz w:val="18"/>
              </w:rPr>
              <w:t>39% against 24%  ·  1.66 : 1</w:t>
            </w:r>
          </w:p>
        </w:tc>
      </w:tr>
      <w:tr>
        <w:tc>
          <w:tcPr>
            <w:tcW w:type="dxa" w:w="4752"/>
          </w:tcPr>
          <w:p>
            <w:pPr>
              <w:spacing w:after="20"/>
            </w:pPr>
            <w:r>
              <w:rPr>
                <w:b/>
                <w:color w:val="1C3A36"/>
                <w:sz w:val="18"/>
              </w:rPr>
              <w:t>Median level, and its move</w:t>
            </w:r>
          </w:p>
        </w:tc>
        <w:tc>
          <w:tcPr>
            <w:tcW w:type="dxa" w:w="4752"/>
          </w:tcPr>
          <w:p>
            <w:pPr>
              <w:spacing w:after="20"/>
              <w:jc w:val="right"/>
            </w:pPr>
            <w:r>
              <w:rPr>
                <w:color w:val="1C3A36"/>
                <w:sz w:val="18"/>
              </w:rPr>
              <w:t>EGP 30.69  (+4.0%)</w:t>
            </w:r>
          </w:p>
        </w:tc>
      </w:tr>
      <w:tr>
        <w:tc>
          <w:tcPr>
            <w:tcW w:type="dxa" w:w="4752"/>
          </w:tcPr>
          <w:p>
            <w:pPr>
              <w:spacing w:after="20"/>
            </w:pPr>
            <w:r>
              <w:rPr>
                <w:b/>
                <w:color w:val="1C3A36"/>
                <w:sz w:val="18"/>
              </w:rPr>
              <w:t>The 50% band (25th–75th percentile)</w:t>
            </w:r>
          </w:p>
        </w:tc>
        <w:tc>
          <w:tcPr>
            <w:tcW w:type="dxa" w:w="4752"/>
          </w:tcPr>
          <w:p>
            <w:pPr>
              <w:spacing w:after="20"/>
              <w:jc w:val="right"/>
            </w:pPr>
            <w:r>
              <w:rPr>
                <w:color w:val="1C3A36"/>
                <w:sz w:val="18"/>
              </w:rPr>
              <w:t>EGP 26.80 – 35.18   (-9% / +19% of the anchor)</w:t>
            </w:r>
          </w:p>
        </w:tc>
      </w:tr>
      <w:tr>
        <w:tc>
          <w:tcPr>
            <w:tcW w:type="dxa" w:w="4752"/>
          </w:tcPr>
          <w:p>
            <w:pPr>
              <w:spacing w:after="20"/>
            </w:pPr>
            <w:r>
              <w:rPr>
                <w:b/>
                <w:color w:val="1C3A36"/>
                <w:sz w:val="18"/>
              </w:rPr>
              <w:t>Probability of touching +10% / −10% at any point</w:t>
            </w:r>
          </w:p>
        </w:tc>
        <w:tc>
          <w:tcPr>
            <w:tcW w:type="dxa" w:w="4752"/>
          </w:tcPr>
          <w:p>
            <w:pPr>
              <w:spacing w:after="20"/>
              <w:jc w:val="right"/>
            </w:pPr>
            <w:r>
              <w:rPr>
                <w:color w:val="1C3A36"/>
                <w:sz w:val="18"/>
              </w:rPr>
              <w:t>65%  /  49%</w:t>
            </w:r>
          </w:p>
        </w:tc>
      </w:tr>
    </w:tbl>
    <w:p>
      <w:pPr>
        <w:spacing w:after="40"/>
      </w:pPr>
    </w:p>
    <w:p>
      <w:pPr>
        <w:spacing w:after="120" w:before="0"/>
      </w:pPr>
      <w:r>
        <w:rPr>
          <w:b w:val="0"/>
          <w:i w:val="0"/>
          <w:color w:val="1C3A36"/>
          <w:sz w:val="21"/>
        </w:rPr>
        <w:t>We simulate 50,000 three-month price paths from the exchange library’s last session, EGP 29.51 on 23 August 2026. Width comes from a pooled cascade on a gap-aware variance proxy, projecting the average daily variance over the window — 49.7% annualised at this origin, regime-conditional by construction and with no calibration multiplier bolted on. Shape comes from unit-variance fat-tailed innovations through a per-path mixture: a tighter interquartile body and honest tails. Drift is the expanding-window secular term measured on this stock’s own history (+2.5% per quarter) rather than an assumption about where value sits; how often the bands built around it have actually held is published at the end of this section. A sixteen-factor stack layers on top — seven continuous drivers and nine discrete events, each firing with a probability and an impact — together adding +1.46% over the quarter.</w:t>
      </w:r>
    </w:p>
    <w:p>
      <w:pPr>
        <w:spacing w:after="120" w:before="0"/>
      </w:pPr>
      <w:r>
        <w:rPr>
          <w:b/>
          <w:i w:val="0"/>
          <w:color w:val="1C3A36"/>
          <w:sz w:val="21"/>
        </w:rPr>
        <w:t xml:space="preserve">By design the paths diffuse from the anchor as near-term price and deliberately do not embed the fundamental value. </w:t>
      </w:r>
      <w:r>
        <w:rPr>
          <w:b w:val="0"/>
          <w:i w:val="0"/>
          <w:color w:val="1C3A36"/>
          <w:sz w:val="21"/>
        </w:rPr>
        <w:t>Neither branch of §1 is in the drift. §3 maps where price could go from here, not where value sits. The upward median is this stock’s own measured behaviour surviving a calibration test — never a target, and never the §1 disagreement smuggled in through a side door.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3096"/>
            <w:shd w:val="clear" w:color="auto" w:fill="EAF0EE"/>
          </w:tcPr>
          <w:p>
            <w:pPr>
              <w:spacing w:after="20"/>
            </w:pPr>
            <w:r>
              <w:rPr>
                <w:b/>
                <w:color w:val="1C3A36"/>
                <w:sz w:val="17"/>
              </w:rPr>
              <w:t>Continuous factor (7)</w:t>
            </w:r>
          </w:p>
        </w:tc>
        <w:tc>
          <w:tcPr>
            <w:tcW w:type="dxa" w:w="864"/>
            <w:shd w:val="clear" w:color="auto" w:fill="EAF0EE"/>
          </w:tcPr>
          <w:p>
            <w:pPr>
              <w:spacing w:after="20"/>
            </w:pPr>
            <w:r>
              <w:rPr>
                <w:b/>
                <w:color w:val="1C3A36"/>
                <w:sz w:val="17"/>
              </w:rPr>
              <w:t>Direction</w:t>
            </w:r>
          </w:p>
        </w:tc>
        <w:tc>
          <w:tcPr>
            <w:tcW w:type="dxa" w:w="3168"/>
            <w:shd w:val="clear" w:color="auto" w:fill="EAF0EE"/>
          </w:tcPr>
          <w:p>
            <w:pPr>
              <w:spacing w:after="20"/>
            </w:pPr>
            <w:r>
              <w:rPr>
                <w:b/>
                <w:color w:val="1C3A36"/>
                <w:sz w:val="17"/>
              </w:rPr>
              <w:t>Discrete event (9)</w:t>
            </w:r>
          </w:p>
        </w:tc>
        <w:tc>
          <w:tcPr>
            <w:tcW w:type="dxa" w:w="1152"/>
            <w:shd w:val="clear" w:color="auto" w:fill="EAF0EE"/>
          </w:tcPr>
          <w:p>
            <w:pPr>
              <w:spacing w:after="20"/>
            </w:pPr>
            <w:r>
              <w:rPr>
                <w:b/>
                <w:color w:val="1C3A36"/>
                <w:sz w:val="17"/>
              </w:rPr>
              <w:t>Probability</w:t>
            </w:r>
          </w:p>
        </w:tc>
        <w:tc>
          <w:tcPr>
            <w:tcW w:type="dxa" w:w="1224"/>
            <w:shd w:val="clear" w:color="auto" w:fill="EAF0EE"/>
          </w:tcPr>
          <w:p>
            <w:pPr>
              <w:spacing w:after="20"/>
            </w:pPr>
            <w:r>
              <w:rPr>
                <w:b/>
                <w:color w:val="1C3A36"/>
                <w:sz w:val="17"/>
              </w:rPr>
              <w:t>Mean impact</w:t>
            </w:r>
          </w:p>
        </w:tc>
      </w:tr>
      <w:tr>
        <w:tc>
          <w:tcPr>
            <w:tcW w:type="dxa" w:w="3096"/>
          </w:tcPr>
          <w:p>
            <w:pPr>
              <w:spacing w:after="20"/>
            </w:pPr>
            <w:r>
              <w:rPr>
                <w:color w:val="1C3A36"/>
                <w:sz w:val="17"/>
              </w:rPr>
              <w:t>Egyptian passenger-car demand and the rate-cut cycle</w:t>
            </w:r>
          </w:p>
        </w:tc>
        <w:tc>
          <w:tcPr>
            <w:tcW w:type="dxa" w:w="864"/>
          </w:tcPr>
          <w:p>
            <w:pPr>
              <w:spacing w:after="20"/>
              <w:jc w:val="right"/>
            </w:pPr>
            <w:r>
              <w:rPr>
                <w:color w:val="1C3A36"/>
                <w:sz w:val="17"/>
              </w:rPr>
              <w:t>+</w:t>
            </w:r>
          </w:p>
        </w:tc>
        <w:tc>
          <w:tcPr>
            <w:tcW w:type="dxa" w:w="3168"/>
          </w:tcPr>
          <w:p>
            <w:pPr>
              <w:spacing w:after="20"/>
              <w:jc w:val="right"/>
            </w:pPr>
            <w:r>
              <w:rPr>
                <w:color w:val="1C3A36"/>
                <w:sz w:val="17"/>
              </w:rPr>
              <w:t>A results release inside the window</w:t>
            </w:r>
          </w:p>
        </w:tc>
        <w:tc>
          <w:tcPr>
            <w:tcW w:type="dxa" w:w="1152"/>
          </w:tcPr>
          <w:p>
            <w:pPr>
              <w:spacing w:after="20"/>
              <w:jc w:val="right"/>
            </w:pPr>
            <w:r>
              <w:rPr>
                <w:color w:val="1C3A36"/>
                <w:sz w:val="17"/>
              </w:rPr>
              <w:t>90%</w:t>
            </w:r>
          </w:p>
        </w:tc>
        <w:tc>
          <w:tcPr>
            <w:tcW w:type="dxa" w:w="1224"/>
          </w:tcPr>
          <w:p>
            <w:pPr>
              <w:spacing w:after="20"/>
              <w:jc w:val="right"/>
            </w:pPr>
            <w:r>
              <w:rPr>
                <w:color w:val="1C3A36"/>
                <w:sz w:val="17"/>
              </w:rPr>
              <w:t>+0.5%</w:t>
            </w:r>
          </w:p>
        </w:tc>
      </w:tr>
      <w:tr>
        <w:tc>
          <w:tcPr>
            <w:tcW w:type="dxa" w:w="3096"/>
          </w:tcPr>
          <w:p>
            <w:pPr>
              <w:spacing w:after="20"/>
            </w:pPr>
            <w:r>
              <w:rPr>
                <w:color w:val="1C3A36"/>
                <w:sz w:val="17"/>
              </w:rPr>
              <w:t>Currency drift through imported assembly content</w:t>
            </w:r>
          </w:p>
        </w:tc>
        <w:tc>
          <w:tcPr>
            <w:tcW w:type="dxa" w:w="864"/>
          </w:tcPr>
          <w:p>
            <w:pPr>
              <w:spacing w:after="20"/>
              <w:jc w:val="right"/>
            </w:pPr>
            <w:r>
              <w:rPr>
                <w:color w:val="1C3A36"/>
                <w:sz w:val="17"/>
              </w:rPr>
              <w:t>±</w:t>
            </w:r>
          </w:p>
        </w:tc>
        <w:tc>
          <w:tcPr>
            <w:tcW w:type="dxa" w:w="3168"/>
          </w:tcPr>
          <w:p>
            <w:pPr>
              <w:spacing w:after="20"/>
              <w:jc w:val="right"/>
            </w:pPr>
            <w:r>
              <w:rPr>
                <w:color w:val="1C3A36"/>
                <w:sz w:val="17"/>
              </w:rPr>
              <w:t>MNT-Halan second closing at or above the round</w:t>
            </w:r>
          </w:p>
        </w:tc>
        <w:tc>
          <w:tcPr>
            <w:tcW w:type="dxa" w:w="1152"/>
          </w:tcPr>
          <w:p>
            <w:pPr>
              <w:spacing w:after="20"/>
              <w:jc w:val="right"/>
            </w:pPr>
            <w:r>
              <w:rPr>
                <w:color w:val="1C3A36"/>
                <w:sz w:val="17"/>
              </w:rPr>
              <w:t>45%</w:t>
            </w:r>
          </w:p>
        </w:tc>
        <w:tc>
          <w:tcPr>
            <w:tcW w:type="dxa" w:w="1224"/>
          </w:tcPr>
          <w:p>
            <w:pPr>
              <w:spacing w:after="20"/>
              <w:jc w:val="right"/>
            </w:pPr>
            <w:r>
              <w:rPr>
                <w:color w:val="1C3A36"/>
                <w:sz w:val="17"/>
              </w:rPr>
              <w:t>+1.5%</w:t>
            </w:r>
          </w:p>
        </w:tc>
      </w:tr>
      <w:tr>
        <w:tc>
          <w:tcPr>
            <w:tcW w:type="dxa" w:w="3096"/>
          </w:tcPr>
          <w:p>
            <w:pPr>
              <w:spacing w:after="20"/>
            </w:pPr>
            <w:r>
              <w:rPr>
                <w:color w:val="1C3A36"/>
                <w:sz w:val="17"/>
              </w:rPr>
              <w:t>Policy easing — affordability and lender margin</w:t>
            </w:r>
          </w:p>
        </w:tc>
        <w:tc>
          <w:tcPr>
            <w:tcW w:type="dxa" w:w="864"/>
          </w:tcPr>
          <w:p>
            <w:pPr>
              <w:spacing w:after="20"/>
              <w:jc w:val="right"/>
            </w:pPr>
            <w:r>
              <w:rPr>
                <w:color w:val="1C3A36"/>
                <w:sz w:val="17"/>
              </w:rPr>
              <w:t>+</w:t>
            </w:r>
          </w:p>
        </w:tc>
        <w:tc>
          <w:tcPr>
            <w:tcW w:type="dxa" w:w="3168"/>
          </w:tcPr>
          <w:p>
            <w:pPr>
              <w:spacing w:after="20"/>
              <w:jc w:val="right"/>
            </w:pPr>
            <w:r>
              <w:rPr>
                <w:color w:val="1C3A36"/>
                <w:sz w:val="17"/>
              </w:rPr>
              <w:t>A policy cut of 100 basis points or more</w:t>
            </w:r>
          </w:p>
        </w:tc>
        <w:tc>
          <w:tcPr>
            <w:tcW w:type="dxa" w:w="1152"/>
          </w:tcPr>
          <w:p>
            <w:pPr>
              <w:spacing w:after="20"/>
              <w:jc w:val="right"/>
            </w:pPr>
            <w:r>
              <w:rPr>
                <w:color w:val="1C3A36"/>
                <w:sz w:val="17"/>
              </w:rPr>
              <w:t>50%</w:t>
            </w:r>
          </w:p>
        </w:tc>
        <w:tc>
          <w:tcPr>
            <w:tcW w:type="dxa" w:w="1224"/>
          </w:tcPr>
          <w:p>
            <w:pPr>
              <w:spacing w:after="20"/>
              <w:jc w:val="right"/>
            </w:pPr>
            <w:r>
              <w:rPr>
                <w:color w:val="1C3A36"/>
                <w:sz w:val="17"/>
              </w:rPr>
              <w:t>+1.0%</w:t>
            </w:r>
          </w:p>
        </w:tc>
      </w:tr>
      <w:tr>
        <w:tc>
          <w:tcPr>
            <w:tcW w:type="dxa" w:w="3096"/>
          </w:tcPr>
          <w:p>
            <w:pPr>
              <w:spacing w:after="20"/>
            </w:pPr>
            <w:r>
              <w:rPr>
                <w:color w:val="1C3A36"/>
                <w:sz w:val="17"/>
              </w:rPr>
              <w:t>Regional conflict drag on Iraq and Jordan</w:t>
            </w:r>
          </w:p>
        </w:tc>
        <w:tc>
          <w:tcPr>
            <w:tcW w:type="dxa" w:w="864"/>
          </w:tcPr>
          <w:p>
            <w:pPr>
              <w:spacing w:after="20"/>
              <w:jc w:val="right"/>
            </w:pPr>
            <w:r>
              <w:rPr>
                <w:color w:val="1C3A36"/>
                <w:sz w:val="17"/>
              </w:rPr>
              <w:t>−</w:t>
            </w:r>
          </w:p>
        </w:tc>
        <w:tc>
          <w:tcPr>
            <w:tcW w:type="dxa" w:w="3168"/>
          </w:tcPr>
          <w:p>
            <w:pPr>
              <w:spacing w:after="20"/>
              <w:jc w:val="right"/>
            </w:pPr>
            <w:r>
              <w:rPr>
                <w:color w:val="1C3A36"/>
                <w:sz w:val="17"/>
              </w:rPr>
              <w:t>Regional escalation spillover</w:t>
            </w:r>
          </w:p>
        </w:tc>
        <w:tc>
          <w:tcPr>
            <w:tcW w:type="dxa" w:w="1152"/>
          </w:tcPr>
          <w:p>
            <w:pPr>
              <w:spacing w:after="20"/>
              <w:jc w:val="right"/>
            </w:pPr>
            <w:r>
              <w:rPr>
                <w:color w:val="1C3A36"/>
                <w:sz w:val="17"/>
              </w:rPr>
              <w:t>25%</w:t>
            </w:r>
          </w:p>
        </w:tc>
        <w:tc>
          <w:tcPr>
            <w:tcW w:type="dxa" w:w="1224"/>
          </w:tcPr>
          <w:p>
            <w:pPr>
              <w:spacing w:after="20"/>
              <w:jc w:val="right"/>
            </w:pPr>
            <w:r>
              <w:rPr>
                <w:color w:val="1C3A36"/>
                <w:sz w:val="17"/>
              </w:rPr>
              <w:t>−2.5%</w:t>
            </w:r>
          </w:p>
        </w:tc>
      </w:tr>
      <w:tr>
        <w:tc>
          <w:tcPr>
            <w:tcW w:type="dxa" w:w="3096"/>
          </w:tcPr>
          <w:p>
            <w:pPr>
              <w:spacing w:after="20"/>
            </w:pPr>
            <w:r>
              <w:rPr>
                <w:color w:val="1C3A36"/>
                <w:sz w:val="17"/>
              </w:rPr>
              <w:t>Chinese grey-import competition</w:t>
            </w:r>
          </w:p>
        </w:tc>
        <w:tc>
          <w:tcPr>
            <w:tcW w:type="dxa" w:w="864"/>
          </w:tcPr>
          <w:p>
            <w:pPr>
              <w:spacing w:after="20"/>
              <w:jc w:val="right"/>
            </w:pPr>
            <w:r>
              <w:rPr>
                <w:color w:val="1C3A36"/>
                <w:sz w:val="17"/>
              </w:rPr>
              <w:t>−</w:t>
            </w:r>
          </w:p>
        </w:tc>
        <w:tc>
          <w:tcPr>
            <w:tcW w:type="dxa" w:w="3168"/>
          </w:tcPr>
          <w:p>
            <w:pPr>
              <w:spacing w:after="20"/>
              <w:jc w:val="right"/>
            </w:pPr>
            <w:r>
              <w:rPr>
                <w:color w:val="1C3A36"/>
                <w:sz w:val="17"/>
              </w:rPr>
              <w:t>A new entrant resetting price points</w:t>
            </w:r>
          </w:p>
        </w:tc>
        <w:tc>
          <w:tcPr>
            <w:tcW w:type="dxa" w:w="1152"/>
          </w:tcPr>
          <w:p>
            <w:pPr>
              <w:spacing w:after="20"/>
              <w:jc w:val="right"/>
            </w:pPr>
            <w:r>
              <w:rPr>
                <w:color w:val="1C3A36"/>
                <w:sz w:val="17"/>
              </w:rPr>
              <w:t>35%</w:t>
            </w:r>
          </w:p>
        </w:tc>
        <w:tc>
          <w:tcPr>
            <w:tcW w:type="dxa" w:w="1224"/>
          </w:tcPr>
          <w:p>
            <w:pPr>
              <w:spacing w:after="20"/>
              <w:jc w:val="right"/>
            </w:pPr>
            <w:r>
              <w:rPr>
                <w:color w:val="1C3A36"/>
                <w:sz w:val="17"/>
              </w:rPr>
              <w:t>−1.0%</w:t>
            </w:r>
          </w:p>
        </w:tc>
      </w:tr>
      <w:tr>
        <w:tc>
          <w:tcPr>
            <w:tcW w:type="dxa" w:w="3096"/>
          </w:tcPr>
          <w:p>
            <w:pPr>
              <w:spacing w:after="20"/>
            </w:pPr>
            <w:r>
              <w:rPr>
                <w:color w:val="1C3A36"/>
                <w:sz w:val="17"/>
              </w:rPr>
              <w:t>Localisation and the assembly-plant ramp</w:t>
            </w:r>
          </w:p>
        </w:tc>
        <w:tc>
          <w:tcPr>
            <w:tcW w:type="dxa" w:w="864"/>
          </w:tcPr>
          <w:p>
            <w:pPr>
              <w:spacing w:after="20"/>
              <w:jc w:val="right"/>
            </w:pPr>
            <w:r>
              <w:rPr>
                <w:color w:val="1C3A36"/>
                <w:sz w:val="17"/>
              </w:rPr>
              <w:t>+</w:t>
            </w:r>
          </w:p>
        </w:tc>
        <w:tc>
          <w:tcPr>
            <w:tcW w:type="dxa" w:w="3168"/>
          </w:tcPr>
          <w:p>
            <w:pPr>
              <w:spacing w:after="20"/>
              <w:jc w:val="right"/>
            </w:pPr>
            <w:r>
              <w:rPr>
                <w:color w:val="1C3A36"/>
                <w:sz w:val="17"/>
              </w:rPr>
              <w:t>Plant ramp or a new assembled model</w:t>
            </w:r>
          </w:p>
        </w:tc>
        <w:tc>
          <w:tcPr>
            <w:tcW w:type="dxa" w:w="1152"/>
          </w:tcPr>
          <w:p>
            <w:pPr>
              <w:spacing w:after="20"/>
              <w:jc w:val="right"/>
            </w:pPr>
            <w:r>
              <w:rPr>
                <w:color w:val="1C3A36"/>
                <w:sz w:val="17"/>
              </w:rPr>
              <w:t>55%</w:t>
            </w:r>
          </w:p>
        </w:tc>
        <w:tc>
          <w:tcPr>
            <w:tcW w:type="dxa" w:w="1224"/>
          </w:tcPr>
          <w:p>
            <w:pPr>
              <w:spacing w:after="20"/>
              <w:jc w:val="right"/>
            </w:pPr>
            <w:r>
              <w:rPr>
                <w:color w:val="1C3A36"/>
                <w:sz w:val="17"/>
              </w:rPr>
              <w:t>+0.6%</w:t>
            </w:r>
          </w:p>
        </w:tc>
      </w:tr>
      <w:tr>
        <w:tc>
          <w:tcPr>
            <w:tcW w:type="dxa" w:w="3096"/>
          </w:tcPr>
          <w:p>
            <w:pPr>
              <w:spacing w:after="20"/>
            </w:pPr>
            <w:r>
              <w:rPr>
                <w:color w:val="1C3A36"/>
                <w:sz w:val="17"/>
              </w:rPr>
              <w:t>Funding cost and the provisioning cycle</w:t>
            </w:r>
          </w:p>
        </w:tc>
        <w:tc>
          <w:tcPr>
            <w:tcW w:type="dxa" w:w="864"/>
          </w:tcPr>
          <w:p>
            <w:pPr>
              <w:spacing w:after="20"/>
              <w:jc w:val="right"/>
            </w:pPr>
            <w:r>
              <w:rPr>
                <w:color w:val="1C3A36"/>
                <w:sz w:val="17"/>
              </w:rPr>
              <w:t>−</w:t>
            </w:r>
          </w:p>
        </w:tc>
        <w:tc>
          <w:tcPr>
            <w:tcW w:type="dxa" w:w="3168"/>
          </w:tcPr>
          <w:p>
            <w:pPr>
              <w:spacing w:after="20"/>
              <w:jc w:val="right"/>
            </w:pPr>
            <w:r>
              <w:rPr>
                <w:color w:val="1C3A36"/>
                <w:sz w:val="17"/>
              </w:rPr>
              <w:t>Dividend or capital-return surprise</w:t>
            </w:r>
          </w:p>
        </w:tc>
        <w:tc>
          <w:tcPr>
            <w:tcW w:type="dxa" w:w="1152"/>
          </w:tcPr>
          <w:p>
            <w:pPr>
              <w:spacing w:after="20"/>
              <w:jc w:val="right"/>
            </w:pPr>
            <w:r>
              <w:rPr>
                <w:color w:val="1C3A36"/>
                <w:sz w:val="17"/>
              </w:rPr>
              <w:t>15%</w:t>
            </w:r>
          </w:p>
        </w:tc>
        <w:tc>
          <w:tcPr>
            <w:tcW w:type="dxa" w:w="1224"/>
          </w:tcPr>
          <w:p>
            <w:pPr>
              <w:spacing w:after="20"/>
              <w:jc w:val="right"/>
            </w:pPr>
            <w:r>
              <w:rPr>
                <w:color w:val="1C3A36"/>
                <w:sz w:val="17"/>
              </w:rPr>
              <w:t>+0.8%</w:t>
            </w:r>
          </w:p>
        </w:tc>
      </w:tr>
      <w:tr>
        <w:tc>
          <w:tcPr>
            <w:tcW w:type="dxa" w:w="3096"/>
          </w:tcPr>
          <w:p>
            <w:pPr>
              <w:spacing w:after="20"/>
            </w:pPr>
            <w:r>
              <w:rPr>
                <w:color w:val="1C3A36"/>
                <w:sz w:val="17"/>
              </w:rPr>
            </w:r>
          </w:p>
        </w:tc>
        <w:tc>
          <w:tcPr>
            <w:tcW w:type="dxa" w:w="864"/>
          </w:tcPr>
          <w:p>
            <w:pPr>
              <w:spacing w:after="20"/>
              <w:jc w:val="right"/>
            </w:pPr>
            <w:r>
              <w:rPr>
                <w:color w:val="1C3A36"/>
                <w:sz w:val="17"/>
              </w:rPr>
            </w:r>
          </w:p>
        </w:tc>
        <w:tc>
          <w:tcPr>
            <w:tcW w:type="dxa" w:w="3168"/>
          </w:tcPr>
          <w:p>
            <w:pPr>
              <w:spacing w:after="20"/>
              <w:jc w:val="right"/>
            </w:pPr>
            <w:r>
              <w:rPr>
                <w:color w:val="1C3A36"/>
                <w:sz w:val="17"/>
              </w:rPr>
              <w:t>A step devaluation of the pound</w:t>
            </w:r>
          </w:p>
        </w:tc>
        <w:tc>
          <w:tcPr>
            <w:tcW w:type="dxa" w:w="1152"/>
          </w:tcPr>
          <w:p>
            <w:pPr>
              <w:spacing w:after="20"/>
              <w:jc w:val="right"/>
            </w:pPr>
            <w:r>
              <w:rPr>
                <w:color w:val="1C3A36"/>
                <w:sz w:val="17"/>
              </w:rPr>
              <w:t>12%</w:t>
            </w:r>
          </w:p>
        </w:tc>
        <w:tc>
          <w:tcPr>
            <w:tcW w:type="dxa" w:w="1224"/>
          </w:tcPr>
          <w:p>
            <w:pPr>
              <w:spacing w:after="20"/>
              <w:jc w:val="right"/>
            </w:pPr>
            <w:r>
              <w:rPr>
                <w:color w:val="1C3A36"/>
                <w:sz w:val="17"/>
              </w:rPr>
              <w:t>−2.0%</w:t>
            </w:r>
          </w:p>
        </w:tc>
      </w:tr>
      <w:tr>
        <w:tc>
          <w:tcPr>
            <w:tcW w:type="dxa" w:w="3096"/>
          </w:tcPr>
          <w:p>
            <w:pPr>
              <w:spacing w:after="20"/>
            </w:pPr>
            <w:r>
              <w:rPr>
                <w:color w:val="1C3A36"/>
                <w:sz w:val="17"/>
              </w:rPr>
            </w:r>
          </w:p>
        </w:tc>
        <w:tc>
          <w:tcPr>
            <w:tcW w:type="dxa" w:w="864"/>
          </w:tcPr>
          <w:p>
            <w:pPr>
              <w:spacing w:after="20"/>
              <w:jc w:val="right"/>
            </w:pPr>
            <w:r>
              <w:rPr>
                <w:color w:val="1C3A36"/>
                <w:sz w:val="17"/>
              </w:rPr>
            </w:r>
          </w:p>
        </w:tc>
        <w:tc>
          <w:tcPr>
            <w:tcW w:type="dxa" w:w="3168"/>
          </w:tcPr>
          <w:p>
            <w:pPr>
              <w:spacing w:after="20"/>
              <w:jc w:val="right"/>
            </w:pPr>
            <w:r>
              <w:rPr>
                <w:color w:val="1C3A36"/>
                <w:sz w:val="17"/>
              </w:rPr>
              <w:t>Index flows or an index event</w:t>
            </w:r>
          </w:p>
        </w:tc>
        <w:tc>
          <w:tcPr>
            <w:tcW w:type="dxa" w:w="1152"/>
          </w:tcPr>
          <w:p>
            <w:pPr>
              <w:spacing w:after="20"/>
              <w:jc w:val="right"/>
            </w:pPr>
            <w:r>
              <w:rPr>
                <w:color w:val="1C3A36"/>
                <w:sz w:val="17"/>
              </w:rPr>
              <w:t>25%</w:t>
            </w:r>
          </w:p>
        </w:tc>
        <w:tc>
          <w:tcPr>
            <w:tcW w:type="dxa" w:w="1224"/>
          </w:tcPr>
          <w:p>
            <w:pPr>
              <w:spacing w:after="20"/>
              <w:jc w:val="right"/>
            </w:pPr>
            <w:r>
              <w:rPr>
                <w:color w:val="1C3A36"/>
                <w:sz w:val="17"/>
              </w:rPr>
              <w:t>+0.8%</w:t>
            </w:r>
          </w:p>
        </w:tc>
      </w:tr>
    </w:tbl>
    <w:p>
      <w:pPr>
        <w:spacing w:after="40"/>
      </w:pPr>
    </w:p>
    <w:p>
      <w:pPr>
        <w:spacing w:after="200" w:before="0"/>
      </w:pPr>
      <w:r>
        <w:rPr>
          <w:b w:val="0"/>
          <w:i/>
          <w:color w:val="6E7B77"/>
          <w:sz w:val="17"/>
        </w:rPr>
        <w:t>The factor stack is the preparer’s own judgment, stated so a reader can disagree with each line. The rows above are the DISCRETE events and they do not sum to the whole: the remainder is carried by the continuous factors, which have no single dated event behind them, and its magnitude is printed in the row beneath rather than left as a residue a reader has to solve for. It is deliberately modest in aggregate: the whole stack moves the quarter by less than two per cent.</w:t>
      </w:r>
    </w:p>
    <w:p>
      <w:pPr>
        <w:spacing w:after="80" w:before="200"/>
      </w:pPr>
      <w:r>
        <w:rPr>
          <w:b/>
          <w:i w:val="0"/>
          <w:color w:val="1C3A36"/>
          <w:sz w:val="24"/>
        </w:rPr>
        <w:t>Percentile map (EGP per share)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2736"/>
            <w:shd w:val="clear" w:color="auto" w:fill="EAF0EE"/>
          </w:tcPr>
          <w:p>
            <w:pPr>
              <w:spacing w:after="20"/>
            </w:pPr>
            <w:r>
              <w:rPr>
                <w:b/>
                <w:color w:val="1C3A36"/>
                <w:sz w:val="18"/>
              </w:rPr>
              <w:t>Horizon</w:t>
            </w:r>
          </w:p>
        </w:tc>
        <w:tc>
          <w:tcPr>
            <w:tcW w:type="dxa" w:w="1440"/>
            <w:shd w:val="clear" w:color="auto" w:fill="EAF0EE"/>
          </w:tcPr>
          <w:p>
            <w:pPr>
              <w:spacing w:after="20"/>
            </w:pPr>
            <w:r>
              <w:rPr>
                <w:b/>
                <w:color w:val="1C3A36"/>
                <w:sz w:val="18"/>
              </w:rPr>
              <w:t>p5</w:t>
            </w:r>
          </w:p>
        </w:tc>
        <w:tc>
          <w:tcPr>
            <w:tcW w:type="dxa" w:w="1440"/>
            <w:shd w:val="clear" w:color="auto" w:fill="EAF0EE"/>
          </w:tcPr>
          <w:p>
            <w:pPr>
              <w:spacing w:after="20"/>
            </w:pPr>
            <w:r>
              <w:rPr>
                <w:b/>
                <w:color w:val="1C3A36"/>
                <w:sz w:val="18"/>
              </w:rPr>
              <w:t>p25</w:t>
            </w:r>
          </w:p>
        </w:tc>
        <w:tc>
          <w:tcPr>
            <w:tcW w:type="dxa" w:w="1440"/>
            <w:shd w:val="clear" w:color="auto" w:fill="EAF0EE"/>
          </w:tcPr>
          <w:p>
            <w:pPr>
              <w:spacing w:after="20"/>
            </w:pPr>
            <w:r>
              <w:rPr>
                <w:b/>
                <w:color w:val="1C3A36"/>
                <w:sz w:val="18"/>
              </w:rPr>
              <w:t>p50</w:t>
            </w:r>
          </w:p>
        </w:tc>
        <w:tc>
          <w:tcPr>
            <w:tcW w:type="dxa" w:w="1440"/>
            <w:shd w:val="clear" w:color="auto" w:fill="EAF0EE"/>
          </w:tcPr>
          <w:p>
            <w:pPr>
              <w:spacing w:after="20"/>
            </w:pPr>
            <w:r>
              <w:rPr>
                <w:b/>
                <w:color w:val="1C3A36"/>
                <w:sz w:val="18"/>
              </w:rPr>
              <w:t>p75</w:t>
            </w:r>
          </w:p>
        </w:tc>
        <w:tc>
          <w:tcPr>
            <w:tcW w:type="dxa" w:w="1440"/>
            <w:shd w:val="clear" w:color="auto" w:fill="EAF0EE"/>
          </w:tcPr>
          <w:p>
            <w:pPr>
              <w:spacing w:after="20"/>
            </w:pPr>
            <w:r>
              <w:rPr>
                <w:b/>
                <w:color w:val="1C3A36"/>
                <w:sz w:val="18"/>
              </w:rPr>
              <w:t>p95</w:t>
            </w:r>
          </w:p>
        </w:tc>
      </w:tr>
      <w:tr>
        <w:tc>
          <w:tcPr>
            <w:tcW w:type="dxa" w:w="2736"/>
          </w:tcPr>
          <w:p>
            <w:pPr>
              <w:spacing w:after="20"/>
            </w:pPr>
            <w:r>
              <w:rPr>
                <w:b/>
                <w:color w:val="1C3A36"/>
                <w:sz w:val="18"/>
              </w:rPr>
              <w:t>1 month</w:t>
            </w:r>
          </w:p>
        </w:tc>
        <w:tc>
          <w:tcPr>
            <w:tcW w:type="dxa" w:w="1440"/>
          </w:tcPr>
          <w:p>
            <w:pPr>
              <w:spacing w:after="20"/>
              <w:jc w:val="right"/>
            </w:pPr>
            <w:r>
              <w:rPr>
                <w:color w:val="1C3A36"/>
                <w:sz w:val="18"/>
              </w:rPr>
              <w:t>24.03</w:t>
            </w:r>
          </w:p>
        </w:tc>
        <w:tc>
          <w:tcPr>
            <w:tcW w:type="dxa" w:w="1440"/>
          </w:tcPr>
          <w:p>
            <w:pPr>
              <w:spacing w:after="20"/>
              <w:jc w:val="right"/>
            </w:pPr>
            <w:r>
              <w:rPr>
                <w:color w:val="1C3A36"/>
                <w:sz w:val="18"/>
              </w:rPr>
              <w:t>27.64</w:t>
            </w:r>
          </w:p>
        </w:tc>
        <w:tc>
          <w:tcPr>
            <w:tcW w:type="dxa" w:w="1440"/>
          </w:tcPr>
          <w:p>
            <w:pPr>
              <w:spacing w:after="20"/>
              <w:jc w:val="right"/>
            </w:pPr>
            <w:r>
              <w:rPr>
                <w:color w:val="1C3A36"/>
                <w:sz w:val="18"/>
              </w:rPr>
              <w:t>29.91</w:t>
            </w:r>
          </w:p>
        </w:tc>
        <w:tc>
          <w:tcPr>
            <w:tcW w:type="dxa" w:w="1440"/>
          </w:tcPr>
          <w:p>
            <w:pPr>
              <w:spacing w:after="20"/>
              <w:jc w:val="right"/>
            </w:pPr>
            <w:r>
              <w:rPr>
                <w:color w:val="1C3A36"/>
                <w:sz w:val="18"/>
              </w:rPr>
              <w:t>32.37</w:t>
            </w:r>
          </w:p>
        </w:tc>
        <w:tc>
          <w:tcPr>
            <w:tcW w:type="dxa" w:w="1440"/>
          </w:tcPr>
          <w:p>
            <w:pPr>
              <w:spacing w:after="20"/>
              <w:jc w:val="right"/>
            </w:pPr>
            <w:r>
              <w:rPr>
                <w:color w:val="1C3A36"/>
                <w:sz w:val="18"/>
              </w:rPr>
              <w:t>37.31</w:t>
            </w:r>
          </w:p>
        </w:tc>
      </w:tr>
      <w:tr>
        <w:tc>
          <w:tcPr>
            <w:tcW w:type="dxa" w:w="2736"/>
          </w:tcPr>
          <w:p>
            <w:pPr>
              <w:spacing w:after="20"/>
            </w:pPr>
            <w:r>
              <w:rPr>
                <w:b/>
                <w:color w:val="1C3A36"/>
                <w:sz w:val="18"/>
              </w:rPr>
              <w:t>3 months</w:t>
            </w:r>
          </w:p>
        </w:tc>
        <w:tc>
          <w:tcPr>
            <w:tcW w:type="dxa" w:w="1440"/>
          </w:tcPr>
          <w:p>
            <w:pPr>
              <w:spacing w:after="20"/>
              <w:jc w:val="right"/>
            </w:pPr>
            <w:r>
              <w:rPr>
                <w:color w:val="1C3A36"/>
                <w:sz w:val="18"/>
              </w:rPr>
              <w:t>21.00</w:t>
            </w:r>
          </w:p>
        </w:tc>
        <w:tc>
          <w:tcPr>
            <w:tcW w:type="dxa" w:w="1440"/>
          </w:tcPr>
          <w:p>
            <w:pPr>
              <w:spacing w:after="20"/>
              <w:jc w:val="right"/>
            </w:pPr>
            <w:r>
              <w:rPr>
                <w:color w:val="1C3A36"/>
                <w:sz w:val="18"/>
              </w:rPr>
              <w:t>26.80</w:t>
            </w:r>
          </w:p>
        </w:tc>
        <w:tc>
          <w:tcPr>
            <w:tcW w:type="dxa" w:w="1440"/>
          </w:tcPr>
          <w:p>
            <w:pPr>
              <w:spacing w:after="20"/>
              <w:jc w:val="right"/>
            </w:pPr>
            <w:r>
              <w:rPr>
                <w:color w:val="1C3A36"/>
                <w:sz w:val="18"/>
              </w:rPr>
              <w:t>30.69</w:t>
            </w:r>
          </w:p>
        </w:tc>
        <w:tc>
          <w:tcPr>
            <w:tcW w:type="dxa" w:w="1440"/>
          </w:tcPr>
          <w:p>
            <w:pPr>
              <w:spacing w:after="20"/>
              <w:jc w:val="right"/>
            </w:pPr>
            <w:r>
              <w:rPr>
                <w:color w:val="1C3A36"/>
                <w:sz w:val="18"/>
              </w:rPr>
              <w:t>35.18</w:t>
            </w:r>
          </w:p>
        </w:tc>
        <w:tc>
          <w:tcPr>
            <w:tcW w:type="dxa" w:w="1440"/>
          </w:tcPr>
          <w:p>
            <w:pPr>
              <w:spacing w:after="20"/>
              <w:jc w:val="right"/>
            </w:pPr>
            <w:r>
              <w:rPr>
                <w:color w:val="1C3A36"/>
                <w:sz w:val="18"/>
              </w:rPr>
              <w:t>44.89</w:t>
            </w:r>
          </w:p>
        </w:tc>
      </w:tr>
    </w:tbl>
    <w:p>
      <w:pPr>
        <w:spacing w:after="40"/>
      </w:pPr>
    </w:p>
    <w:p>
      <w:pPr>
        <w:spacing w:after="120" w:before="0"/>
      </w:pPr>
      <w:r>
        <w:rPr>
          <w:b w:val="0"/>
          <w:i w:val="0"/>
          <w:color w:val="1C3A36"/>
          <w:sz w:val="19"/>
        </w:rPr>
        <w:t>Lead with the 50% band rather than the tails: a quarter ahead, half of all paths finish between EGP 26.80 and 35.18; at one month the band is EGP 27.64–32.37. The 5th-to-95th cone is context, not a forecast.</w:t>
      </w:r>
    </w:p>
    <w:p>
      <w:pPr>
        <w:spacing w:after="40"/>
        <w:jc w:val="center"/>
      </w:pPr>
      <w:r>
        <w:drawing>
          <wp:inline xmlns:a="http://schemas.openxmlformats.org/drawingml/2006/main" xmlns:pic="http://schemas.openxmlformats.org/drawingml/2006/picture">
            <wp:extent cx="5852160" cy="2508069"/>
            <wp:docPr id="4" name="Picture 4"/>
            <wp:cNvGraphicFramePr>
              <a:graphicFrameLocks noChangeAspect="1"/>
            </wp:cNvGraphicFramePr>
            <a:graphic>
              <a:graphicData uri="http://schemas.openxmlformats.org/drawingml/2006/picture">
                <pic:pic>
                  <pic:nvPicPr>
                    <pic:cNvPr id="0" name="fig4_fan.png"/>
                    <pic:cNvPicPr/>
                  </pic:nvPicPr>
                  <pic:blipFill>
                    <a:blip r:embed="rId12"/>
                    <a:stretch>
                      <a:fillRect/>
                    </a:stretch>
                  </pic:blipFill>
                  <pic:spPr>
                    <a:xfrm>
                      <a:off x="0" y="0"/>
                      <a:ext cx="5852160" cy="2508069"/>
                    </a:xfrm>
                    <a:prstGeom prst="rect"/>
                  </pic:spPr>
                </pic:pic>
              </a:graphicData>
            </a:graphic>
          </wp:inline>
        </w:drawing>
      </w:r>
    </w:p>
    <w:p>
      <w:pPr>
        <w:spacing w:after="200" w:before="0"/>
      </w:pPr>
      <w:r>
        <w:rPr>
          <w:b w:val="0"/>
          <w:i/>
          <w:color w:val="6E7B77"/>
          <w:sz w:val="17"/>
        </w:rPr>
        <w:t>Figure 4 — Forward price cone to three months. The median drifts up with the calibrated secular term; the two brass dashed lines mark the two branches of the fundamental answer. At three months the cone’s 95th percentile reaches EGP 44.89, so both branches sit inside the cone’s upper tail. The two are on different clocks and the picture is a comparison, not a forecast of the value.</w:t>
      </w:r>
    </w:p>
    <w:p>
      <w:pPr>
        <w:spacing w:after="40"/>
        <w:jc w:val="center"/>
      </w:pPr>
      <w:r>
        <w:drawing>
          <wp:inline xmlns:a="http://schemas.openxmlformats.org/drawingml/2006/main" xmlns:pic="http://schemas.openxmlformats.org/drawingml/2006/picture">
            <wp:extent cx="4754880" cy="2377440"/>
            <wp:docPr id="5" name="Picture 5"/>
            <wp:cNvGraphicFramePr>
              <a:graphicFrameLocks noChangeAspect="1"/>
            </wp:cNvGraphicFramePr>
            <a:graphic>
              <a:graphicData uri="http://schemas.openxmlformats.org/drawingml/2006/picture">
                <pic:pic>
                  <pic:nvPicPr>
                    <pic:cNvPr id="0" name="fig5_dist.png"/>
                    <pic:cNvPicPr/>
                  </pic:nvPicPr>
                  <pic:blipFill>
                    <a:blip r:embed="rId13"/>
                    <a:stretch>
                      <a:fillRect/>
                    </a:stretch>
                  </pic:blipFill>
                  <pic:spPr>
                    <a:xfrm>
                      <a:off x="0" y="0"/>
                      <a:ext cx="4754880" cy="2377440"/>
                    </a:xfrm>
                    <a:prstGeom prst="rect"/>
                  </pic:spPr>
                </pic:pic>
              </a:graphicData>
            </a:graphic>
          </wp:inline>
        </w:drawing>
      </w:r>
    </w:p>
    <w:p>
      <w:pPr>
        <w:spacing w:after="200" w:before="0"/>
      </w:pPr>
      <w:r>
        <w:rPr>
          <w:b w:val="0"/>
          <w:i/>
          <w:color w:val="6E7B77"/>
          <w:sz w:val="17"/>
        </w:rPr>
        <w:t>Figure 5 — Price distribution at one month.</w:t>
      </w:r>
    </w:p>
    <w:p>
      <w:pPr>
        <w:spacing w:after="40"/>
        <w:jc w:val="center"/>
      </w:pPr>
      <w:r>
        <w:drawing>
          <wp:inline xmlns:a="http://schemas.openxmlformats.org/drawingml/2006/main" xmlns:pic="http://schemas.openxmlformats.org/drawingml/2006/picture">
            <wp:extent cx="4754880" cy="2377440"/>
            <wp:docPr id="6" name="Picture 6"/>
            <wp:cNvGraphicFramePr>
              <a:graphicFrameLocks noChangeAspect="1"/>
            </wp:cNvGraphicFramePr>
            <a:graphic>
              <a:graphicData uri="http://schemas.openxmlformats.org/drawingml/2006/picture">
                <pic:pic>
                  <pic:nvPicPr>
                    <pic:cNvPr id="0" name="fig6_dist.png"/>
                    <pic:cNvPicPr/>
                  </pic:nvPicPr>
                  <pic:blipFill>
                    <a:blip r:embed="rId14"/>
                    <a:stretch>
                      <a:fillRect/>
                    </a:stretch>
                  </pic:blipFill>
                  <pic:spPr>
                    <a:xfrm>
                      <a:off x="0" y="0"/>
                      <a:ext cx="4754880" cy="2377440"/>
                    </a:xfrm>
                    <a:prstGeom prst="rect"/>
                  </pic:spPr>
                </pic:pic>
              </a:graphicData>
            </a:graphic>
          </wp:inline>
        </w:drawing>
      </w:r>
    </w:p>
    <w:p>
      <w:pPr>
        <w:spacing w:after="200" w:before="0"/>
      </w:pPr>
      <w:r>
        <w:rPr>
          <w:b w:val="0"/>
          <w:i/>
          <w:color w:val="6E7B77"/>
          <w:sz w:val="17"/>
        </w:rPr>
        <w:t>Figure 6 — Price distribution at three months.</w:t>
      </w:r>
    </w:p>
    <w:p>
      <w:pPr>
        <w:spacing w:after="80" w:before="200"/>
      </w:pPr>
      <w:r>
        <w:rPr>
          <w:b/>
          <w:i w:val="0"/>
          <w:color w:val="1C3A36"/>
          <w:sz w:val="24"/>
        </w:rPr>
        <w:t>Level-touch ladder</w:t>
      </w:r>
    </w:p>
    <w:p>
      <w:pPr>
        <w:spacing w:after="120" w:before="0"/>
      </w:pPr>
      <w:r>
        <w:rPr>
          <w:b w:val="0"/>
          <w:i w:val="0"/>
          <w:color w:val="1C3A36"/>
          <w:sz w:val="19"/>
        </w:rPr>
        <w:t>The probability that price touches a level at any point by the horizon — the running maximum for levels above the anchor, the running minimum for levels below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1728"/>
            <w:shd w:val="clear" w:color="auto" w:fill="EAF0EE"/>
          </w:tcPr>
          <w:p>
            <w:pPr>
              <w:spacing w:after="20"/>
            </w:pPr>
            <w:r>
              <w:rPr>
                <w:b/>
                <w:color w:val="1C3A36"/>
                <w:sz w:val="18"/>
              </w:rPr>
              <w:t>Level (EGP)</w:t>
            </w:r>
          </w:p>
        </w:tc>
        <w:tc>
          <w:tcPr>
            <w:tcW w:type="dxa" w:w="2016"/>
            <w:shd w:val="clear" w:color="auto" w:fill="EAF0EE"/>
          </w:tcPr>
          <w:p>
            <w:pPr>
              <w:spacing w:after="20"/>
            </w:pPr>
            <w:r>
              <w:rPr>
                <w:b/>
                <w:color w:val="1C3A36"/>
                <w:sz w:val="18"/>
              </w:rPr>
              <w:t>1-month touch</w:t>
            </w:r>
          </w:p>
        </w:tc>
        <w:tc>
          <w:tcPr>
            <w:tcW w:type="dxa" w:w="2016"/>
            <w:shd w:val="clear" w:color="auto" w:fill="EAF0EE"/>
          </w:tcPr>
          <w:p>
            <w:pPr>
              <w:spacing w:after="20"/>
            </w:pPr>
            <w:r>
              <w:rPr>
                <w:b/>
                <w:color w:val="1C3A36"/>
                <w:sz w:val="18"/>
              </w:rPr>
              <w:t>3-month touch</w:t>
            </w:r>
          </w:p>
        </w:tc>
        <w:tc>
          <w:tcPr>
            <w:tcW w:type="dxa" w:w="3744"/>
            <w:shd w:val="clear" w:color="auto" w:fill="EAF0EE"/>
          </w:tcPr>
          <w:p>
            <w:pPr>
              <w:spacing w:after="20"/>
            </w:pPr>
            <w:r>
              <w:rPr>
                <w:b/>
                <w:color w:val="1C3A36"/>
                <w:sz w:val="18"/>
              </w:rPr>
              <w:t>Against the anchor</w:t>
            </w:r>
          </w:p>
        </w:tc>
      </w:tr>
      <w:tr>
        <w:tc>
          <w:tcPr>
            <w:tcW w:type="dxa" w:w="1728"/>
          </w:tcPr>
          <w:p>
            <w:pPr>
              <w:spacing w:after="20"/>
            </w:pPr>
            <w:r>
              <w:rPr>
                <w:b/>
                <w:color w:val="1C3A36"/>
                <w:sz w:val="18"/>
              </w:rPr>
              <w:t>40</w:t>
            </w:r>
          </w:p>
        </w:tc>
        <w:tc>
          <w:tcPr>
            <w:tcW w:type="dxa" w:w="2016"/>
          </w:tcPr>
          <w:p>
            <w:pPr>
              <w:spacing w:after="20"/>
              <w:jc w:val="right"/>
            </w:pPr>
            <w:r>
              <w:rPr>
                <w:color w:val="1C3A36"/>
                <w:sz w:val="18"/>
              </w:rPr>
              <w:t>3%</w:t>
            </w:r>
          </w:p>
        </w:tc>
        <w:tc>
          <w:tcPr>
            <w:tcW w:type="dxa" w:w="2016"/>
          </w:tcPr>
          <w:p>
            <w:pPr>
              <w:spacing w:after="20"/>
              <w:jc w:val="right"/>
            </w:pPr>
            <w:r>
              <w:rPr>
                <w:color w:val="1C3A36"/>
                <w:sz w:val="18"/>
              </w:rPr>
              <w:t>18%</w:t>
            </w:r>
          </w:p>
        </w:tc>
        <w:tc>
          <w:tcPr>
            <w:tcW w:type="dxa" w:w="3744"/>
          </w:tcPr>
          <w:p>
            <w:pPr>
              <w:spacing w:after="20"/>
              <w:jc w:val="right"/>
            </w:pPr>
            <w:r>
              <w:rPr>
                <w:color w:val="1C3A36"/>
                <w:sz w:val="18"/>
              </w:rPr>
              <w:t>+35.5%</w:t>
            </w:r>
          </w:p>
        </w:tc>
      </w:tr>
      <w:tr>
        <w:tc>
          <w:tcPr>
            <w:tcW w:type="dxa" w:w="1728"/>
          </w:tcPr>
          <w:p>
            <w:pPr>
              <w:spacing w:after="20"/>
            </w:pPr>
            <w:r>
              <w:rPr>
                <w:b/>
                <w:color w:val="1C3A36"/>
                <w:sz w:val="18"/>
              </w:rPr>
              <w:t>38</w:t>
            </w:r>
          </w:p>
        </w:tc>
        <w:tc>
          <w:tcPr>
            <w:tcW w:type="dxa" w:w="2016"/>
          </w:tcPr>
          <w:p>
            <w:pPr>
              <w:spacing w:after="20"/>
              <w:jc w:val="right"/>
            </w:pPr>
            <w:r>
              <w:rPr>
                <w:color w:val="1C3A36"/>
                <w:sz w:val="18"/>
              </w:rPr>
              <w:t>6%</w:t>
            </w:r>
          </w:p>
        </w:tc>
        <w:tc>
          <w:tcPr>
            <w:tcW w:type="dxa" w:w="2016"/>
          </w:tcPr>
          <w:p>
            <w:pPr>
              <w:spacing w:after="20"/>
              <w:jc w:val="right"/>
            </w:pPr>
            <w:r>
              <w:rPr>
                <w:color w:val="1C3A36"/>
                <w:sz w:val="18"/>
              </w:rPr>
              <w:t>26%</w:t>
            </w:r>
          </w:p>
        </w:tc>
        <w:tc>
          <w:tcPr>
            <w:tcW w:type="dxa" w:w="3744"/>
          </w:tcPr>
          <w:p>
            <w:pPr>
              <w:spacing w:after="20"/>
              <w:jc w:val="right"/>
            </w:pPr>
            <w:r>
              <w:rPr>
                <w:color w:val="1C3A36"/>
                <w:sz w:val="18"/>
              </w:rPr>
              <w:t>+28.8%</w:t>
            </w:r>
          </w:p>
        </w:tc>
      </w:tr>
      <w:tr>
        <w:tc>
          <w:tcPr>
            <w:tcW w:type="dxa" w:w="1728"/>
          </w:tcPr>
          <w:p>
            <w:pPr>
              <w:spacing w:after="20"/>
            </w:pPr>
            <w:r>
              <w:rPr>
                <w:b/>
                <w:color w:val="1C3A36"/>
                <w:sz w:val="18"/>
              </w:rPr>
              <w:t>36</w:t>
            </w:r>
          </w:p>
        </w:tc>
        <w:tc>
          <w:tcPr>
            <w:tcW w:type="dxa" w:w="2016"/>
          </w:tcPr>
          <w:p>
            <w:pPr>
              <w:spacing w:after="20"/>
              <w:jc w:val="right"/>
            </w:pPr>
            <w:r>
              <w:rPr>
                <w:color w:val="1C3A36"/>
                <w:sz w:val="18"/>
              </w:rPr>
              <w:t>12%</w:t>
            </w:r>
          </w:p>
        </w:tc>
        <w:tc>
          <w:tcPr>
            <w:tcW w:type="dxa" w:w="2016"/>
          </w:tcPr>
          <w:p>
            <w:pPr>
              <w:spacing w:after="20"/>
              <w:jc w:val="right"/>
            </w:pPr>
            <w:r>
              <w:rPr>
                <w:color w:val="1C3A36"/>
                <w:sz w:val="18"/>
              </w:rPr>
              <w:t>36%</w:t>
            </w:r>
          </w:p>
        </w:tc>
        <w:tc>
          <w:tcPr>
            <w:tcW w:type="dxa" w:w="3744"/>
          </w:tcPr>
          <w:p>
            <w:pPr>
              <w:spacing w:after="20"/>
              <w:jc w:val="right"/>
            </w:pPr>
            <w:r>
              <w:rPr>
                <w:color w:val="1C3A36"/>
                <w:sz w:val="18"/>
              </w:rPr>
              <w:t>+22.0%</w:t>
            </w:r>
          </w:p>
        </w:tc>
      </w:tr>
      <w:tr>
        <w:tc>
          <w:tcPr>
            <w:tcW w:type="dxa" w:w="1728"/>
          </w:tcPr>
          <w:p>
            <w:pPr>
              <w:spacing w:after="20"/>
            </w:pPr>
            <w:r>
              <w:rPr>
                <w:b/>
                <w:color w:val="1C3A36"/>
                <w:sz w:val="18"/>
              </w:rPr>
              <w:t>34</w:t>
            </w:r>
          </w:p>
        </w:tc>
        <w:tc>
          <w:tcPr>
            <w:tcW w:type="dxa" w:w="2016"/>
          </w:tcPr>
          <w:p>
            <w:pPr>
              <w:spacing w:after="20"/>
              <w:jc w:val="right"/>
            </w:pPr>
            <w:r>
              <w:rPr>
                <w:color w:val="1C3A36"/>
                <w:sz w:val="18"/>
              </w:rPr>
              <w:t>23%</w:t>
            </w:r>
          </w:p>
        </w:tc>
        <w:tc>
          <w:tcPr>
            <w:tcW w:type="dxa" w:w="2016"/>
          </w:tcPr>
          <w:p>
            <w:pPr>
              <w:spacing w:after="20"/>
              <w:jc w:val="right"/>
            </w:pPr>
            <w:r>
              <w:rPr>
                <w:color w:val="1C3A36"/>
                <w:sz w:val="18"/>
              </w:rPr>
              <w:t>51%</w:t>
            </w:r>
          </w:p>
        </w:tc>
        <w:tc>
          <w:tcPr>
            <w:tcW w:type="dxa" w:w="3744"/>
          </w:tcPr>
          <w:p>
            <w:pPr>
              <w:spacing w:after="20"/>
              <w:jc w:val="right"/>
            </w:pPr>
            <w:r>
              <w:rPr>
                <w:color w:val="1C3A36"/>
                <w:sz w:val="18"/>
              </w:rPr>
              <w:t>+15.2%</w:t>
            </w:r>
          </w:p>
        </w:tc>
      </w:tr>
      <w:tr>
        <w:tc>
          <w:tcPr>
            <w:tcW w:type="dxa" w:w="1728"/>
          </w:tcPr>
          <w:p>
            <w:pPr>
              <w:spacing w:after="20"/>
            </w:pPr>
            <w:r>
              <w:rPr>
                <w:b/>
                <w:color w:val="1C3A36"/>
                <w:sz w:val="18"/>
              </w:rPr>
              <w:t>32</w:t>
            </w:r>
          </w:p>
        </w:tc>
        <w:tc>
          <w:tcPr>
            <w:tcW w:type="dxa" w:w="2016"/>
          </w:tcPr>
          <w:p>
            <w:pPr>
              <w:spacing w:after="20"/>
              <w:jc w:val="right"/>
            </w:pPr>
            <w:r>
              <w:rPr>
                <w:color w:val="1C3A36"/>
                <w:sz w:val="18"/>
              </w:rPr>
              <w:t>46%</w:t>
            </w:r>
          </w:p>
        </w:tc>
        <w:tc>
          <w:tcPr>
            <w:tcW w:type="dxa" w:w="2016"/>
          </w:tcPr>
          <w:p>
            <w:pPr>
              <w:spacing w:after="20"/>
              <w:jc w:val="right"/>
            </w:pPr>
            <w:r>
              <w:rPr>
                <w:color w:val="1C3A36"/>
                <w:sz w:val="18"/>
              </w:rPr>
              <w:t>69%</w:t>
            </w:r>
          </w:p>
        </w:tc>
        <w:tc>
          <w:tcPr>
            <w:tcW w:type="dxa" w:w="3744"/>
          </w:tcPr>
          <w:p>
            <w:pPr>
              <w:spacing w:after="20"/>
              <w:jc w:val="right"/>
            </w:pPr>
            <w:r>
              <w:rPr>
                <w:color w:val="1C3A36"/>
                <w:sz w:val="18"/>
              </w:rPr>
              <w:t>+8.4%</w:t>
            </w:r>
          </w:p>
        </w:tc>
      </w:tr>
      <w:tr>
        <w:tc>
          <w:tcPr>
            <w:tcW w:type="dxa" w:w="1728"/>
          </w:tcPr>
          <w:p>
            <w:pPr>
              <w:spacing w:after="20"/>
            </w:pPr>
            <w:r>
              <w:rPr>
                <w:b/>
                <w:color w:val="1C3A36"/>
                <w:sz w:val="18"/>
              </w:rPr>
              <w:t>30</w:t>
            </w:r>
          </w:p>
        </w:tc>
        <w:tc>
          <w:tcPr>
            <w:tcW w:type="dxa" w:w="2016"/>
          </w:tcPr>
          <w:p>
            <w:pPr>
              <w:spacing w:after="20"/>
              <w:jc w:val="right"/>
            </w:pPr>
            <w:r>
              <w:rPr>
                <w:color w:val="1C3A36"/>
                <w:sz w:val="18"/>
              </w:rPr>
              <w:t>81%</w:t>
            </w:r>
          </w:p>
        </w:tc>
        <w:tc>
          <w:tcPr>
            <w:tcW w:type="dxa" w:w="2016"/>
          </w:tcPr>
          <w:p>
            <w:pPr>
              <w:spacing w:after="20"/>
              <w:jc w:val="right"/>
            </w:pPr>
            <w:r>
              <w:rPr>
                <w:color w:val="1C3A36"/>
                <w:sz w:val="18"/>
              </w:rPr>
              <w:t>90%</w:t>
            </w:r>
          </w:p>
        </w:tc>
        <w:tc>
          <w:tcPr>
            <w:tcW w:type="dxa" w:w="3744"/>
          </w:tcPr>
          <w:p>
            <w:pPr>
              <w:spacing w:after="20"/>
              <w:jc w:val="right"/>
            </w:pPr>
            <w:r>
              <w:rPr>
                <w:color w:val="1C3A36"/>
                <w:sz w:val="18"/>
              </w:rPr>
              <w:t>+1.7%</w:t>
            </w:r>
          </w:p>
        </w:tc>
      </w:tr>
      <w:tr>
        <w:tc>
          <w:tcPr>
            <w:tcW w:type="dxa" w:w="1728"/>
          </w:tcPr>
          <w:p>
            <w:pPr>
              <w:spacing w:after="20"/>
            </w:pPr>
            <w:r>
              <w:rPr>
                <w:b/>
                <w:color w:val="1C3A36"/>
                <w:sz w:val="18"/>
              </w:rPr>
              <w:t>28</w:t>
            </w:r>
          </w:p>
        </w:tc>
        <w:tc>
          <w:tcPr>
            <w:tcW w:type="dxa" w:w="2016"/>
          </w:tcPr>
          <w:p>
            <w:pPr>
              <w:spacing w:after="20"/>
              <w:jc w:val="right"/>
            </w:pPr>
            <w:r>
              <w:rPr>
                <w:color w:val="1C3A36"/>
                <w:sz w:val="18"/>
              </w:rPr>
              <w:t>53%</w:t>
            </w:r>
          </w:p>
        </w:tc>
        <w:tc>
          <w:tcPr>
            <w:tcW w:type="dxa" w:w="2016"/>
          </w:tcPr>
          <w:p>
            <w:pPr>
              <w:spacing w:after="20"/>
              <w:jc w:val="right"/>
            </w:pPr>
            <w:r>
              <w:rPr>
                <w:color w:val="1C3A36"/>
                <w:sz w:val="18"/>
              </w:rPr>
              <w:t>68%</w:t>
            </w:r>
          </w:p>
        </w:tc>
        <w:tc>
          <w:tcPr>
            <w:tcW w:type="dxa" w:w="3744"/>
          </w:tcPr>
          <w:p>
            <w:pPr>
              <w:spacing w:after="20"/>
              <w:jc w:val="right"/>
            </w:pPr>
            <w:r>
              <w:rPr>
                <w:color w:val="1C3A36"/>
                <w:sz w:val="18"/>
              </w:rPr>
              <w:t>-5.1%</w:t>
            </w:r>
          </w:p>
        </w:tc>
      </w:tr>
      <w:tr>
        <w:tc>
          <w:tcPr>
            <w:tcW w:type="dxa" w:w="1728"/>
          </w:tcPr>
          <w:p>
            <w:pPr>
              <w:spacing w:after="20"/>
            </w:pPr>
            <w:r>
              <w:rPr>
                <w:b/>
                <w:color w:val="1C3A36"/>
                <w:sz w:val="18"/>
              </w:rPr>
              <w:t>26</w:t>
            </w:r>
          </w:p>
        </w:tc>
        <w:tc>
          <w:tcPr>
            <w:tcW w:type="dxa" w:w="2016"/>
          </w:tcPr>
          <w:p>
            <w:pPr>
              <w:spacing w:after="20"/>
              <w:jc w:val="right"/>
            </w:pPr>
            <w:r>
              <w:rPr>
                <w:color w:val="1C3A36"/>
                <w:sz w:val="18"/>
              </w:rPr>
              <w:t>22%</w:t>
            </w:r>
          </w:p>
        </w:tc>
        <w:tc>
          <w:tcPr>
            <w:tcW w:type="dxa" w:w="2016"/>
          </w:tcPr>
          <w:p>
            <w:pPr>
              <w:spacing w:after="20"/>
              <w:jc w:val="right"/>
            </w:pPr>
            <w:r>
              <w:rPr>
                <w:color w:val="1C3A36"/>
                <w:sz w:val="18"/>
              </w:rPr>
              <w:t>42%</w:t>
            </w:r>
          </w:p>
        </w:tc>
        <w:tc>
          <w:tcPr>
            <w:tcW w:type="dxa" w:w="3744"/>
          </w:tcPr>
          <w:p>
            <w:pPr>
              <w:spacing w:after="20"/>
              <w:jc w:val="right"/>
            </w:pPr>
            <w:r>
              <w:rPr>
                <w:color w:val="1C3A36"/>
                <w:sz w:val="18"/>
              </w:rPr>
              <w:t>-11.9%</w:t>
            </w:r>
          </w:p>
        </w:tc>
      </w:tr>
    </w:tbl>
    <w:p>
      <w:pPr>
        <w:spacing w:after="40"/>
      </w:pPr>
    </w:p>
    <w:p>
      <w:pPr>
        <w:spacing w:after="200" w:before="0"/>
      </w:pPr>
      <w:r>
        <w:rPr>
          <w:b w:val="0"/>
          <w:i/>
          <w:color w:val="6E7B77"/>
          <w:sz w:val="17"/>
        </w:rPr>
        <w:t>Every rung and every probability in this ladder is computed from the same 50,000 paths; the distance column is measured against the session the cone was struck on, not against the later price the valuation uses.</w:t>
      </w:r>
    </w:p>
    <w:p>
      <w:pPr>
        <w:spacing w:after="80" w:before="200"/>
      </w:pPr>
      <w:r>
        <w:rPr>
          <w:b/>
          <w:i w:val="0"/>
          <w:color w:val="1C3A36"/>
          <w:sz w:val="24"/>
        </w:rPr>
        <w:t>How often these bands have actually held</w:t>
      </w:r>
    </w:p>
    <w:p>
      <w:pPr>
        <w:spacing w:after="120" w:before="0"/>
      </w:pPr>
      <w:r>
        <w:rPr>
          <w:b w:val="0"/>
          <w:i w:val="0"/>
          <w:color w:val="1C3A36"/>
          <w:sz w:val="21"/>
        </w:rPr>
        <w:t>A cone is only worth what its record says. Over 57 resolved three-month forecasts on this stock — every one struck, frozen and then graded against the close on its own stated date — the price finished inside the 90% band 95% of the time, against a 90% target, and inside the middle 50% band 60% of the time against a 50% target. THE COUNT IS PRINTED BESIDE THE PERCENTAGE because a percentage without its count is the number that misleads, and 57 resolved windows is a long record for a single name rather than a short one — long enough for the figure to tell an honest cone from a broken one.</w:t>
      </w:r>
    </w:p>
    <w:p>
      <w:pPr>
        <w:spacing w:after="120" w:before="0"/>
      </w:pPr>
      <w:r>
        <w:rPr>
          <w:b w:val="0"/>
          <w:i w:val="0"/>
          <w:color w:val="1C3A36"/>
          <w:sz w:val="21"/>
        </w:rPr>
        <w:t>One more figure is disclosed and carries no threshold: this cone’s 90% band is 1.42 times as wide as a naive carry-anchored one. That ratio is published because a band can hold as often as it promises simply by being too wide to be useful, and a reader is entitled to see how wide. It is NOT a pass mark and nothing here is graded against it — a wider band is not automatically wrong where the tail it covers is real, and Egyptian three-month moves have a real tail. What the record above supports is a BAND, not an edge, and the difference is the whole reason the counts are printed.</w:t>
      </w:r>
    </w:p>
    <w:p>
      <w:pPr>
        <w:spacing w:after="120" w:before="280"/>
      </w:pPr>
      <w:r>
        <w:rPr>
          <w:b/>
          <w:i w:val="0"/>
          <w:color w:val="1C3A36"/>
          <w:sz w:val="30"/>
        </w:rPr>
        <w:t>4  Comparison of the lenses</w:t>
      </w:r>
    </w:p>
    <w:p>
      <w:pPr>
        <w:spacing w:after="120" w:before="0"/>
      </w:pPr>
      <w:r>
        <w:rPr>
          <w:b w:val="0"/>
          <w:i w:val="0"/>
          <w:color w:val="1C3A36"/>
          <w:sz w:val="21"/>
        </w:rPr>
        <w:t>Three readings sit side by side and they genuinely disagree. The fundamental primary reads EGP 17.83 and 30.32 — -38% and +5% against the price — on the two bases GB Corp itself publishes for one asset, while its cross-checks sit either side of the traded price at EGP 18.08 on forward earnings and EGP 30.82 on disclosed book. The technical picture has turned: the price came off its short averages with negative momentum and sits in the middle of its own 52-week range. The probabilistic map is the one piece untouched by any of this: its median (30.69) sits above the anchor because the repricing that carried this stock over the sample period has not yet statistically died. That is a description of measured price behaviour, not a claim about value, and it does not know what an associate stake is worth.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3312"/>
            <w:shd w:val="clear" w:color="auto" w:fill="EAF0EE"/>
          </w:tcPr>
          <w:p>
            <w:pPr>
              <w:spacing w:after="20"/>
            </w:pPr>
            <w:r>
              <w:rPr>
                <w:b/>
                <w:color w:val="1C3A36"/>
                <w:sz w:val="18"/>
              </w:rPr>
              <w:t>Lens</w:t>
            </w:r>
          </w:p>
        </w:tc>
        <w:tc>
          <w:tcPr>
            <w:tcW w:type="dxa" w:w="3312"/>
            <w:shd w:val="clear" w:color="auto" w:fill="EAF0EE"/>
          </w:tcPr>
          <w:p>
            <w:pPr>
              <w:spacing w:after="20"/>
            </w:pPr>
            <w:r>
              <w:rPr>
                <w:b/>
                <w:color w:val="1C3A36"/>
                <w:sz w:val="18"/>
              </w:rPr>
              <w:t>What it reads</w:t>
            </w:r>
          </w:p>
        </w:tc>
        <w:tc>
          <w:tcPr>
            <w:tcW w:type="dxa" w:w="3312"/>
            <w:shd w:val="clear" w:color="auto" w:fill="EAF0EE"/>
          </w:tcPr>
          <w:p>
            <w:pPr>
              <w:spacing w:after="20"/>
            </w:pPr>
            <w:r>
              <w:rPr>
                <w:b/>
                <w:color w:val="1C3A36"/>
                <w:sz w:val="18"/>
              </w:rPr>
              <w:t>Central / implication</w:t>
            </w:r>
          </w:p>
        </w:tc>
      </w:tr>
      <w:tr>
        <w:tc>
          <w:tcPr>
            <w:tcW w:type="dxa" w:w="3312"/>
          </w:tcPr>
          <w:p>
            <w:pPr>
              <w:spacing w:after="20"/>
            </w:pPr>
            <w:r>
              <w:rPr>
                <w:b/>
                <w:color w:val="1C3A36"/>
                <w:sz w:val="18"/>
              </w:rPr>
              <w:t>Fundamental — primary, carrying-value branch</w:t>
            </w:r>
          </w:p>
        </w:tc>
        <w:tc>
          <w:tcPr>
            <w:tcW w:type="dxa" w:w="3312"/>
          </w:tcPr>
          <w:p>
            <w:pPr>
              <w:spacing w:after="20"/>
              <w:jc w:val="right"/>
            </w:pPr>
            <w:r>
              <w:rPr>
                <w:color w:val="1C3A36"/>
                <w:sz w:val="18"/>
              </w:rPr>
              <w:t>The associate at its reviewed carrying value</w:t>
            </w:r>
          </w:p>
        </w:tc>
        <w:tc>
          <w:tcPr>
            <w:tcW w:type="dxa" w:w="3312"/>
          </w:tcPr>
          <w:p>
            <w:pPr>
              <w:spacing w:after="20"/>
              <w:jc w:val="right"/>
            </w:pPr>
            <w:r>
              <w:rPr>
                <w:color w:val="1C3A36"/>
                <w:sz w:val="18"/>
              </w:rPr>
              <w:t>EGP 17.83 (-38%)</w:t>
            </w:r>
          </w:p>
        </w:tc>
      </w:tr>
      <w:tr>
        <w:tc>
          <w:tcPr>
            <w:tcW w:type="dxa" w:w="3312"/>
          </w:tcPr>
          <w:p>
            <w:pPr>
              <w:spacing w:after="20"/>
            </w:pPr>
            <w:r>
              <w:rPr>
                <w:b/>
                <w:color w:val="1C3A36"/>
                <w:sz w:val="18"/>
              </w:rPr>
              <w:t>Fundamental — primary, round-price branch</w:t>
            </w:r>
          </w:p>
        </w:tc>
        <w:tc>
          <w:tcPr>
            <w:tcW w:type="dxa" w:w="3312"/>
          </w:tcPr>
          <w:p>
            <w:pPr>
              <w:spacing w:after="20"/>
              <w:jc w:val="right"/>
            </w:pPr>
            <w:r>
              <w:rPr>
                <w:color w:val="1C3A36"/>
                <w:sz w:val="18"/>
              </w:rPr>
              <w:t>The associate at the June-2026 round price</w:t>
            </w:r>
          </w:p>
        </w:tc>
        <w:tc>
          <w:tcPr>
            <w:tcW w:type="dxa" w:w="3312"/>
          </w:tcPr>
          <w:p>
            <w:pPr>
              <w:spacing w:after="20"/>
              <w:jc w:val="right"/>
            </w:pPr>
            <w:r>
              <w:rPr>
                <w:color w:val="1C3A36"/>
                <w:sz w:val="18"/>
              </w:rPr>
              <w:t>EGP 30.32 (+5%)</w:t>
            </w:r>
          </w:p>
        </w:tc>
      </w:tr>
      <w:tr>
        <w:tc>
          <w:tcPr>
            <w:tcW w:type="dxa" w:w="3312"/>
          </w:tcPr>
          <w:p>
            <w:pPr>
              <w:spacing w:after="20"/>
            </w:pPr>
            <w:r>
              <w:rPr>
                <w:b/>
                <w:color w:val="1C3A36"/>
                <w:sz w:val="18"/>
              </w:rPr>
              <w:t>Fundamental — cross-checks</w:t>
            </w:r>
          </w:p>
        </w:tc>
        <w:tc>
          <w:tcPr>
            <w:tcW w:type="dxa" w:w="3312"/>
          </w:tcPr>
          <w:p>
            <w:pPr>
              <w:spacing w:after="20"/>
              <w:jc w:val="right"/>
            </w:pPr>
            <w:r>
              <w:rPr>
                <w:color w:val="1C3A36"/>
                <w:sz w:val="18"/>
              </w:rPr>
              <w:t>Forward earnings multiple · disclosed book floor</w:t>
            </w:r>
          </w:p>
        </w:tc>
        <w:tc>
          <w:tcPr>
            <w:tcW w:type="dxa" w:w="3312"/>
          </w:tcPr>
          <w:p>
            <w:pPr>
              <w:spacing w:after="20"/>
              <w:jc w:val="right"/>
            </w:pPr>
            <w:r>
              <w:rPr>
                <w:color w:val="1C3A36"/>
                <w:sz w:val="18"/>
              </w:rPr>
              <w:t>EGP 18.08 · 30.82</w:t>
            </w:r>
          </w:p>
        </w:tc>
      </w:tr>
      <w:tr>
        <w:tc>
          <w:tcPr>
            <w:tcW w:type="dxa" w:w="3312"/>
          </w:tcPr>
          <w:p>
            <w:pPr>
              <w:spacing w:after="20"/>
            </w:pPr>
            <w:r>
              <w:rPr>
                <w:b/>
                <w:color w:val="1C3A36"/>
                <w:sz w:val="18"/>
              </w:rPr>
              <w:t>Technical</w:t>
            </w:r>
          </w:p>
        </w:tc>
        <w:tc>
          <w:tcPr>
            <w:tcW w:type="dxa" w:w="3312"/>
          </w:tcPr>
          <w:p>
            <w:pPr>
              <w:spacing w:after="20"/>
              <w:jc w:val="right"/>
            </w:pPr>
            <w:r>
              <w:rPr>
                <w:color w:val="1C3A36"/>
                <w:sz w:val="18"/>
              </w:rPr>
              <w:t>Momentum lost, long trend intact</w:t>
            </w:r>
          </w:p>
        </w:tc>
        <w:tc>
          <w:tcPr>
            <w:tcW w:type="dxa" w:w="3312"/>
          </w:tcPr>
          <w:p>
            <w:pPr>
              <w:spacing w:after="20"/>
              <w:jc w:val="right"/>
            </w:pPr>
            <w:r>
              <w:rPr>
                <w:color w:val="1C3A36"/>
                <w:sz w:val="18"/>
              </w:rPr>
              <w:t>Below the 20- and 50-day averages; above the 100- and 200-day</w:t>
            </w:r>
          </w:p>
        </w:tc>
      </w:tr>
      <w:tr>
        <w:tc>
          <w:tcPr>
            <w:tcW w:type="dxa" w:w="3312"/>
          </w:tcPr>
          <w:p>
            <w:pPr>
              <w:spacing w:after="20"/>
            </w:pPr>
            <w:r>
              <w:rPr>
                <w:b/>
                <w:color w:val="1C3A36"/>
                <w:sz w:val="18"/>
              </w:rPr>
              <w:t>Simulation (three months)</w:t>
            </w:r>
          </w:p>
        </w:tc>
        <w:tc>
          <w:tcPr>
            <w:tcW w:type="dxa" w:w="3312"/>
          </w:tcPr>
          <w:p>
            <w:pPr>
              <w:spacing w:after="20"/>
              <w:jc w:val="right"/>
            </w:pPr>
            <w:r>
              <w:rPr>
                <w:color w:val="1C3A36"/>
                <w:sz w:val="18"/>
              </w:rPr>
              <w:t>Drift up, right-skewed</w:t>
            </w:r>
          </w:p>
        </w:tc>
        <w:tc>
          <w:tcPr>
            <w:tcW w:type="dxa" w:w="3312"/>
          </w:tcPr>
          <w:p>
            <w:pPr>
              <w:spacing w:after="20"/>
              <w:jc w:val="right"/>
            </w:pPr>
            <w:r>
              <w:rPr>
                <w:color w:val="1C3A36"/>
                <w:sz w:val="18"/>
              </w:rPr>
              <w:t>Median 30.69; p5–p95 21.00–44.89</w:t>
            </w:r>
          </w:p>
        </w:tc>
      </w:tr>
    </w:tbl>
    <w:p>
      <w:pPr>
        <w:spacing w:after="40"/>
      </w:pPr>
    </w:p>
    <w:p>
      <w:pPr>
        <w:spacing w:after="120" w:before="0"/>
      </w:pPr>
      <w:r>
        <w:rPr>
          <w:b/>
          <w:i w:val="0"/>
          <w:color w:val="1C3A36"/>
          <w:sz w:val="21"/>
        </w:rPr>
        <w:t xml:space="preserve">A fair-value read, not a recommendation. </w:t>
      </w:r>
      <w:r>
        <w:rPr>
          <w:b w:val="0"/>
          <w:i w:val="0"/>
          <w:color w:val="1C3A36"/>
          <w:sz w:val="21"/>
        </w:rPr>
        <w:t>GB Corp trades below both branches of its primary lens, and the distance between those branches rests on a basis question rather than a fact: the company states a 41.61% holding in MNT-Halan, carries it at EGP 15.7 bn in its own reviewed balance sheet, and announced a funding round in June 2026 that marks the same holding at EGP 29.3 bn. What the traded price leaves for ALL the associates together is EGP 28.3 bn. Strip the associate leg out and what remains — the auto business and the lender — is 10% of the entire market capitalisation, which is close to what the tape and the earnings multiple already say. The honest summary is that the operating businesses are priced about right, and whether the shares are cheap depends on how much of a discount an unlisted minority financial-services stake is entitled to — a question this study poses precisely rather than settles. The envelope of the present-value reads, EGP 17.83 to 30.32, is wide enough on its own to demand real humility. We publish the distribution, not a target.</w:t>
      </w:r>
    </w:p>
    <w:p>
      <w:pPr>
        <w:spacing w:after="120" w:before="280"/>
      </w:pPr>
      <w:r>
        <w:rPr>
          <w:b/>
          <w:i w:val="0"/>
          <w:color w:val="1C3A36"/>
          <w:sz w:val="30"/>
        </w:rPr>
        <w:t>5  Catalysts to watch</w:t>
      </w:r>
    </w:p>
    <w:p>
      <w:pPr>
        <w:pStyle w:val="ListBullet"/>
        <w:spacing w:after="60"/>
      </w:pPr>
      <w:r>
        <w:rPr>
          <w:b/>
          <w:color w:val="1C3A36"/>
          <w:sz w:val="21"/>
        </w:rPr>
        <w:t xml:space="preserve">The next results release. </w:t>
      </w:r>
      <w:r>
        <w:rPr>
          <w:color w:val="1C3A36"/>
          <w:sz w:val="21"/>
        </w:rPr>
        <w:t>The reviewed half to 30 June 2026 is the anchor this forecast is struck on; the next print is the first test of whether the auto gross margin holds where that half left it, and of whether the finance-cost line responds as policy eases.</w:t>
      </w:r>
    </w:p>
    <w:p>
      <w:pPr>
        <w:pStyle w:val="ListBullet"/>
        <w:spacing w:after="60"/>
      </w:pPr>
      <w:r>
        <w:rPr>
          <w:b/>
          <w:color w:val="1C3A36"/>
          <w:sz w:val="21"/>
        </w:rPr>
        <w:t xml:space="preserve">Policy meetings. </w:t>
      </w:r>
      <w:r>
        <w:rPr>
          <w:color w:val="1C3A36"/>
          <w:sz w:val="21"/>
        </w:rPr>
        <w:t>Each cut lowers GB Capital’s funding cost, the customer’s instalment and this study’s discount rate at once — the single most mechanical catalyst on the list.</w:t>
      </w:r>
    </w:p>
    <w:p>
      <w:pPr>
        <w:pStyle w:val="ListBullet"/>
        <w:spacing w:after="60"/>
      </w:pPr>
      <w:r>
        <w:rPr>
          <w:b/>
          <w:color w:val="1C3A36"/>
          <w:sz w:val="21"/>
        </w:rPr>
        <w:t xml:space="preserve">An audited MNT-Halan financial statement. </w:t>
      </w:r>
      <w:r>
        <w:rPr>
          <w:color w:val="1C3A36"/>
          <w:sz w:val="21"/>
        </w:rPr>
        <w:t>The one disclosure that would collapse the gap between this study’s two branches. The reviewers of GB Corp’s own 30 June 2026 statements were not given that company’s accounts and said so; until somebody is, the carrying value and the round price are two claims with nothing between them.</w:t>
      </w:r>
    </w:p>
    <w:p>
      <w:pPr>
        <w:pStyle w:val="ListBullet"/>
        <w:spacing w:after="60"/>
      </w:pPr>
      <w:r>
        <w:rPr>
          <w:b/>
          <w:color w:val="1C3A36"/>
          <w:sz w:val="21"/>
        </w:rPr>
        <w:t xml:space="preserve">A secondary transaction in the associate’s shares. </w:t>
      </w:r>
      <w:r>
        <w:rPr>
          <w:color w:val="1C3A36"/>
          <w:sz w:val="21"/>
        </w:rPr>
        <w:t>A real trade at a real price is the only thing that would tell a reader which of the two branches — or neither — the market should be using. Any further disclosure bearing on how an unlisted minority stake of this size should be marked is the most value-relevant event available.</w:t>
      </w:r>
    </w:p>
    <w:p>
      <w:pPr>
        <w:pStyle w:val="ListBullet"/>
        <w:spacing w:after="60"/>
      </w:pPr>
      <w:r>
        <w:rPr>
          <w:b/>
          <w:color w:val="1C3A36"/>
          <w:sz w:val="21"/>
        </w:rPr>
        <w:t xml:space="preserve">The second closing of that round. </w:t>
      </w:r>
      <w:r>
        <w:rPr>
          <w:color w:val="1C3A36"/>
          <w:sz w:val="21"/>
        </w:rPr>
        <w:t>It would test whether the round’s valuation holds or moves; it does not change the ownership percentage, which the company has already stated.</w:t>
      </w:r>
    </w:p>
    <w:p>
      <w:pPr>
        <w:pStyle w:val="ListBullet"/>
        <w:spacing w:after="60"/>
      </w:pPr>
      <w:r>
        <w:rPr>
          <w:b/>
          <w:color w:val="1C3A36"/>
          <w:sz w:val="21"/>
        </w:rPr>
        <w:t xml:space="preserve">The assembly-plant ramp and new models. </w:t>
      </w:r>
      <w:r>
        <w:rPr>
          <w:color w:val="1C3A36"/>
          <w:sz w:val="21"/>
        </w:rPr>
        <w:t>Added capacity and local content, and the inventory unwind behind them, are the visible working-capital catalysts.</w:t>
      </w:r>
    </w:p>
    <w:p>
      <w:pPr>
        <w:pStyle w:val="ListBullet"/>
        <w:spacing w:after="60"/>
      </w:pPr>
      <w:r>
        <w:rPr>
          <w:b/>
          <w:color w:val="1C3A36"/>
          <w:sz w:val="21"/>
        </w:rPr>
        <w:t xml:space="preserve">Competitive pricing from new entrants. </w:t>
      </w:r>
      <w:r>
        <w:rPr>
          <w:color w:val="1C3A36"/>
          <w:sz w:val="21"/>
        </w:rPr>
        <w:t>The clearest threat to passenger-car prices and share in a recovering market.</w:t>
      </w:r>
    </w:p>
    <w:p>
      <w:pPr>
        <w:pStyle w:val="ListBullet"/>
        <w:spacing w:after="60"/>
      </w:pPr>
      <w:r>
        <w:rPr>
          <w:b/>
          <w:color w:val="1C3A36"/>
          <w:sz w:val="21"/>
        </w:rPr>
        <w:t xml:space="preserve">Regional normalisation. </w:t>
      </w:r>
      <w:r>
        <w:rPr>
          <w:color w:val="1C3A36"/>
          <w:sz w:val="21"/>
        </w:rPr>
        <w:t>Part of passenger-car revenue is Iraq and Jordan. This study does not hold a sourced split of that revenue for the reviewed half, so the exposure is named and not priced; any de-escalation restores the fastest-margin sales in the mix.</w:t>
      </w:r>
    </w:p>
    <w:p>
      <w:pPr>
        <w:pStyle w:val="ListBullet"/>
        <w:spacing w:after="60"/>
      </w:pPr>
      <w:r>
        <w:rPr>
          <w:b/>
          <w:color w:val="1C3A36"/>
          <w:sz w:val="21"/>
        </w:rPr>
        <w:t xml:space="preserve">The pound. </w:t>
      </w:r>
      <w:r>
        <w:rPr>
          <w:color w:val="1C3A36"/>
          <w:sz w:val="21"/>
        </w:rPr>
        <w:t>A step devaluation is the compound risk — assembly costs, rates, and the pound value of the round-price mark at once; continued stability is the quiet tailwind.</w:t>
      </w:r>
    </w:p>
    <w:p>
      <w:pPr>
        <w:pStyle w:val="ListBullet"/>
        <w:spacing w:after="60"/>
      </w:pPr>
      <w:r>
        <w:rPr>
          <w:b/>
          <w:color w:val="1C3A36"/>
          <w:sz w:val="21"/>
        </w:rPr>
        <w:t xml:space="preserve">The dividend decision. </w:t>
      </w:r>
      <w:r>
        <w:rPr>
          <w:color w:val="1C3A36"/>
          <w:sz w:val="21"/>
        </w:rPr>
        <w:t>A payout step-up would mark the cash-conversion inflection this study is waiting for. The model’s own forecast cash flows carry the constraint: the first forecast year converts EGP 160 mn of free cash flow against EGP 1,312 mn in the last.</w:t>
      </w:r>
    </w:p>
    <w:p>
      <w:pPr>
        <w:spacing w:after="120" w:before="280"/>
      </w:pPr>
      <w:r>
        <w:rPr>
          <w:b/>
          <w:i w:val="0"/>
          <w:color w:val="1C3A36"/>
          <w:sz w:val="30"/>
        </w:rPr>
        <w:t>6  Reading the probability zones</w:t>
      </w:r>
    </w:p>
    <w:p>
      <w:pPr>
        <w:spacing w:after="120" w:before="0"/>
      </w:pPr>
      <w:r>
        <w:rPr>
          <w:b w:val="0"/>
          <w:i w:val="0"/>
          <w:color w:val="1C3A36"/>
          <w:sz w:val="21"/>
        </w:rPr>
        <w:t>Translating the three-month distribution into plain zones, anchored on the EGP 29.51 session the cone was struck from and on the fundamental reads of §1:</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160"/>
            <w:shd w:val="clear" w:color="auto" w:fill="EAF0EE"/>
          </w:tcPr>
          <w:p>
            <w:pPr>
              <w:spacing w:after="20"/>
            </w:pPr>
            <w:r>
              <w:rPr>
                <w:b/>
                <w:color w:val="1C3A36"/>
                <w:sz w:val="18"/>
              </w:rPr>
              <w:t>Zone (3 months)</w:t>
            </w:r>
          </w:p>
        </w:tc>
        <w:tc>
          <w:tcPr>
            <w:tcW w:type="dxa" w:w="1872"/>
            <w:shd w:val="clear" w:color="auto" w:fill="EAF0EE"/>
          </w:tcPr>
          <w:p>
            <w:pPr>
              <w:spacing w:after="20"/>
            </w:pPr>
            <w:r>
              <w:rPr>
                <w:b/>
                <w:color w:val="1C3A36"/>
                <w:sz w:val="18"/>
              </w:rPr>
              <w:t>Range</w:t>
            </w:r>
          </w:p>
        </w:tc>
        <w:tc>
          <w:tcPr>
            <w:tcW w:type="dxa" w:w="1728"/>
            <w:shd w:val="clear" w:color="auto" w:fill="EAF0EE"/>
          </w:tcPr>
          <w:p>
            <w:pPr>
              <w:spacing w:after="20"/>
            </w:pPr>
            <w:r>
              <w:rPr>
                <w:b/>
                <w:color w:val="1C3A36"/>
                <w:sz w:val="18"/>
              </w:rPr>
              <w:t>Probability</w:t>
            </w:r>
          </w:p>
        </w:tc>
        <w:tc>
          <w:tcPr>
            <w:tcW w:type="dxa" w:w="4176"/>
            <w:shd w:val="clear" w:color="auto" w:fill="EAF0EE"/>
          </w:tcPr>
          <w:p>
            <w:pPr>
              <w:spacing w:after="20"/>
            </w:pPr>
            <w:r>
              <w:rPr>
                <w:b/>
                <w:color w:val="1C3A36"/>
                <w:sz w:val="18"/>
              </w:rPr>
              <w:t>What it would mean</w:t>
            </w:r>
          </w:p>
        </w:tc>
      </w:tr>
      <w:tr>
        <w:tc>
          <w:tcPr>
            <w:tcW w:type="dxa" w:w="2160"/>
          </w:tcPr>
          <w:p>
            <w:pPr>
              <w:spacing w:after="20"/>
            </w:pPr>
            <w:r>
              <w:rPr>
                <w:b/>
                <w:color w:val="1C3A36"/>
                <w:sz w:val="18"/>
              </w:rPr>
              <w:t>Deep downside</w:t>
            </w:r>
          </w:p>
        </w:tc>
        <w:tc>
          <w:tcPr>
            <w:tcW w:type="dxa" w:w="1872"/>
          </w:tcPr>
          <w:p>
            <w:pPr>
              <w:spacing w:after="20"/>
              <w:jc w:val="right"/>
            </w:pPr>
            <w:r>
              <w:rPr>
                <w:color w:val="1C3A36"/>
                <w:sz w:val="18"/>
              </w:rPr>
              <w:t>below EGP 26</w:t>
            </w:r>
          </w:p>
        </w:tc>
        <w:tc>
          <w:tcPr>
            <w:tcW w:type="dxa" w:w="1728"/>
          </w:tcPr>
          <w:p>
            <w:pPr>
              <w:spacing w:after="20"/>
              <w:jc w:val="right"/>
            </w:pPr>
            <w:r>
              <w:rPr>
                <w:color w:val="1C3A36"/>
                <w:sz w:val="18"/>
              </w:rPr>
              <w:t>21%</w:t>
            </w:r>
          </w:p>
        </w:tc>
        <w:tc>
          <w:tcPr>
            <w:tcW w:type="dxa" w:w="4176"/>
          </w:tcPr>
          <w:p>
            <w:pPr>
              <w:spacing w:after="20"/>
              <w:jc w:val="right"/>
            </w:pPr>
            <w:r>
              <w:rPr>
                <w:color w:val="1C3A36"/>
                <w:sz w:val="18"/>
              </w:rPr>
              <w:t>Regional escalation or a devaluation; tests the lower shelf</w:t>
            </w:r>
          </w:p>
        </w:tc>
      </w:tr>
      <w:tr>
        <w:tc>
          <w:tcPr>
            <w:tcW w:type="dxa" w:w="2160"/>
          </w:tcPr>
          <w:p>
            <w:pPr>
              <w:spacing w:after="20"/>
            </w:pPr>
            <w:r>
              <w:rPr>
                <w:b/>
                <w:color w:val="1C3A36"/>
                <w:sz w:val="18"/>
              </w:rPr>
              <w:t>Lower band</w:t>
            </w:r>
          </w:p>
        </w:tc>
        <w:tc>
          <w:tcPr>
            <w:tcW w:type="dxa" w:w="1872"/>
          </w:tcPr>
          <w:p>
            <w:pPr>
              <w:spacing w:after="20"/>
              <w:jc w:val="right"/>
            </w:pPr>
            <w:r>
              <w:rPr>
                <w:color w:val="1C3A36"/>
                <w:sz w:val="18"/>
              </w:rPr>
              <w:t>EGP 26–30</w:t>
            </w:r>
          </w:p>
        </w:tc>
        <w:tc>
          <w:tcPr>
            <w:tcW w:type="dxa" w:w="1728"/>
          </w:tcPr>
          <w:p>
            <w:pPr>
              <w:spacing w:after="20"/>
              <w:jc w:val="right"/>
            </w:pPr>
            <w:r>
              <w:rPr>
                <w:color w:val="1C3A36"/>
                <w:sz w:val="18"/>
              </w:rPr>
              <w:t>25%</w:t>
            </w:r>
          </w:p>
        </w:tc>
        <w:tc>
          <w:tcPr>
            <w:tcW w:type="dxa" w:w="4176"/>
          </w:tcPr>
          <w:p>
            <w:pPr>
              <w:spacing w:after="20"/>
              <w:jc w:val="right"/>
            </w:pPr>
            <w:r>
              <w:rPr>
                <w:color w:val="1C3A36"/>
                <w:sz w:val="18"/>
              </w:rPr>
              <w:t>Margin proof delayed; the earnings multiple dominates</w:t>
            </w:r>
          </w:p>
        </w:tc>
      </w:tr>
      <w:tr>
        <w:tc>
          <w:tcPr>
            <w:tcW w:type="dxa" w:w="2160"/>
          </w:tcPr>
          <w:p>
            <w:pPr>
              <w:spacing w:after="20"/>
            </w:pPr>
            <w:r>
              <w:rPr>
                <w:b/>
                <w:color w:val="1C3A36"/>
                <w:sz w:val="18"/>
              </w:rPr>
              <w:t>Around the anchor</w:t>
            </w:r>
          </w:p>
        </w:tc>
        <w:tc>
          <w:tcPr>
            <w:tcW w:type="dxa" w:w="1872"/>
          </w:tcPr>
          <w:p>
            <w:pPr>
              <w:spacing w:after="20"/>
              <w:jc w:val="right"/>
            </w:pPr>
            <w:r>
              <w:rPr>
                <w:color w:val="1C3A36"/>
                <w:sz w:val="18"/>
              </w:rPr>
              <w:t>EGP 30–34</w:t>
            </w:r>
          </w:p>
        </w:tc>
        <w:tc>
          <w:tcPr>
            <w:tcW w:type="dxa" w:w="1728"/>
          </w:tcPr>
          <w:p>
            <w:pPr>
              <w:spacing w:after="20"/>
              <w:jc w:val="right"/>
            </w:pPr>
            <w:r>
              <w:rPr>
                <w:color w:val="1C3A36"/>
                <w:sz w:val="18"/>
              </w:rPr>
              <w:t>24%</w:t>
            </w:r>
          </w:p>
        </w:tc>
        <w:tc>
          <w:tcPr>
            <w:tcW w:type="dxa" w:w="4176"/>
          </w:tcPr>
          <w:p>
            <w:pPr>
              <w:spacing w:after="20"/>
              <w:jc w:val="right"/>
            </w:pPr>
            <w:r>
              <w:rPr>
                <w:color w:val="1C3A36"/>
                <w:sz w:val="18"/>
              </w:rPr>
              <w:t>Status quo; the price sits near disclosed book and pays nothing for the associate</w:t>
            </w:r>
          </w:p>
        </w:tc>
      </w:tr>
      <w:tr>
        <w:tc>
          <w:tcPr>
            <w:tcW w:type="dxa" w:w="2160"/>
          </w:tcPr>
          <w:p>
            <w:pPr>
              <w:spacing w:after="20"/>
            </w:pPr>
            <w:r>
              <w:rPr>
                <w:b/>
                <w:color w:val="1C3A36"/>
                <w:sz w:val="18"/>
              </w:rPr>
              <w:t>Upper band</w:t>
            </w:r>
          </w:p>
        </w:tc>
        <w:tc>
          <w:tcPr>
            <w:tcW w:type="dxa" w:w="1872"/>
          </w:tcPr>
          <w:p>
            <w:pPr>
              <w:spacing w:after="20"/>
              <w:jc w:val="right"/>
            </w:pPr>
            <w:r>
              <w:rPr>
                <w:color w:val="1C3A36"/>
                <w:sz w:val="18"/>
              </w:rPr>
              <w:t>EGP 34–38</w:t>
            </w:r>
          </w:p>
        </w:tc>
        <w:tc>
          <w:tcPr>
            <w:tcW w:type="dxa" w:w="1728"/>
          </w:tcPr>
          <w:p>
            <w:pPr>
              <w:spacing w:after="20"/>
              <w:jc w:val="right"/>
            </w:pPr>
            <w:r>
              <w:rPr>
                <w:color w:val="1C3A36"/>
                <w:sz w:val="18"/>
              </w:rPr>
              <w:t>15%</w:t>
            </w:r>
          </w:p>
        </w:tc>
        <w:tc>
          <w:tcPr>
            <w:tcW w:type="dxa" w:w="4176"/>
          </w:tcPr>
          <w:p>
            <w:pPr>
              <w:spacing w:after="20"/>
              <w:jc w:val="right"/>
            </w:pPr>
            <w:r>
              <w:rPr>
                <w:color w:val="1C3A36"/>
                <w:sz w:val="18"/>
              </w:rPr>
              <w:t>Cuts and the working-capital release credited</w:t>
            </w:r>
          </w:p>
        </w:tc>
      </w:tr>
      <w:tr>
        <w:tc>
          <w:tcPr>
            <w:tcW w:type="dxa" w:w="2160"/>
          </w:tcPr>
          <w:p>
            <w:pPr>
              <w:spacing w:after="20"/>
            </w:pPr>
            <w:r>
              <w:rPr>
                <w:b/>
                <w:color w:val="1C3A36"/>
                <w:sz w:val="18"/>
              </w:rPr>
              <w:t>Strong upside</w:t>
            </w:r>
          </w:p>
        </w:tc>
        <w:tc>
          <w:tcPr>
            <w:tcW w:type="dxa" w:w="1872"/>
          </w:tcPr>
          <w:p>
            <w:pPr>
              <w:spacing w:after="20"/>
              <w:jc w:val="right"/>
            </w:pPr>
            <w:r>
              <w:rPr>
                <w:color w:val="1C3A36"/>
                <w:sz w:val="18"/>
              </w:rPr>
              <w:t>above EGP 38</w:t>
            </w:r>
          </w:p>
        </w:tc>
        <w:tc>
          <w:tcPr>
            <w:tcW w:type="dxa" w:w="1728"/>
          </w:tcPr>
          <w:p>
            <w:pPr>
              <w:spacing w:after="20"/>
              <w:jc w:val="right"/>
            </w:pPr>
            <w:r>
              <w:rPr>
                <w:color w:val="1C3A36"/>
                <w:sz w:val="18"/>
              </w:rPr>
              <w:t>15%</w:t>
            </w:r>
          </w:p>
        </w:tc>
        <w:tc>
          <w:tcPr>
            <w:tcW w:type="dxa" w:w="4176"/>
          </w:tcPr>
          <w:p>
            <w:pPr>
              <w:spacing w:after="20"/>
              <w:jc w:val="right"/>
            </w:pPr>
            <w:r>
              <w:rPr>
                <w:color w:val="1C3A36"/>
                <w:sz w:val="18"/>
              </w:rPr>
              <w:t>The market begins to pay something for the associate line</w:t>
            </w:r>
          </w:p>
        </w:tc>
      </w:tr>
    </w:tbl>
    <w:p>
      <w:pPr>
        <w:spacing w:after="40"/>
      </w:pPr>
    </w:p>
    <w:p>
      <w:pPr>
        <w:spacing w:after="120" w:before="0"/>
      </w:pPr>
      <w:r>
        <w:rPr>
          <w:b w:val="0"/>
          <w:i w:val="0"/>
          <w:color w:val="1C3A36"/>
          <w:sz w:val="21"/>
        </w:rPr>
        <w:t>The distribution is right-skewed by construction: the drift measured on this stock’s own history plus fat-tailed innovations put 15% of terminal mass above EGP 38. Read that against the band record earlier in §3: over 57 resolved three-month forecasts this cone’s 90% band has contained the close 95% of the time against a 90% target. That is evidence about the WIDTH of the cone and says nothing about the direction of its median. This is the spread of outcomes consistent with the stock’s own measured behaviour and the factor stack; it is not a forecast.</w:t>
      </w:r>
    </w:p>
    <w:p>
      <w:pPr>
        <w:spacing w:after="120" w:before="280"/>
      </w:pPr>
      <w:r>
        <w:rPr>
          <w:b/>
          <w:i w:val="0"/>
          <w:color w:val="1C3A36"/>
          <w:sz w:val="30"/>
        </w:rPr>
        <w:t>7  Caveats and what would change our mind</w:t>
      </w:r>
    </w:p>
    <w:p>
      <w:pPr>
        <w:pStyle w:val="ListBullet"/>
        <w:spacing w:after="60"/>
      </w:pPr>
      <w:r>
        <w:rPr>
          <w:b/>
          <w:color w:val="1C3A36"/>
          <w:sz w:val="21"/>
        </w:rPr>
        <w:t xml:space="preserve">The answer has two sides, and neither is a hedge. </w:t>
      </w:r>
      <w:r>
        <w:rPr>
          <w:color w:val="1C3A36"/>
          <w:sz w:val="21"/>
        </w:rPr>
        <w:t>GB Corp carries its MNT-Halan interest at EGP 15.7 bn in its own reviewed balance sheet at 30 June 2026 and announced a June-2026 funding round that marks the same interest at EGP 29.3 bn. Both are the company’s own disclosures; the filings do not decide between them and neither does this study. The two answers, EGP 17.83 and 30.32, differ in that one line and in nothing else — the auto leg, the lender and the residual associates are identical. Averaging them would produce a figure neither disclosure supports.</w:t>
      </w:r>
    </w:p>
    <w:p>
      <w:pPr>
        <w:pStyle w:val="ListBullet"/>
        <w:spacing w:after="60"/>
      </w:pPr>
      <w:r>
        <w:rPr>
          <w:b/>
          <w:color w:val="1C3A36"/>
          <w:sz w:val="21"/>
        </w:rPr>
        <w:t xml:space="preserve">The lower branch is not a safe harbour, and this is the most important sentence in the study. </w:t>
      </w:r>
      <w:r>
        <w:rPr>
          <w:color w:val="1C3A36"/>
          <w:sz w:val="21"/>
        </w:rPr>
        <w:t>The limited review of the 30 June 2026 consolidated statements reaches a QUALIFIED conclusion, and it is qualified at exactly this line: the reviewers state they “were not provided with the consolidated financial statements for one of the associate companies (MNT – BV)” and were therefore “unable to verify the accuracy of the Group’s share of the profits” — EGP 409.9 mn recorded in the period. The same qualification stood on the 31 December 2025 audited statements. So the conservative branch of this study rests on a carrying value that the reviewers of that balance sheet could not verify. That is a disclosure rather than a remeasurement — nothing in the valuation changes because of it — and it is the strongest available argument for discounting BOTH marks.</w:t>
      </w:r>
    </w:p>
    <w:p>
      <w:pPr>
        <w:pStyle w:val="ListBullet"/>
        <w:spacing w:after="60"/>
      </w:pPr>
      <w:r>
        <w:rPr>
          <w:b/>
          <w:color w:val="1C3A36"/>
          <w:sz w:val="21"/>
        </w:rPr>
        <w:t xml:space="preserve">The ownership percentage is disclosed twice and the two disclosures differ. </w:t>
      </w:r>
      <w:r>
        <w:rPr>
          <w:color w:val="1C3A36"/>
          <w:sz w:val="21"/>
        </w:rPr>
        <w:t>The press release of 9 June 2026 gives 41.61% from 42.58%; the reviewed statements and the review report give 42.93% from 44.01% for the same transaction, most likely at a different level of the structure. This study adopts the lower, because it is the figure the round it is applied to was announced with, and prints the other rather than leaving it out. It is worth a little over one and a half per cent of the round-price branch and exactly nothing on the other.</w:t>
      </w:r>
    </w:p>
    <w:p>
      <w:pPr>
        <w:pStyle w:val="ListBullet"/>
        <w:spacing w:after="60"/>
      </w:pPr>
      <w:r>
        <w:rPr>
          <w:b/>
          <w:color w:val="1C3A36"/>
          <w:sz w:val="21"/>
        </w:rPr>
        <w:t xml:space="preserve">There is no complexity discount, and its removal is a correction rather than an opinion. </w:t>
      </w:r>
      <w:r>
        <w:rPr>
          <w:color w:val="1C3A36"/>
          <w:sz w:val="21"/>
        </w:rPr>
        <w:t>The superseded edition deducted a typed ten per cent from the sum of the parts and then weighted the discounted and undiscounted sums, applying an effective four. Both figures were parameters with nothing observable behind them and nothing in GB Corp’s filings discloses a basis for either. They are gone. What such a discount was standing in for is now named instead — the uncertainty is in the associate mark and is published as two branches.</w:t>
      </w:r>
    </w:p>
    <w:p>
      <w:pPr>
        <w:pStyle w:val="ListBullet"/>
        <w:spacing w:after="60"/>
      </w:pPr>
      <w:r>
        <w:rPr>
          <w:b/>
          <w:color w:val="1C3A36"/>
          <w:sz w:val="21"/>
        </w:rPr>
        <w:t xml:space="preserve">There is no weighted blend either. </w:t>
      </w:r>
      <w:r>
        <w:rPr>
          <w:color w:val="1C3A36"/>
          <w:sz w:val="21"/>
        </w:rPr>
        <w:t>The superseded edition published a central that averaged four reads at weights that had never been tested against any alternative. One class primary is the answer and the other reads are cross-checks; a number produced by averaging several methods is a new method with untested parameters, wearing the appearance of caution.</w:t>
      </w:r>
    </w:p>
    <w:p>
      <w:pPr>
        <w:pStyle w:val="ListBullet"/>
        <w:spacing w:after="60"/>
      </w:pPr>
      <w:r>
        <w:rPr>
          <w:b/>
          <w:color w:val="1C3A36"/>
          <w:sz w:val="21"/>
        </w:rPr>
        <w:t xml:space="preserve">Working capital is the second-order model. </w:t>
      </w:r>
      <w:r>
        <w:rPr>
          <w:color w:val="1C3A36"/>
          <w:sz w:val="21"/>
        </w:rPr>
        <w:t>The operating leg’s value lives in where working-capital intensity settles: it is held flat at 22.6% of revenue, anchored on the reviewed half. If that level is the new structural cost of holding share — import finance and assembly stock — rather than a stock build that unwinds, the auto leg is worth materially less; the company’s own days payable ran 112.7 to 83.3 and the cash cycle lengthened, which is evidence for the durable reading rather than against it. The §1.9 grid rather than a single sentence is where that is priced.</w:t>
      </w:r>
    </w:p>
    <w:p>
      <w:pPr>
        <w:pStyle w:val="ListBullet"/>
        <w:spacing w:after="60"/>
      </w:pPr>
      <w:r>
        <w:rPr>
          <w:b/>
          <w:color w:val="1C3A36"/>
          <w:sz w:val="21"/>
        </w:rPr>
        <w:t xml:space="preserve">Terminal-value dependency, and a life that could not be sourced. </w:t>
      </w:r>
      <w:r>
        <w:rPr>
          <w:color w:val="1C3A36"/>
          <w:sz w:val="21"/>
        </w:rPr>
        <w:t>97% of the auto leg’s enterprise value is terminal value, at a terminal spread of 4.59% between the cost of capital and growth. Worse, the house standard is that a terminal rests on a disclosed asset life, and none could be sourced here: the policy note gives rate ranges rather than a scalar, and the identity route depends on an undisclosed land split. The refusal is recorded in §1.2 rather than resolved by choosing a life, and it is the largest single piece of unfinished business in this study.</w:t>
      </w:r>
    </w:p>
    <w:p>
      <w:pPr>
        <w:pStyle w:val="ListBullet"/>
        <w:spacing w:after="60"/>
      </w:pPr>
      <w:r>
        <w:rPr>
          <w:b/>
          <w:color w:val="1C3A36"/>
          <w:sz w:val="21"/>
        </w:rPr>
        <w:t xml:space="preserve">The gap can be read as a rate rather than as a mark, and that reading is milder. </w:t>
      </w:r>
      <w:r>
        <w:rPr>
          <w:color w:val="1C3A36"/>
          <w:sz w:val="21"/>
        </w:rPr>
        <w:t>Solving the traded price for the auto leg’s cost of capital instead of the associate mark implies 14.95% on the round-price branch against this study’s 14.58%, and 14.50% on the carrying-value branch. The second is an ordinary disagreement about the cost of capital in this market. Both figures are solved from the price and used nowhere; they are printed because a binary between “the market is wrong about the associate” and “our auto leg is wrong” is too neat.</w:t>
      </w:r>
    </w:p>
    <w:p>
      <w:pPr>
        <w:pStyle w:val="ListBullet"/>
        <w:spacing w:after="60"/>
      </w:pPr>
      <w:r>
        <w:rPr>
          <w:b/>
          <w:color w:val="1C3A36"/>
          <w:sz w:val="21"/>
        </w:rPr>
        <w:t xml:space="preserve">The drift is empirical, and it is thin. </w:t>
      </w:r>
      <w:r>
        <w:rPr>
          <w:color w:val="1C3A36"/>
          <w:sz w:val="21"/>
        </w:rPr>
        <w:t>The upward median rests on a drift measured on this stock’s own history and on nothing else. What that supports is set out in §3 and is a claim about the WIDTH of the band rather than about the direction of its middle: over 57 resolved three-month forecasts the price finished inside the 90% band 95% of the time against a 90% target. A regime turn would flip the median read; the drift is re-tested at every roll-forward and cut the moment the record stops holding.</w:t>
      </w:r>
    </w:p>
    <w:p>
      <w:pPr>
        <w:pStyle w:val="ListBullet"/>
        <w:spacing w:after="60"/>
      </w:pPr>
      <w:r>
        <w:rPr>
          <w:b/>
          <w:color w:val="1C3A36"/>
          <w:sz w:val="21"/>
        </w:rPr>
        <w:t xml:space="preserve">The lender is a credit cycle, and its mark is a return the cycle sets. </w:t>
      </w:r>
      <w:r>
        <w:rPr>
          <w:color w:val="1C3A36"/>
          <w:sz w:val="21"/>
        </w:rPr>
        <w:t>GB Capital is marked at 0.08× its operating equity because a reviewed return of 7.90% against a terminal cost of equity of 18.73% supports that and no more. On the FY2025 full-year return of 7.53% the same arithmetic gives EGP 283 mn instead. The study took the reviewed half because a near-term reviewed actual outranks a stale full-year rate, and that is also the lower number; a funding-market seizure or a deterioration in credit would take it lower again.</w:t>
      </w:r>
    </w:p>
    <w:p>
      <w:pPr>
        <w:pStyle w:val="ListBullet"/>
        <w:spacing w:after="60"/>
      </w:pPr>
      <w:r>
        <w:rPr>
          <w:b/>
          <w:color w:val="1C3A36"/>
          <w:sz w:val="21"/>
        </w:rPr>
        <w:t xml:space="preserve">Consolidation approximations. </w:t>
      </w:r>
      <w:r>
        <w:rPr>
          <w:color w:val="1C3A36"/>
          <w:sz w:val="21"/>
        </w:rPr>
        <w:t>The consolidated forecast maps eliminations, minority interests and the grouped balance-sheet layout with stated simplifications. Segment disclosure, not audited consolidation schedules, is the source for the split of the group into legs.</w:t>
      </w:r>
    </w:p>
    <w:p>
      <w:pPr>
        <w:pStyle w:val="ListBullet"/>
        <w:spacing w:after="60"/>
      </w:pPr>
      <w:r>
        <w:rPr>
          <w:b/>
          <w:color w:val="1C3A36"/>
          <w:sz w:val="21"/>
        </w:rPr>
        <w:t xml:space="preserve">The far forecast years are ranges, and thin ones. </w:t>
      </w:r>
      <w:r>
        <w:rPr>
          <w:color w:val="1C3A36"/>
          <w:sz w:val="21"/>
        </w:rPr>
        <w:t>Appendix A publishes the third, fourth and fifth forecast years as ranges taken from how wrong this method has been on this company’s own history. Those ranges rest on a handful of observations each — the table prints the count beside every one — and the count is what tells a reader what the range can and cannot promise.</w:t>
      </w:r>
    </w:p>
    <w:p>
      <w:pPr>
        <w:pStyle w:val="ListBullet"/>
        <w:spacing w:after="60"/>
      </w:pPr>
      <w:r>
        <w:rPr>
          <w:b/>
          <w:color w:val="1C3A36"/>
          <w:sz w:val="21"/>
        </w:rPr>
        <w:t xml:space="preserve">Technical reminder. </w:t>
      </w:r>
      <w:r>
        <w:rPr>
          <w:color w:val="1C3A36"/>
          <w:sz w:val="21"/>
        </w:rPr>
        <w:t>The technical read is context, not a trigger, and it is computed on an older session than the price the valuation is struck on. Both dates are printed wherever either figure is quoted.</w:t>
      </w:r>
    </w:p>
    <w:p>
      <w:pPr>
        <w:spacing w:after="120" w:before="280"/>
      </w:pPr>
      <w:r>
        <w:rPr>
          <w:b/>
          <w:i w:val="0"/>
          <w:color w:val="1C3A36"/>
          <w:sz w:val="30"/>
        </w:rPr>
        <w:t>Appendix A  Financial statements</w:t>
      </w:r>
    </w:p>
    <w:p>
      <w:pPr>
        <w:spacing w:after="120" w:before="0"/>
      </w:pPr>
      <w:r>
        <w:rPr>
          <w:b w:val="0"/>
          <w:i w:val="0"/>
          <w:color w:val="1C3A36"/>
          <w:sz w:val="21"/>
        </w:rPr>
        <w:t>The historical columns are the company’s own consolidated income statement as originally reported, taken from the earnings release named against each year; every year is asserted to foot against its own arithmetic before it enters this study. The forecast columns are the model’s own build and reprice from the drivers in the companion workbook.</w:t>
      </w:r>
    </w:p>
    <w:p>
      <w:pPr>
        <w:spacing w:after="80" w:before="200"/>
      </w:pPr>
      <w:r>
        <w:rPr>
          <w:b/>
          <w:i w:val="0"/>
          <w:color w:val="1C3A36"/>
          <w:sz w:val="24"/>
        </w:rPr>
        <w:t>A.1  The far forecast years, published as ranges</w:t>
      </w:r>
    </w:p>
    <w:p>
      <w:pPr>
        <w:spacing w:after="120" w:before="0"/>
      </w:pPr>
      <w:r>
        <w:rPr>
          <w:b w:val="0"/>
          <w:i w:val="0"/>
          <w:color w:val="1C3A36"/>
          <w:sz w:val="19"/>
        </w:rPr>
        <w:t>The method behind this forecast was tested on GB Corp’s own history before it was trusted on its future: the driver model was rebuilt as it stood at a series of past origins, projected forward, and every driver scored against what the company actually went on to report. The table below carries what that record supports for the third, fourth and fifth forecast years — a RANGE rather than a point. Read the basis column: these bounds are the SPAN OF THE OBSERVED OUTCOMES, not percentiles. With the counts shown, a percentile would be a statistic invented for the occasion, and this study does not invent one.</w:t>
      </w:r>
    </w:p>
    <w:p>
      <w:pPr>
        <w:spacing w:after="120" w:before="0"/>
      </w:pPr>
      <w:r>
        <w:rPr>
          <w:b w:val="0"/>
          <w:i w:val="0"/>
          <w:color w:val="1C3A36"/>
          <w:sz w:val="19"/>
        </w:rPr>
        <w:t>The bands are stated as the ratio of what the company REPORTED to what the method FORECAST, so a figure above one is a year the method came in low. They are applied by multiplying the point projection.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440"/>
        <w:gridCol w:w="1440"/>
        <w:gridCol w:w="1440"/>
        <w:gridCol w:w="1440"/>
        <w:gridCol w:w="1440"/>
        <w:gridCol w:w="1440"/>
        <w:gridCol w:w="1440"/>
      </w:tblGrid>
      <w:tr>
        <w:tc>
          <w:tcPr>
            <w:tcW w:type="dxa" w:w="2088"/>
            <w:shd w:val="clear" w:color="auto" w:fill="EAF0EE"/>
          </w:tcPr>
          <w:p>
            <w:pPr>
              <w:spacing w:after="20"/>
            </w:pPr>
            <w:r>
              <w:rPr>
                <w:b/>
                <w:color w:val="1C3A36"/>
                <w:sz w:val="16"/>
              </w:rPr>
              <w:t>Forecast year</w:t>
            </w:r>
          </w:p>
        </w:tc>
        <w:tc>
          <w:tcPr>
            <w:tcW w:type="dxa" w:w="1368"/>
            <w:shd w:val="clear" w:color="auto" w:fill="EAF0EE"/>
          </w:tcPr>
          <w:p>
            <w:pPr>
              <w:spacing w:after="20"/>
            </w:pPr>
            <w:r>
              <w:rPr>
                <w:b/>
                <w:color w:val="1C3A36"/>
                <w:sz w:val="16"/>
              </w:rPr>
              <w:t>Low</w:t>
            </w:r>
          </w:p>
        </w:tc>
        <w:tc>
          <w:tcPr>
            <w:tcW w:type="dxa" w:w="1368"/>
            <w:shd w:val="clear" w:color="auto" w:fill="EAF0EE"/>
          </w:tcPr>
          <w:p>
            <w:pPr>
              <w:spacing w:after="20"/>
            </w:pPr>
            <w:r>
              <w:rPr>
                <w:b/>
                <w:color w:val="1C3A36"/>
                <w:sz w:val="16"/>
              </w:rPr>
              <w:t>Point</w:t>
            </w:r>
          </w:p>
        </w:tc>
        <w:tc>
          <w:tcPr>
            <w:tcW w:type="dxa" w:w="1368"/>
            <w:shd w:val="clear" w:color="auto" w:fill="EAF0EE"/>
          </w:tcPr>
          <w:p>
            <w:pPr>
              <w:spacing w:after="20"/>
            </w:pPr>
            <w:r>
              <w:rPr>
                <w:b/>
                <w:color w:val="1C3A36"/>
                <w:sz w:val="16"/>
              </w:rPr>
              <w:t>High</w:t>
            </w:r>
          </w:p>
        </w:tc>
        <w:tc>
          <w:tcPr>
            <w:tcW w:type="dxa" w:w="1512"/>
            <w:shd w:val="clear" w:color="auto" w:fill="EAF0EE"/>
          </w:tcPr>
          <w:p>
            <w:pPr>
              <w:spacing w:after="20"/>
            </w:pPr>
            <w:r>
              <w:rPr>
                <w:b/>
                <w:color w:val="1C3A36"/>
                <w:sz w:val="16"/>
              </w:rPr>
              <w:t>Band applied</w:t>
            </w:r>
          </w:p>
        </w:tc>
        <w:tc>
          <w:tcPr>
            <w:tcW w:type="dxa" w:w="1080"/>
            <w:shd w:val="clear" w:color="auto" w:fill="EAF0EE"/>
          </w:tcPr>
          <w:p>
            <w:pPr>
              <w:spacing w:after="20"/>
            </w:pPr>
            <w:r>
              <w:rPr>
                <w:b/>
                <w:color w:val="1C3A36"/>
                <w:sz w:val="16"/>
              </w:rPr>
              <w:t>Basis</w:t>
            </w:r>
          </w:p>
        </w:tc>
        <w:tc>
          <w:tcPr>
            <w:tcW w:type="dxa" w:w="1368"/>
            <w:shd w:val="clear" w:color="auto" w:fill="EAF0EE"/>
          </w:tcPr>
          <w:p>
            <w:pPr>
              <w:spacing w:after="20"/>
            </w:pPr>
            <w:r>
              <w:rPr>
                <w:b/>
                <w:color w:val="1C3A36"/>
                <w:sz w:val="16"/>
              </w:rPr>
              <w:t>Observations</w:t>
            </w:r>
          </w:p>
        </w:tc>
      </w:tr>
      <w:tr>
        <w:tc>
          <w:tcPr>
            <w:tcW w:type="dxa" w:w="2088"/>
            <w:shd w:val="clear" w:color="auto" w:fill="F6F1E6"/>
          </w:tcPr>
          <w:p>
            <w:pPr>
              <w:spacing w:after="20"/>
            </w:pPr>
            <w:r>
              <w:rPr>
                <w:b/>
                <w:color w:val="1C3A36"/>
                <w:sz w:val="16"/>
              </w:rPr>
              <w:t>Group revenue (EGP mn)</w:t>
            </w:r>
          </w:p>
        </w:tc>
        <w:tc>
          <w:tcPr>
            <w:tcW w:type="dxa" w:w="1368"/>
            <w:shd w:val="clear" w:color="auto" w:fill="F6F1E6"/>
          </w:tcPr>
          <w:p>
            <w:pPr>
              <w:spacing w:after="20"/>
              <w:jc w:val="right"/>
            </w:pPr>
            <w:r>
              <w:rPr>
                <w:b/>
                <w:color w:val="1C3A36"/>
                <w:sz w:val="16"/>
              </w:rPr>
            </w:r>
          </w:p>
        </w:tc>
        <w:tc>
          <w:tcPr>
            <w:tcW w:type="dxa" w:w="1368"/>
            <w:shd w:val="clear" w:color="auto" w:fill="F6F1E6"/>
          </w:tcPr>
          <w:p>
            <w:pPr>
              <w:spacing w:after="20"/>
              <w:jc w:val="right"/>
            </w:pPr>
            <w:r>
              <w:rPr>
                <w:b/>
                <w:color w:val="1C3A36"/>
                <w:sz w:val="16"/>
              </w:rPr>
            </w:r>
          </w:p>
        </w:tc>
        <w:tc>
          <w:tcPr>
            <w:tcW w:type="dxa" w:w="1368"/>
            <w:shd w:val="clear" w:color="auto" w:fill="F6F1E6"/>
          </w:tcPr>
          <w:p>
            <w:pPr>
              <w:spacing w:after="20"/>
              <w:jc w:val="right"/>
            </w:pPr>
            <w:r>
              <w:rPr>
                <w:b/>
                <w:color w:val="1C3A36"/>
                <w:sz w:val="16"/>
              </w:rPr>
            </w:r>
          </w:p>
        </w:tc>
        <w:tc>
          <w:tcPr>
            <w:tcW w:type="dxa" w:w="1512"/>
            <w:shd w:val="clear" w:color="auto" w:fill="F6F1E6"/>
          </w:tcPr>
          <w:p>
            <w:pPr>
              <w:spacing w:after="20"/>
              <w:jc w:val="right"/>
            </w:pPr>
            <w:r>
              <w:rPr>
                <w:b/>
                <w:color w:val="1C3A36"/>
                <w:sz w:val="16"/>
              </w:rPr>
            </w:r>
          </w:p>
        </w:tc>
        <w:tc>
          <w:tcPr>
            <w:tcW w:type="dxa" w:w="1080"/>
            <w:shd w:val="clear" w:color="auto" w:fill="F6F1E6"/>
          </w:tcPr>
          <w:p>
            <w:pPr>
              <w:spacing w:after="20"/>
              <w:jc w:val="right"/>
            </w:pPr>
            <w:r>
              <w:rPr>
                <w:b/>
                <w:color w:val="1C3A36"/>
                <w:sz w:val="16"/>
              </w:rPr>
            </w:r>
          </w:p>
        </w:tc>
        <w:tc>
          <w:tcPr>
            <w:tcW w:type="dxa" w:w="1368"/>
            <w:shd w:val="clear" w:color="auto" w:fill="F6F1E6"/>
          </w:tcPr>
          <w:p>
            <w:pPr>
              <w:spacing w:after="20"/>
              <w:jc w:val="right"/>
            </w:pPr>
            <w:r>
              <w:rPr>
                <w:b/>
                <w:color w:val="1C3A36"/>
                <w:sz w:val="16"/>
              </w:rPr>
            </w:r>
          </w:p>
        </w:tc>
      </w:tr>
      <w:tr>
        <w:tc>
          <w:tcPr>
            <w:tcW w:type="dxa" w:w="2088"/>
          </w:tcPr>
          <w:p>
            <w:pPr>
              <w:spacing w:after="20"/>
            </w:pPr>
            <w:r>
              <w:rPr>
                <w:color w:val="1C3A36"/>
                <w:sz w:val="16"/>
              </w:rPr>
              <w:t>FY2028</w:t>
            </w:r>
          </w:p>
        </w:tc>
        <w:tc>
          <w:tcPr>
            <w:tcW w:type="dxa" w:w="1368"/>
          </w:tcPr>
          <w:p>
            <w:pPr>
              <w:spacing w:after="20"/>
              <w:jc w:val="right"/>
            </w:pPr>
            <w:r>
              <w:rPr>
                <w:color w:val="1C3A36"/>
                <w:sz w:val="16"/>
              </w:rPr>
              <w:t>86,799</w:t>
            </w:r>
          </w:p>
        </w:tc>
        <w:tc>
          <w:tcPr>
            <w:tcW w:type="dxa" w:w="1368"/>
          </w:tcPr>
          <w:p>
            <w:pPr>
              <w:spacing w:after="20"/>
              <w:jc w:val="right"/>
            </w:pPr>
            <w:r>
              <w:rPr>
                <w:color w:val="1C3A36"/>
                <w:sz w:val="16"/>
              </w:rPr>
              <w:t>146,694</w:t>
            </w:r>
          </w:p>
        </w:tc>
        <w:tc>
          <w:tcPr>
            <w:tcW w:type="dxa" w:w="1368"/>
          </w:tcPr>
          <w:p>
            <w:pPr>
              <w:spacing w:after="20"/>
              <w:jc w:val="right"/>
            </w:pPr>
            <w:r>
              <w:rPr>
                <w:color w:val="1C3A36"/>
                <w:sz w:val="16"/>
              </w:rPr>
              <w:t>327,112</w:t>
            </w:r>
          </w:p>
        </w:tc>
        <w:tc>
          <w:tcPr>
            <w:tcW w:type="dxa" w:w="1512"/>
          </w:tcPr>
          <w:p>
            <w:pPr>
              <w:spacing w:after="20"/>
              <w:jc w:val="right"/>
            </w:pPr>
            <w:r>
              <w:rPr>
                <w:color w:val="1C3A36"/>
                <w:sz w:val="16"/>
              </w:rPr>
              <w:t>0.59–2.23×</w:t>
            </w:r>
          </w:p>
        </w:tc>
        <w:tc>
          <w:tcPr>
            <w:tcW w:type="dxa" w:w="1080"/>
          </w:tcPr>
          <w:p>
            <w:pPr>
              <w:spacing w:after="20"/>
              <w:jc w:val="right"/>
            </w:pPr>
            <w:r>
              <w:rPr>
                <w:color w:val="1C3A36"/>
                <w:sz w:val="16"/>
              </w:rPr>
              <w:t>span</w:t>
            </w:r>
          </w:p>
        </w:tc>
        <w:tc>
          <w:tcPr>
            <w:tcW w:type="dxa" w:w="1368"/>
          </w:tcPr>
          <w:p>
            <w:pPr>
              <w:spacing w:after="20"/>
              <w:jc w:val="right"/>
            </w:pPr>
            <w:r>
              <w:rPr>
                <w:color w:val="1C3A36"/>
                <w:sz w:val="16"/>
              </w:rPr>
              <w:t>7</w:t>
            </w:r>
          </w:p>
        </w:tc>
      </w:tr>
      <w:tr>
        <w:tc>
          <w:tcPr>
            <w:tcW w:type="dxa" w:w="2088"/>
          </w:tcPr>
          <w:p>
            <w:pPr>
              <w:spacing w:after="20"/>
            </w:pPr>
            <w:r>
              <w:rPr>
                <w:color w:val="1C3A36"/>
                <w:sz w:val="16"/>
              </w:rPr>
              <w:t>FY2029</w:t>
            </w:r>
          </w:p>
        </w:tc>
        <w:tc>
          <w:tcPr>
            <w:tcW w:type="dxa" w:w="1368"/>
          </w:tcPr>
          <w:p>
            <w:pPr>
              <w:spacing w:after="20"/>
              <w:jc w:val="right"/>
            </w:pPr>
            <w:r>
              <w:rPr>
                <w:color w:val="1C3A36"/>
                <w:sz w:val="16"/>
              </w:rPr>
              <w:t>75,660</w:t>
            </w:r>
          </w:p>
        </w:tc>
        <w:tc>
          <w:tcPr>
            <w:tcW w:type="dxa" w:w="1368"/>
          </w:tcPr>
          <w:p>
            <w:pPr>
              <w:spacing w:after="20"/>
              <w:jc w:val="right"/>
            </w:pPr>
            <w:r>
              <w:rPr>
                <w:color w:val="1C3A36"/>
                <w:sz w:val="16"/>
              </w:rPr>
              <w:t>169,640</w:t>
            </w:r>
          </w:p>
        </w:tc>
        <w:tc>
          <w:tcPr>
            <w:tcW w:type="dxa" w:w="1368"/>
          </w:tcPr>
          <w:p>
            <w:pPr>
              <w:spacing w:after="20"/>
              <w:jc w:val="right"/>
            </w:pPr>
            <w:r>
              <w:rPr>
                <w:color w:val="1C3A36"/>
                <w:sz w:val="16"/>
              </w:rPr>
              <w:t>305,963</w:t>
            </w:r>
          </w:p>
        </w:tc>
        <w:tc>
          <w:tcPr>
            <w:tcW w:type="dxa" w:w="1512"/>
          </w:tcPr>
          <w:p>
            <w:pPr>
              <w:spacing w:after="20"/>
              <w:jc w:val="right"/>
            </w:pPr>
            <w:r>
              <w:rPr>
                <w:color w:val="1C3A36"/>
                <w:sz w:val="16"/>
              </w:rPr>
              <w:t>0.45–1.80×</w:t>
            </w:r>
          </w:p>
        </w:tc>
        <w:tc>
          <w:tcPr>
            <w:tcW w:type="dxa" w:w="1080"/>
          </w:tcPr>
          <w:p>
            <w:pPr>
              <w:spacing w:after="20"/>
              <w:jc w:val="right"/>
            </w:pPr>
            <w:r>
              <w:rPr>
                <w:color w:val="1C3A36"/>
                <w:sz w:val="16"/>
              </w:rPr>
              <w:t>span</w:t>
            </w:r>
          </w:p>
        </w:tc>
        <w:tc>
          <w:tcPr>
            <w:tcW w:type="dxa" w:w="1368"/>
          </w:tcPr>
          <w:p>
            <w:pPr>
              <w:spacing w:after="20"/>
              <w:jc w:val="right"/>
            </w:pPr>
            <w:r>
              <w:rPr>
                <w:color w:val="1C3A36"/>
                <w:sz w:val="16"/>
              </w:rPr>
              <w:t>6</w:t>
            </w:r>
          </w:p>
        </w:tc>
      </w:tr>
      <w:tr>
        <w:tc>
          <w:tcPr>
            <w:tcW w:type="dxa" w:w="2088"/>
          </w:tcPr>
          <w:p>
            <w:pPr>
              <w:spacing w:after="20"/>
            </w:pPr>
            <w:r>
              <w:rPr>
                <w:color w:val="1C3A36"/>
                <w:sz w:val="16"/>
              </w:rPr>
              <w:t>FY2030</w:t>
            </w:r>
          </w:p>
        </w:tc>
        <w:tc>
          <w:tcPr>
            <w:tcW w:type="dxa" w:w="1368"/>
          </w:tcPr>
          <w:p>
            <w:pPr>
              <w:spacing w:after="20"/>
              <w:jc w:val="right"/>
            </w:pPr>
            <w:r>
              <w:rPr>
                <w:color w:val="1C3A36"/>
                <w:sz w:val="16"/>
              </w:rPr>
              <w:t>65,346</w:t>
            </w:r>
          </w:p>
        </w:tc>
        <w:tc>
          <w:tcPr>
            <w:tcW w:type="dxa" w:w="1368"/>
          </w:tcPr>
          <w:p>
            <w:pPr>
              <w:spacing w:after="20"/>
              <w:jc w:val="right"/>
            </w:pPr>
            <w:r>
              <w:rPr>
                <w:color w:val="1C3A36"/>
                <w:sz w:val="16"/>
              </w:rPr>
              <w:t>192,932</w:t>
            </w:r>
          </w:p>
        </w:tc>
        <w:tc>
          <w:tcPr>
            <w:tcW w:type="dxa" w:w="1368"/>
          </w:tcPr>
          <w:p>
            <w:pPr>
              <w:spacing w:after="20"/>
              <w:jc w:val="right"/>
            </w:pPr>
            <w:r>
              <w:rPr>
                <w:color w:val="1C3A36"/>
                <w:sz w:val="16"/>
              </w:rPr>
              <w:t>393,871</w:t>
            </w:r>
          </w:p>
        </w:tc>
        <w:tc>
          <w:tcPr>
            <w:tcW w:type="dxa" w:w="1512"/>
          </w:tcPr>
          <w:p>
            <w:pPr>
              <w:spacing w:after="20"/>
              <w:jc w:val="right"/>
            </w:pPr>
            <w:r>
              <w:rPr>
                <w:color w:val="1C3A36"/>
                <w:sz w:val="16"/>
              </w:rPr>
              <w:t>0.34–2.04×</w:t>
            </w:r>
          </w:p>
        </w:tc>
        <w:tc>
          <w:tcPr>
            <w:tcW w:type="dxa" w:w="1080"/>
          </w:tcPr>
          <w:p>
            <w:pPr>
              <w:spacing w:after="20"/>
              <w:jc w:val="right"/>
            </w:pPr>
            <w:r>
              <w:rPr>
                <w:color w:val="1C3A36"/>
                <w:sz w:val="16"/>
              </w:rPr>
              <w:t>span</w:t>
            </w:r>
          </w:p>
        </w:tc>
        <w:tc>
          <w:tcPr>
            <w:tcW w:type="dxa" w:w="1368"/>
          </w:tcPr>
          <w:p>
            <w:pPr>
              <w:spacing w:after="20"/>
              <w:jc w:val="right"/>
            </w:pPr>
            <w:r>
              <w:rPr>
                <w:color w:val="1C3A36"/>
                <w:sz w:val="16"/>
              </w:rPr>
              <w:t>5</w:t>
            </w:r>
          </w:p>
        </w:tc>
      </w:tr>
      <w:tr>
        <w:tc>
          <w:tcPr>
            <w:tcW w:type="dxa" w:w="2088"/>
            <w:shd w:val="clear" w:color="auto" w:fill="F6F1E6"/>
          </w:tcPr>
          <w:p>
            <w:pPr>
              <w:spacing w:after="20"/>
            </w:pPr>
            <w:r>
              <w:rPr>
                <w:b/>
                <w:color w:val="1C3A36"/>
                <w:sz w:val="16"/>
              </w:rPr>
              <w:t>Group gross profit (EGP mn)</w:t>
            </w:r>
          </w:p>
        </w:tc>
        <w:tc>
          <w:tcPr>
            <w:tcW w:type="dxa" w:w="1368"/>
            <w:shd w:val="clear" w:color="auto" w:fill="F6F1E6"/>
          </w:tcPr>
          <w:p>
            <w:pPr>
              <w:spacing w:after="20"/>
              <w:jc w:val="right"/>
            </w:pPr>
            <w:r>
              <w:rPr>
                <w:b/>
                <w:color w:val="1C3A36"/>
                <w:sz w:val="16"/>
              </w:rPr>
            </w:r>
          </w:p>
        </w:tc>
        <w:tc>
          <w:tcPr>
            <w:tcW w:type="dxa" w:w="1368"/>
            <w:shd w:val="clear" w:color="auto" w:fill="F6F1E6"/>
          </w:tcPr>
          <w:p>
            <w:pPr>
              <w:spacing w:after="20"/>
              <w:jc w:val="right"/>
            </w:pPr>
            <w:r>
              <w:rPr>
                <w:b/>
                <w:color w:val="1C3A36"/>
                <w:sz w:val="16"/>
              </w:rPr>
            </w:r>
          </w:p>
        </w:tc>
        <w:tc>
          <w:tcPr>
            <w:tcW w:type="dxa" w:w="1368"/>
            <w:shd w:val="clear" w:color="auto" w:fill="F6F1E6"/>
          </w:tcPr>
          <w:p>
            <w:pPr>
              <w:spacing w:after="20"/>
              <w:jc w:val="right"/>
            </w:pPr>
            <w:r>
              <w:rPr>
                <w:b/>
                <w:color w:val="1C3A36"/>
                <w:sz w:val="16"/>
              </w:rPr>
            </w:r>
          </w:p>
        </w:tc>
        <w:tc>
          <w:tcPr>
            <w:tcW w:type="dxa" w:w="1512"/>
            <w:shd w:val="clear" w:color="auto" w:fill="F6F1E6"/>
          </w:tcPr>
          <w:p>
            <w:pPr>
              <w:spacing w:after="20"/>
              <w:jc w:val="right"/>
            </w:pPr>
            <w:r>
              <w:rPr>
                <w:b/>
                <w:color w:val="1C3A36"/>
                <w:sz w:val="16"/>
              </w:rPr>
            </w:r>
          </w:p>
        </w:tc>
        <w:tc>
          <w:tcPr>
            <w:tcW w:type="dxa" w:w="1080"/>
            <w:shd w:val="clear" w:color="auto" w:fill="F6F1E6"/>
          </w:tcPr>
          <w:p>
            <w:pPr>
              <w:spacing w:after="20"/>
              <w:jc w:val="right"/>
            </w:pPr>
            <w:r>
              <w:rPr>
                <w:b/>
                <w:color w:val="1C3A36"/>
                <w:sz w:val="16"/>
              </w:rPr>
            </w:r>
          </w:p>
        </w:tc>
        <w:tc>
          <w:tcPr>
            <w:tcW w:type="dxa" w:w="1368"/>
            <w:shd w:val="clear" w:color="auto" w:fill="F6F1E6"/>
          </w:tcPr>
          <w:p>
            <w:pPr>
              <w:spacing w:after="20"/>
              <w:jc w:val="right"/>
            </w:pPr>
            <w:r>
              <w:rPr>
                <w:b/>
                <w:color w:val="1C3A36"/>
                <w:sz w:val="16"/>
              </w:rPr>
            </w:r>
          </w:p>
        </w:tc>
      </w:tr>
      <w:tr>
        <w:tc>
          <w:tcPr>
            <w:tcW w:type="dxa" w:w="2088"/>
          </w:tcPr>
          <w:p>
            <w:pPr>
              <w:spacing w:after="20"/>
            </w:pPr>
            <w:r>
              <w:rPr>
                <w:color w:val="1C3A36"/>
                <w:sz w:val="16"/>
              </w:rPr>
              <w:t>FY2028</w:t>
            </w:r>
          </w:p>
        </w:tc>
        <w:tc>
          <w:tcPr>
            <w:tcW w:type="dxa" w:w="1368"/>
          </w:tcPr>
          <w:p>
            <w:pPr>
              <w:spacing w:after="20"/>
              <w:jc w:val="right"/>
            </w:pPr>
            <w:r>
              <w:rPr>
                <w:color w:val="1C3A36"/>
                <w:sz w:val="16"/>
              </w:rPr>
              <w:t>20,671</w:t>
            </w:r>
          </w:p>
        </w:tc>
        <w:tc>
          <w:tcPr>
            <w:tcW w:type="dxa" w:w="1368"/>
          </w:tcPr>
          <w:p>
            <w:pPr>
              <w:spacing w:after="20"/>
              <w:jc w:val="right"/>
            </w:pPr>
            <w:r>
              <w:rPr>
                <w:color w:val="1C3A36"/>
                <w:sz w:val="16"/>
              </w:rPr>
              <w:t>22,814</w:t>
            </w:r>
          </w:p>
        </w:tc>
        <w:tc>
          <w:tcPr>
            <w:tcW w:type="dxa" w:w="1368"/>
          </w:tcPr>
          <w:p>
            <w:pPr>
              <w:spacing w:after="20"/>
              <w:jc w:val="right"/>
            </w:pPr>
            <w:r>
              <w:rPr>
                <w:color w:val="1C3A36"/>
                <w:sz w:val="16"/>
              </w:rPr>
              <w:t>34,918</w:t>
            </w:r>
          </w:p>
        </w:tc>
        <w:tc>
          <w:tcPr>
            <w:tcW w:type="dxa" w:w="1512"/>
          </w:tcPr>
          <w:p>
            <w:pPr>
              <w:spacing w:after="20"/>
              <w:jc w:val="right"/>
            </w:pPr>
            <w:r>
              <w:rPr>
                <w:color w:val="1C3A36"/>
                <w:sz w:val="16"/>
              </w:rPr>
              <w:t>0.91–1.53×</w:t>
            </w:r>
          </w:p>
        </w:tc>
        <w:tc>
          <w:tcPr>
            <w:tcW w:type="dxa" w:w="1080"/>
          </w:tcPr>
          <w:p>
            <w:pPr>
              <w:spacing w:after="20"/>
              <w:jc w:val="right"/>
            </w:pPr>
            <w:r>
              <w:rPr>
                <w:color w:val="1C3A36"/>
                <w:sz w:val="16"/>
              </w:rPr>
              <w:t>span</w:t>
            </w:r>
          </w:p>
        </w:tc>
        <w:tc>
          <w:tcPr>
            <w:tcW w:type="dxa" w:w="1368"/>
          </w:tcPr>
          <w:p>
            <w:pPr>
              <w:spacing w:after="20"/>
              <w:jc w:val="right"/>
            </w:pPr>
            <w:r>
              <w:rPr>
                <w:color w:val="1C3A36"/>
                <w:sz w:val="16"/>
              </w:rPr>
              <w:t>7</w:t>
            </w:r>
          </w:p>
        </w:tc>
      </w:tr>
      <w:tr>
        <w:tc>
          <w:tcPr>
            <w:tcW w:type="dxa" w:w="2088"/>
          </w:tcPr>
          <w:p>
            <w:pPr>
              <w:spacing w:after="20"/>
            </w:pPr>
            <w:r>
              <w:rPr>
                <w:color w:val="1C3A36"/>
                <w:sz w:val="16"/>
              </w:rPr>
              <w:t>FY2029</w:t>
            </w:r>
          </w:p>
        </w:tc>
        <w:tc>
          <w:tcPr>
            <w:tcW w:type="dxa" w:w="1368"/>
          </w:tcPr>
          <w:p>
            <w:pPr>
              <w:spacing w:after="20"/>
              <w:jc w:val="right"/>
            </w:pPr>
            <w:r>
              <w:rPr>
                <w:color w:val="1C3A36"/>
                <w:sz w:val="16"/>
              </w:rPr>
              <w:t>24,623</w:t>
            </w:r>
          </w:p>
        </w:tc>
        <w:tc>
          <w:tcPr>
            <w:tcW w:type="dxa" w:w="1368"/>
          </w:tcPr>
          <w:p>
            <w:pPr>
              <w:spacing w:after="20"/>
              <w:jc w:val="right"/>
            </w:pPr>
            <w:r>
              <w:rPr>
                <w:color w:val="1C3A36"/>
                <w:sz w:val="16"/>
              </w:rPr>
              <w:t>26,537</w:t>
            </w:r>
          </w:p>
        </w:tc>
        <w:tc>
          <w:tcPr>
            <w:tcW w:type="dxa" w:w="1368"/>
          </w:tcPr>
          <w:p>
            <w:pPr>
              <w:spacing w:after="20"/>
              <w:jc w:val="right"/>
            </w:pPr>
            <w:r>
              <w:rPr>
                <w:color w:val="1C3A36"/>
                <w:sz w:val="16"/>
              </w:rPr>
              <w:t>48,445</w:t>
            </w:r>
          </w:p>
        </w:tc>
        <w:tc>
          <w:tcPr>
            <w:tcW w:type="dxa" w:w="1512"/>
          </w:tcPr>
          <w:p>
            <w:pPr>
              <w:spacing w:after="20"/>
              <w:jc w:val="right"/>
            </w:pPr>
            <w:r>
              <w:rPr>
                <w:color w:val="1C3A36"/>
                <w:sz w:val="16"/>
              </w:rPr>
              <w:t>0.93–1.83×</w:t>
            </w:r>
          </w:p>
        </w:tc>
        <w:tc>
          <w:tcPr>
            <w:tcW w:type="dxa" w:w="1080"/>
          </w:tcPr>
          <w:p>
            <w:pPr>
              <w:spacing w:after="20"/>
              <w:jc w:val="right"/>
            </w:pPr>
            <w:r>
              <w:rPr>
                <w:color w:val="1C3A36"/>
                <w:sz w:val="16"/>
              </w:rPr>
              <w:t>span</w:t>
            </w:r>
          </w:p>
        </w:tc>
        <w:tc>
          <w:tcPr>
            <w:tcW w:type="dxa" w:w="1368"/>
          </w:tcPr>
          <w:p>
            <w:pPr>
              <w:spacing w:after="20"/>
              <w:jc w:val="right"/>
            </w:pPr>
            <w:r>
              <w:rPr>
                <w:color w:val="1C3A36"/>
                <w:sz w:val="16"/>
              </w:rPr>
              <w:t>6</w:t>
            </w:r>
          </w:p>
        </w:tc>
      </w:tr>
      <w:tr>
        <w:tc>
          <w:tcPr>
            <w:tcW w:type="dxa" w:w="2088"/>
          </w:tcPr>
          <w:p>
            <w:pPr>
              <w:spacing w:after="20"/>
            </w:pPr>
            <w:r>
              <w:rPr>
                <w:color w:val="1C3A36"/>
                <w:sz w:val="16"/>
              </w:rPr>
              <w:t>FY2030</w:t>
            </w:r>
          </w:p>
        </w:tc>
        <w:tc>
          <w:tcPr>
            <w:tcW w:type="dxa" w:w="1368"/>
          </w:tcPr>
          <w:p>
            <w:pPr>
              <w:spacing w:after="20"/>
              <w:jc w:val="right"/>
            </w:pPr>
            <w:r>
              <w:rPr>
                <w:color w:val="1C3A36"/>
                <w:sz w:val="16"/>
              </w:rPr>
              <w:t>19,103</w:t>
            </w:r>
          </w:p>
        </w:tc>
        <w:tc>
          <w:tcPr>
            <w:tcW w:type="dxa" w:w="1368"/>
          </w:tcPr>
          <w:p>
            <w:pPr>
              <w:spacing w:after="20"/>
              <w:jc w:val="right"/>
            </w:pPr>
            <w:r>
              <w:rPr>
                <w:color w:val="1C3A36"/>
                <w:sz w:val="16"/>
              </w:rPr>
              <w:t>30,366</w:t>
            </w:r>
          </w:p>
        </w:tc>
        <w:tc>
          <w:tcPr>
            <w:tcW w:type="dxa" w:w="1368"/>
          </w:tcPr>
          <w:p>
            <w:pPr>
              <w:spacing w:after="20"/>
              <w:jc w:val="right"/>
            </w:pPr>
            <w:r>
              <w:rPr>
                <w:color w:val="1C3A36"/>
                <w:sz w:val="16"/>
              </w:rPr>
              <w:t>58,485</w:t>
            </w:r>
          </w:p>
        </w:tc>
        <w:tc>
          <w:tcPr>
            <w:tcW w:type="dxa" w:w="1512"/>
          </w:tcPr>
          <w:p>
            <w:pPr>
              <w:spacing w:after="20"/>
              <w:jc w:val="right"/>
            </w:pPr>
            <w:r>
              <w:rPr>
                <w:color w:val="1C3A36"/>
                <w:sz w:val="16"/>
              </w:rPr>
              <w:t>0.63–1.93×</w:t>
            </w:r>
          </w:p>
        </w:tc>
        <w:tc>
          <w:tcPr>
            <w:tcW w:type="dxa" w:w="1080"/>
          </w:tcPr>
          <w:p>
            <w:pPr>
              <w:spacing w:after="20"/>
              <w:jc w:val="right"/>
            </w:pPr>
            <w:r>
              <w:rPr>
                <w:color w:val="1C3A36"/>
                <w:sz w:val="16"/>
              </w:rPr>
              <w:t>span</w:t>
            </w:r>
          </w:p>
        </w:tc>
        <w:tc>
          <w:tcPr>
            <w:tcW w:type="dxa" w:w="1368"/>
          </w:tcPr>
          <w:p>
            <w:pPr>
              <w:spacing w:after="20"/>
              <w:jc w:val="right"/>
            </w:pPr>
            <w:r>
              <w:rPr>
                <w:color w:val="1C3A36"/>
                <w:sz w:val="16"/>
              </w:rPr>
              <w:t>5</w:t>
            </w:r>
          </w:p>
        </w:tc>
      </w:tr>
      <w:tr>
        <w:tc>
          <w:tcPr>
            <w:tcW w:type="dxa" w:w="2088"/>
            <w:shd w:val="clear" w:color="auto" w:fill="F6F1E6"/>
          </w:tcPr>
          <w:p>
            <w:pPr>
              <w:spacing w:after="20"/>
            </w:pPr>
            <w:r>
              <w:rPr>
                <w:b/>
                <w:color w:val="1C3A36"/>
                <w:sz w:val="16"/>
              </w:rPr>
              <w:t>Group operating profit (EGP mn)</w:t>
            </w:r>
          </w:p>
        </w:tc>
        <w:tc>
          <w:tcPr>
            <w:tcW w:type="dxa" w:w="1368"/>
            <w:shd w:val="clear" w:color="auto" w:fill="F6F1E6"/>
          </w:tcPr>
          <w:p>
            <w:pPr>
              <w:spacing w:after="20"/>
              <w:jc w:val="right"/>
            </w:pPr>
            <w:r>
              <w:rPr>
                <w:b/>
                <w:color w:val="1C3A36"/>
                <w:sz w:val="16"/>
              </w:rPr>
            </w:r>
          </w:p>
        </w:tc>
        <w:tc>
          <w:tcPr>
            <w:tcW w:type="dxa" w:w="1368"/>
            <w:shd w:val="clear" w:color="auto" w:fill="F6F1E6"/>
          </w:tcPr>
          <w:p>
            <w:pPr>
              <w:spacing w:after="20"/>
              <w:jc w:val="right"/>
            </w:pPr>
            <w:r>
              <w:rPr>
                <w:b/>
                <w:color w:val="1C3A36"/>
                <w:sz w:val="16"/>
              </w:rPr>
            </w:r>
          </w:p>
        </w:tc>
        <w:tc>
          <w:tcPr>
            <w:tcW w:type="dxa" w:w="1368"/>
            <w:shd w:val="clear" w:color="auto" w:fill="F6F1E6"/>
          </w:tcPr>
          <w:p>
            <w:pPr>
              <w:spacing w:after="20"/>
              <w:jc w:val="right"/>
            </w:pPr>
            <w:r>
              <w:rPr>
                <w:b/>
                <w:color w:val="1C3A36"/>
                <w:sz w:val="16"/>
              </w:rPr>
            </w:r>
          </w:p>
        </w:tc>
        <w:tc>
          <w:tcPr>
            <w:tcW w:type="dxa" w:w="1512"/>
            <w:shd w:val="clear" w:color="auto" w:fill="F6F1E6"/>
          </w:tcPr>
          <w:p>
            <w:pPr>
              <w:spacing w:after="20"/>
              <w:jc w:val="right"/>
            </w:pPr>
            <w:r>
              <w:rPr>
                <w:b/>
                <w:color w:val="1C3A36"/>
                <w:sz w:val="16"/>
              </w:rPr>
            </w:r>
          </w:p>
        </w:tc>
        <w:tc>
          <w:tcPr>
            <w:tcW w:type="dxa" w:w="1080"/>
            <w:shd w:val="clear" w:color="auto" w:fill="F6F1E6"/>
          </w:tcPr>
          <w:p>
            <w:pPr>
              <w:spacing w:after="20"/>
              <w:jc w:val="right"/>
            </w:pPr>
            <w:r>
              <w:rPr>
                <w:b/>
                <w:color w:val="1C3A36"/>
                <w:sz w:val="16"/>
              </w:rPr>
            </w:r>
          </w:p>
        </w:tc>
        <w:tc>
          <w:tcPr>
            <w:tcW w:type="dxa" w:w="1368"/>
            <w:shd w:val="clear" w:color="auto" w:fill="F6F1E6"/>
          </w:tcPr>
          <w:p>
            <w:pPr>
              <w:spacing w:after="20"/>
              <w:jc w:val="right"/>
            </w:pPr>
            <w:r>
              <w:rPr>
                <w:b/>
                <w:color w:val="1C3A36"/>
                <w:sz w:val="16"/>
              </w:rPr>
            </w:r>
          </w:p>
        </w:tc>
      </w:tr>
      <w:tr>
        <w:tc>
          <w:tcPr>
            <w:tcW w:type="dxa" w:w="2088"/>
          </w:tcPr>
          <w:p>
            <w:pPr>
              <w:spacing w:after="20"/>
            </w:pPr>
            <w:r>
              <w:rPr>
                <w:color w:val="1C3A36"/>
                <w:sz w:val="16"/>
              </w:rPr>
              <w:t>FY2028</w:t>
            </w:r>
          </w:p>
        </w:tc>
        <w:tc>
          <w:tcPr>
            <w:tcW w:type="dxa" w:w="1368"/>
          </w:tcPr>
          <w:p>
            <w:pPr>
              <w:spacing w:after="20"/>
              <w:jc w:val="right"/>
            </w:pPr>
            <w:r>
              <w:rPr>
                <w:color w:val="1C3A36"/>
                <w:sz w:val="16"/>
              </w:rPr>
              <w:t>13,082</w:t>
            </w:r>
          </w:p>
        </w:tc>
        <w:tc>
          <w:tcPr>
            <w:tcW w:type="dxa" w:w="1368"/>
          </w:tcPr>
          <w:p>
            <w:pPr>
              <w:spacing w:after="20"/>
              <w:jc w:val="right"/>
            </w:pPr>
            <w:r>
              <w:rPr>
                <w:color w:val="1C3A36"/>
                <w:sz w:val="16"/>
              </w:rPr>
              <w:t>12,545</w:t>
            </w:r>
          </w:p>
        </w:tc>
        <w:tc>
          <w:tcPr>
            <w:tcW w:type="dxa" w:w="1368"/>
          </w:tcPr>
          <w:p>
            <w:pPr>
              <w:spacing w:after="20"/>
              <w:jc w:val="right"/>
            </w:pPr>
            <w:r>
              <w:rPr>
                <w:color w:val="1C3A36"/>
                <w:sz w:val="16"/>
              </w:rPr>
              <w:t>24,640</w:t>
            </w:r>
          </w:p>
        </w:tc>
        <w:tc>
          <w:tcPr>
            <w:tcW w:type="dxa" w:w="1512"/>
          </w:tcPr>
          <w:p>
            <w:pPr>
              <w:spacing w:after="20"/>
              <w:jc w:val="right"/>
            </w:pPr>
            <w:r>
              <w:rPr>
                <w:color w:val="1C3A36"/>
                <w:sz w:val="16"/>
              </w:rPr>
              <w:t>1.04–1.96×</w:t>
            </w:r>
          </w:p>
        </w:tc>
        <w:tc>
          <w:tcPr>
            <w:tcW w:type="dxa" w:w="1080"/>
          </w:tcPr>
          <w:p>
            <w:pPr>
              <w:spacing w:after="20"/>
              <w:jc w:val="right"/>
            </w:pPr>
            <w:r>
              <w:rPr>
                <w:color w:val="1C3A36"/>
                <w:sz w:val="16"/>
              </w:rPr>
              <w:t>span</w:t>
            </w:r>
          </w:p>
        </w:tc>
        <w:tc>
          <w:tcPr>
            <w:tcW w:type="dxa" w:w="1368"/>
          </w:tcPr>
          <w:p>
            <w:pPr>
              <w:spacing w:after="20"/>
              <w:jc w:val="right"/>
            </w:pPr>
            <w:r>
              <w:rPr>
                <w:color w:val="1C3A36"/>
                <w:sz w:val="16"/>
              </w:rPr>
              <w:t>7</w:t>
            </w:r>
          </w:p>
        </w:tc>
      </w:tr>
      <w:tr>
        <w:tc>
          <w:tcPr>
            <w:tcW w:type="dxa" w:w="2088"/>
          </w:tcPr>
          <w:p>
            <w:pPr>
              <w:spacing w:after="20"/>
            </w:pPr>
            <w:r>
              <w:rPr>
                <w:color w:val="1C3A36"/>
                <w:sz w:val="16"/>
              </w:rPr>
              <w:t>FY2029</w:t>
            </w:r>
          </w:p>
        </w:tc>
        <w:tc>
          <w:tcPr>
            <w:tcW w:type="dxa" w:w="1368"/>
          </w:tcPr>
          <w:p>
            <w:pPr>
              <w:spacing w:after="20"/>
              <w:jc w:val="right"/>
            </w:pPr>
            <w:r>
              <w:rPr>
                <w:color w:val="1C3A36"/>
                <w:sz w:val="16"/>
              </w:rPr>
              <w:t>15,578</w:t>
            </w:r>
          </w:p>
        </w:tc>
        <w:tc>
          <w:tcPr>
            <w:tcW w:type="dxa" w:w="1368"/>
          </w:tcPr>
          <w:p>
            <w:pPr>
              <w:spacing w:after="20"/>
              <w:jc w:val="right"/>
            </w:pPr>
            <w:r>
              <w:rPr>
                <w:color w:val="1C3A36"/>
                <w:sz w:val="16"/>
              </w:rPr>
              <w:t>14,747</w:t>
            </w:r>
          </w:p>
        </w:tc>
        <w:tc>
          <w:tcPr>
            <w:tcW w:type="dxa" w:w="1368"/>
          </w:tcPr>
          <w:p>
            <w:pPr>
              <w:spacing w:after="20"/>
              <w:jc w:val="right"/>
            </w:pPr>
            <w:r>
              <w:rPr>
                <w:color w:val="1C3A36"/>
                <w:sz w:val="16"/>
              </w:rPr>
              <w:t>33,333</w:t>
            </w:r>
          </w:p>
        </w:tc>
        <w:tc>
          <w:tcPr>
            <w:tcW w:type="dxa" w:w="1512"/>
          </w:tcPr>
          <w:p>
            <w:pPr>
              <w:spacing w:after="20"/>
              <w:jc w:val="right"/>
            </w:pPr>
            <w:r>
              <w:rPr>
                <w:color w:val="1C3A36"/>
                <w:sz w:val="16"/>
              </w:rPr>
              <w:t>1.06–2.26×</w:t>
            </w:r>
          </w:p>
        </w:tc>
        <w:tc>
          <w:tcPr>
            <w:tcW w:type="dxa" w:w="1080"/>
          </w:tcPr>
          <w:p>
            <w:pPr>
              <w:spacing w:after="20"/>
              <w:jc w:val="right"/>
            </w:pPr>
            <w:r>
              <w:rPr>
                <w:color w:val="1C3A36"/>
                <w:sz w:val="16"/>
              </w:rPr>
              <w:t>span</w:t>
            </w:r>
          </w:p>
        </w:tc>
        <w:tc>
          <w:tcPr>
            <w:tcW w:type="dxa" w:w="1368"/>
          </w:tcPr>
          <w:p>
            <w:pPr>
              <w:spacing w:after="20"/>
              <w:jc w:val="right"/>
            </w:pPr>
            <w:r>
              <w:rPr>
                <w:color w:val="1C3A36"/>
                <w:sz w:val="16"/>
              </w:rPr>
              <w:t>6</w:t>
            </w:r>
          </w:p>
        </w:tc>
      </w:tr>
      <w:tr>
        <w:tc>
          <w:tcPr>
            <w:tcW w:type="dxa" w:w="2088"/>
          </w:tcPr>
          <w:p>
            <w:pPr>
              <w:spacing w:after="20"/>
            </w:pPr>
            <w:r>
              <w:rPr>
                <w:color w:val="1C3A36"/>
                <w:sz w:val="16"/>
              </w:rPr>
              <w:t>FY2030</w:t>
            </w:r>
          </w:p>
        </w:tc>
        <w:tc>
          <w:tcPr>
            <w:tcW w:type="dxa" w:w="1368"/>
          </w:tcPr>
          <w:p>
            <w:pPr>
              <w:spacing w:after="20"/>
              <w:jc w:val="right"/>
            </w:pPr>
            <w:r>
              <w:rPr>
                <w:color w:val="1C3A36"/>
                <w:sz w:val="16"/>
              </w:rPr>
              <w:t>14,470</w:t>
            </w:r>
          </w:p>
        </w:tc>
        <w:tc>
          <w:tcPr>
            <w:tcW w:type="dxa" w:w="1368"/>
          </w:tcPr>
          <w:p>
            <w:pPr>
              <w:spacing w:after="20"/>
              <w:jc w:val="right"/>
            </w:pPr>
            <w:r>
              <w:rPr>
                <w:color w:val="1C3A36"/>
                <w:sz w:val="16"/>
              </w:rPr>
              <w:t>17,053</w:t>
            </w:r>
          </w:p>
        </w:tc>
        <w:tc>
          <w:tcPr>
            <w:tcW w:type="dxa" w:w="1368"/>
          </w:tcPr>
          <w:p>
            <w:pPr>
              <w:spacing w:after="20"/>
              <w:jc w:val="right"/>
            </w:pPr>
            <w:r>
              <w:rPr>
                <w:color w:val="1C3A36"/>
                <w:sz w:val="16"/>
              </w:rPr>
              <w:t>39,102</w:t>
            </w:r>
          </w:p>
        </w:tc>
        <w:tc>
          <w:tcPr>
            <w:tcW w:type="dxa" w:w="1512"/>
          </w:tcPr>
          <w:p>
            <w:pPr>
              <w:spacing w:after="20"/>
              <w:jc w:val="right"/>
            </w:pPr>
            <w:r>
              <w:rPr>
                <w:color w:val="1C3A36"/>
                <w:sz w:val="16"/>
              </w:rPr>
              <w:t>0.85–2.29×</w:t>
            </w:r>
          </w:p>
        </w:tc>
        <w:tc>
          <w:tcPr>
            <w:tcW w:type="dxa" w:w="1080"/>
          </w:tcPr>
          <w:p>
            <w:pPr>
              <w:spacing w:after="20"/>
              <w:jc w:val="right"/>
            </w:pPr>
            <w:r>
              <w:rPr>
                <w:color w:val="1C3A36"/>
                <w:sz w:val="16"/>
              </w:rPr>
              <w:t>span</w:t>
            </w:r>
          </w:p>
        </w:tc>
        <w:tc>
          <w:tcPr>
            <w:tcW w:type="dxa" w:w="1368"/>
          </w:tcPr>
          <w:p>
            <w:pPr>
              <w:spacing w:after="20"/>
              <w:jc w:val="right"/>
            </w:pPr>
            <w:r>
              <w:rPr>
                <w:color w:val="1C3A36"/>
                <w:sz w:val="16"/>
              </w:rPr>
              <w:t>5</w:t>
            </w:r>
          </w:p>
        </w:tc>
      </w:tr>
      <w:tr>
        <w:tc>
          <w:tcPr>
            <w:tcW w:type="dxa" w:w="2088"/>
            <w:shd w:val="clear" w:color="auto" w:fill="F6F1E6"/>
          </w:tcPr>
          <w:p>
            <w:pPr>
              <w:spacing w:after="20"/>
            </w:pPr>
            <w:r>
              <w:rPr>
                <w:b/>
                <w:color w:val="1C3A36"/>
                <w:sz w:val="16"/>
              </w:rPr>
              <w:t>Group net profit (EGP mn)</w:t>
            </w:r>
          </w:p>
        </w:tc>
        <w:tc>
          <w:tcPr>
            <w:tcW w:type="dxa" w:w="1368"/>
            <w:shd w:val="clear" w:color="auto" w:fill="F6F1E6"/>
          </w:tcPr>
          <w:p>
            <w:pPr>
              <w:spacing w:after="20"/>
              <w:jc w:val="right"/>
            </w:pPr>
            <w:r>
              <w:rPr>
                <w:b/>
                <w:color w:val="1C3A36"/>
                <w:sz w:val="16"/>
              </w:rPr>
            </w:r>
          </w:p>
        </w:tc>
        <w:tc>
          <w:tcPr>
            <w:tcW w:type="dxa" w:w="1368"/>
            <w:shd w:val="clear" w:color="auto" w:fill="F6F1E6"/>
          </w:tcPr>
          <w:p>
            <w:pPr>
              <w:spacing w:after="20"/>
              <w:jc w:val="right"/>
            </w:pPr>
            <w:r>
              <w:rPr>
                <w:b/>
                <w:color w:val="1C3A36"/>
                <w:sz w:val="16"/>
              </w:rPr>
            </w:r>
          </w:p>
        </w:tc>
        <w:tc>
          <w:tcPr>
            <w:tcW w:type="dxa" w:w="1368"/>
            <w:shd w:val="clear" w:color="auto" w:fill="F6F1E6"/>
          </w:tcPr>
          <w:p>
            <w:pPr>
              <w:spacing w:after="20"/>
              <w:jc w:val="right"/>
            </w:pPr>
            <w:r>
              <w:rPr>
                <w:b/>
                <w:color w:val="1C3A36"/>
                <w:sz w:val="16"/>
              </w:rPr>
            </w:r>
          </w:p>
        </w:tc>
        <w:tc>
          <w:tcPr>
            <w:tcW w:type="dxa" w:w="1512"/>
            <w:shd w:val="clear" w:color="auto" w:fill="F6F1E6"/>
          </w:tcPr>
          <w:p>
            <w:pPr>
              <w:spacing w:after="20"/>
              <w:jc w:val="right"/>
            </w:pPr>
            <w:r>
              <w:rPr>
                <w:b/>
                <w:color w:val="1C3A36"/>
                <w:sz w:val="16"/>
              </w:rPr>
            </w:r>
          </w:p>
        </w:tc>
        <w:tc>
          <w:tcPr>
            <w:tcW w:type="dxa" w:w="1080"/>
            <w:shd w:val="clear" w:color="auto" w:fill="F6F1E6"/>
          </w:tcPr>
          <w:p>
            <w:pPr>
              <w:spacing w:after="20"/>
              <w:jc w:val="right"/>
            </w:pPr>
            <w:r>
              <w:rPr>
                <w:b/>
                <w:color w:val="1C3A36"/>
                <w:sz w:val="16"/>
              </w:rPr>
            </w:r>
          </w:p>
        </w:tc>
        <w:tc>
          <w:tcPr>
            <w:tcW w:type="dxa" w:w="1368"/>
            <w:shd w:val="clear" w:color="auto" w:fill="F6F1E6"/>
          </w:tcPr>
          <w:p>
            <w:pPr>
              <w:spacing w:after="20"/>
              <w:jc w:val="right"/>
            </w:pPr>
            <w:r>
              <w:rPr>
                <w:b/>
                <w:color w:val="1C3A36"/>
                <w:sz w:val="16"/>
              </w:rPr>
            </w:r>
          </w:p>
        </w:tc>
      </w:tr>
      <w:tr>
        <w:tc>
          <w:tcPr>
            <w:tcW w:type="dxa" w:w="2088"/>
          </w:tcPr>
          <w:p>
            <w:pPr>
              <w:spacing w:after="20"/>
            </w:pPr>
            <w:r>
              <w:rPr>
                <w:color w:val="1C3A36"/>
                <w:sz w:val="16"/>
              </w:rPr>
              <w:t>FY2028</w:t>
            </w:r>
          </w:p>
        </w:tc>
        <w:tc>
          <w:tcPr>
            <w:tcW w:type="dxa" w:w="1368"/>
          </w:tcPr>
          <w:p>
            <w:pPr>
              <w:spacing w:after="20"/>
              <w:jc w:val="right"/>
            </w:pPr>
            <w:r>
              <w:rPr>
                <w:color w:val="1C3A36"/>
                <w:sz w:val="16"/>
              </w:rPr>
              <w:t>8,772</w:t>
            </w:r>
          </w:p>
        </w:tc>
        <w:tc>
          <w:tcPr>
            <w:tcW w:type="dxa" w:w="1368"/>
          </w:tcPr>
          <w:p>
            <w:pPr>
              <w:spacing w:after="20"/>
              <w:jc w:val="right"/>
            </w:pPr>
            <w:r>
              <w:rPr>
                <w:color w:val="1C3A36"/>
                <w:sz w:val="16"/>
              </w:rPr>
              <w:t>7,135</w:t>
            </w:r>
          </w:p>
        </w:tc>
        <w:tc>
          <w:tcPr>
            <w:tcW w:type="dxa" w:w="1368"/>
          </w:tcPr>
          <w:p>
            <w:pPr>
              <w:spacing w:after="20"/>
              <w:jc w:val="right"/>
            </w:pPr>
            <w:r>
              <w:rPr>
                <w:color w:val="1C3A36"/>
                <w:sz w:val="16"/>
              </w:rPr>
              <w:t>16,335</w:t>
            </w:r>
          </w:p>
        </w:tc>
        <w:tc>
          <w:tcPr>
            <w:tcW w:type="dxa" w:w="1512"/>
          </w:tcPr>
          <w:p>
            <w:pPr>
              <w:spacing w:after="20"/>
              <w:jc w:val="right"/>
            </w:pPr>
            <w:r>
              <w:rPr>
                <w:color w:val="1C3A36"/>
                <w:sz w:val="16"/>
              </w:rPr>
              <w:t>1.23–2.29×</w:t>
            </w:r>
          </w:p>
        </w:tc>
        <w:tc>
          <w:tcPr>
            <w:tcW w:type="dxa" w:w="1080"/>
          </w:tcPr>
          <w:p>
            <w:pPr>
              <w:spacing w:after="20"/>
              <w:jc w:val="right"/>
            </w:pPr>
            <w:r>
              <w:rPr>
                <w:color w:val="1C3A36"/>
                <w:sz w:val="16"/>
              </w:rPr>
              <w:t>span</w:t>
            </w:r>
          </w:p>
        </w:tc>
        <w:tc>
          <w:tcPr>
            <w:tcW w:type="dxa" w:w="1368"/>
          </w:tcPr>
          <w:p>
            <w:pPr>
              <w:spacing w:after="20"/>
              <w:jc w:val="right"/>
            </w:pPr>
            <w:r>
              <w:rPr>
                <w:color w:val="1C3A36"/>
                <w:sz w:val="16"/>
              </w:rPr>
              <w:t>3</w:t>
            </w:r>
          </w:p>
        </w:tc>
      </w:tr>
      <w:tr>
        <w:tc>
          <w:tcPr>
            <w:tcW w:type="dxa" w:w="2088"/>
          </w:tcPr>
          <w:p>
            <w:pPr>
              <w:spacing w:after="20"/>
            </w:pPr>
            <w:r>
              <w:rPr>
                <w:color w:val="1C3A36"/>
                <w:sz w:val="16"/>
              </w:rPr>
              <w:t>FY2029</w:t>
            </w:r>
          </w:p>
        </w:tc>
        <w:tc>
          <w:tcPr>
            <w:tcW w:type="dxa" w:w="1368"/>
          </w:tcPr>
          <w:p>
            <w:pPr>
              <w:spacing w:after="20"/>
              <w:jc w:val="right"/>
            </w:pPr>
            <w:r>
              <w:rPr>
                <w:color w:val="1C3A36"/>
                <w:sz w:val="16"/>
              </w:rPr>
              <w:t>15,073</w:t>
            </w:r>
          </w:p>
        </w:tc>
        <w:tc>
          <w:tcPr>
            <w:tcW w:type="dxa" w:w="1368"/>
          </w:tcPr>
          <w:p>
            <w:pPr>
              <w:spacing w:after="20"/>
              <w:jc w:val="right"/>
            </w:pPr>
            <w:r>
              <w:rPr>
                <w:color w:val="1C3A36"/>
                <w:sz w:val="16"/>
              </w:rPr>
              <w:t>8,952</w:t>
            </w:r>
          </w:p>
        </w:tc>
        <w:tc>
          <w:tcPr>
            <w:tcW w:type="dxa" w:w="1368"/>
          </w:tcPr>
          <w:p>
            <w:pPr>
              <w:spacing w:after="20"/>
              <w:jc w:val="right"/>
            </w:pPr>
            <w:r>
              <w:rPr>
                <w:color w:val="1C3A36"/>
                <w:sz w:val="16"/>
              </w:rPr>
              <w:t>28,424</w:t>
            </w:r>
          </w:p>
        </w:tc>
        <w:tc>
          <w:tcPr>
            <w:tcW w:type="dxa" w:w="1512"/>
          </w:tcPr>
          <w:p>
            <w:pPr>
              <w:spacing w:after="20"/>
              <w:jc w:val="right"/>
            </w:pPr>
            <w:r>
              <w:rPr>
                <w:color w:val="1C3A36"/>
                <w:sz w:val="16"/>
              </w:rPr>
              <w:t>1.68–3.18×</w:t>
            </w:r>
          </w:p>
        </w:tc>
        <w:tc>
          <w:tcPr>
            <w:tcW w:type="dxa" w:w="1080"/>
          </w:tcPr>
          <w:p>
            <w:pPr>
              <w:spacing w:after="20"/>
              <w:jc w:val="right"/>
            </w:pPr>
            <w:r>
              <w:rPr>
                <w:color w:val="1C3A36"/>
                <w:sz w:val="16"/>
              </w:rPr>
              <w:t>span</w:t>
            </w:r>
          </w:p>
        </w:tc>
        <w:tc>
          <w:tcPr>
            <w:tcW w:type="dxa" w:w="1368"/>
          </w:tcPr>
          <w:p>
            <w:pPr>
              <w:spacing w:after="20"/>
              <w:jc w:val="right"/>
            </w:pPr>
            <w:r>
              <w:rPr>
                <w:color w:val="1C3A36"/>
                <w:sz w:val="16"/>
              </w:rPr>
              <w:t>2</w:t>
            </w:r>
          </w:p>
        </w:tc>
      </w:tr>
      <w:tr>
        <w:tc>
          <w:tcPr>
            <w:tcW w:type="dxa" w:w="2088"/>
          </w:tcPr>
          <w:p>
            <w:pPr>
              <w:spacing w:after="20"/>
            </w:pPr>
            <w:r>
              <w:rPr>
                <w:color w:val="1C3A36"/>
                <w:sz w:val="16"/>
              </w:rPr>
              <w:t>FY2030</w:t>
            </w:r>
          </w:p>
        </w:tc>
        <w:tc>
          <w:tcPr>
            <w:tcW w:type="dxa" w:w="1368"/>
          </w:tcPr>
          <w:p>
            <w:pPr>
              <w:spacing w:after="20"/>
              <w:jc w:val="right"/>
            </w:pPr>
            <w:r>
              <w:rPr>
                <w:color w:val="1C3A36"/>
                <w:sz w:val="16"/>
              </w:rPr>
              <w:t>30,104</w:t>
            </w:r>
          </w:p>
        </w:tc>
        <w:tc>
          <w:tcPr>
            <w:tcW w:type="dxa" w:w="1368"/>
          </w:tcPr>
          <w:p>
            <w:pPr>
              <w:spacing w:after="20"/>
              <w:jc w:val="right"/>
            </w:pPr>
            <w:r>
              <w:rPr>
                <w:color w:val="1C3A36"/>
                <w:sz w:val="16"/>
              </w:rPr>
              <w:t>10,802</w:t>
            </w:r>
          </w:p>
        </w:tc>
        <w:tc>
          <w:tcPr>
            <w:tcW w:type="dxa" w:w="1368"/>
          </w:tcPr>
          <w:p>
            <w:pPr>
              <w:spacing w:after="20"/>
              <w:jc w:val="right"/>
            </w:pPr>
            <w:r>
              <w:rPr>
                <w:color w:val="1C3A36"/>
                <w:sz w:val="16"/>
              </w:rPr>
              <w:t>30,104</w:t>
            </w:r>
          </w:p>
        </w:tc>
        <w:tc>
          <w:tcPr>
            <w:tcW w:type="dxa" w:w="1512"/>
          </w:tcPr>
          <w:p>
            <w:pPr>
              <w:spacing w:after="20"/>
              <w:jc w:val="right"/>
            </w:pPr>
            <w:r>
              <w:rPr>
                <w:color w:val="1C3A36"/>
                <w:sz w:val="16"/>
              </w:rPr>
              <w:t>2.79–2.79×</w:t>
            </w:r>
          </w:p>
        </w:tc>
        <w:tc>
          <w:tcPr>
            <w:tcW w:type="dxa" w:w="1080"/>
          </w:tcPr>
          <w:p>
            <w:pPr>
              <w:spacing w:after="20"/>
              <w:jc w:val="right"/>
            </w:pPr>
            <w:r>
              <w:rPr>
                <w:color w:val="1C3A36"/>
                <w:sz w:val="16"/>
              </w:rPr>
              <w:t>span</w:t>
            </w:r>
          </w:p>
        </w:tc>
        <w:tc>
          <w:tcPr>
            <w:tcW w:type="dxa" w:w="1368"/>
          </w:tcPr>
          <w:p>
            <w:pPr>
              <w:spacing w:after="20"/>
              <w:jc w:val="right"/>
            </w:pPr>
            <w:r>
              <w:rPr>
                <w:color w:val="1C3A36"/>
                <w:sz w:val="16"/>
              </w:rPr>
              <w:t>1</w:t>
            </w:r>
          </w:p>
        </w:tc>
      </w:tr>
    </w:tbl>
    <w:p>
      <w:pPr>
        <w:spacing w:after="40"/>
      </w:pPr>
    </w:p>
    <w:p>
      <w:pPr>
        <w:spacing w:after="200" w:before="0"/>
      </w:pPr>
      <w:r>
        <w:rPr>
          <w:b w:val="0"/>
          <w:i/>
          <w:color w:val="6E7B77"/>
          <w:sz w:val="17"/>
        </w:rPr>
        <w:t>Table A0 — the third, fourth and fifth forecast years as ranges. Each band is the full span of that many past readings of how far out this method has been on this company, applied to the point projection above. The observation count falls as the horizon lengthens, because a five-year error can only be scored where five years of history have since resolved.</w:t>
      </w:r>
    </w:p>
    <w:p>
      <w:pPr>
        <w:spacing w:after="120" w:before="0"/>
      </w:pPr>
      <w:r>
        <w:rPr>
          <w:b w:val="0"/>
          <w:i w:val="0"/>
          <w:color w:val="1C3A36"/>
          <w:sz w:val="19"/>
        </w:rPr>
        <w:t>What a range of this kind can honestly promise, at each of the record lengths above:</w:t>
      </w:r>
    </w:p>
    <w:p>
      <w:pPr>
        <w:spacing w:after="60" w:before="0"/>
      </w:pPr>
      <w:r>
        <w:rPr>
          <w:b w:val="0"/>
          <w:i w:val="0"/>
          <w:color w:val="1C3A36"/>
          <w:sz w:val="18"/>
        </w:rPr>
        <w:t>· The range is the full span of 1 past observation of this method's own error. That is too few to carry a probability, and none is claimed: it is the widest and narrowest this method has been on this company, not a confidence interval.</w:t>
      </w:r>
    </w:p>
    <w:p>
      <w:pPr>
        <w:spacing w:after="60" w:before="0"/>
      </w:pPr>
      <w:r>
        <w:rPr>
          <w:b w:val="0"/>
          <w:i w:val="0"/>
          <w:color w:val="1C3A36"/>
          <w:sz w:val="18"/>
        </w:rPr>
        <w:t>· The range is the full span of 2 past observations of this method's own error. That is too few to carry a probability, and none is claimed: it is the widest and narrowest this method has been on this company, not a confidence interval.</w:t>
      </w:r>
    </w:p>
    <w:p>
      <w:pPr>
        <w:spacing w:after="60" w:before="0"/>
      </w:pPr>
      <w:r>
        <w:rPr>
          <w:b w:val="0"/>
          <w:i w:val="0"/>
          <w:color w:val="1C3A36"/>
          <w:sz w:val="18"/>
        </w:rPr>
        <w:t>· The range is the full span of 3 past observations of this method's own error. That is too few to carry a probability, and none is claimed: it is the widest and narrowest this method has been on this company, not a confidence interval.</w:t>
      </w:r>
    </w:p>
    <w:p>
      <w:pPr>
        <w:spacing w:after="60" w:before="0"/>
      </w:pPr>
      <w:r>
        <w:rPr>
          <w:b w:val="0"/>
          <w:i w:val="0"/>
          <w:color w:val="1C3A36"/>
          <w:sz w:val="18"/>
        </w:rPr>
        <w:t>· The range is the full span of 5 past readings of how far out this method has been on this company. A span of 5 readings would be expected to contain the next one about 67 times in 100 — not 90. Tested against 43 resolved readings on bands resting on the same 5 readings, ranges of this kind contained the outcome 51 times in 100. Read it as the widest and narrowest we have been, which is narrower than a confidence interval rather than wider.</w:t>
      </w:r>
    </w:p>
    <w:p>
      <w:pPr>
        <w:spacing w:after="60" w:before="0"/>
      </w:pPr>
      <w:r>
        <w:rPr>
          <w:b w:val="0"/>
          <w:i w:val="0"/>
          <w:color w:val="1C3A36"/>
          <w:sz w:val="18"/>
        </w:rPr>
        <w:t>· The range is the full span of 6 past readings of how far out this method has been on this company. A span of 6 readings would be expected to contain the next one about 71 times in 100 — not 90. Tested against 30 resolved readings on bands resting on the same 6 readings, ranges of this kind contained the outcome 50 times in 100. Read it as the widest and narrowest we have been, which is narrower than a confidence interval rather than wider.</w:t>
      </w:r>
    </w:p>
    <w:p>
      <w:pPr>
        <w:spacing w:after="60" w:before="0"/>
      </w:pPr>
      <w:r>
        <w:rPr>
          <w:b w:val="0"/>
          <w:i w:val="0"/>
          <w:color w:val="1C3A36"/>
          <w:sz w:val="18"/>
        </w:rPr>
        <w:t>· The range is the full span of 7 past readings of how far out this method has been on this company. A span of 7 readings would be expected to contain the next one about 75 times in 100 — not 90. Tested against 21 resolved readings on bands resting on the same 7 readings, ranges of this kind contained the outcome 48 times in 100. Read it as the widest and narrowest we have been, which is narrower than a confidence interval rather than wider.</w:t>
      </w:r>
    </w:p>
    <w:p>
      <w:pPr>
        <w:spacing w:after="120" w:before="0"/>
      </w:pPr>
      <w:r>
        <w:rPr>
          <w:b w:val="0"/>
          <w:i w:val="0"/>
          <w:color w:val="1C3A36"/>
          <w:sz w:val="19"/>
        </w:rPr>
        <w:t>One line of the table deserves its own sentence. The net-profit band rests on the fewest observations of any driver here, and at the fifth forecast year on a single one — a span of one reading is not a span at all, and it is printed with its count rather than dressed up. Net profit is the most geared line in this model: it sits below a finance cost and a tax charge, so a modest error on revenue arrives at the bottom multiplied. That is why the range widens down the table rather than narrowing.</w:t>
      </w:r>
    </w:p>
    <w:p>
      <w:pPr>
        <w:spacing w:after="80" w:before="200"/>
      </w:pPr>
      <w:r>
        <w:rPr>
          <w:b/>
          <w:i w:val="0"/>
          <w:color w:val="1C3A36"/>
          <w:sz w:val="24"/>
        </w:rPr>
        <w:t>A.2  Income statement — reported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744"/>
            <w:shd w:val="clear" w:color="auto" w:fill="EAF0EE"/>
          </w:tcPr>
          <w:p>
            <w:pPr>
              <w:spacing w:after="20"/>
            </w:pPr>
            <w:r>
              <w:rPr>
                <w:b/>
                <w:color w:val="1C3A36"/>
                <w:sz w:val="17"/>
              </w:rPr>
              <w:t>Line</w:t>
            </w:r>
          </w:p>
        </w:tc>
        <w:tc>
          <w:tcPr>
            <w:tcW w:type="dxa" w:w="2160"/>
            <w:shd w:val="clear" w:color="auto" w:fill="EAF0EE"/>
          </w:tcPr>
          <w:p>
            <w:pPr>
              <w:spacing w:after="20"/>
            </w:pPr>
            <w:r>
              <w:rPr>
                <w:b/>
                <w:color w:val="1C3A36"/>
                <w:sz w:val="17"/>
              </w:rPr>
              <w:t>FY2023</w:t>
            </w:r>
          </w:p>
        </w:tc>
        <w:tc>
          <w:tcPr>
            <w:tcW w:type="dxa" w:w="2160"/>
            <w:shd w:val="clear" w:color="auto" w:fill="EAF0EE"/>
          </w:tcPr>
          <w:p>
            <w:pPr>
              <w:spacing w:after="20"/>
            </w:pPr>
            <w:r>
              <w:rPr>
                <w:b/>
                <w:color w:val="1C3A36"/>
                <w:sz w:val="17"/>
              </w:rPr>
              <w:t>FY2024</w:t>
            </w:r>
          </w:p>
        </w:tc>
        <w:tc>
          <w:tcPr>
            <w:tcW w:type="dxa" w:w="2160"/>
            <w:shd w:val="clear" w:color="auto" w:fill="EAF0EE"/>
          </w:tcPr>
          <w:p>
            <w:pPr>
              <w:spacing w:after="20"/>
            </w:pPr>
            <w:r>
              <w:rPr>
                <w:b/>
                <w:color w:val="1C3A36"/>
                <w:sz w:val="17"/>
              </w:rPr>
              <w:t>FY2025</w:t>
            </w:r>
          </w:p>
        </w:tc>
      </w:tr>
      <w:tr>
        <w:tc>
          <w:tcPr>
            <w:tcW w:type="dxa" w:w="3744"/>
          </w:tcPr>
          <w:p>
            <w:pPr>
              <w:spacing w:after="20"/>
            </w:pPr>
            <w:r>
              <w:rPr>
                <w:b/>
                <w:color w:val="1C3A36"/>
                <w:sz w:val="17"/>
              </w:rPr>
              <w:t>Revenue</w:t>
            </w:r>
          </w:p>
        </w:tc>
        <w:tc>
          <w:tcPr>
            <w:tcW w:type="dxa" w:w="2160"/>
          </w:tcPr>
          <w:p>
            <w:pPr>
              <w:spacing w:after="20"/>
              <w:jc w:val="right"/>
            </w:pPr>
            <w:r>
              <w:rPr>
                <w:color w:val="1C3A36"/>
                <w:sz w:val="17"/>
              </w:rPr>
              <w:t>28,317.2</w:t>
            </w:r>
          </w:p>
        </w:tc>
        <w:tc>
          <w:tcPr>
            <w:tcW w:type="dxa" w:w="2160"/>
          </w:tcPr>
          <w:p>
            <w:pPr>
              <w:spacing w:after="20"/>
              <w:jc w:val="right"/>
            </w:pPr>
            <w:r>
              <w:rPr>
                <w:color w:val="1C3A36"/>
                <w:sz w:val="17"/>
              </w:rPr>
              <w:t>53,969.5</w:t>
            </w:r>
          </w:p>
        </w:tc>
        <w:tc>
          <w:tcPr>
            <w:tcW w:type="dxa" w:w="2160"/>
          </w:tcPr>
          <w:p>
            <w:pPr>
              <w:spacing w:after="20"/>
              <w:jc w:val="right"/>
            </w:pPr>
            <w:r>
              <w:rPr>
                <w:color w:val="1C3A36"/>
                <w:sz w:val="17"/>
              </w:rPr>
              <w:t>80,229.8</w:t>
            </w:r>
          </w:p>
        </w:tc>
      </w:tr>
      <w:tr>
        <w:tc>
          <w:tcPr>
            <w:tcW w:type="dxa" w:w="3744"/>
          </w:tcPr>
          <w:p>
            <w:pPr>
              <w:spacing w:after="20"/>
            </w:pPr>
            <w:r>
              <w:rPr>
                <w:b/>
                <w:color w:val="1C3A36"/>
                <w:sz w:val="17"/>
              </w:rPr>
              <w:t>Gross profit</w:t>
            </w:r>
          </w:p>
        </w:tc>
        <w:tc>
          <w:tcPr>
            <w:tcW w:type="dxa" w:w="2160"/>
          </w:tcPr>
          <w:p>
            <w:pPr>
              <w:spacing w:after="20"/>
              <w:jc w:val="right"/>
            </w:pPr>
            <w:r>
              <w:rPr>
                <w:color w:val="1C3A36"/>
                <w:sz w:val="17"/>
              </w:rPr>
              <w:t>6,884.5</w:t>
            </w:r>
          </w:p>
        </w:tc>
        <w:tc>
          <w:tcPr>
            <w:tcW w:type="dxa" w:w="2160"/>
          </w:tcPr>
          <w:p>
            <w:pPr>
              <w:spacing w:after="20"/>
              <w:jc w:val="right"/>
            </w:pPr>
            <w:r>
              <w:rPr>
                <w:color w:val="1C3A36"/>
                <w:sz w:val="17"/>
              </w:rPr>
              <w:t>10,514.6</w:t>
            </w:r>
          </w:p>
        </w:tc>
        <w:tc>
          <w:tcPr>
            <w:tcW w:type="dxa" w:w="2160"/>
          </w:tcPr>
          <w:p>
            <w:pPr>
              <w:spacing w:after="20"/>
              <w:jc w:val="right"/>
            </w:pPr>
            <w:r>
              <w:rPr>
                <w:color w:val="1C3A36"/>
                <w:sz w:val="17"/>
              </w:rPr>
              <w:t>12,431.1</w:t>
            </w:r>
          </w:p>
        </w:tc>
      </w:tr>
      <w:tr>
        <w:tc>
          <w:tcPr>
            <w:tcW w:type="dxa" w:w="3744"/>
          </w:tcPr>
          <w:p>
            <w:pPr>
              <w:spacing w:after="20"/>
            </w:pPr>
            <w:r>
              <w:rPr>
                <w:b/>
                <w:color w:val="1C3A36"/>
                <w:sz w:val="17"/>
              </w:rPr>
              <w:t>Selling and marketing</w:t>
            </w:r>
          </w:p>
        </w:tc>
        <w:tc>
          <w:tcPr>
            <w:tcW w:type="dxa" w:w="2160"/>
          </w:tcPr>
          <w:p>
            <w:pPr>
              <w:spacing w:after="20"/>
              <w:jc w:val="right"/>
            </w:pPr>
            <w:r>
              <w:rPr>
                <w:color w:val="1C3A36"/>
                <w:sz w:val="17"/>
              </w:rPr>
              <w:t>-2,550.4</w:t>
            </w:r>
          </w:p>
        </w:tc>
        <w:tc>
          <w:tcPr>
            <w:tcW w:type="dxa" w:w="2160"/>
          </w:tcPr>
          <w:p>
            <w:pPr>
              <w:spacing w:after="20"/>
              <w:jc w:val="right"/>
            </w:pPr>
            <w:r>
              <w:rPr>
                <w:color w:val="1C3A36"/>
                <w:sz w:val="17"/>
              </w:rPr>
              <w:t>-3,623.4</w:t>
            </w:r>
          </w:p>
        </w:tc>
        <w:tc>
          <w:tcPr>
            <w:tcW w:type="dxa" w:w="2160"/>
          </w:tcPr>
          <w:p>
            <w:pPr>
              <w:spacing w:after="20"/>
              <w:jc w:val="right"/>
            </w:pPr>
            <w:r>
              <w:rPr>
                <w:color w:val="1C3A36"/>
                <w:sz w:val="17"/>
              </w:rPr>
              <w:t>-5,329.7</w:t>
            </w:r>
          </w:p>
        </w:tc>
      </w:tr>
      <w:tr>
        <w:tc>
          <w:tcPr>
            <w:tcW w:type="dxa" w:w="3744"/>
          </w:tcPr>
          <w:p>
            <w:pPr>
              <w:spacing w:after="20"/>
            </w:pPr>
            <w:r>
              <w:rPr>
                <w:b/>
                <w:color w:val="1C3A36"/>
                <w:sz w:val="17"/>
              </w:rPr>
              <w:t>General and administration</w:t>
            </w:r>
          </w:p>
        </w:tc>
        <w:tc>
          <w:tcPr>
            <w:tcW w:type="dxa" w:w="2160"/>
          </w:tcPr>
          <w:p>
            <w:pPr>
              <w:spacing w:after="20"/>
              <w:jc w:val="right"/>
            </w:pPr>
            <w:r>
              <w:rPr>
                <w:color w:val="1C3A36"/>
                <w:sz w:val="17"/>
              </w:rPr>
              <w:t>-880.4</w:t>
            </w:r>
          </w:p>
        </w:tc>
        <w:tc>
          <w:tcPr>
            <w:tcW w:type="dxa" w:w="2160"/>
          </w:tcPr>
          <w:p>
            <w:pPr>
              <w:spacing w:after="20"/>
              <w:jc w:val="right"/>
            </w:pPr>
            <w:r>
              <w:rPr>
                <w:color w:val="1C3A36"/>
                <w:sz w:val="17"/>
              </w:rPr>
              <w:t>-1,220.2</w:t>
            </w:r>
          </w:p>
        </w:tc>
        <w:tc>
          <w:tcPr>
            <w:tcW w:type="dxa" w:w="2160"/>
          </w:tcPr>
          <w:p>
            <w:pPr>
              <w:spacing w:after="20"/>
              <w:jc w:val="right"/>
            </w:pPr>
            <w:r>
              <w:rPr>
                <w:color w:val="1C3A36"/>
                <w:sz w:val="17"/>
              </w:rPr>
              <w:t>-1,217.6</w:t>
            </w:r>
          </w:p>
        </w:tc>
      </w:tr>
      <w:tr>
        <w:tc>
          <w:tcPr>
            <w:tcW w:type="dxa" w:w="3744"/>
          </w:tcPr>
          <w:p>
            <w:pPr>
              <w:spacing w:after="20"/>
            </w:pPr>
            <w:r>
              <w:rPr>
                <w:b/>
                <w:color w:val="1C3A36"/>
                <w:sz w:val="17"/>
              </w:rPr>
              <w:t>Other income</w:t>
            </w:r>
          </w:p>
        </w:tc>
        <w:tc>
          <w:tcPr>
            <w:tcW w:type="dxa" w:w="2160"/>
          </w:tcPr>
          <w:p>
            <w:pPr>
              <w:spacing w:after="20"/>
              <w:jc w:val="right"/>
            </w:pPr>
            <w:r>
              <w:rPr>
                <w:color w:val="1C3A36"/>
                <w:sz w:val="17"/>
              </w:rPr>
              <w:t>523.2</w:t>
            </w:r>
          </w:p>
        </w:tc>
        <w:tc>
          <w:tcPr>
            <w:tcW w:type="dxa" w:w="2160"/>
          </w:tcPr>
          <w:p>
            <w:pPr>
              <w:spacing w:after="20"/>
              <w:jc w:val="right"/>
            </w:pPr>
            <w:r>
              <w:rPr>
                <w:color w:val="1C3A36"/>
                <w:sz w:val="17"/>
              </w:rPr>
              <w:t>505.6</w:t>
            </w:r>
          </w:p>
        </w:tc>
        <w:tc>
          <w:tcPr>
            <w:tcW w:type="dxa" w:w="2160"/>
          </w:tcPr>
          <w:p>
            <w:pPr>
              <w:spacing w:after="20"/>
              <w:jc w:val="right"/>
            </w:pPr>
            <w:r>
              <w:rPr>
                <w:color w:val="1C3A36"/>
                <w:sz w:val="17"/>
              </w:rPr>
              <w:t>912.2</w:t>
            </w:r>
          </w:p>
        </w:tc>
      </w:tr>
      <w:tr>
        <w:tc>
          <w:tcPr>
            <w:tcW w:type="dxa" w:w="3744"/>
          </w:tcPr>
          <w:p>
            <w:pPr>
              <w:spacing w:after="20"/>
            </w:pPr>
            <w:r>
              <w:rPr>
                <w:b/>
                <w:color w:val="1C3A36"/>
                <w:sz w:val="17"/>
              </w:rPr>
              <w:t>Provisions</w:t>
            </w:r>
          </w:p>
        </w:tc>
        <w:tc>
          <w:tcPr>
            <w:tcW w:type="dxa" w:w="2160"/>
          </w:tcPr>
          <w:p>
            <w:pPr>
              <w:spacing w:after="20"/>
              <w:jc w:val="right"/>
            </w:pPr>
            <w:r>
              <w:rPr>
                <w:color w:val="1C3A36"/>
                <w:sz w:val="17"/>
              </w:rPr>
              <w:t>-268.9</w:t>
            </w:r>
          </w:p>
        </w:tc>
        <w:tc>
          <w:tcPr>
            <w:tcW w:type="dxa" w:w="2160"/>
          </w:tcPr>
          <w:p>
            <w:pPr>
              <w:spacing w:after="20"/>
              <w:jc w:val="right"/>
            </w:pPr>
            <w:r>
              <w:rPr>
                <w:color w:val="1C3A36"/>
                <w:sz w:val="17"/>
              </w:rPr>
              <w:t>-355.7</w:t>
            </w:r>
          </w:p>
        </w:tc>
        <w:tc>
          <w:tcPr>
            <w:tcW w:type="dxa" w:w="2160"/>
          </w:tcPr>
          <w:p>
            <w:pPr>
              <w:spacing w:after="20"/>
              <w:jc w:val="right"/>
            </w:pPr>
            <w:r>
              <w:rPr>
                <w:color w:val="1C3A36"/>
                <w:sz w:val="17"/>
              </w:rPr>
              <w:t>-165.1</w:t>
            </w:r>
          </w:p>
        </w:tc>
      </w:tr>
      <w:tr>
        <w:tc>
          <w:tcPr>
            <w:tcW w:type="dxa" w:w="3744"/>
            <w:shd w:val="clear" w:color="auto" w:fill="F6F1E6"/>
          </w:tcPr>
          <w:p>
            <w:pPr>
              <w:spacing w:after="20"/>
            </w:pPr>
            <w:r>
              <w:rPr>
                <w:b/>
                <w:color w:val="1C3A36"/>
                <w:sz w:val="17"/>
              </w:rPr>
              <w:t>Operating profit</w:t>
            </w:r>
          </w:p>
        </w:tc>
        <w:tc>
          <w:tcPr>
            <w:tcW w:type="dxa" w:w="2160"/>
            <w:shd w:val="clear" w:color="auto" w:fill="F6F1E6"/>
          </w:tcPr>
          <w:p>
            <w:pPr>
              <w:spacing w:after="20"/>
              <w:jc w:val="right"/>
            </w:pPr>
            <w:r>
              <w:rPr>
                <w:b/>
                <w:color w:val="1C3A36"/>
                <w:sz w:val="17"/>
              </w:rPr>
              <w:t>3,977.0</w:t>
            </w:r>
          </w:p>
        </w:tc>
        <w:tc>
          <w:tcPr>
            <w:tcW w:type="dxa" w:w="2160"/>
            <w:shd w:val="clear" w:color="auto" w:fill="F6F1E6"/>
          </w:tcPr>
          <w:p>
            <w:pPr>
              <w:spacing w:after="20"/>
              <w:jc w:val="right"/>
            </w:pPr>
            <w:r>
              <w:rPr>
                <w:b/>
                <w:color w:val="1C3A36"/>
                <w:sz w:val="17"/>
              </w:rPr>
              <w:t>6,176.6</w:t>
            </w:r>
          </w:p>
        </w:tc>
        <w:tc>
          <w:tcPr>
            <w:tcW w:type="dxa" w:w="2160"/>
            <w:shd w:val="clear" w:color="auto" w:fill="F6F1E6"/>
          </w:tcPr>
          <w:p>
            <w:pPr>
              <w:spacing w:after="20"/>
              <w:jc w:val="right"/>
            </w:pPr>
            <w:r>
              <w:rPr>
                <w:b/>
                <w:color w:val="1C3A36"/>
                <w:sz w:val="17"/>
              </w:rPr>
              <w:t>6,631.0</w:t>
            </w:r>
          </w:p>
        </w:tc>
      </w:tr>
      <w:tr>
        <w:tc>
          <w:tcPr>
            <w:tcW w:type="dxa" w:w="3744"/>
          </w:tcPr>
          <w:p>
            <w:pPr>
              <w:spacing w:after="20"/>
            </w:pPr>
            <w:r>
              <w:rPr>
                <w:b/>
                <w:color w:val="1C3A36"/>
                <w:sz w:val="17"/>
              </w:rPr>
              <w:t>Share of associates</w:t>
            </w:r>
          </w:p>
        </w:tc>
        <w:tc>
          <w:tcPr>
            <w:tcW w:type="dxa" w:w="2160"/>
          </w:tcPr>
          <w:p>
            <w:pPr>
              <w:spacing w:after="20"/>
              <w:jc w:val="right"/>
            </w:pPr>
            <w:r>
              <w:rPr>
                <w:color w:val="1C3A36"/>
                <w:sz w:val="17"/>
              </w:rPr>
              <w:t>1,061.7</w:t>
            </w:r>
          </w:p>
        </w:tc>
        <w:tc>
          <w:tcPr>
            <w:tcW w:type="dxa" w:w="2160"/>
          </w:tcPr>
          <w:p>
            <w:pPr>
              <w:spacing w:after="20"/>
              <w:jc w:val="right"/>
            </w:pPr>
            <w:r>
              <w:rPr>
                <w:color w:val="1C3A36"/>
                <w:sz w:val="17"/>
              </w:rPr>
              <w:t>867.6</w:t>
            </w:r>
          </w:p>
        </w:tc>
        <w:tc>
          <w:tcPr>
            <w:tcW w:type="dxa" w:w="2160"/>
          </w:tcPr>
          <w:p>
            <w:pPr>
              <w:spacing w:after="20"/>
              <w:jc w:val="right"/>
            </w:pPr>
            <w:r>
              <w:rPr>
                <w:color w:val="1C3A36"/>
                <w:sz w:val="17"/>
              </w:rPr>
              <w:t>974.8</w:t>
            </w:r>
          </w:p>
        </w:tc>
      </w:tr>
      <w:tr>
        <w:tc>
          <w:tcPr>
            <w:tcW w:type="dxa" w:w="3744"/>
            <w:shd w:val="clear" w:color="auto" w:fill="F6F1E6"/>
          </w:tcPr>
          <w:p>
            <w:pPr>
              <w:spacing w:after="20"/>
            </w:pPr>
            <w:r>
              <w:rPr>
                <w:b/>
                <w:color w:val="1C3A36"/>
                <w:sz w:val="17"/>
              </w:rPr>
              <w:t>Operating profit including associates</w:t>
            </w:r>
          </w:p>
        </w:tc>
        <w:tc>
          <w:tcPr>
            <w:tcW w:type="dxa" w:w="2160"/>
            <w:shd w:val="clear" w:color="auto" w:fill="F6F1E6"/>
          </w:tcPr>
          <w:p>
            <w:pPr>
              <w:spacing w:after="20"/>
              <w:jc w:val="right"/>
            </w:pPr>
            <w:r>
              <w:rPr>
                <w:b/>
                <w:color w:val="1C3A36"/>
                <w:sz w:val="17"/>
              </w:rPr>
              <w:t>4,769.7</w:t>
            </w:r>
          </w:p>
        </w:tc>
        <w:tc>
          <w:tcPr>
            <w:tcW w:type="dxa" w:w="2160"/>
            <w:shd w:val="clear" w:color="auto" w:fill="F6F1E6"/>
          </w:tcPr>
          <w:p>
            <w:pPr>
              <w:spacing w:after="20"/>
              <w:jc w:val="right"/>
            </w:pPr>
            <w:r>
              <w:rPr>
                <w:b/>
                <w:color w:val="1C3A36"/>
                <w:sz w:val="17"/>
              </w:rPr>
              <w:t>6,688.5</w:t>
            </w:r>
          </w:p>
        </w:tc>
        <w:tc>
          <w:tcPr>
            <w:tcW w:type="dxa" w:w="2160"/>
            <w:shd w:val="clear" w:color="auto" w:fill="F6F1E6"/>
          </w:tcPr>
          <w:p>
            <w:pPr>
              <w:spacing w:after="20"/>
              <w:jc w:val="right"/>
            </w:pPr>
            <w:r>
              <w:rPr>
                <w:b/>
                <w:color w:val="1C3A36"/>
                <w:sz w:val="17"/>
              </w:rPr>
              <w:t>7,605.7</w:t>
            </w:r>
          </w:p>
        </w:tc>
      </w:tr>
      <w:tr>
        <w:tc>
          <w:tcPr>
            <w:tcW w:type="dxa" w:w="3744"/>
          </w:tcPr>
          <w:p>
            <w:pPr>
              <w:spacing w:after="20"/>
            </w:pPr>
            <w:r>
              <w:rPr>
                <w:b/>
                <w:color w:val="1C3A36"/>
                <w:sz w:val="17"/>
              </w:rPr>
              <w:t>Foreign-exchange gains (losses)</w:t>
            </w:r>
          </w:p>
        </w:tc>
        <w:tc>
          <w:tcPr>
            <w:tcW w:type="dxa" w:w="2160"/>
          </w:tcPr>
          <w:p>
            <w:pPr>
              <w:spacing w:after="20"/>
              <w:jc w:val="right"/>
            </w:pPr>
            <w:r>
              <w:rPr>
                <w:color w:val="1C3A36"/>
                <w:sz w:val="17"/>
              </w:rPr>
              <w:t>-1,499.2</w:t>
            </w:r>
          </w:p>
        </w:tc>
        <w:tc>
          <w:tcPr>
            <w:tcW w:type="dxa" w:w="2160"/>
          </w:tcPr>
          <w:p>
            <w:pPr>
              <w:spacing w:after="20"/>
              <w:jc w:val="right"/>
            </w:pPr>
            <w:r>
              <w:rPr>
                <w:color w:val="1C3A36"/>
                <w:sz w:val="17"/>
              </w:rPr>
              <w:t>-291.6</w:t>
            </w:r>
          </w:p>
        </w:tc>
        <w:tc>
          <w:tcPr>
            <w:tcW w:type="dxa" w:w="2160"/>
          </w:tcPr>
          <w:p>
            <w:pPr>
              <w:spacing w:after="20"/>
              <w:jc w:val="right"/>
            </w:pPr>
            <w:r>
              <w:rPr>
                <w:color w:val="1C3A36"/>
                <w:sz w:val="17"/>
              </w:rPr>
              <w:t>-37.1</w:t>
            </w:r>
          </w:p>
        </w:tc>
      </w:tr>
      <w:tr>
        <w:tc>
          <w:tcPr>
            <w:tcW w:type="dxa" w:w="3744"/>
          </w:tcPr>
          <w:p>
            <w:pPr>
              <w:spacing w:after="20"/>
            </w:pPr>
            <w:r>
              <w:rPr>
                <w:b/>
                <w:color w:val="1C3A36"/>
                <w:sz w:val="17"/>
              </w:rPr>
              <w:t>Net finance cost</w:t>
            </w:r>
          </w:p>
        </w:tc>
        <w:tc>
          <w:tcPr>
            <w:tcW w:type="dxa" w:w="2160"/>
          </w:tcPr>
          <w:p>
            <w:pPr>
              <w:spacing w:after="20"/>
              <w:jc w:val="right"/>
            </w:pPr>
            <w:r>
              <w:rPr>
                <w:color w:val="1C3A36"/>
                <w:sz w:val="17"/>
              </w:rPr>
              <w:t>-965.8</w:t>
            </w:r>
          </w:p>
        </w:tc>
        <w:tc>
          <w:tcPr>
            <w:tcW w:type="dxa" w:w="2160"/>
          </w:tcPr>
          <w:p>
            <w:pPr>
              <w:spacing w:after="20"/>
              <w:jc w:val="right"/>
            </w:pPr>
            <w:r>
              <w:rPr>
                <w:color w:val="1C3A36"/>
                <w:sz w:val="17"/>
              </w:rPr>
              <w:t>-2,397.8</w:t>
            </w:r>
          </w:p>
        </w:tc>
        <w:tc>
          <w:tcPr>
            <w:tcW w:type="dxa" w:w="2160"/>
          </w:tcPr>
          <w:p>
            <w:pPr>
              <w:spacing w:after="20"/>
              <w:jc w:val="right"/>
            </w:pPr>
            <w:r>
              <w:rPr>
                <w:color w:val="1C3A36"/>
                <w:sz w:val="17"/>
              </w:rPr>
              <w:t>-3,702.1</w:t>
            </w:r>
          </w:p>
        </w:tc>
      </w:tr>
      <w:tr>
        <w:tc>
          <w:tcPr>
            <w:tcW w:type="dxa" w:w="3744"/>
            <w:shd w:val="clear" w:color="auto" w:fill="F6F1E6"/>
          </w:tcPr>
          <w:p>
            <w:pPr>
              <w:spacing w:after="20"/>
            </w:pPr>
            <w:r>
              <w:rPr>
                <w:b/>
                <w:color w:val="1C3A36"/>
                <w:sz w:val="17"/>
              </w:rPr>
              <w:t>Profit before tax</w:t>
            </w:r>
          </w:p>
        </w:tc>
        <w:tc>
          <w:tcPr>
            <w:tcW w:type="dxa" w:w="2160"/>
            <w:shd w:val="clear" w:color="auto" w:fill="F6F1E6"/>
          </w:tcPr>
          <w:p>
            <w:pPr>
              <w:spacing w:after="20"/>
              <w:jc w:val="right"/>
            </w:pPr>
            <w:r>
              <w:rPr>
                <w:b/>
                <w:color w:val="1C3A36"/>
                <w:sz w:val="17"/>
              </w:rPr>
              <w:t>2,304.7</w:t>
            </w:r>
          </w:p>
        </w:tc>
        <w:tc>
          <w:tcPr>
            <w:tcW w:type="dxa" w:w="2160"/>
            <w:shd w:val="clear" w:color="auto" w:fill="F6F1E6"/>
          </w:tcPr>
          <w:p>
            <w:pPr>
              <w:spacing w:after="20"/>
              <w:jc w:val="right"/>
            </w:pPr>
            <w:r>
              <w:rPr>
                <w:b/>
                <w:color w:val="1C3A36"/>
                <w:sz w:val="17"/>
              </w:rPr>
              <w:t>3,999.1</w:t>
            </w:r>
          </w:p>
        </w:tc>
        <w:tc>
          <w:tcPr>
            <w:tcW w:type="dxa" w:w="2160"/>
            <w:shd w:val="clear" w:color="auto" w:fill="F6F1E6"/>
          </w:tcPr>
          <w:p>
            <w:pPr>
              <w:spacing w:after="20"/>
              <w:jc w:val="right"/>
            </w:pPr>
            <w:r>
              <w:rPr>
                <w:b/>
                <w:color w:val="1C3A36"/>
                <w:sz w:val="17"/>
              </w:rPr>
              <w:t>3,866.5</w:t>
            </w:r>
          </w:p>
        </w:tc>
      </w:tr>
      <w:tr>
        <w:tc>
          <w:tcPr>
            <w:tcW w:type="dxa" w:w="3744"/>
          </w:tcPr>
          <w:p>
            <w:pPr>
              <w:spacing w:after="20"/>
            </w:pPr>
            <w:r>
              <w:rPr>
                <w:b/>
                <w:color w:val="1C3A36"/>
                <w:sz w:val="17"/>
              </w:rPr>
              <w:t>Income tax</w:t>
            </w:r>
          </w:p>
        </w:tc>
        <w:tc>
          <w:tcPr>
            <w:tcW w:type="dxa" w:w="2160"/>
          </w:tcPr>
          <w:p>
            <w:pPr>
              <w:spacing w:after="20"/>
              <w:jc w:val="right"/>
            </w:pPr>
            <w:r>
              <w:rPr>
                <w:color w:val="1C3A36"/>
                <w:sz w:val="17"/>
              </w:rPr>
              <w:t>-493.2</w:t>
            </w:r>
          </w:p>
        </w:tc>
        <w:tc>
          <w:tcPr>
            <w:tcW w:type="dxa" w:w="2160"/>
          </w:tcPr>
          <w:p>
            <w:pPr>
              <w:spacing w:after="20"/>
              <w:jc w:val="right"/>
            </w:pPr>
            <w:r>
              <w:rPr>
                <w:color w:val="1C3A36"/>
                <w:sz w:val="17"/>
              </w:rPr>
              <w:t>-939.2</w:t>
            </w:r>
          </w:p>
        </w:tc>
        <w:tc>
          <w:tcPr>
            <w:tcW w:type="dxa" w:w="2160"/>
          </w:tcPr>
          <w:p>
            <w:pPr>
              <w:spacing w:after="20"/>
              <w:jc w:val="right"/>
            </w:pPr>
            <w:r>
              <w:rPr>
                <w:color w:val="1C3A36"/>
                <w:sz w:val="17"/>
              </w:rPr>
              <w:t>-1,086.1</w:t>
            </w:r>
          </w:p>
        </w:tc>
      </w:tr>
      <w:tr>
        <w:tc>
          <w:tcPr>
            <w:tcW w:type="dxa" w:w="3744"/>
            <w:shd w:val="clear" w:color="auto" w:fill="F6F1E6"/>
          </w:tcPr>
          <w:p>
            <w:pPr>
              <w:spacing w:after="20"/>
            </w:pPr>
            <w:r>
              <w:rPr>
                <w:b/>
                <w:color w:val="1C3A36"/>
                <w:sz w:val="17"/>
              </w:rPr>
              <w:t>Profit before minority interest</w:t>
            </w:r>
          </w:p>
        </w:tc>
        <w:tc>
          <w:tcPr>
            <w:tcW w:type="dxa" w:w="2160"/>
            <w:shd w:val="clear" w:color="auto" w:fill="F6F1E6"/>
          </w:tcPr>
          <w:p>
            <w:pPr>
              <w:spacing w:after="20"/>
              <w:jc w:val="right"/>
            </w:pPr>
            <w:r>
              <w:rPr>
                <w:b/>
                <w:color w:val="1C3A36"/>
                <w:sz w:val="17"/>
              </w:rPr>
              <w:t>1,811.4</w:t>
            </w:r>
          </w:p>
        </w:tc>
        <w:tc>
          <w:tcPr>
            <w:tcW w:type="dxa" w:w="2160"/>
            <w:shd w:val="clear" w:color="auto" w:fill="F6F1E6"/>
          </w:tcPr>
          <w:p>
            <w:pPr>
              <w:spacing w:after="20"/>
              <w:jc w:val="right"/>
            </w:pPr>
            <w:r>
              <w:rPr>
                <w:b/>
                <w:color w:val="1C3A36"/>
                <w:sz w:val="17"/>
              </w:rPr>
              <w:t>3,059.9</w:t>
            </w:r>
          </w:p>
        </w:tc>
        <w:tc>
          <w:tcPr>
            <w:tcW w:type="dxa" w:w="2160"/>
            <w:shd w:val="clear" w:color="auto" w:fill="F6F1E6"/>
          </w:tcPr>
          <w:p>
            <w:pPr>
              <w:spacing w:after="20"/>
              <w:jc w:val="right"/>
            </w:pPr>
            <w:r>
              <w:rPr>
                <w:b/>
                <w:color w:val="1C3A36"/>
                <w:sz w:val="17"/>
              </w:rPr>
              <w:t>2,780.5</w:t>
            </w:r>
          </w:p>
        </w:tc>
      </w:tr>
      <w:tr>
        <w:tc>
          <w:tcPr>
            <w:tcW w:type="dxa" w:w="3744"/>
          </w:tcPr>
          <w:p>
            <w:pPr>
              <w:spacing w:after="20"/>
            </w:pPr>
            <w:r>
              <w:rPr>
                <w:b/>
                <w:color w:val="1C3A36"/>
                <w:sz w:val="17"/>
              </w:rPr>
              <w:t>Minority interest</w:t>
            </w:r>
          </w:p>
        </w:tc>
        <w:tc>
          <w:tcPr>
            <w:tcW w:type="dxa" w:w="2160"/>
          </w:tcPr>
          <w:p>
            <w:pPr>
              <w:spacing w:after="20"/>
              <w:jc w:val="right"/>
            </w:pPr>
            <w:r>
              <w:rPr>
                <w:color w:val="1C3A36"/>
                <w:sz w:val="17"/>
              </w:rPr>
              <w:t>79.3</w:t>
            </w:r>
          </w:p>
        </w:tc>
        <w:tc>
          <w:tcPr>
            <w:tcW w:type="dxa" w:w="2160"/>
          </w:tcPr>
          <w:p>
            <w:pPr>
              <w:spacing w:after="20"/>
              <w:jc w:val="right"/>
            </w:pPr>
            <w:r>
              <w:rPr>
                <w:color w:val="1C3A36"/>
                <w:sz w:val="17"/>
              </w:rPr>
              <w:t>-131.8</w:t>
            </w:r>
          </w:p>
        </w:tc>
        <w:tc>
          <w:tcPr>
            <w:tcW w:type="dxa" w:w="2160"/>
          </w:tcPr>
          <w:p>
            <w:pPr>
              <w:spacing w:after="20"/>
              <w:jc w:val="right"/>
            </w:pPr>
            <w:r>
              <w:rPr>
                <w:color w:val="1C3A36"/>
                <w:sz w:val="17"/>
              </w:rPr>
              <w:t>99.6</w:t>
            </w:r>
          </w:p>
        </w:tc>
      </w:tr>
      <w:tr>
        <w:tc>
          <w:tcPr>
            <w:tcW w:type="dxa" w:w="3744"/>
            <w:shd w:val="clear" w:color="auto" w:fill="F6F1E6"/>
          </w:tcPr>
          <w:p>
            <w:pPr>
              <w:spacing w:after="20"/>
            </w:pPr>
            <w:r>
              <w:rPr>
                <w:b/>
                <w:color w:val="1C3A36"/>
                <w:sz w:val="17"/>
              </w:rPr>
              <w:t>Profit attributable to the parent</w:t>
            </w:r>
          </w:p>
        </w:tc>
        <w:tc>
          <w:tcPr>
            <w:tcW w:type="dxa" w:w="2160"/>
            <w:shd w:val="clear" w:color="auto" w:fill="F6F1E6"/>
          </w:tcPr>
          <w:p>
            <w:pPr>
              <w:spacing w:after="20"/>
              <w:jc w:val="right"/>
            </w:pPr>
            <w:r>
              <w:rPr>
                <w:b/>
                <w:color w:val="1C3A36"/>
                <w:sz w:val="17"/>
              </w:rPr>
              <w:t>1,890.8</w:t>
            </w:r>
          </w:p>
        </w:tc>
        <w:tc>
          <w:tcPr>
            <w:tcW w:type="dxa" w:w="2160"/>
            <w:shd w:val="clear" w:color="auto" w:fill="F6F1E6"/>
          </w:tcPr>
          <w:p>
            <w:pPr>
              <w:spacing w:after="20"/>
              <w:jc w:val="right"/>
            </w:pPr>
            <w:r>
              <w:rPr>
                <w:b/>
                <w:color w:val="1C3A36"/>
                <w:sz w:val="17"/>
              </w:rPr>
              <w:t>2,928.1</w:t>
            </w:r>
          </w:p>
        </w:tc>
        <w:tc>
          <w:tcPr>
            <w:tcW w:type="dxa" w:w="2160"/>
            <w:shd w:val="clear" w:color="auto" w:fill="F6F1E6"/>
          </w:tcPr>
          <w:p>
            <w:pPr>
              <w:spacing w:after="20"/>
              <w:jc w:val="right"/>
            </w:pPr>
            <w:r>
              <w:rPr>
                <w:b/>
                <w:color w:val="1C3A36"/>
                <w:sz w:val="17"/>
              </w:rPr>
              <w:t>2,880.0</w:t>
            </w:r>
          </w:p>
        </w:tc>
      </w:tr>
      <w:tr>
        <w:tc>
          <w:tcPr>
            <w:tcW w:type="dxa" w:w="3744"/>
          </w:tcPr>
          <w:p>
            <w:pPr>
              <w:spacing w:after="20"/>
            </w:pPr>
            <w:r>
              <w:rPr>
                <w:b/>
                <w:color w:val="1C3A36"/>
                <w:sz w:val="17"/>
              </w:rPr>
              <w:t>Gross margin</w:t>
            </w:r>
          </w:p>
        </w:tc>
        <w:tc>
          <w:tcPr>
            <w:tcW w:type="dxa" w:w="2160"/>
          </w:tcPr>
          <w:p>
            <w:pPr>
              <w:spacing w:after="20"/>
              <w:jc w:val="right"/>
            </w:pPr>
            <w:r>
              <w:rPr>
                <w:color w:val="1C3A36"/>
                <w:sz w:val="17"/>
              </w:rPr>
              <w:t>24.31%</w:t>
            </w:r>
          </w:p>
        </w:tc>
        <w:tc>
          <w:tcPr>
            <w:tcW w:type="dxa" w:w="2160"/>
          </w:tcPr>
          <w:p>
            <w:pPr>
              <w:spacing w:after="20"/>
              <w:jc w:val="right"/>
            </w:pPr>
            <w:r>
              <w:rPr>
                <w:color w:val="1C3A36"/>
                <w:sz w:val="17"/>
              </w:rPr>
              <w:t>19.48%</w:t>
            </w:r>
          </w:p>
        </w:tc>
        <w:tc>
          <w:tcPr>
            <w:tcW w:type="dxa" w:w="2160"/>
          </w:tcPr>
          <w:p>
            <w:pPr>
              <w:spacing w:after="20"/>
              <w:jc w:val="right"/>
            </w:pPr>
            <w:r>
              <w:rPr>
                <w:color w:val="1C3A36"/>
                <w:sz w:val="17"/>
              </w:rPr>
              <w:t>15.49%</w:t>
            </w:r>
          </w:p>
        </w:tc>
      </w:tr>
      <w:tr>
        <w:tc>
          <w:tcPr>
            <w:tcW w:type="dxa" w:w="3744"/>
          </w:tcPr>
          <w:p>
            <w:pPr>
              <w:spacing w:after="20"/>
            </w:pPr>
            <w:r>
              <w:rPr>
                <w:b/>
                <w:color w:val="1C3A36"/>
                <w:sz w:val="17"/>
              </w:rPr>
              <w:t>Net margin</w:t>
            </w:r>
          </w:p>
        </w:tc>
        <w:tc>
          <w:tcPr>
            <w:tcW w:type="dxa" w:w="2160"/>
          </w:tcPr>
          <w:p>
            <w:pPr>
              <w:spacing w:after="20"/>
              <w:jc w:val="right"/>
            </w:pPr>
            <w:r>
              <w:rPr>
                <w:color w:val="1C3A36"/>
                <w:sz w:val="17"/>
              </w:rPr>
              <w:t>6.68%</w:t>
            </w:r>
          </w:p>
        </w:tc>
        <w:tc>
          <w:tcPr>
            <w:tcW w:type="dxa" w:w="2160"/>
          </w:tcPr>
          <w:p>
            <w:pPr>
              <w:spacing w:after="20"/>
              <w:jc w:val="right"/>
            </w:pPr>
            <w:r>
              <w:rPr>
                <w:color w:val="1C3A36"/>
                <w:sz w:val="17"/>
              </w:rPr>
              <w:t>5.43%</w:t>
            </w:r>
          </w:p>
        </w:tc>
        <w:tc>
          <w:tcPr>
            <w:tcW w:type="dxa" w:w="2160"/>
          </w:tcPr>
          <w:p>
            <w:pPr>
              <w:spacing w:after="20"/>
              <w:jc w:val="right"/>
            </w:pPr>
            <w:r>
              <w:rPr>
                <w:color w:val="1C3A36"/>
                <w:sz w:val="17"/>
              </w:rPr>
              <w:t>3.59%</w:t>
            </w:r>
          </w:p>
        </w:tc>
      </w:tr>
      <w:tr>
        <w:tc>
          <w:tcPr>
            <w:tcW w:type="dxa" w:w="3744"/>
          </w:tcPr>
          <w:p>
            <w:pPr>
              <w:spacing w:after="20"/>
            </w:pPr>
            <w:r>
              <w:rPr>
                <w:b/>
                <w:color w:val="1C3A36"/>
                <w:sz w:val="17"/>
              </w:rPr>
              <w:t>Earnings per share (EGP)</w:t>
            </w:r>
          </w:p>
        </w:tc>
        <w:tc>
          <w:tcPr>
            <w:tcW w:type="dxa" w:w="2160"/>
          </w:tcPr>
          <w:p>
            <w:pPr>
              <w:spacing w:after="20"/>
              <w:jc w:val="right"/>
            </w:pPr>
            <w:r>
              <w:rPr>
                <w:color w:val="1C3A36"/>
                <w:sz w:val="17"/>
              </w:rPr>
              <w:t>1.74</w:t>
            </w:r>
          </w:p>
        </w:tc>
        <w:tc>
          <w:tcPr>
            <w:tcW w:type="dxa" w:w="2160"/>
          </w:tcPr>
          <w:p>
            <w:pPr>
              <w:spacing w:after="20"/>
              <w:jc w:val="right"/>
            </w:pPr>
            <w:r>
              <w:rPr>
                <w:color w:val="1C3A36"/>
                <w:sz w:val="17"/>
              </w:rPr>
              <w:t>2.70</w:t>
            </w:r>
          </w:p>
        </w:tc>
        <w:tc>
          <w:tcPr>
            <w:tcW w:type="dxa" w:w="2160"/>
          </w:tcPr>
          <w:p>
            <w:pPr>
              <w:spacing w:after="20"/>
              <w:jc w:val="right"/>
            </w:pPr>
            <w:r>
              <w:rPr>
                <w:color w:val="1C3A36"/>
                <w:sz w:val="17"/>
              </w:rPr>
              <w:t>2.65</w:t>
            </w:r>
          </w:p>
        </w:tc>
      </w:tr>
    </w:tbl>
    <w:p>
      <w:pPr>
        <w:spacing w:after="40"/>
      </w:pPr>
    </w:p>
    <w:p>
      <w:pPr>
        <w:spacing w:after="200" w:before="0"/>
      </w:pPr>
      <w:r>
        <w:rPr>
          <w:b w:val="0"/>
          <w:i/>
          <w:color w:val="6E7B77"/>
          <w:sz w:val="17"/>
        </w:rPr>
        <w:t>Table A1 — the consolidated income statement as the company reported it, one column per year, every figure read from the study’s committed record. Deductions are printed as the negative figures the statement carries, so a reader adding the column reaches the subtotal beneath it. Sources: FY2023 — GB_Corp_ER_4Q23_-_ER_-_FINAL.pdf, 2024-03-01; FY2024 — GB_Corp_ER_4Q24-_E_-_Final.pdf, 2025-02-01; FY2025 — GB_Corp_ER_4Q25-_E_-_Final.pdf, 2026-02-26.</w:t>
      </w:r>
    </w:p>
    <w:p>
      <w:pPr>
        <w:spacing w:after="80" w:before="200"/>
      </w:pPr>
      <w:r>
        <w:rPr>
          <w:b/>
          <w:i w:val="0"/>
          <w:color w:val="1C3A36"/>
          <w:sz w:val="24"/>
        </w:rPr>
        <w:t>A.3  Income statement — forecast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096"/>
            <w:shd w:val="clear" w:color="auto" w:fill="EAF0EE"/>
          </w:tcPr>
          <w:p>
            <w:pPr>
              <w:spacing w:after="20"/>
            </w:pPr>
            <w:r>
              <w:rPr>
                <w:b/>
                <w:color w:val="1C3A36"/>
                <w:sz w:val="16"/>
              </w:rPr>
              <w:t>Line</w:t>
            </w:r>
          </w:p>
        </w:tc>
        <w:tc>
          <w:tcPr>
            <w:tcW w:type="dxa" w:w="1296"/>
            <w:shd w:val="clear" w:color="auto" w:fill="EAF0EE"/>
          </w:tcPr>
          <w:p>
            <w:pPr>
              <w:spacing w:after="20"/>
            </w:pPr>
            <w:r>
              <w:rPr>
                <w:b/>
                <w:color w:val="1C3A36"/>
                <w:sz w:val="16"/>
              </w:rPr>
              <w:t>FY2026</w:t>
            </w:r>
          </w:p>
        </w:tc>
        <w:tc>
          <w:tcPr>
            <w:tcW w:type="dxa" w:w="1296"/>
            <w:shd w:val="clear" w:color="auto" w:fill="EAF0EE"/>
          </w:tcPr>
          <w:p>
            <w:pPr>
              <w:spacing w:after="20"/>
            </w:pPr>
            <w:r>
              <w:rPr>
                <w:b/>
                <w:color w:val="1C3A36"/>
                <w:sz w:val="16"/>
              </w:rPr>
              <w:t>FY2027</w:t>
            </w:r>
          </w:p>
        </w:tc>
        <w:tc>
          <w:tcPr>
            <w:tcW w:type="dxa" w:w="1296"/>
            <w:shd w:val="clear" w:color="auto" w:fill="EAF0EE"/>
          </w:tcPr>
          <w:p>
            <w:pPr>
              <w:spacing w:after="20"/>
            </w:pPr>
            <w:r>
              <w:rPr>
                <w:b/>
                <w:color w:val="1C3A36"/>
                <w:sz w:val="16"/>
              </w:rPr>
              <w:t>FY2028</w:t>
            </w:r>
          </w:p>
        </w:tc>
        <w:tc>
          <w:tcPr>
            <w:tcW w:type="dxa" w:w="1296"/>
            <w:shd w:val="clear" w:color="auto" w:fill="EAF0EE"/>
          </w:tcPr>
          <w:p>
            <w:pPr>
              <w:spacing w:after="20"/>
            </w:pPr>
            <w:r>
              <w:rPr>
                <w:b/>
                <w:color w:val="1C3A36"/>
                <w:sz w:val="16"/>
              </w:rPr>
              <w:t>FY2029</w:t>
            </w:r>
          </w:p>
        </w:tc>
        <w:tc>
          <w:tcPr>
            <w:tcW w:type="dxa" w:w="1296"/>
            <w:shd w:val="clear" w:color="auto" w:fill="EAF0EE"/>
          </w:tcPr>
          <w:p>
            <w:pPr>
              <w:spacing w:after="20"/>
            </w:pPr>
            <w:r>
              <w:rPr>
                <w:b/>
                <w:color w:val="1C3A36"/>
                <w:sz w:val="16"/>
              </w:rPr>
              <w:t>FY2030</w:t>
            </w:r>
          </w:p>
        </w:tc>
      </w:tr>
      <w:tr>
        <w:tc>
          <w:tcPr>
            <w:tcW w:type="dxa" w:w="3096"/>
          </w:tcPr>
          <w:p>
            <w:pPr>
              <w:spacing w:after="20"/>
            </w:pPr>
            <w:r>
              <w:rPr>
                <w:b/>
                <w:color w:val="1C3A36"/>
                <w:sz w:val="16"/>
              </w:rPr>
              <w:t>GB Auto revenue</w:t>
            </w:r>
          </w:p>
        </w:tc>
        <w:tc>
          <w:tcPr>
            <w:tcW w:type="dxa" w:w="1296"/>
          </w:tcPr>
          <w:p>
            <w:pPr>
              <w:spacing w:after="20"/>
              <w:jc w:val="right"/>
            </w:pPr>
            <w:r>
              <w:rPr>
                <w:color w:val="1C3A36"/>
                <w:sz w:val="16"/>
              </w:rPr>
              <w:t>79,677</w:t>
            </w:r>
          </w:p>
        </w:tc>
        <w:tc>
          <w:tcPr>
            <w:tcW w:type="dxa" w:w="1296"/>
          </w:tcPr>
          <w:p>
            <w:pPr>
              <w:spacing w:after="20"/>
              <w:jc w:val="right"/>
            </w:pPr>
            <w:r>
              <w:rPr>
                <w:color w:val="1C3A36"/>
                <w:sz w:val="16"/>
              </w:rPr>
              <w:t>96,864</w:t>
            </w:r>
          </w:p>
        </w:tc>
        <w:tc>
          <w:tcPr>
            <w:tcW w:type="dxa" w:w="1296"/>
          </w:tcPr>
          <w:p>
            <w:pPr>
              <w:spacing w:after="20"/>
              <w:jc w:val="right"/>
            </w:pPr>
            <w:r>
              <w:rPr>
                <w:color w:val="1C3A36"/>
                <w:sz w:val="16"/>
              </w:rPr>
              <w:t>113,587</w:t>
            </w:r>
          </w:p>
        </w:tc>
        <w:tc>
          <w:tcPr>
            <w:tcW w:type="dxa" w:w="1296"/>
          </w:tcPr>
          <w:p>
            <w:pPr>
              <w:spacing w:after="20"/>
              <w:jc w:val="right"/>
            </w:pPr>
            <w:r>
              <w:rPr>
                <w:color w:val="1C3A36"/>
                <w:sz w:val="16"/>
              </w:rPr>
              <w:t>129,841</w:t>
            </w:r>
          </w:p>
        </w:tc>
        <w:tc>
          <w:tcPr>
            <w:tcW w:type="dxa" w:w="1296"/>
          </w:tcPr>
          <w:p>
            <w:pPr>
              <w:spacing w:after="20"/>
              <w:jc w:val="right"/>
            </w:pPr>
            <w:r>
              <w:rPr>
                <w:color w:val="1C3A36"/>
                <w:sz w:val="16"/>
              </w:rPr>
              <w:t>145,889</w:t>
            </w:r>
          </w:p>
        </w:tc>
      </w:tr>
      <w:tr>
        <w:tc>
          <w:tcPr>
            <w:tcW w:type="dxa" w:w="3096"/>
          </w:tcPr>
          <w:p>
            <w:pPr>
              <w:spacing w:after="20"/>
            </w:pPr>
            <w:r>
              <w:rPr>
                <w:b/>
                <w:color w:val="1C3A36"/>
                <w:sz w:val="16"/>
              </w:rPr>
              <w:t>GB Capital revenue</w:t>
            </w:r>
          </w:p>
        </w:tc>
        <w:tc>
          <w:tcPr>
            <w:tcW w:type="dxa" w:w="1296"/>
          </w:tcPr>
          <w:p>
            <w:pPr>
              <w:spacing w:after="20"/>
              <w:jc w:val="right"/>
            </w:pPr>
            <w:r>
              <w:rPr>
                <w:color w:val="1C3A36"/>
                <w:sz w:val="16"/>
              </w:rPr>
              <w:t>21,377</w:t>
            </w:r>
          </w:p>
        </w:tc>
        <w:tc>
          <w:tcPr>
            <w:tcW w:type="dxa" w:w="1296"/>
          </w:tcPr>
          <w:p>
            <w:pPr>
              <w:spacing w:after="20"/>
              <w:jc w:val="right"/>
            </w:pPr>
            <w:r>
              <w:rPr>
                <w:color w:val="1C3A36"/>
                <w:sz w:val="16"/>
              </w:rPr>
              <w:t>27,791</w:t>
            </w:r>
          </w:p>
        </w:tc>
        <w:tc>
          <w:tcPr>
            <w:tcW w:type="dxa" w:w="1296"/>
          </w:tcPr>
          <w:p>
            <w:pPr>
              <w:spacing w:after="20"/>
              <w:jc w:val="right"/>
            </w:pPr>
            <w:r>
              <w:rPr>
                <w:color w:val="1C3A36"/>
                <w:sz w:val="16"/>
              </w:rPr>
              <w:t>34,738</w:t>
            </w:r>
          </w:p>
        </w:tc>
        <w:tc>
          <w:tcPr>
            <w:tcW w:type="dxa" w:w="1296"/>
          </w:tcPr>
          <w:p>
            <w:pPr>
              <w:spacing w:after="20"/>
              <w:jc w:val="right"/>
            </w:pPr>
            <w:r>
              <w:rPr>
                <w:color w:val="1C3A36"/>
                <w:sz w:val="16"/>
              </w:rPr>
              <w:t>41,686</w:t>
            </w:r>
          </w:p>
        </w:tc>
        <w:tc>
          <w:tcPr>
            <w:tcW w:type="dxa" w:w="1296"/>
          </w:tcPr>
          <w:p>
            <w:pPr>
              <w:spacing w:after="20"/>
              <w:jc w:val="right"/>
            </w:pPr>
            <w:r>
              <w:rPr>
                <w:color w:val="1C3A36"/>
                <w:sz w:val="16"/>
              </w:rPr>
              <w:t>49,189</w:t>
            </w:r>
          </w:p>
        </w:tc>
      </w:tr>
      <w:tr>
        <w:tc>
          <w:tcPr>
            <w:tcW w:type="dxa" w:w="3096"/>
          </w:tcPr>
          <w:p>
            <w:pPr>
              <w:spacing w:after="20"/>
            </w:pPr>
            <w:r>
              <w:rPr>
                <w:b/>
                <w:color w:val="1C3A36"/>
                <w:sz w:val="16"/>
              </w:rPr>
              <w:t>Intercompany eliminations</w:t>
            </w:r>
          </w:p>
        </w:tc>
        <w:tc>
          <w:tcPr>
            <w:tcW w:type="dxa" w:w="1296"/>
          </w:tcPr>
          <w:p>
            <w:pPr>
              <w:spacing w:after="20"/>
              <w:jc w:val="right"/>
            </w:pPr>
            <w:r>
              <w:rPr>
                <w:color w:val="1C3A36"/>
                <w:sz w:val="16"/>
              </w:rPr>
              <w:t>-1,112</w:t>
            </w:r>
          </w:p>
        </w:tc>
        <w:tc>
          <w:tcPr>
            <w:tcW w:type="dxa" w:w="1296"/>
          </w:tcPr>
          <w:p>
            <w:pPr>
              <w:spacing w:after="20"/>
              <w:jc w:val="right"/>
            </w:pPr>
            <w:r>
              <w:rPr>
                <w:color w:val="1C3A36"/>
                <w:sz w:val="16"/>
              </w:rPr>
              <w:t>-1,371</w:t>
            </w:r>
          </w:p>
        </w:tc>
        <w:tc>
          <w:tcPr>
            <w:tcW w:type="dxa" w:w="1296"/>
          </w:tcPr>
          <w:p>
            <w:pPr>
              <w:spacing w:after="20"/>
              <w:jc w:val="right"/>
            </w:pPr>
            <w:r>
              <w:rPr>
                <w:color w:val="1C3A36"/>
                <w:sz w:val="16"/>
              </w:rPr>
              <w:t>-1,632</w:t>
            </w:r>
          </w:p>
        </w:tc>
        <w:tc>
          <w:tcPr>
            <w:tcW w:type="dxa" w:w="1296"/>
          </w:tcPr>
          <w:p>
            <w:pPr>
              <w:spacing w:after="20"/>
              <w:jc w:val="right"/>
            </w:pPr>
            <w:r>
              <w:rPr>
                <w:color w:val="1C3A36"/>
                <w:sz w:val="16"/>
              </w:rPr>
              <w:t>-1,887</w:t>
            </w:r>
          </w:p>
        </w:tc>
        <w:tc>
          <w:tcPr>
            <w:tcW w:type="dxa" w:w="1296"/>
          </w:tcPr>
          <w:p>
            <w:pPr>
              <w:spacing w:after="20"/>
              <w:jc w:val="right"/>
            </w:pPr>
            <w:r>
              <w:rPr>
                <w:color w:val="1C3A36"/>
                <w:sz w:val="16"/>
              </w:rPr>
              <w:t>-2,146</w:t>
            </w:r>
          </w:p>
        </w:tc>
      </w:tr>
      <w:tr>
        <w:tc>
          <w:tcPr>
            <w:tcW w:type="dxa" w:w="3096"/>
            <w:shd w:val="clear" w:color="auto" w:fill="F6F1E6"/>
          </w:tcPr>
          <w:p>
            <w:pPr>
              <w:spacing w:after="20"/>
            </w:pPr>
            <w:r>
              <w:rPr>
                <w:b/>
                <w:color w:val="1C3A36"/>
                <w:sz w:val="16"/>
              </w:rPr>
              <w:t>Total revenue</w:t>
            </w:r>
          </w:p>
        </w:tc>
        <w:tc>
          <w:tcPr>
            <w:tcW w:type="dxa" w:w="1296"/>
            <w:shd w:val="clear" w:color="auto" w:fill="F6F1E6"/>
          </w:tcPr>
          <w:p>
            <w:pPr>
              <w:spacing w:after="20"/>
              <w:jc w:val="right"/>
            </w:pPr>
            <w:r>
              <w:rPr>
                <w:b/>
                <w:color w:val="1C3A36"/>
                <w:sz w:val="16"/>
              </w:rPr>
              <w:t>99,943</w:t>
            </w:r>
          </w:p>
        </w:tc>
        <w:tc>
          <w:tcPr>
            <w:tcW w:type="dxa" w:w="1296"/>
            <w:shd w:val="clear" w:color="auto" w:fill="F6F1E6"/>
          </w:tcPr>
          <w:p>
            <w:pPr>
              <w:spacing w:after="20"/>
              <w:jc w:val="right"/>
            </w:pPr>
            <w:r>
              <w:rPr>
                <w:b/>
                <w:color w:val="1C3A36"/>
                <w:sz w:val="16"/>
              </w:rPr>
              <w:t>123,283</w:t>
            </w:r>
          </w:p>
        </w:tc>
        <w:tc>
          <w:tcPr>
            <w:tcW w:type="dxa" w:w="1296"/>
            <w:shd w:val="clear" w:color="auto" w:fill="F6F1E6"/>
          </w:tcPr>
          <w:p>
            <w:pPr>
              <w:spacing w:after="20"/>
              <w:jc w:val="right"/>
            </w:pPr>
            <w:r>
              <w:rPr>
                <w:b/>
                <w:color w:val="1C3A36"/>
                <w:sz w:val="16"/>
              </w:rPr>
              <w:t>146,694</w:t>
            </w:r>
          </w:p>
        </w:tc>
        <w:tc>
          <w:tcPr>
            <w:tcW w:type="dxa" w:w="1296"/>
            <w:shd w:val="clear" w:color="auto" w:fill="F6F1E6"/>
          </w:tcPr>
          <w:p>
            <w:pPr>
              <w:spacing w:after="20"/>
              <w:jc w:val="right"/>
            </w:pPr>
            <w:r>
              <w:rPr>
                <w:b/>
                <w:color w:val="1C3A36"/>
                <w:sz w:val="16"/>
              </w:rPr>
              <w:t>169,640</w:t>
            </w:r>
          </w:p>
        </w:tc>
        <w:tc>
          <w:tcPr>
            <w:tcW w:type="dxa" w:w="1296"/>
            <w:shd w:val="clear" w:color="auto" w:fill="F6F1E6"/>
          </w:tcPr>
          <w:p>
            <w:pPr>
              <w:spacing w:after="20"/>
              <w:jc w:val="right"/>
            </w:pPr>
            <w:r>
              <w:rPr>
                <w:b/>
                <w:color w:val="1C3A36"/>
                <w:sz w:val="16"/>
              </w:rPr>
              <w:t>192,932</w:t>
            </w:r>
          </w:p>
        </w:tc>
      </w:tr>
      <w:tr>
        <w:tc>
          <w:tcPr>
            <w:tcW w:type="dxa" w:w="3096"/>
          </w:tcPr>
          <w:p>
            <w:pPr>
              <w:spacing w:after="20"/>
            </w:pPr>
            <w:r>
              <w:rPr>
                <w:b/>
                <w:color w:val="1C3A36"/>
                <w:sz w:val="16"/>
              </w:rPr>
              <w:t>Gross profit</w:t>
            </w:r>
          </w:p>
        </w:tc>
        <w:tc>
          <w:tcPr>
            <w:tcW w:type="dxa" w:w="1296"/>
          </w:tcPr>
          <w:p>
            <w:pPr>
              <w:spacing w:after="20"/>
              <w:jc w:val="right"/>
            </w:pPr>
            <w:r>
              <w:rPr>
                <w:color w:val="1C3A36"/>
                <w:sz w:val="16"/>
              </w:rPr>
              <w:t>14,792</w:t>
            </w:r>
          </w:p>
        </w:tc>
        <w:tc>
          <w:tcPr>
            <w:tcW w:type="dxa" w:w="1296"/>
          </w:tcPr>
          <w:p>
            <w:pPr>
              <w:spacing w:after="20"/>
              <w:jc w:val="right"/>
            </w:pPr>
            <w:r>
              <w:rPr>
                <w:color w:val="1C3A36"/>
                <w:sz w:val="16"/>
              </w:rPr>
              <w:t>18,761</w:t>
            </w:r>
          </w:p>
        </w:tc>
        <w:tc>
          <w:tcPr>
            <w:tcW w:type="dxa" w:w="1296"/>
          </w:tcPr>
          <w:p>
            <w:pPr>
              <w:spacing w:after="20"/>
              <w:jc w:val="right"/>
            </w:pPr>
            <w:r>
              <w:rPr>
                <w:color w:val="1C3A36"/>
                <w:sz w:val="16"/>
              </w:rPr>
              <w:t>22,814</w:t>
            </w:r>
          </w:p>
        </w:tc>
        <w:tc>
          <w:tcPr>
            <w:tcW w:type="dxa" w:w="1296"/>
          </w:tcPr>
          <w:p>
            <w:pPr>
              <w:spacing w:after="20"/>
              <w:jc w:val="right"/>
            </w:pPr>
            <w:r>
              <w:rPr>
                <w:color w:val="1C3A36"/>
                <w:sz w:val="16"/>
              </w:rPr>
              <w:t>26,537</w:t>
            </w:r>
          </w:p>
        </w:tc>
        <w:tc>
          <w:tcPr>
            <w:tcW w:type="dxa" w:w="1296"/>
          </w:tcPr>
          <w:p>
            <w:pPr>
              <w:spacing w:after="20"/>
              <w:jc w:val="right"/>
            </w:pPr>
            <w:r>
              <w:rPr>
                <w:color w:val="1C3A36"/>
                <w:sz w:val="16"/>
              </w:rPr>
              <w:t>30,366</w:t>
            </w:r>
          </w:p>
        </w:tc>
      </w:tr>
      <w:tr>
        <w:tc>
          <w:tcPr>
            <w:tcW w:type="dxa" w:w="3096"/>
          </w:tcPr>
          <w:p>
            <w:pPr>
              <w:spacing w:after="20"/>
            </w:pPr>
            <w:r>
              <w:rPr>
                <w:b/>
                <w:color w:val="1C3A36"/>
                <w:sz w:val="16"/>
              </w:rPr>
              <w:t>Selling and administration</w:t>
            </w:r>
          </w:p>
        </w:tc>
        <w:tc>
          <w:tcPr>
            <w:tcW w:type="dxa" w:w="1296"/>
          </w:tcPr>
          <w:p>
            <w:pPr>
              <w:spacing w:after="20"/>
              <w:jc w:val="right"/>
            </w:pPr>
            <w:r>
              <w:rPr>
                <w:color w:val="1C3A36"/>
                <w:sz w:val="16"/>
              </w:rPr>
              <w:t>-7,995</w:t>
            </w:r>
          </w:p>
        </w:tc>
        <w:tc>
          <w:tcPr>
            <w:tcW w:type="dxa" w:w="1296"/>
          </w:tcPr>
          <w:p>
            <w:pPr>
              <w:spacing w:after="20"/>
              <w:jc w:val="right"/>
            </w:pPr>
            <w:r>
              <w:rPr>
                <w:color w:val="1C3A36"/>
                <w:sz w:val="16"/>
              </w:rPr>
              <w:t>-9,739</w:t>
            </w:r>
          </w:p>
        </w:tc>
        <w:tc>
          <w:tcPr>
            <w:tcW w:type="dxa" w:w="1296"/>
          </w:tcPr>
          <w:p>
            <w:pPr>
              <w:spacing w:after="20"/>
              <w:jc w:val="right"/>
            </w:pPr>
            <w:r>
              <w:rPr>
                <w:color w:val="1C3A36"/>
                <w:sz w:val="16"/>
              </w:rPr>
              <w:t>-11,442</w:t>
            </w:r>
          </w:p>
        </w:tc>
        <w:tc>
          <w:tcPr>
            <w:tcW w:type="dxa" w:w="1296"/>
          </w:tcPr>
          <w:p>
            <w:pPr>
              <w:spacing w:after="20"/>
              <w:jc w:val="right"/>
            </w:pPr>
            <w:r>
              <w:rPr>
                <w:color w:val="1C3A36"/>
                <w:sz w:val="16"/>
              </w:rPr>
              <w:t>-13,147</w:t>
            </w:r>
          </w:p>
        </w:tc>
        <w:tc>
          <w:tcPr>
            <w:tcW w:type="dxa" w:w="1296"/>
          </w:tcPr>
          <w:p>
            <w:pPr>
              <w:spacing w:after="20"/>
              <w:jc w:val="right"/>
            </w:pPr>
            <w:r>
              <w:rPr>
                <w:color w:val="1C3A36"/>
                <w:sz w:val="16"/>
              </w:rPr>
              <w:t>-14,856</w:t>
            </w:r>
          </w:p>
        </w:tc>
      </w:tr>
      <w:tr>
        <w:tc>
          <w:tcPr>
            <w:tcW w:type="dxa" w:w="3096"/>
          </w:tcPr>
          <w:p>
            <w:pPr>
              <w:spacing w:after="20"/>
            </w:pPr>
            <w:r>
              <w:rPr>
                <w:b/>
                <w:color w:val="1C3A36"/>
                <w:sz w:val="16"/>
              </w:rPr>
              <w:t>Other income</w:t>
            </w:r>
          </w:p>
        </w:tc>
        <w:tc>
          <w:tcPr>
            <w:tcW w:type="dxa" w:w="1296"/>
          </w:tcPr>
          <w:p>
            <w:pPr>
              <w:spacing w:after="20"/>
              <w:jc w:val="right"/>
            </w:pPr>
            <w:r>
              <w:rPr>
                <w:color w:val="1C3A36"/>
                <w:sz w:val="16"/>
              </w:rPr>
              <w:t>1,099</w:t>
            </w:r>
          </w:p>
        </w:tc>
        <w:tc>
          <w:tcPr>
            <w:tcW w:type="dxa" w:w="1296"/>
          </w:tcPr>
          <w:p>
            <w:pPr>
              <w:spacing w:after="20"/>
              <w:jc w:val="right"/>
            </w:pPr>
            <w:r>
              <w:rPr>
                <w:color w:val="1C3A36"/>
                <w:sz w:val="16"/>
              </w:rPr>
              <w:t>1,356</w:t>
            </w:r>
          </w:p>
        </w:tc>
        <w:tc>
          <w:tcPr>
            <w:tcW w:type="dxa" w:w="1296"/>
          </w:tcPr>
          <w:p>
            <w:pPr>
              <w:spacing w:after="20"/>
              <w:jc w:val="right"/>
            </w:pPr>
            <w:r>
              <w:rPr>
                <w:color w:val="1C3A36"/>
                <w:sz w:val="16"/>
              </w:rPr>
              <w:t>1,614</w:t>
            </w:r>
          </w:p>
        </w:tc>
        <w:tc>
          <w:tcPr>
            <w:tcW w:type="dxa" w:w="1296"/>
          </w:tcPr>
          <w:p>
            <w:pPr>
              <w:spacing w:after="20"/>
              <w:jc w:val="right"/>
            </w:pPr>
            <w:r>
              <w:rPr>
                <w:color w:val="1C3A36"/>
                <w:sz w:val="16"/>
              </w:rPr>
              <w:t>1,866</w:t>
            </w:r>
          </w:p>
        </w:tc>
        <w:tc>
          <w:tcPr>
            <w:tcW w:type="dxa" w:w="1296"/>
          </w:tcPr>
          <w:p>
            <w:pPr>
              <w:spacing w:after="20"/>
              <w:jc w:val="right"/>
            </w:pPr>
            <w:r>
              <w:rPr>
                <w:color w:val="1C3A36"/>
                <w:sz w:val="16"/>
              </w:rPr>
              <w:t>2,122</w:t>
            </w:r>
          </w:p>
        </w:tc>
      </w:tr>
      <w:tr>
        <w:tc>
          <w:tcPr>
            <w:tcW w:type="dxa" w:w="3096"/>
          </w:tcPr>
          <w:p>
            <w:pPr>
              <w:spacing w:after="20"/>
            </w:pPr>
            <w:r>
              <w:rPr>
                <w:b/>
                <w:color w:val="1C3A36"/>
                <w:sz w:val="16"/>
              </w:rPr>
              <w:t>Provisions</w:t>
            </w:r>
          </w:p>
        </w:tc>
        <w:tc>
          <w:tcPr>
            <w:tcW w:type="dxa" w:w="1296"/>
          </w:tcPr>
          <w:p>
            <w:pPr>
              <w:spacing w:after="20"/>
              <w:jc w:val="right"/>
            </w:pPr>
            <w:r>
              <w:rPr>
                <w:color w:val="1C3A36"/>
                <w:sz w:val="16"/>
              </w:rPr>
              <w:t>-300</w:t>
            </w:r>
          </w:p>
        </w:tc>
        <w:tc>
          <w:tcPr>
            <w:tcW w:type="dxa" w:w="1296"/>
          </w:tcPr>
          <w:p>
            <w:pPr>
              <w:spacing w:after="20"/>
              <w:jc w:val="right"/>
            </w:pPr>
            <w:r>
              <w:rPr>
                <w:color w:val="1C3A36"/>
                <w:sz w:val="16"/>
              </w:rPr>
              <w:t>-370</w:t>
            </w:r>
          </w:p>
        </w:tc>
        <w:tc>
          <w:tcPr>
            <w:tcW w:type="dxa" w:w="1296"/>
          </w:tcPr>
          <w:p>
            <w:pPr>
              <w:spacing w:after="20"/>
              <w:jc w:val="right"/>
            </w:pPr>
            <w:r>
              <w:rPr>
                <w:color w:val="1C3A36"/>
                <w:sz w:val="16"/>
              </w:rPr>
              <w:t>-440</w:t>
            </w:r>
          </w:p>
        </w:tc>
        <w:tc>
          <w:tcPr>
            <w:tcW w:type="dxa" w:w="1296"/>
          </w:tcPr>
          <w:p>
            <w:pPr>
              <w:spacing w:after="20"/>
              <w:jc w:val="right"/>
            </w:pPr>
            <w:r>
              <w:rPr>
                <w:color w:val="1C3A36"/>
                <w:sz w:val="16"/>
              </w:rPr>
              <w:t>-509</w:t>
            </w:r>
          </w:p>
        </w:tc>
        <w:tc>
          <w:tcPr>
            <w:tcW w:type="dxa" w:w="1296"/>
          </w:tcPr>
          <w:p>
            <w:pPr>
              <w:spacing w:after="20"/>
              <w:jc w:val="right"/>
            </w:pPr>
            <w:r>
              <w:rPr>
                <w:color w:val="1C3A36"/>
                <w:sz w:val="16"/>
              </w:rPr>
              <w:t>-579</w:t>
            </w:r>
          </w:p>
        </w:tc>
      </w:tr>
      <w:tr>
        <w:tc>
          <w:tcPr>
            <w:tcW w:type="dxa" w:w="3096"/>
            <w:shd w:val="clear" w:color="auto" w:fill="F6F1E6"/>
          </w:tcPr>
          <w:p>
            <w:pPr>
              <w:spacing w:after="20"/>
            </w:pPr>
            <w:r>
              <w:rPr>
                <w:b/>
                <w:color w:val="1C3A36"/>
                <w:sz w:val="16"/>
              </w:rPr>
              <w:t>Operating profit</w:t>
            </w:r>
          </w:p>
        </w:tc>
        <w:tc>
          <w:tcPr>
            <w:tcW w:type="dxa" w:w="1296"/>
            <w:shd w:val="clear" w:color="auto" w:fill="F6F1E6"/>
          </w:tcPr>
          <w:p>
            <w:pPr>
              <w:spacing w:after="20"/>
              <w:jc w:val="right"/>
            </w:pPr>
            <w:r>
              <w:rPr>
                <w:b/>
                <w:color w:val="1C3A36"/>
                <w:sz w:val="16"/>
              </w:rPr>
              <w:t>7,596</w:t>
            </w:r>
          </w:p>
        </w:tc>
        <w:tc>
          <w:tcPr>
            <w:tcW w:type="dxa" w:w="1296"/>
            <w:shd w:val="clear" w:color="auto" w:fill="F6F1E6"/>
          </w:tcPr>
          <w:p>
            <w:pPr>
              <w:spacing w:after="20"/>
              <w:jc w:val="right"/>
            </w:pPr>
            <w:r>
              <w:rPr>
                <w:b/>
                <w:color w:val="1C3A36"/>
                <w:sz w:val="16"/>
              </w:rPr>
              <w:t>10,008</w:t>
            </w:r>
          </w:p>
        </w:tc>
        <w:tc>
          <w:tcPr>
            <w:tcW w:type="dxa" w:w="1296"/>
            <w:shd w:val="clear" w:color="auto" w:fill="F6F1E6"/>
          </w:tcPr>
          <w:p>
            <w:pPr>
              <w:spacing w:after="20"/>
              <w:jc w:val="right"/>
            </w:pPr>
            <w:r>
              <w:rPr>
                <w:b/>
                <w:color w:val="1C3A36"/>
                <w:sz w:val="16"/>
              </w:rPr>
              <w:t>12,545</w:t>
            </w:r>
          </w:p>
        </w:tc>
        <w:tc>
          <w:tcPr>
            <w:tcW w:type="dxa" w:w="1296"/>
            <w:shd w:val="clear" w:color="auto" w:fill="F6F1E6"/>
          </w:tcPr>
          <w:p>
            <w:pPr>
              <w:spacing w:after="20"/>
              <w:jc w:val="right"/>
            </w:pPr>
            <w:r>
              <w:rPr>
                <w:b/>
                <w:color w:val="1C3A36"/>
                <w:sz w:val="16"/>
              </w:rPr>
              <w:t>14,747</w:t>
            </w:r>
          </w:p>
        </w:tc>
        <w:tc>
          <w:tcPr>
            <w:tcW w:type="dxa" w:w="1296"/>
            <w:shd w:val="clear" w:color="auto" w:fill="F6F1E6"/>
          </w:tcPr>
          <w:p>
            <w:pPr>
              <w:spacing w:after="20"/>
              <w:jc w:val="right"/>
            </w:pPr>
            <w:r>
              <w:rPr>
                <w:b/>
                <w:color w:val="1C3A36"/>
                <w:sz w:val="16"/>
              </w:rPr>
              <w:t>17,053</w:t>
            </w:r>
          </w:p>
        </w:tc>
      </w:tr>
      <w:tr>
        <w:tc>
          <w:tcPr>
            <w:tcW w:type="dxa" w:w="3096"/>
          </w:tcPr>
          <w:p>
            <w:pPr>
              <w:spacing w:after="20"/>
            </w:pPr>
            <w:r>
              <w:rPr>
                <w:b/>
                <w:color w:val="1C3A36"/>
                <w:sz w:val="16"/>
              </w:rPr>
              <w:t>Share of associates</w:t>
            </w:r>
          </w:p>
        </w:tc>
        <w:tc>
          <w:tcPr>
            <w:tcW w:type="dxa" w:w="1296"/>
          </w:tcPr>
          <w:p>
            <w:pPr>
              <w:spacing w:after="20"/>
              <w:jc w:val="right"/>
            </w:pPr>
            <w:r>
              <w:rPr>
                <w:color w:val="1C3A36"/>
                <w:sz w:val="16"/>
              </w:rPr>
              <w:t>1,250</w:t>
            </w:r>
          </w:p>
        </w:tc>
        <w:tc>
          <w:tcPr>
            <w:tcW w:type="dxa" w:w="1296"/>
          </w:tcPr>
          <w:p>
            <w:pPr>
              <w:spacing w:after="20"/>
              <w:jc w:val="right"/>
            </w:pPr>
            <w:r>
              <w:rPr>
                <w:color w:val="1C3A36"/>
                <w:sz w:val="16"/>
              </w:rPr>
              <w:t>1,430</w:t>
            </w:r>
          </w:p>
        </w:tc>
        <w:tc>
          <w:tcPr>
            <w:tcW w:type="dxa" w:w="1296"/>
          </w:tcPr>
          <w:p>
            <w:pPr>
              <w:spacing w:after="20"/>
              <w:jc w:val="right"/>
            </w:pPr>
            <w:r>
              <w:rPr>
                <w:color w:val="1C3A36"/>
                <w:sz w:val="16"/>
              </w:rPr>
              <w:t>1,630</w:t>
            </w:r>
          </w:p>
        </w:tc>
        <w:tc>
          <w:tcPr>
            <w:tcW w:type="dxa" w:w="1296"/>
          </w:tcPr>
          <w:p>
            <w:pPr>
              <w:spacing w:after="20"/>
              <w:jc w:val="right"/>
            </w:pPr>
            <w:r>
              <w:rPr>
                <w:color w:val="1C3A36"/>
                <w:sz w:val="16"/>
              </w:rPr>
              <w:t>1,830</w:t>
            </w:r>
          </w:p>
        </w:tc>
        <w:tc>
          <w:tcPr>
            <w:tcW w:type="dxa" w:w="1296"/>
          </w:tcPr>
          <w:p>
            <w:pPr>
              <w:spacing w:after="20"/>
              <w:jc w:val="right"/>
            </w:pPr>
            <w:r>
              <w:rPr>
                <w:color w:val="1C3A36"/>
                <w:sz w:val="16"/>
              </w:rPr>
              <w:t>2,030</w:t>
            </w:r>
          </w:p>
        </w:tc>
      </w:tr>
      <w:tr>
        <w:tc>
          <w:tcPr>
            <w:tcW w:type="dxa" w:w="3096"/>
            <w:shd w:val="clear" w:color="auto" w:fill="F6F1E6"/>
          </w:tcPr>
          <w:p>
            <w:pPr>
              <w:spacing w:after="20"/>
            </w:pPr>
            <w:r>
              <w:rPr>
                <w:b/>
                <w:color w:val="1C3A36"/>
                <w:sz w:val="16"/>
              </w:rPr>
              <w:t>Operating profit including associates</w:t>
            </w:r>
          </w:p>
        </w:tc>
        <w:tc>
          <w:tcPr>
            <w:tcW w:type="dxa" w:w="1296"/>
            <w:shd w:val="clear" w:color="auto" w:fill="F6F1E6"/>
          </w:tcPr>
          <w:p>
            <w:pPr>
              <w:spacing w:after="20"/>
              <w:jc w:val="right"/>
            </w:pPr>
            <w:r>
              <w:rPr>
                <w:b/>
                <w:color w:val="1C3A36"/>
                <w:sz w:val="16"/>
              </w:rPr>
              <w:t>8,846</w:t>
            </w:r>
          </w:p>
        </w:tc>
        <w:tc>
          <w:tcPr>
            <w:tcW w:type="dxa" w:w="1296"/>
            <w:shd w:val="clear" w:color="auto" w:fill="F6F1E6"/>
          </w:tcPr>
          <w:p>
            <w:pPr>
              <w:spacing w:after="20"/>
              <w:jc w:val="right"/>
            </w:pPr>
            <w:r>
              <w:rPr>
                <w:b/>
                <w:color w:val="1C3A36"/>
                <w:sz w:val="16"/>
              </w:rPr>
              <w:t>11,438</w:t>
            </w:r>
          </w:p>
        </w:tc>
        <w:tc>
          <w:tcPr>
            <w:tcW w:type="dxa" w:w="1296"/>
            <w:shd w:val="clear" w:color="auto" w:fill="F6F1E6"/>
          </w:tcPr>
          <w:p>
            <w:pPr>
              <w:spacing w:after="20"/>
              <w:jc w:val="right"/>
            </w:pPr>
            <w:r>
              <w:rPr>
                <w:b/>
                <w:color w:val="1C3A36"/>
                <w:sz w:val="16"/>
              </w:rPr>
              <w:t>14,175</w:t>
            </w:r>
          </w:p>
        </w:tc>
        <w:tc>
          <w:tcPr>
            <w:tcW w:type="dxa" w:w="1296"/>
            <w:shd w:val="clear" w:color="auto" w:fill="F6F1E6"/>
          </w:tcPr>
          <w:p>
            <w:pPr>
              <w:spacing w:after="20"/>
              <w:jc w:val="right"/>
            </w:pPr>
            <w:r>
              <w:rPr>
                <w:b/>
                <w:color w:val="1C3A36"/>
                <w:sz w:val="16"/>
              </w:rPr>
              <w:t>16,577</w:t>
            </w:r>
          </w:p>
        </w:tc>
        <w:tc>
          <w:tcPr>
            <w:tcW w:type="dxa" w:w="1296"/>
            <w:shd w:val="clear" w:color="auto" w:fill="F6F1E6"/>
          </w:tcPr>
          <w:p>
            <w:pPr>
              <w:spacing w:after="20"/>
              <w:jc w:val="right"/>
            </w:pPr>
            <w:r>
              <w:rPr>
                <w:b/>
                <w:color w:val="1C3A36"/>
                <w:sz w:val="16"/>
              </w:rPr>
              <w:t>19,083</w:t>
            </w:r>
          </w:p>
        </w:tc>
      </w:tr>
      <w:tr>
        <w:tc>
          <w:tcPr>
            <w:tcW w:type="dxa" w:w="3096"/>
          </w:tcPr>
          <w:p>
            <w:pPr>
              <w:spacing w:after="20"/>
            </w:pPr>
            <w:r>
              <w:rPr>
                <w:b/>
                <w:color w:val="1C3A36"/>
                <w:sz w:val="16"/>
              </w:rPr>
              <w:t>Net finance cost</w:t>
            </w:r>
          </w:p>
        </w:tc>
        <w:tc>
          <w:tcPr>
            <w:tcW w:type="dxa" w:w="1296"/>
          </w:tcPr>
          <w:p>
            <w:pPr>
              <w:spacing w:after="20"/>
              <w:jc w:val="right"/>
            </w:pPr>
            <w:r>
              <w:rPr>
                <w:color w:val="1C3A36"/>
                <w:sz w:val="16"/>
              </w:rPr>
              <w:t>-4,581</w:t>
            </w:r>
          </w:p>
        </w:tc>
        <w:tc>
          <w:tcPr>
            <w:tcW w:type="dxa" w:w="1296"/>
          </w:tcPr>
          <w:p>
            <w:pPr>
              <w:spacing w:after="20"/>
              <w:jc w:val="right"/>
            </w:pPr>
            <w:r>
              <w:rPr>
                <w:color w:val="1C3A36"/>
                <w:sz w:val="16"/>
              </w:rPr>
              <w:t>-4,293</w:t>
            </w:r>
          </w:p>
        </w:tc>
        <w:tc>
          <w:tcPr>
            <w:tcW w:type="dxa" w:w="1296"/>
          </w:tcPr>
          <w:p>
            <w:pPr>
              <w:spacing w:after="20"/>
              <w:jc w:val="right"/>
            </w:pPr>
            <w:r>
              <w:rPr>
                <w:color w:val="1C3A36"/>
                <w:sz w:val="16"/>
              </w:rPr>
              <w:t>-4,063</w:t>
            </w:r>
          </w:p>
        </w:tc>
        <w:tc>
          <w:tcPr>
            <w:tcW w:type="dxa" w:w="1296"/>
          </w:tcPr>
          <w:p>
            <w:pPr>
              <w:spacing w:after="20"/>
              <w:jc w:val="right"/>
            </w:pPr>
            <w:r>
              <w:rPr>
                <w:color w:val="1C3A36"/>
                <w:sz w:val="16"/>
              </w:rPr>
              <w:t>-3,890</w:t>
            </w:r>
          </w:p>
        </w:tc>
        <w:tc>
          <w:tcPr>
            <w:tcW w:type="dxa" w:w="1296"/>
          </w:tcPr>
          <w:p>
            <w:pPr>
              <w:spacing w:after="20"/>
              <w:jc w:val="right"/>
            </w:pPr>
            <w:r>
              <w:rPr>
                <w:color w:val="1C3A36"/>
                <w:sz w:val="16"/>
              </w:rPr>
              <w:t>-3,775</w:t>
            </w:r>
          </w:p>
        </w:tc>
      </w:tr>
      <w:tr>
        <w:tc>
          <w:tcPr>
            <w:tcW w:type="dxa" w:w="3096"/>
            <w:shd w:val="clear" w:color="auto" w:fill="F6F1E6"/>
          </w:tcPr>
          <w:p>
            <w:pPr>
              <w:spacing w:after="20"/>
            </w:pPr>
            <w:r>
              <w:rPr>
                <w:b/>
                <w:color w:val="1C3A36"/>
                <w:sz w:val="16"/>
              </w:rPr>
              <w:t>Profit before tax</w:t>
            </w:r>
          </w:p>
        </w:tc>
        <w:tc>
          <w:tcPr>
            <w:tcW w:type="dxa" w:w="1296"/>
            <w:shd w:val="clear" w:color="auto" w:fill="F6F1E6"/>
          </w:tcPr>
          <w:p>
            <w:pPr>
              <w:spacing w:after="20"/>
              <w:jc w:val="right"/>
            </w:pPr>
            <w:r>
              <w:rPr>
                <w:b/>
                <w:color w:val="1C3A36"/>
                <w:sz w:val="16"/>
              </w:rPr>
              <w:t>4,265</w:t>
            </w:r>
          </w:p>
        </w:tc>
        <w:tc>
          <w:tcPr>
            <w:tcW w:type="dxa" w:w="1296"/>
            <w:shd w:val="clear" w:color="auto" w:fill="F6F1E6"/>
          </w:tcPr>
          <w:p>
            <w:pPr>
              <w:spacing w:after="20"/>
              <w:jc w:val="right"/>
            </w:pPr>
            <w:r>
              <w:rPr>
                <w:b/>
                <w:color w:val="1C3A36"/>
                <w:sz w:val="16"/>
              </w:rPr>
              <w:t>7,144</w:t>
            </w:r>
          </w:p>
        </w:tc>
        <w:tc>
          <w:tcPr>
            <w:tcW w:type="dxa" w:w="1296"/>
            <w:shd w:val="clear" w:color="auto" w:fill="F6F1E6"/>
          </w:tcPr>
          <w:p>
            <w:pPr>
              <w:spacing w:after="20"/>
              <w:jc w:val="right"/>
            </w:pPr>
            <w:r>
              <w:rPr>
                <w:b/>
                <w:color w:val="1C3A36"/>
                <w:sz w:val="16"/>
              </w:rPr>
              <w:t>10,112</w:t>
            </w:r>
          </w:p>
        </w:tc>
        <w:tc>
          <w:tcPr>
            <w:tcW w:type="dxa" w:w="1296"/>
            <w:shd w:val="clear" w:color="auto" w:fill="F6F1E6"/>
          </w:tcPr>
          <w:p>
            <w:pPr>
              <w:spacing w:after="20"/>
              <w:jc w:val="right"/>
            </w:pPr>
            <w:r>
              <w:rPr>
                <w:b/>
                <w:color w:val="1C3A36"/>
                <w:sz w:val="16"/>
              </w:rPr>
              <w:t>12,687</w:t>
            </w:r>
          </w:p>
        </w:tc>
        <w:tc>
          <w:tcPr>
            <w:tcW w:type="dxa" w:w="1296"/>
            <w:shd w:val="clear" w:color="auto" w:fill="F6F1E6"/>
          </w:tcPr>
          <w:p>
            <w:pPr>
              <w:spacing w:after="20"/>
              <w:jc w:val="right"/>
            </w:pPr>
            <w:r>
              <w:rPr>
                <w:b/>
                <w:color w:val="1C3A36"/>
                <w:sz w:val="16"/>
              </w:rPr>
              <w:t>15,309</w:t>
            </w:r>
          </w:p>
        </w:tc>
      </w:tr>
      <w:tr>
        <w:tc>
          <w:tcPr>
            <w:tcW w:type="dxa" w:w="3096"/>
          </w:tcPr>
          <w:p>
            <w:pPr>
              <w:spacing w:after="20"/>
            </w:pPr>
            <w:r>
              <w:rPr>
                <w:b/>
                <w:color w:val="1C3A36"/>
                <w:sz w:val="16"/>
              </w:rPr>
              <w:t>Income tax</w:t>
            </w:r>
          </w:p>
        </w:tc>
        <w:tc>
          <w:tcPr>
            <w:tcW w:type="dxa" w:w="1296"/>
          </w:tcPr>
          <w:p>
            <w:pPr>
              <w:spacing w:after="20"/>
              <w:jc w:val="right"/>
            </w:pPr>
            <w:r>
              <w:rPr>
                <w:color w:val="1C3A36"/>
                <w:sz w:val="16"/>
              </w:rPr>
              <w:t>-1,194</w:t>
            </w:r>
          </w:p>
        </w:tc>
        <w:tc>
          <w:tcPr>
            <w:tcW w:type="dxa" w:w="1296"/>
          </w:tcPr>
          <w:p>
            <w:pPr>
              <w:spacing w:after="20"/>
              <w:jc w:val="right"/>
            </w:pPr>
            <w:r>
              <w:rPr>
                <w:color w:val="1C3A36"/>
                <w:sz w:val="16"/>
              </w:rPr>
              <w:t>-2,000</w:t>
            </w:r>
          </w:p>
        </w:tc>
        <w:tc>
          <w:tcPr>
            <w:tcW w:type="dxa" w:w="1296"/>
          </w:tcPr>
          <w:p>
            <w:pPr>
              <w:spacing w:after="20"/>
              <w:jc w:val="right"/>
            </w:pPr>
            <w:r>
              <w:rPr>
                <w:color w:val="1C3A36"/>
                <w:sz w:val="16"/>
              </w:rPr>
              <w:t>-2,831</w:t>
            </w:r>
          </w:p>
        </w:tc>
        <w:tc>
          <w:tcPr>
            <w:tcW w:type="dxa" w:w="1296"/>
          </w:tcPr>
          <w:p>
            <w:pPr>
              <w:spacing w:after="20"/>
              <w:jc w:val="right"/>
            </w:pPr>
            <w:r>
              <w:rPr>
                <w:color w:val="1C3A36"/>
                <w:sz w:val="16"/>
              </w:rPr>
              <w:t>-3,552</w:t>
            </w:r>
          </w:p>
        </w:tc>
        <w:tc>
          <w:tcPr>
            <w:tcW w:type="dxa" w:w="1296"/>
          </w:tcPr>
          <w:p>
            <w:pPr>
              <w:spacing w:after="20"/>
              <w:jc w:val="right"/>
            </w:pPr>
            <w:r>
              <w:rPr>
                <w:color w:val="1C3A36"/>
                <w:sz w:val="16"/>
              </w:rPr>
              <w:t>-4,286</w:t>
            </w:r>
          </w:p>
        </w:tc>
      </w:tr>
      <w:tr>
        <w:tc>
          <w:tcPr>
            <w:tcW w:type="dxa" w:w="3096"/>
            <w:shd w:val="clear" w:color="auto" w:fill="F6F1E6"/>
          </w:tcPr>
          <w:p>
            <w:pPr>
              <w:spacing w:after="20"/>
            </w:pPr>
            <w:r>
              <w:rPr>
                <w:b/>
                <w:color w:val="1C3A36"/>
                <w:sz w:val="16"/>
              </w:rPr>
              <w:t>Profit before minority interest</w:t>
            </w:r>
          </w:p>
        </w:tc>
        <w:tc>
          <w:tcPr>
            <w:tcW w:type="dxa" w:w="1296"/>
            <w:shd w:val="clear" w:color="auto" w:fill="F6F1E6"/>
          </w:tcPr>
          <w:p>
            <w:pPr>
              <w:spacing w:after="20"/>
              <w:jc w:val="right"/>
            </w:pPr>
            <w:r>
              <w:rPr>
                <w:b/>
                <w:color w:val="1C3A36"/>
                <w:sz w:val="16"/>
              </w:rPr>
              <w:t>3,071</w:t>
            </w:r>
          </w:p>
        </w:tc>
        <w:tc>
          <w:tcPr>
            <w:tcW w:type="dxa" w:w="1296"/>
            <w:shd w:val="clear" w:color="auto" w:fill="F6F1E6"/>
          </w:tcPr>
          <w:p>
            <w:pPr>
              <w:spacing w:after="20"/>
              <w:jc w:val="right"/>
            </w:pPr>
            <w:r>
              <w:rPr>
                <w:b/>
                <w:color w:val="1C3A36"/>
                <w:sz w:val="16"/>
              </w:rPr>
              <w:t>5,144</w:t>
            </w:r>
          </w:p>
        </w:tc>
        <w:tc>
          <w:tcPr>
            <w:tcW w:type="dxa" w:w="1296"/>
            <w:shd w:val="clear" w:color="auto" w:fill="F6F1E6"/>
          </w:tcPr>
          <w:p>
            <w:pPr>
              <w:spacing w:after="20"/>
              <w:jc w:val="right"/>
            </w:pPr>
            <w:r>
              <w:rPr>
                <w:b/>
                <w:color w:val="1C3A36"/>
                <w:sz w:val="16"/>
              </w:rPr>
              <w:t>7,281</w:t>
            </w:r>
          </w:p>
        </w:tc>
        <w:tc>
          <w:tcPr>
            <w:tcW w:type="dxa" w:w="1296"/>
            <w:shd w:val="clear" w:color="auto" w:fill="F6F1E6"/>
          </w:tcPr>
          <w:p>
            <w:pPr>
              <w:spacing w:after="20"/>
              <w:jc w:val="right"/>
            </w:pPr>
            <w:r>
              <w:rPr>
                <w:b/>
                <w:color w:val="1C3A36"/>
                <w:sz w:val="16"/>
              </w:rPr>
              <w:t>9,134</w:t>
            </w:r>
          </w:p>
        </w:tc>
        <w:tc>
          <w:tcPr>
            <w:tcW w:type="dxa" w:w="1296"/>
            <w:shd w:val="clear" w:color="auto" w:fill="F6F1E6"/>
          </w:tcPr>
          <w:p>
            <w:pPr>
              <w:spacing w:after="20"/>
              <w:jc w:val="right"/>
            </w:pPr>
            <w:r>
              <w:rPr>
                <w:b/>
                <w:color w:val="1C3A36"/>
                <w:sz w:val="16"/>
              </w:rPr>
              <w:t>11,022</w:t>
            </w:r>
          </w:p>
        </w:tc>
      </w:tr>
      <w:tr>
        <w:tc>
          <w:tcPr>
            <w:tcW w:type="dxa" w:w="3096"/>
          </w:tcPr>
          <w:p>
            <w:pPr>
              <w:spacing w:after="20"/>
            </w:pPr>
            <w:r>
              <w:rPr>
                <w:b/>
                <w:color w:val="1C3A36"/>
                <w:sz w:val="16"/>
              </w:rPr>
              <w:t>Minority interest</w:t>
            </w:r>
          </w:p>
        </w:tc>
        <w:tc>
          <w:tcPr>
            <w:tcW w:type="dxa" w:w="1296"/>
          </w:tcPr>
          <w:p>
            <w:pPr>
              <w:spacing w:after="20"/>
              <w:jc w:val="right"/>
            </w:pPr>
            <w:r>
              <w:rPr>
                <w:color w:val="1C3A36"/>
                <w:sz w:val="16"/>
              </w:rPr>
              <w:t>-61</w:t>
            </w:r>
          </w:p>
        </w:tc>
        <w:tc>
          <w:tcPr>
            <w:tcW w:type="dxa" w:w="1296"/>
          </w:tcPr>
          <w:p>
            <w:pPr>
              <w:spacing w:after="20"/>
              <w:jc w:val="right"/>
            </w:pPr>
            <w:r>
              <w:rPr>
                <w:color w:val="1C3A36"/>
                <w:sz w:val="16"/>
              </w:rPr>
              <w:t>-103</w:t>
            </w:r>
          </w:p>
        </w:tc>
        <w:tc>
          <w:tcPr>
            <w:tcW w:type="dxa" w:w="1296"/>
          </w:tcPr>
          <w:p>
            <w:pPr>
              <w:spacing w:after="20"/>
              <w:jc w:val="right"/>
            </w:pPr>
            <w:r>
              <w:rPr>
                <w:color w:val="1C3A36"/>
                <w:sz w:val="16"/>
              </w:rPr>
              <w:t>-146</w:t>
            </w:r>
          </w:p>
        </w:tc>
        <w:tc>
          <w:tcPr>
            <w:tcW w:type="dxa" w:w="1296"/>
          </w:tcPr>
          <w:p>
            <w:pPr>
              <w:spacing w:after="20"/>
              <w:jc w:val="right"/>
            </w:pPr>
            <w:r>
              <w:rPr>
                <w:color w:val="1C3A36"/>
                <w:sz w:val="16"/>
              </w:rPr>
              <w:t>-183</w:t>
            </w:r>
          </w:p>
        </w:tc>
        <w:tc>
          <w:tcPr>
            <w:tcW w:type="dxa" w:w="1296"/>
          </w:tcPr>
          <w:p>
            <w:pPr>
              <w:spacing w:after="20"/>
              <w:jc w:val="right"/>
            </w:pPr>
            <w:r>
              <w:rPr>
                <w:color w:val="1C3A36"/>
                <w:sz w:val="16"/>
              </w:rPr>
              <w:t>-220</w:t>
            </w:r>
          </w:p>
        </w:tc>
      </w:tr>
      <w:tr>
        <w:tc>
          <w:tcPr>
            <w:tcW w:type="dxa" w:w="3096"/>
            <w:shd w:val="clear" w:color="auto" w:fill="F6F1E6"/>
          </w:tcPr>
          <w:p>
            <w:pPr>
              <w:spacing w:after="20"/>
            </w:pPr>
            <w:r>
              <w:rPr>
                <w:b/>
                <w:color w:val="1C3A36"/>
                <w:sz w:val="16"/>
              </w:rPr>
              <w:t>Profit attributable to the parent</w:t>
            </w:r>
          </w:p>
        </w:tc>
        <w:tc>
          <w:tcPr>
            <w:tcW w:type="dxa" w:w="1296"/>
            <w:shd w:val="clear" w:color="auto" w:fill="F6F1E6"/>
          </w:tcPr>
          <w:p>
            <w:pPr>
              <w:spacing w:after="20"/>
              <w:jc w:val="right"/>
            </w:pPr>
            <w:r>
              <w:rPr>
                <w:b/>
                <w:color w:val="1C3A36"/>
                <w:sz w:val="16"/>
              </w:rPr>
              <w:t>3,009</w:t>
            </w:r>
          </w:p>
        </w:tc>
        <w:tc>
          <w:tcPr>
            <w:tcW w:type="dxa" w:w="1296"/>
            <w:shd w:val="clear" w:color="auto" w:fill="F6F1E6"/>
          </w:tcPr>
          <w:p>
            <w:pPr>
              <w:spacing w:after="20"/>
              <w:jc w:val="right"/>
            </w:pPr>
            <w:r>
              <w:rPr>
                <w:b/>
                <w:color w:val="1C3A36"/>
                <w:sz w:val="16"/>
              </w:rPr>
              <w:t>5,041</w:t>
            </w:r>
          </w:p>
        </w:tc>
        <w:tc>
          <w:tcPr>
            <w:tcW w:type="dxa" w:w="1296"/>
            <w:shd w:val="clear" w:color="auto" w:fill="F6F1E6"/>
          </w:tcPr>
          <w:p>
            <w:pPr>
              <w:spacing w:after="20"/>
              <w:jc w:val="right"/>
            </w:pPr>
            <w:r>
              <w:rPr>
                <w:b/>
                <w:color w:val="1C3A36"/>
                <w:sz w:val="16"/>
              </w:rPr>
              <w:t>7,135</w:t>
            </w:r>
          </w:p>
        </w:tc>
        <w:tc>
          <w:tcPr>
            <w:tcW w:type="dxa" w:w="1296"/>
            <w:shd w:val="clear" w:color="auto" w:fill="F6F1E6"/>
          </w:tcPr>
          <w:p>
            <w:pPr>
              <w:spacing w:after="20"/>
              <w:jc w:val="right"/>
            </w:pPr>
            <w:r>
              <w:rPr>
                <w:b/>
                <w:color w:val="1C3A36"/>
                <w:sz w:val="16"/>
              </w:rPr>
              <w:t>8,952</w:t>
            </w:r>
          </w:p>
        </w:tc>
        <w:tc>
          <w:tcPr>
            <w:tcW w:type="dxa" w:w="1296"/>
            <w:shd w:val="clear" w:color="auto" w:fill="F6F1E6"/>
          </w:tcPr>
          <w:p>
            <w:pPr>
              <w:spacing w:after="20"/>
              <w:jc w:val="right"/>
            </w:pPr>
            <w:r>
              <w:rPr>
                <w:b/>
                <w:color w:val="1C3A36"/>
                <w:sz w:val="16"/>
              </w:rPr>
              <w:t>10,802</w:t>
            </w:r>
          </w:p>
        </w:tc>
      </w:tr>
      <w:tr>
        <w:tc>
          <w:tcPr>
            <w:tcW w:type="dxa" w:w="3096"/>
          </w:tcPr>
          <w:p>
            <w:pPr>
              <w:spacing w:after="20"/>
            </w:pPr>
            <w:r>
              <w:rPr>
                <w:b/>
                <w:color w:val="1C3A36"/>
                <w:sz w:val="16"/>
              </w:rPr>
              <w:t>Gross margin</w:t>
            </w:r>
          </w:p>
        </w:tc>
        <w:tc>
          <w:tcPr>
            <w:tcW w:type="dxa" w:w="1296"/>
          </w:tcPr>
          <w:p>
            <w:pPr>
              <w:spacing w:after="20"/>
              <w:jc w:val="right"/>
            </w:pPr>
            <w:r>
              <w:rPr>
                <w:color w:val="1C3A36"/>
                <w:sz w:val="16"/>
              </w:rPr>
              <w:t>14.80%</w:t>
            </w:r>
          </w:p>
        </w:tc>
        <w:tc>
          <w:tcPr>
            <w:tcW w:type="dxa" w:w="1296"/>
          </w:tcPr>
          <w:p>
            <w:pPr>
              <w:spacing w:after="20"/>
              <w:jc w:val="right"/>
            </w:pPr>
            <w:r>
              <w:rPr>
                <w:color w:val="1C3A36"/>
                <w:sz w:val="16"/>
              </w:rPr>
              <w:t>15.22%</w:t>
            </w:r>
          </w:p>
        </w:tc>
        <w:tc>
          <w:tcPr>
            <w:tcW w:type="dxa" w:w="1296"/>
          </w:tcPr>
          <w:p>
            <w:pPr>
              <w:spacing w:after="20"/>
              <w:jc w:val="right"/>
            </w:pPr>
            <w:r>
              <w:rPr>
                <w:color w:val="1C3A36"/>
                <w:sz w:val="16"/>
              </w:rPr>
              <w:t>15.55%</w:t>
            </w:r>
          </w:p>
        </w:tc>
        <w:tc>
          <w:tcPr>
            <w:tcW w:type="dxa" w:w="1296"/>
          </w:tcPr>
          <w:p>
            <w:pPr>
              <w:spacing w:after="20"/>
              <w:jc w:val="right"/>
            </w:pPr>
            <w:r>
              <w:rPr>
                <w:color w:val="1C3A36"/>
                <w:sz w:val="16"/>
              </w:rPr>
              <w:t>15.64%</w:t>
            </w:r>
          </w:p>
        </w:tc>
        <w:tc>
          <w:tcPr>
            <w:tcW w:type="dxa" w:w="1296"/>
          </w:tcPr>
          <w:p>
            <w:pPr>
              <w:spacing w:after="20"/>
              <w:jc w:val="right"/>
            </w:pPr>
            <w:r>
              <w:rPr>
                <w:color w:val="1C3A36"/>
                <w:sz w:val="16"/>
              </w:rPr>
              <w:t>15.74%</w:t>
            </w:r>
          </w:p>
        </w:tc>
      </w:tr>
      <w:tr>
        <w:tc>
          <w:tcPr>
            <w:tcW w:type="dxa" w:w="3096"/>
          </w:tcPr>
          <w:p>
            <w:pPr>
              <w:spacing w:after="20"/>
            </w:pPr>
            <w:r>
              <w:rPr>
                <w:b/>
                <w:color w:val="1C3A36"/>
                <w:sz w:val="16"/>
              </w:rPr>
              <w:t>Earnings per share (EGP)</w:t>
            </w:r>
          </w:p>
        </w:tc>
        <w:tc>
          <w:tcPr>
            <w:tcW w:type="dxa" w:w="1296"/>
          </w:tcPr>
          <w:p>
            <w:pPr>
              <w:spacing w:after="20"/>
              <w:jc w:val="right"/>
            </w:pPr>
            <w:r>
              <w:rPr>
                <w:color w:val="1C3A36"/>
                <w:sz w:val="16"/>
              </w:rPr>
              <w:t>2.77</w:t>
            </w:r>
          </w:p>
        </w:tc>
        <w:tc>
          <w:tcPr>
            <w:tcW w:type="dxa" w:w="1296"/>
          </w:tcPr>
          <w:p>
            <w:pPr>
              <w:spacing w:after="20"/>
              <w:jc w:val="right"/>
            </w:pPr>
            <w:r>
              <w:rPr>
                <w:color w:val="1C3A36"/>
                <w:sz w:val="16"/>
              </w:rPr>
              <w:t>4.64</w:t>
            </w:r>
          </w:p>
        </w:tc>
        <w:tc>
          <w:tcPr>
            <w:tcW w:type="dxa" w:w="1296"/>
          </w:tcPr>
          <w:p>
            <w:pPr>
              <w:spacing w:after="20"/>
              <w:jc w:val="right"/>
            </w:pPr>
            <w:r>
              <w:rPr>
                <w:color w:val="1C3A36"/>
                <w:sz w:val="16"/>
              </w:rPr>
              <w:t>6.57</w:t>
            </w:r>
          </w:p>
        </w:tc>
        <w:tc>
          <w:tcPr>
            <w:tcW w:type="dxa" w:w="1296"/>
          </w:tcPr>
          <w:p>
            <w:pPr>
              <w:spacing w:after="20"/>
              <w:jc w:val="right"/>
            </w:pPr>
            <w:r>
              <w:rPr>
                <w:color w:val="1C3A36"/>
                <w:sz w:val="16"/>
              </w:rPr>
              <w:t>8.25</w:t>
            </w:r>
          </w:p>
        </w:tc>
        <w:tc>
          <w:tcPr>
            <w:tcW w:type="dxa" w:w="1296"/>
          </w:tcPr>
          <w:p>
            <w:pPr>
              <w:spacing w:after="20"/>
              <w:jc w:val="right"/>
            </w:pPr>
            <w:r>
              <w:rPr>
                <w:color w:val="1C3A36"/>
                <w:sz w:val="16"/>
              </w:rPr>
              <w:t>9.95</w:t>
            </w:r>
          </w:p>
        </w:tc>
      </w:tr>
    </w:tbl>
    <w:p>
      <w:pPr>
        <w:spacing w:after="40"/>
      </w:pPr>
    </w:p>
    <w:p>
      <w:pPr>
        <w:spacing w:after="200" w:before="0"/>
      </w:pPr>
      <w:r>
        <w:rPr>
          <w:b w:val="0"/>
          <w:i/>
          <w:color w:val="6E7B77"/>
          <w:sz w:val="17"/>
        </w:rPr>
        <w:t>Table A2 — the consolidated forecast, computed from the committed group drivers. It is one arithmetic, printed here and recomputed by the companion workbook, rather than a transcription of an Excel run. THE THIRD, FOURTH AND FIFTH COLUMNS ARE POINTS INSIDE THE RANGES OF TABLE A0 and should be read with that table open.</w:t>
      </w:r>
    </w:p>
    <w:p>
      <w:pPr>
        <w:spacing w:after="80" w:before="200"/>
      </w:pPr>
      <w:r>
        <w:rPr>
          <w:b/>
          <w:i w:val="0"/>
          <w:color w:val="1C3A36"/>
          <w:sz w:val="24"/>
        </w:rPr>
        <w:t>A.4  The Auto leg — free cash flow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456"/>
            <w:shd w:val="clear" w:color="auto" w:fill="EAF0EE"/>
          </w:tcPr>
          <w:p>
            <w:pPr>
              <w:spacing w:after="20"/>
            </w:pPr>
            <w:r>
              <w:rPr>
                <w:b/>
                <w:color w:val="1C3A36"/>
                <w:sz w:val="17"/>
              </w:rPr>
              <w:t>Line</w:t>
            </w:r>
          </w:p>
        </w:tc>
        <w:tc>
          <w:tcPr>
            <w:tcW w:type="dxa" w:w="1238"/>
            <w:shd w:val="clear" w:color="auto" w:fill="EAF0EE"/>
          </w:tcPr>
          <w:p>
            <w:pPr>
              <w:spacing w:after="20"/>
            </w:pPr>
            <w:r>
              <w:rPr>
                <w:b/>
                <w:color w:val="1C3A36"/>
                <w:sz w:val="17"/>
              </w:rPr>
              <w:t>FY26E</w:t>
            </w:r>
          </w:p>
        </w:tc>
        <w:tc>
          <w:tcPr>
            <w:tcW w:type="dxa" w:w="1238"/>
            <w:shd w:val="clear" w:color="auto" w:fill="EAF0EE"/>
          </w:tcPr>
          <w:p>
            <w:pPr>
              <w:spacing w:after="20"/>
            </w:pPr>
            <w:r>
              <w:rPr>
                <w:b/>
                <w:color w:val="1C3A36"/>
                <w:sz w:val="17"/>
              </w:rPr>
              <w:t>FY27E</w:t>
            </w:r>
          </w:p>
        </w:tc>
        <w:tc>
          <w:tcPr>
            <w:tcW w:type="dxa" w:w="1238"/>
            <w:shd w:val="clear" w:color="auto" w:fill="EAF0EE"/>
          </w:tcPr>
          <w:p>
            <w:pPr>
              <w:spacing w:after="20"/>
            </w:pPr>
            <w:r>
              <w:rPr>
                <w:b/>
                <w:color w:val="1C3A36"/>
                <w:sz w:val="17"/>
              </w:rPr>
              <w:t>FY28E</w:t>
            </w:r>
          </w:p>
        </w:tc>
        <w:tc>
          <w:tcPr>
            <w:tcW w:type="dxa" w:w="1238"/>
            <w:shd w:val="clear" w:color="auto" w:fill="EAF0EE"/>
          </w:tcPr>
          <w:p>
            <w:pPr>
              <w:spacing w:after="20"/>
            </w:pPr>
            <w:r>
              <w:rPr>
                <w:b/>
                <w:color w:val="1C3A36"/>
                <w:sz w:val="17"/>
              </w:rPr>
              <w:t>FY29E</w:t>
            </w:r>
          </w:p>
        </w:tc>
        <w:tc>
          <w:tcPr>
            <w:tcW w:type="dxa" w:w="1238"/>
            <w:shd w:val="clear" w:color="auto" w:fill="EAF0EE"/>
          </w:tcPr>
          <w:p>
            <w:pPr>
              <w:spacing w:after="20"/>
            </w:pPr>
            <w:r>
              <w:rPr>
                <w:b/>
                <w:color w:val="1C3A36"/>
                <w:sz w:val="17"/>
              </w:rPr>
              <w:t>FY30E</w:t>
            </w:r>
          </w:p>
        </w:tc>
      </w:tr>
      <w:tr>
        <w:tc>
          <w:tcPr>
            <w:tcW w:type="dxa" w:w="3456"/>
          </w:tcPr>
          <w:p>
            <w:pPr>
              <w:spacing w:after="20"/>
            </w:pPr>
            <w:r>
              <w:rPr>
                <w:b/>
                <w:color w:val="1C3A36"/>
                <w:sz w:val="17"/>
              </w:rPr>
              <w:t>Auto revenue</w:t>
            </w:r>
          </w:p>
        </w:tc>
        <w:tc>
          <w:tcPr>
            <w:tcW w:type="dxa" w:w="1238"/>
          </w:tcPr>
          <w:p>
            <w:pPr>
              <w:spacing w:after="20"/>
              <w:jc w:val="right"/>
            </w:pPr>
            <w:r>
              <w:rPr>
                <w:color w:val="1C3A36"/>
                <w:sz w:val="17"/>
              </w:rPr>
              <w:t>79,677</w:t>
            </w:r>
          </w:p>
        </w:tc>
        <w:tc>
          <w:tcPr>
            <w:tcW w:type="dxa" w:w="1238"/>
          </w:tcPr>
          <w:p>
            <w:pPr>
              <w:spacing w:after="20"/>
              <w:jc w:val="right"/>
            </w:pPr>
            <w:r>
              <w:rPr>
                <w:color w:val="1C3A36"/>
                <w:sz w:val="17"/>
              </w:rPr>
              <w:t>96,864</w:t>
            </w:r>
          </w:p>
        </w:tc>
        <w:tc>
          <w:tcPr>
            <w:tcW w:type="dxa" w:w="1238"/>
          </w:tcPr>
          <w:p>
            <w:pPr>
              <w:spacing w:after="20"/>
              <w:jc w:val="right"/>
            </w:pPr>
            <w:r>
              <w:rPr>
                <w:color w:val="1C3A36"/>
                <w:sz w:val="17"/>
              </w:rPr>
              <w:t>113,587</w:t>
            </w:r>
          </w:p>
        </w:tc>
        <w:tc>
          <w:tcPr>
            <w:tcW w:type="dxa" w:w="1238"/>
          </w:tcPr>
          <w:p>
            <w:pPr>
              <w:spacing w:after="20"/>
              <w:jc w:val="right"/>
            </w:pPr>
            <w:r>
              <w:rPr>
                <w:color w:val="1C3A36"/>
                <w:sz w:val="17"/>
              </w:rPr>
              <w:t>129,841</w:t>
            </w:r>
          </w:p>
        </w:tc>
        <w:tc>
          <w:tcPr>
            <w:tcW w:type="dxa" w:w="1238"/>
          </w:tcPr>
          <w:p>
            <w:pPr>
              <w:spacing w:after="20"/>
              <w:jc w:val="right"/>
            </w:pPr>
            <w:r>
              <w:rPr>
                <w:color w:val="1C3A36"/>
                <w:sz w:val="17"/>
              </w:rPr>
              <w:t>145,889</w:t>
            </w:r>
          </w:p>
        </w:tc>
      </w:tr>
      <w:tr>
        <w:tc>
          <w:tcPr>
            <w:tcW w:type="dxa" w:w="3456"/>
          </w:tcPr>
          <w:p>
            <w:pPr>
              <w:spacing w:after="20"/>
            </w:pPr>
            <w:r>
              <w:rPr>
                <w:b/>
                <w:color w:val="1C3A36"/>
                <w:sz w:val="17"/>
              </w:rPr>
              <w:t>Operating profit</w:t>
            </w:r>
          </w:p>
        </w:tc>
        <w:tc>
          <w:tcPr>
            <w:tcW w:type="dxa" w:w="1238"/>
          </w:tcPr>
          <w:p>
            <w:pPr>
              <w:spacing w:after="20"/>
              <w:jc w:val="right"/>
            </w:pPr>
            <w:r>
              <w:rPr>
                <w:color w:val="1C3A36"/>
                <w:sz w:val="17"/>
              </w:rPr>
              <w:t>5,896</w:t>
            </w:r>
          </w:p>
        </w:tc>
        <w:tc>
          <w:tcPr>
            <w:tcW w:type="dxa" w:w="1238"/>
          </w:tcPr>
          <w:p>
            <w:pPr>
              <w:spacing w:after="20"/>
              <w:jc w:val="right"/>
            </w:pPr>
            <w:r>
              <w:rPr>
                <w:color w:val="1C3A36"/>
                <w:sz w:val="17"/>
              </w:rPr>
              <w:t>7,652</w:t>
            </w:r>
          </w:p>
        </w:tc>
        <w:tc>
          <w:tcPr>
            <w:tcW w:type="dxa" w:w="1238"/>
          </w:tcPr>
          <w:p>
            <w:pPr>
              <w:spacing w:after="20"/>
              <w:jc w:val="right"/>
            </w:pPr>
            <w:r>
              <w:rPr>
                <w:color w:val="1C3A36"/>
                <w:sz w:val="17"/>
              </w:rPr>
              <w:t>9,428</w:t>
            </w:r>
          </w:p>
        </w:tc>
        <w:tc>
          <w:tcPr>
            <w:tcW w:type="dxa" w:w="1238"/>
          </w:tcPr>
          <w:p>
            <w:pPr>
              <w:spacing w:after="20"/>
              <w:jc w:val="right"/>
            </w:pPr>
            <w:r>
              <w:rPr>
                <w:color w:val="1C3A36"/>
                <w:sz w:val="17"/>
              </w:rPr>
              <w:t>10,907</w:t>
            </w:r>
          </w:p>
        </w:tc>
        <w:tc>
          <w:tcPr>
            <w:tcW w:type="dxa" w:w="1238"/>
          </w:tcPr>
          <w:p>
            <w:pPr>
              <w:spacing w:after="20"/>
              <w:jc w:val="right"/>
            </w:pPr>
            <w:r>
              <w:rPr>
                <w:color w:val="1C3A36"/>
                <w:sz w:val="17"/>
              </w:rPr>
              <w:t>12,255</w:t>
            </w:r>
          </w:p>
        </w:tc>
      </w:tr>
      <w:tr>
        <w:tc>
          <w:tcPr>
            <w:tcW w:type="dxa" w:w="3456"/>
          </w:tcPr>
          <w:p>
            <w:pPr>
              <w:spacing w:after="20"/>
            </w:pPr>
            <w:r>
              <w:rPr>
                <w:b/>
                <w:color w:val="1C3A36"/>
                <w:sz w:val="17"/>
              </w:rPr>
              <w:t>Operating profit after tax</w:t>
            </w:r>
          </w:p>
        </w:tc>
        <w:tc>
          <w:tcPr>
            <w:tcW w:type="dxa" w:w="1238"/>
          </w:tcPr>
          <w:p>
            <w:pPr>
              <w:spacing w:after="20"/>
              <w:jc w:val="right"/>
            </w:pPr>
            <w:r>
              <w:rPr>
                <w:color w:val="1C3A36"/>
                <w:sz w:val="17"/>
              </w:rPr>
              <w:t>4,245</w:t>
            </w:r>
          </w:p>
        </w:tc>
        <w:tc>
          <w:tcPr>
            <w:tcW w:type="dxa" w:w="1238"/>
          </w:tcPr>
          <w:p>
            <w:pPr>
              <w:spacing w:after="20"/>
              <w:jc w:val="right"/>
            </w:pPr>
            <w:r>
              <w:rPr>
                <w:color w:val="1C3A36"/>
                <w:sz w:val="17"/>
              </w:rPr>
              <w:t>5,510</w:t>
            </w:r>
          </w:p>
        </w:tc>
        <w:tc>
          <w:tcPr>
            <w:tcW w:type="dxa" w:w="1238"/>
          </w:tcPr>
          <w:p>
            <w:pPr>
              <w:spacing w:after="20"/>
              <w:jc w:val="right"/>
            </w:pPr>
            <w:r>
              <w:rPr>
                <w:color w:val="1C3A36"/>
                <w:sz w:val="17"/>
              </w:rPr>
              <w:t>6,788</w:t>
            </w:r>
          </w:p>
        </w:tc>
        <w:tc>
          <w:tcPr>
            <w:tcW w:type="dxa" w:w="1238"/>
          </w:tcPr>
          <w:p>
            <w:pPr>
              <w:spacing w:after="20"/>
              <w:jc w:val="right"/>
            </w:pPr>
            <w:r>
              <w:rPr>
                <w:color w:val="1C3A36"/>
                <w:sz w:val="17"/>
              </w:rPr>
              <w:t>7,853</w:t>
            </w:r>
          </w:p>
        </w:tc>
        <w:tc>
          <w:tcPr>
            <w:tcW w:type="dxa" w:w="1238"/>
          </w:tcPr>
          <w:p>
            <w:pPr>
              <w:spacing w:after="20"/>
              <w:jc w:val="right"/>
            </w:pPr>
            <w:r>
              <w:rPr>
                <w:color w:val="1C3A36"/>
                <w:sz w:val="17"/>
              </w:rPr>
              <w:t>8,823</w:t>
            </w:r>
          </w:p>
        </w:tc>
      </w:tr>
      <w:tr>
        <w:tc>
          <w:tcPr>
            <w:tcW w:type="dxa" w:w="3456"/>
          </w:tcPr>
          <w:p>
            <w:pPr>
              <w:spacing w:after="20"/>
            </w:pPr>
            <w:r>
              <w:rPr>
                <w:b/>
                <w:color w:val="1C3A36"/>
                <w:sz w:val="17"/>
              </w:rPr>
              <w:t>Plus depreciation and amortisation</w:t>
            </w:r>
          </w:p>
        </w:tc>
        <w:tc>
          <w:tcPr>
            <w:tcW w:type="dxa" w:w="1238"/>
          </w:tcPr>
          <w:p>
            <w:pPr>
              <w:spacing w:after="20"/>
              <w:jc w:val="right"/>
            </w:pPr>
            <w:r>
              <w:rPr>
                <w:color w:val="1C3A36"/>
                <w:sz w:val="17"/>
              </w:rPr>
              <w:t>876</w:t>
            </w:r>
          </w:p>
        </w:tc>
        <w:tc>
          <w:tcPr>
            <w:tcW w:type="dxa" w:w="1238"/>
          </w:tcPr>
          <w:p>
            <w:pPr>
              <w:spacing w:after="20"/>
              <w:jc w:val="right"/>
            </w:pPr>
            <w:r>
              <w:rPr>
                <w:color w:val="1C3A36"/>
                <w:sz w:val="17"/>
              </w:rPr>
              <w:t>1,066</w:t>
            </w:r>
          </w:p>
        </w:tc>
        <w:tc>
          <w:tcPr>
            <w:tcW w:type="dxa" w:w="1238"/>
          </w:tcPr>
          <w:p>
            <w:pPr>
              <w:spacing w:after="20"/>
              <w:jc w:val="right"/>
            </w:pPr>
            <w:r>
              <w:rPr>
                <w:color w:val="1C3A36"/>
                <w:sz w:val="17"/>
              </w:rPr>
              <w:t>1,249</w:t>
            </w:r>
          </w:p>
        </w:tc>
        <w:tc>
          <w:tcPr>
            <w:tcW w:type="dxa" w:w="1238"/>
          </w:tcPr>
          <w:p>
            <w:pPr>
              <w:spacing w:after="20"/>
              <w:jc w:val="right"/>
            </w:pPr>
            <w:r>
              <w:rPr>
                <w:color w:val="1C3A36"/>
                <w:sz w:val="17"/>
              </w:rPr>
              <w:t>1,428</w:t>
            </w:r>
          </w:p>
        </w:tc>
        <w:tc>
          <w:tcPr>
            <w:tcW w:type="dxa" w:w="1238"/>
          </w:tcPr>
          <w:p>
            <w:pPr>
              <w:spacing w:after="20"/>
              <w:jc w:val="right"/>
            </w:pPr>
            <w:r>
              <w:rPr>
                <w:color w:val="1C3A36"/>
                <w:sz w:val="17"/>
              </w:rPr>
              <w:t>1,605</w:t>
            </w:r>
          </w:p>
        </w:tc>
      </w:tr>
      <w:tr>
        <w:tc>
          <w:tcPr>
            <w:tcW w:type="dxa" w:w="3456"/>
          </w:tcPr>
          <w:p>
            <w:pPr>
              <w:spacing w:after="20"/>
            </w:pPr>
            <w:r>
              <w:rPr>
                <w:b/>
                <w:color w:val="1C3A36"/>
                <w:sz w:val="17"/>
              </w:rPr>
              <w:t>Less capital expenditure</w:t>
            </w:r>
          </w:p>
        </w:tc>
        <w:tc>
          <w:tcPr>
            <w:tcW w:type="dxa" w:w="1238"/>
          </w:tcPr>
          <w:p>
            <w:pPr>
              <w:spacing w:after="20"/>
              <w:jc w:val="right"/>
            </w:pPr>
            <w:r>
              <w:rPr>
                <w:color w:val="1C3A36"/>
                <w:sz w:val="17"/>
              </w:rPr>
              <w:t>(3,000)</w:t>
            </w:r>
          </w:p>
        </w:tc>
        <w:tc>
          <w:tcPr>
            <w:tcW w:type="dxa" w:w="1238"/>
          </w:tcPr>
          <w:p>
            <w:pPr>
              <w:spacing w:after="20"/>
              <w:jc w:val="right"/>
            </w:pPr>
            <w:r>
              <w:rPr>
                <w:color w:val="1C3A36"/>
                <w:sz w:val="17"/>
              </w:rPr>
              <w:t>(3,647)</w:t>
            </w:r>
          </w:p>
        </w:tc>
        <w:tc>
          <w:tcPr>
            <w:tcW w:type="dxa" w:w="1238"/>
          </w:tcPr>
          <w:p>
            <w:pPr>
              <w:spacing w:after="20"/>
              <w:jc w:val="right"/>
            </w:pPr>
            <w:r>
              <w:rPr>
                <w:color w:val="1C3A36"/>
                <w:sz w:val="17"/>
              </w:rPr>
              <w:t>(4,277)</w:t>
            </w:r>
          </w:p>
        </w:tc>
        <w:tc>
          <w:tcPr>
            <w:tcW w:type="dxa" w:w="1238"/>
          </w:tcPr>
          <w:p>
            <w:pPr>
              <w:spacing w:after="20"/>
              <w:jc w:val="right"/>
            </w:pPr>
            <w:r>
              <w:rPr>
                <w:color w:val="1C3A36"/>
                <w:sz w:val="17"/>
              </w:rPr>
              <w:t>(4,889)</w:t>
            </w:r>
          </w:p>
        </w:tc>
        <w:tc>
          <w:tcPr>
            <w:tcW w:type="dxa" w:w="1238"/>
          </w:tcPr>
          <w:p>
            <w:pPr>
              <w:spacing w:after="20"/>
              <w:jc w:val="right"/>
            </w:pPr>
            <w:r>
              <w:rPr>
                <w:color w:val="1C3A36"/>
                <w:sz w:val="17"/>
              </w:rPr>
              <w:t>(5,493)</w:t>
            </w:r>
          </w:p>
        </w:tc>
      </w:tr>
      <w:tr>
        <w:tc>
          <w:tcPr>
            <w:tcW w:type="dxa" w:w="3456"/>
          </w:tcPr>
          <w:p>
            <w:pPr>
              <w:spacing w:after="20"/>
            </w:pPr>
            <w:r>
              <w:rPr>
                <w:b/>
                <w:color w:val="1C3A36"/>
                <w:sz w:val="17"/>
              </w:rPr>
              <w:t>Less increase in working capital</w:t>
            </w:r>
          </w:p>
        </w:tc>
        <w:tc>
          <w:tcPr>
            <w:tcW w:type="dxa" w:w="1238"/>
          </w:tcPr>
          <w:p>
            <w:pPr>
              <w:spacing w:after="20"/>
              <w:jc w:val="right"/>
            </w:pPr>
            <w:r>
              <w:rPr>
                <w:color w:val="1C3A36"/>
                <w:sz w:val="17"/>
              </w:rPr>
              <w:t>(896)</w:t>
            </w:r>
          </w:p>
        </w:tc>
        <w:tc>
          <w:tcPr>
            <w:tcW w:type="dxa" w:w="1238"/>
          </w:tcPr>
          <w:p>
            <w:pPr>
              <w:spacing w:after="20"/>
              <w:jc w:val="right"/>
            </w:pPr>
            <w:r>
              <w:rPr>
                <w:color w:val="1C3A36"/>
                <w:sz w:val="17"/>
              </w:rPr>
              <w:t>(3,880)</w:t>
            </w:r>
          </w:p>
        </w:tc>
        <w:tc>
          <w:tcPr>
            <w:tcW w:type="dxa" w:w="1238"/>
          </w:tcPr>
          <w:p>
            <w:pPr>
              <w:spacing w:after="20"/>
              <w:jc w:val="right"/>
            </w:pPr>
            <w:r>
              <w:rPr>
                <w:color w:val="1C3A36"/>
                <w:sz w:val="17"/>
              </w:rPr>
              <w:t>(3,776)</w:t>
            </w:r>
          </w:p>
        </w:tc>
        <w:tc>
          <w:tcPr>
            <w:tcW w:type="dxa" w:w="1238"/>
          </w:tcPr>
          <w:p>
            <w:pPr>
              <w:spacing w:after="20"/>
              <w:jc w:val="right"/>
            </w:pPr>
            <w:r>
              <w:rPr>
                <w:color w:val="1C3A36"/>
                <w:sz w:val="17"/>
              </w:rPr>
              <w:t>(3,670)</w:t>
            </w:r>
          </w:p>
        </w:tc>
        <w:tc>
          <w:tcPr>
            <w:tcW w:type="dxa" w:w="1238"/>
          </w:tcPr>
          <w:p>
            <w:pPr>
              <w:spacing w:after="20"/>
              <w:jc w:val="right"/>
            </w:pPr>
            <w:r>
              <w:rPr>
                <w:color w:val="1C3A36"/>
                <w:sz w:val="17"/>
              </w:rPr>
              <w:t>(3,623)</w:t>
            </w:r>
          </w:p>
        </w:tc>
      </w:tr>
      <w:tr>
        <w:tc>
          <w:tcPr>
            <w:tcW w:type="dxa" w:w="3456"/>
          </w:tcPr>
          <w:p>
            <w:pPr>
              <w:spacing w:after="20"/>
            </w:pPr>
            <w:r>
              <w:rPr>
                <w:b/>
                <w:color w:val="1C3A36"/>
                <w:sz w:val="17"/>
              </w:rPr>
              <w:t>Less the part of 2026 earned before the bridge date</w:t>
            </w:r>
          </w:p>
        </w:tc>
        <w:tc>
          <w:tcPr>
            <w:tcW w:type="dxa" w:w="1238"/>
          </w:tcPr>
          <w:p>
            <w:pPr>
              <w:spacing w:after="20"/>
              <w:jc w:val="right"/>
            </w:pPr>
            <w:r>
              <w:rPr>
                <w:color w:val="1C3A36"/>
                <w:sz w:val="17"/>
              </w:rPr>
              <w:t>(1,066)</w:t>
            </w:r>
          </w:p>
        </w:tc>
        <w:tc>
          <w:tcPr>
            <w:tcW w:type="dxa" w:w="1238"/>
          </w:tcPr>
          <w:p>
            <w:pPr>
              <w:spacing w:after="20"/>
              <w:jc w:val="right"/>
            </w:pPr>
            <w:r>
              <w:rPr>
                <w:color w:val="1C3A36"/>
                <w:sz w:val="17"/>
              </w:rPr>
              <w:t>—</w:t>
            </w:r>
          </w:p>
        </w:tc>
        <w:tc>
          <w:tcPr>
            <w:tcW w:type="dxa" w:w="1238"/>
          </w:tcPr>
          <w:p>
            <w:pPr>
              <w:spacing w:after="20"/>
              <w:jc w:val="right"/>
            </w:pPr>
            <w:r>
              <w:rPr>
                <w:color w:val="1C3A36"/>
                <w:sz w:val="17"/>
              </w:rPr>
              <w:t>—</w:t>
            </w:r>
          </w:p>
        </w:tc>
        <w:tc>
          <w:tcPr>
            <w:tcW w:type="dxa" w:w="1238"/>
          </w:tcPr>
          <w:p>
            <w:pPr>
              <w:spacing w:after="20"/>
              <w:jc w:val="right"/>
            </w:pPr>
            <w:r>
              <w:rPr>
                <w:color w:val="1C3A36"/>
                <w:sz w:val="17"/>
              </w:rPr>
              <w:t>—</w:t>
            </w:r>
          </w:p>
        </w:tc>
        <w:tc>
          <w:tcPr>
            <w:tcW w:type="dxa" w:w="1238"/>
          </w:tcPr>
          <w:p>
            <w:pPr>
              <w:spacing w:after="20"/>
              <w:jc w:val="right"/>
            </w:pPr>
            <w:r>
              <w:rPr>
                <w:color w:val="1C3A36"/>
                <w:sz w:val="17"/>
              </w:rPr>
              <w:t>—</w:t>
            </w:r>
          </w:p>
        </w:tc>
      </w:tr>
      <w:tr>
        <w:tc>
          <w:tcPr>
            <w:tcW w:type="dxa" w:w="3456"/>
            <w:shd w:val="clear" w:color="auto" w:fill="F6F1E6"/>
          </w:tcPr>
          <w:p>
            <w:pPr>
              <w:spacing w:after="20"/>
            </w:pPr>
            <w:r>
              <w:rPr>
                <w:b/>
                <w:color w:val="1C3A36"/>
                <w:sz w:val="17"/>
              </w:rPr>
              <w:t>Free cash flow to the firm</w:t>
            </w:r>
          </w:p>
        </w:tc>
        <w:tc>
          <w:tcPr>
            <w:tcW w:type="dxa" w:w="1238"/>
            <w:shd w:val="clear" w:color="auto" w:fill="F6F1E6"/>
          </w:tcPr>
          <w:p>
            <w:pPr>
              <w:spacing w:after="20"/>
              <w:jc w:val="right"/>
            </w:pPr>
            <w:r>
              <w:rPr>
                <w:b/>
                <w:color w:val="1C3A36"/>
                <w:sz w:val="17"/>
              </w:rPr>
              <w:t>160</w:t>
            </w:r>
          </w:p>
        </w:tc>
        <w:tc>
          <w:tcPr>
            <w:tcW w:type="dxa" w:w="1238"/>
            <w:shd w:val="clear" w:color="auto" w:fill="F6F1E6"/>
          </w:tcPr>
          <w:p>
            <w:pPr>
              <w:spacing w:after="20"/>
              <w:jc w:val="right"/>
            </w:pPr>
            <w:r>
              <w:rPr>
                <w:b/>
                <w:color w:val="1C3A36"/>
                <w:sz w:val="17"/>
              </w:rPr>
              <w:t>-952</w:t>
            </w:r>
          </w:p>
        </w:tc>
        <w:tc>
          <w:tcPr>
            <w:tcW w:type="dxa" w:w="1238"/>
            <w:shd w:val="clear" w:color="auto" w:fill="F6F1E6"/>
          </w:tcPr>
          <w:p>
            <w:pPr>
              <w:spacing w:after="20"/>
              <w:jc w:val="right"/>
            </w:pPr>
            <w:r>
              <w:rPr>
                <w:b/>
                <w:color w:val="1C3A36"/>
                <w:sz w:val="17"/>
              </w:rPr>
              <w:t>-15</w:t>
            </w:r>
          </w:p>
        </w:tc>
        <w:tc>
          <w:tcPr>
            <w:tcW w:type="dxa" w:w="1238"/>
            <w:shd w:val="clear" w:color="auto" w:fill="F6F1E6"/>
          </w:tcPr>
          <w:p>
            <w:pPr>
              <w:spacing w:after="20"/>
              <w:jc w:val="right"/>
            </w:pPr>
            <w:r>
              <w:rPr>
                <w:b/>
                <w:color w:val="1C3A36"/>
                <w:sz w:val="17"/>
              </w:rPr>
              <w:t>722</w:t>
            </w:r>
          </w:p>
        </w:tc>
        <w:tc>
          <w:tcPr>
            <w:tcW w:type="dxa" w:w="1238"/>
            <w:shd w:val="clear" w:color="auto" w:fill="F6F1E6"/>
          </w:tcPr>
          <w:p>
            <w:pPr>
              <w:spacing w:after="20"/>
              <w:jc w:val="right"/>
            </w:pPr>
            <w:r>
              <w:rPr>
                <w:b/>
                <w:color w:val="1C3A36"/>
                <w:sz w:val="17"/>
              </w:rPr>
              <w:t>1,312</w:t>
            </w:r>
          </w:p>
        </w:tc>
      </w:tr>
    </w:tbl>
    <w:p>
      <w:pPr>
        <w:spacing w:after="40"/>
      </w:pPr>
    </w:p>
    <w:p>
      <w:pPr>
        <w:spacing w:after="200" w:before="0"/>
      </w:pPr>
      <w:r>
        <w:rPr>
          <w:b w:val="0"/>
          <w:i/>
          <w:color w:val="6E7B77"/>
          <w:sz w:val="17"/>
        </w:rPr>
        <w:t>Table A3 — the Auto leg’s cash flow, line for line as §1.2 discounts it. Deductions are printed as magnitudes in brackets and the labels state the operation, so the column can be followed to the result.</w:t>
      </w:r>
    </w:p>
    <w:p>
      <w:pPr>
        <w:spacing w:after="80" w:before="200"/>
      </w:pPr>
      <w:r>
        <w:rPr>
          <w:b/>
          <w:i w:val="0"/>
          <w:color w:val="1C3A36"/>
          <w:sz w:val="24"/>
        </w:rPr>
        <w:t>A.5  The balance-sheet anchors the bridge stands 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024"/>
            <w:shd w:val="clear" w:color="auto" w:fill="EAF0EE"/>
          </w:tcPr>
          <w:p>
            <w:pPr>
              <w:spacing w:after="20"/>
            </w:pPr>
            <w:r>
              <w:rPr>
                <w:b/>
                <w:color w:val="1C3A36"/>
                <w:sz w:val="17"/>
              </w:rPr>
              <w:t>Item</w:t>
            </w:r>
          </w:p>
        </w:tc>
        <w:tc>
          <w:tcPr>
            <w:tcW w:type="dxa" w:w="1512"/>
            <w:shd w:val="clear" w:color="auto" w:fill="EAF0EE"/>
          </w:tcPr>
          <w:p>
            <w:pPr>
              <w:spacing w:after="20"/>
            </w:pPr>
            <w:r>
              <w:rPr>
                <w:b/>
                <w:color w:val="1C3A36"/>
                <w:sz w:val="17"/>
              </w:rPr>
              <w:t>Value (EGP mn)</w:t>
            </w:r>
          </w:p>
        </w:tc>
        <w:tc>
          <w:tcPr>
            <w:tcW w:type="dxa" w:w="1656"/>
            <w:shd w:val="clear" w:color="auto" w:fill="EAF0EE"/>
          </w:tcPr>
          <w:p>
            <w:pPr>
              <w:spacing w:after="20"/>
            </w:pPr>
            <w:r>
              <w:rPr>
                <w:b/>
                <w:color w:val="1C3A36"/>
                <w:sz w:val="17"/>
              </w:rPr>
              <w:t>Balance sheet as at</w:t>
            </w:r>
          </w:p>
        </w:tc>
        <w:tc>
          <w:tcPr>
            <w:tcW w:type="dxa" w:w="4032"/>
            <w:shd w:val="clear" w:color="auto" w:fill="EAF0EE"/>
          </w:tcPr>
          <w:p>
            <w:pPr>
              <w:spacing w:after="20"/>
            </w:pPr>
            <w:r>
              <w:rPr>
                <w:b/>
                <w:color w:val="1C3A36"/>
                <w:sz w:val="17"/>
              </w:rPr>
              <w:t>Where it was read, and the date that document carries</w:t>
            </w:r>
          </w:p>
        </w:tc>
      </w:tr>
      <w:tr>
        <w:tc>
          <w:tcPr>
            <w:tcW w:type="dxa" w:w="3024"/>
          </w:tcPr>
          <w:p>
            <w:pPr>
              <w:spacing w:after="20"/>
            </w:pPr>
            <w:r>
              <w:rPr>
                <w:b/>
                <w:color w:val="1C3A36"/>
                <w:sz w:val="17"/>
              </w:rPr>
              <w:t>Cash and equivalents</w:t>
            </w:r>
          </w:p>
        </w:tc>
        <w:tc>
          <w:tcPr>
            <w:tcW w:type="dxa" w:w="1512"/>
          </w:tcPr>
          <w:p>
            <w:pPr>
              <w:spacing w:after="20"/>
              <w:jc w:val="right"/>
            </w:pPr>
            <w:r>
              <w:rPr>
                <w:color w:val="1C3A36"/>
                <w:sz w:val="17"/>
              </w:rPr>
              <w:t>10,951.5</w:t>
            </w:r>
          </w:p>
        </w:tc>
        <w:tc>
          <w:tcPr>
            <w:tcW w:type="dxa" w:w="1656"/>
          </w:tcPr>
          <w:p>
            <w:pPr>
              <w:spacing w:after="20"/>
              <w:jc w:val="right"/>
            </w:pPr>
            <w:r>
              <w:rPr>
                <w:color w:val="1C3A36"/>
                <w:sz w:val="17"/>
              </w:rPr>
              <w:t>30 June 2026</w:t>
            </w:r>
          </w:p>
        </w:tc>
        <w:tc>
          <w:tcPr>
            <w:tcW w:type="dxa" w:w="4032"/>
          </w:tcPr>
          <w:p>
            <w:pPr>
              <w:spacing w:after="20"/>
              <w:jc w:val="right"/>
            </w:pPr>
            <w:r>
              <w:rPr>
                <w:color w:val="1C3A36"/>
                <w:sz w:val="17"/>
              </w:rPr>
              <w:t>Company (investor relations) — 13 August 2026</w:t>
            </w:r>
          </w:p>
        </w:tc>
      </w:tr>
      <w:tr>
        <w:tc>
          <w:tcPr>
            <w:tcW w:type="dxa" w:w="3024"/>
          </w:tcPr>
          <w:p>
            <w:pPr>
              <w:spacing w:after="20"/>
            </w:pPr>
            <w:r>
              <w:rPr>
                <w:b/>
                <w:color w:val="1C3A36"/>
                <w:sz w:val="17"/>
              </w:rPr>
              <w:t>Borrowings, group</w:t>
            </w:r>
          </w:p>
        </w:tc>
        <w:tc>
          <w:tcPr>
            <w:tcW w:type="dxa" w:w="1512"/>
          </w:tcPr>
          <w:p>
            <w:pPr>
              <w:spacing w:after="20"/>
              <w:jc w:val="right"/>
            </w:pPr>
            <w:r>
              <w:rPr>
                <w:color w:val="1C3A36"/>
                <w:sz w:val="17"/>
              </w:rPr>
              <w:t>42,476.0</w:t>
            </w:r>
          </w:p>
        </w:tc>
        <w:tc>
          <w:tcPr>
            <w:tcW w:type="dxa" w:w="1656"/>
          </w:tcPr>
          <w:p>
            <w:pPr>
              <w:spacing w:after="20"/>
              <w:jc w:val="right"/>
            </w:pPr>
            <w:r>
              <w:rPr>
                <w:color w:val="1C3A36"/>
                <w:sz w:val="17"/>
              </w:rPr>
              <w:t>30 June 2026</w:t>
            </w:r>
          </w:p>
        </w:tc>
        <w:tc>
          <w:tcPr>
            <w:tcW w:type="dxa" w:w="4032"/>
          </w:tcPr>
          <w:p>
            <w:pPr>
              <w:spacing w:after="20"/>
              <w:jc w:val="right"/>
            </w:pPr>
            <w:r>
              <w:rPr>
                <w:color w:val="1C3A36"/>
                <w:sz w:val="17"/>
              </w:rPr>
              <w:t>Company (investor relations) — 13 August 2026</w:t>
            </w:r>
          </w:p>
        </w:tc>
      </w:tr>
      <w:tr>
        <w:tc>
          <w:tcPr>
            <w:tcW w:type="dxa" w:w="3024"/>
          </w:tcPr>
          <w:p>
            <w:pPr>
              <w:spacing w:after="20"/>
            </w:pPr>
            <w:r>
              <w:rPr>
                <w:b/>
                <w:color w:val="1C3A36"/>
                <w:sz w:val="17"/>
              </w:rPr>
              <w:t>Borrowings, GB Auto segment</w:t>
            </w:r>
          </w:p>
        </w:tc>
        <w:tc>
          <w:tcPr>
            <w:tcW w:type="dxa" w:w="1512"/>
          </w:tcPr>
          <w:p>
            <w:pPr>
              <w:spacing w:after="20"/>
              <w:jc w:val="right"/>
            </w:pPr>
            <w:r>
              <w:rPr>
                <w:color w:val="1C3A36"/>
                <w:sz w:val="17"/>
              </w:rPr>
              <w:t>22,733.1</w:t>
            </w:r>
          </w:p>
        </w:tc>
        <w:tc>
          <w:tcPr>
            <w:tcW w:type="dxa" w:w="1656"/>
          </w:tcPr>
          <w:p>
            <w:pPr>
              <w:spacing w:after="20"/>
              <w:jc w:val="right"/>
            </w:pPr>
            <w:r>
              <w:rPr>
                <w:color w:val="1C3A36"/>
                <w:sz w:val="17"/>
              </w:rPr>
              <w:t>30 June 2026</w:t>
            </w:r>
          </w:p>
        </w:tc>
        <w:tc>
          <w:tcPr>
            <w:tcW w:type="dxa" w:w="4032"/>
          </w:tcPr>
          <w:p>
            <w:pPr>
              <w:spacing w:after="20"/>
              <w:jc w:val="right"/>
            </w:pPr>
            <w:r>
              <w:rPr>
                <w:color w:val="1C3A36"/>
                <w:sz w:val="17"/>
              </w:rPr>
              <w:t>Company (investor relations) — 13 August 2026</w:t>
            </w:r>
          </w:p>
        </w:tc>
      </w:tr>
      <w:tr>
        <w:tc>
          <w:tcPr>
            <w:tcW w:type="dxa" w:w="3024"/>
          </w:tcPr>
          <w:p>
            <w:pPr>
              <w:spacing w:after="20"/>
            </w:pPr>
            <w:r>
              <w:rPr>
                <w:b/>
                <w:color w:val="1C3A36"/>
                <w:sz w:val="17"/>
              </w:rPr>
              <w:t>Group total equity — a disclosed line, not a sum of the rows above</w:t>
            </w:r>
          </w:p>
        </w:tc>
        <w:tc>
          <w:tcPr>
            <w:tcW w:type="dxa" w:w="1512"/>
          </w:tcPr>
          <w:p>
            <w:pPr>
              <w:spacing w:after="20"/>
              <w:jc w:val="right"/>
            </w:pPr>
            <w:r>
              <w:rPr>
                <w:color w:val="1C3A36"/>
                <w:sz w:val="17"/>
              </w:rPr>
              <w:t>35,127.9</w:t>
            </w:r>
          </w:p>
        </w:tc>
        <w:tc>
          <w:tcPr>
            <w:tcW w:type="dxa" w:w="1656"/>
          </w:tcPr>
          <w:p>
            <w:pPr>
              <w:spacing w:after="20"/>
              <w:jc w:val="right"/>
            </w:pPr>
            <w:r>
              <w:rPr>
                <w:color w:val="1C3A36"/>
                <w:sz w:val="17"/>
              </w:rPr>
              <w:t>30 June 2026</w:t>
            </w:r>
          </w:p>
        </w:tc>
        <w:tc>
          <w:tcPr>
            <w:tcW w:type="dxa" w:w="4032"/>
          </w:tcPr>
          <w:p>
            <w:pPr>
              <w:spacing w:after="20"/>
              <w:jc w:val="right"/>
            </w:pPr>
            <w:r>
              <w:rPr>
                <w:color w:val="1C3A36"/>
                <w:sz w:val="17"/>
              </w:rPr>
              <w:t>Company (investor relations) — 13 August 2026</w:t>
            </w:r>
          </w:p>
        </w:tc>
      </w:tr>
      <w:tr>
        <w:tc>
          <w:tcPr>
            <w:tcW w:type="dxa" w:w="3024"/>
          </w:tcPr>
          <w:p>
            <w:pPr>
              <w:spacing w:after="20"/>
            </w:pPr>
            <w:r>
              <w:rPr>
                <w:b/>
                <w:color w:val="1C3A36"/>
                <w:sz w:val="17"/>
              </w:rPr>
              <w:t>Auto net debt used in the bridge</w:t>
            </w:r>
          </w:p>
        </w:tc>
        <w:tc>
          <w:tcPr>
            <w:tcW w:type="dxa" w:w="1512"/>
          </w:tcPr>
          <w:p>
            <w:pPr>
              <w:spacing w:after="20"/>
              <w:jc w:val="right"/>
            </w:pPr>
            <w:r>
              <w:rPr>
                <w:color w:val="1C3A36"/>
                <w:sz w:val="17"/>
              </w:rPr>
              <w:t>14,493.6</w:t>
            </w:r>
          </w:p>
        </w:tc>
        <w:tc>
          <w:tcPr>
            <w:tcW w:type="dxa" w:w="1656"/>
          </w:tcPr>
          <w:p>
            <w:pPr>
              <w:spacing w:after="20"/>
              <w:jc w:val="right"/>
            </w:pPr>
            <w:r>
              <w:rPr>
                <w:color w:val="1C3A36"/>
                <w:sz w:val="17"/>
              </w:rPr>
              <w:t>30 June 2026</w:t>
            </w:r>
          </w:p>
        </w:tc>
        <w:tc>
          <w:tcPr>
            <w:tcW w:type="dxa" w:w="4032"/>
          </w:tcPr>
          <w:p>
            <w:pPr>
              <w:spacing w:after="20"/>
              <w:jc w:val="right"/>
            </w:pPr>
            <w:r>
              <w:rPr>
                <w:color w:val="1C3A36"/>
                <w:sz w:val="17"/>
              </w:rPr>
              <w:t>the segmented balance sheet, GB Auto column, on the company’s own net-debt definition</w:t>
            </w:r>
          </w:p>
        </w:tc>
      </w:tr>
      <w:tr>
        <w:tc>
          <w:tcPr>
            <w:tcW w:type="dxa" w:w="3024"/>
          </w:tcPr>
          <w:p>
            <w:pPr>
              <w:spacing w:after="20"/>
            </w:pPr>
            <w:r>
              <w:rPr>
                <w:b/>
                <w:color w:val="1C3A36"/>
                <w:sz w:val="17"/>
              </w:rPr>
              <w:t>Auto non-controlling interests deducted</w:t>
            </w:r>
          </w:p>
        </w:tc>
        <w:tc>
          <w:tcPr>
            <w:tcW w:type="dxa" w:w="1512"/>
          </w:tcPr>
          <w:p>
            <w:pPr>
              <w:spacing w:after="20"/>
              <w:jc w:val="right"/>
            </w:pPr>
            <w:r>
              <w:rPr>
                <w:color w:val="1C3A36"/>
                <w:sz w:val="17"/>
              </w:rPr>
              <w:t>590.7</w:t>
            </w:r>
          </w:p>
        </w:tc>
        <w:tc>
          <w:tcPr>
            <w:tcW w:type="dxa" w:w="1656"/>
          </w:tcPr>
          <w:p>
            <w:pPr>
              <w:spacing w:after="20"/>
              <w:jc w:val="right"/>
            </w:pPr>
            <w:r>
              <w:rPr>
                <w:color w:val="1C3A36"/>
                <w:sz w:val="17"/>
              </w:rPr>
              <w:t>30 June 2026</w:t>
            </w:r>
          </w:p>
        </w:tc>
        <w:tc>
          <w:tcPr>
            <w:tcW w:type="dxa" w:w="4032"/>
          </w:tcPr>
          <w:p>
            <w:pPr>
              <w:spacing w:after="20"/>
              <w:jc w:val="right"/>
            </w:pPr>
            <w:r>
              <w:rPr>
                <w:color w:val="1C3A36"/>
                <w:sz w:val="17"/>
              </w:rPr>
              <w:t>that leg’s own minority interest</w:t>
            </w:r>
          </w:p>
        </w:tc>
      </w:tr>
    </w:tbl>
    <w:p>
      <w:pPr>
        <w:spacing w:after="40"/>
      </w:pPr>
    </w:p>
    <w:p>
      <w:pPr>
        <w:spacing w:after="200" w:before="0"/>
      </w:pPr>
      <w:r>
        <w:rPr>
          <w:b w:val="0"/>
          <w:i/>
          <w:color w:val="6E7B77"/>
          <w:sz w:val="17"/>
        </w:rPr>
        <w:t>Table A4 — the bridge stands on the latest disclosed balance sheet, the reviewed statements to 30 June 2026, and not on the prior year end. The deduction is the AUTO leg’s own net debt and the AUTO leg’s own minority, because the lender’s borrowings are its raw material rather than its leverage.</w:t>
      </w:r>
    </w:p>
    <w:p>
      <w:pPr>
        <w:spacing w:after="120" w:before="280"/>
      </w:pPr>
      <w:r>
        <w:rPr>
          <w:b/>
          <w:i w:val="0"/>
          <w:color w:val="1C3A36"/>
          <w:sz w:val="30"/>
        </w:rPr>
        <w:t>Appendix B  Peer frame, risk register and the research register</w:t>
      </w:r>
    </w:p>
    <w:p>
      <w:pPr>
        <w:spacing w:after="80" w:before="200"/>
      </w:pPr>
      <w:r>
        <w:rPr>
          <w:b/>
          <w:i w:val="0"/>
          <w:color w:val="1C3A36"/>
          <w:sz w:val="24"/>
        </w:rPr>
        <w:t>B.1  Peers and the sector frame</w:t>
      </w:r>
    </w:p>
    <w:p>
      <w:pPr>
        <w:spacing w:after="120" w:before="0"/>
      </w:pPr>
      <w:r>
        <w:rPr>
          <w:b w:val="0"/>
          <w:i w:val="0"/>
          <w:color w:val="1C3A36"/>
          <w:sz w:val="21"/>
        </w:rPr>
        <w:t>GB Corp has no clean single comparable — an auto assembler-distributor, a non-bank lender and a fintech associate in one wrapper, and that is why the class primary is a sum of the parts rather than a multiple. The peer set is therefore split by leg, and it is used for cross-checks only: no peer is a source for GB Corp’s own reported figures, and no peer multiple is applied to the group as a whole.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160"/>
            <w:shd w:val="clear" w:color="auto" w:fill="EAF0EE"/>
          </w:tcPr>
          <w:p>
            <w:pPr>
              <w:spacing w:after="20"/>
            </w:pPr>
            <w:r>
              <w:rPr>
                <w:b/>
                <w:color w:val="1C3A36"/>
                <w:sz w:val="17"/>
              </w:rPr>
              <w:t>Leg</w:t>
            </w:r>
          </w:p>
        </w:tc>
        <w:tc>
          <w:tcPr>
            <w:tcW w:type="dxa" w:w="3024"/>
            <w:shd w:val="clear" w:color="auto" w:fill="EAF0EE"/>
          </w:tcPr>
          <w:p>
            <w:pPr>
              <w:spacing w:after="20"/>
            </w:pPr>
            <w:r>
              <w:rPr>
                <w:b/>
                <w:color w:val="1C3A36"/>
                <w:sz w:val="17"/>
              </w:rPr>
              <w:t>Closest peers</w:t>
            </w:r>
          </w:p>
        </w:tc>
        <w:tc>
          <w:tcPr>
            <w:tcW w:type="dxa" w:w="2448"/>
            <w:shd w:val="clear" w:color="auto" w:fill="EAF0EE"/>
          </w:tcPr>
          <w:p>
            <w:pPr>
              <w:spacing w:after="20"/>
            </w:pPr>
            <w:r>
              <w:rPr>
                <w:b/>
                <w:color w:val="1C3A36"/>
                <w:sz w:val="17"/>
              </w:rPr>
              <w:t>How they are typically valued</w:t>
            </w:r>
          </w:p>
        </w:tc>
        <w:tc>
          <w:tcPr>
            <w:tcW w:type="dxa" w:w="2592"/>
            <w:shd w:val="clear" w:color="auto" w:fill="EAF0EE"/>
          </w:tcPr>
          <w:p>
            <w:pPr>
              <w:spacing w:after="20"/>
            </w:pPr>
            <w:r>
              <w:rPr>
                <w:b/>
                <w:color w:val="1C3A36"/>
                <w:sz w:val="17"/>
              </w:rPr>
              <w:t>Caution</w:t>
            </w:r>
          </w:p>
        </w:tc>
      </w:tr>
      <w:tr>
        <w:tc>
          <w:tcPr>
            <w:tcW w:type="dxa" w:w="2160"/>
          </w:tcPr>
          <w:p>
            <w:pPr>
              <w:spacing w:after="20"/>
            </w:pPr>
            <w:r>
              <w:rPr>
                <w:b/>
                <w:color w:val="1C3A36"/>
                <w:sz w:val="17"/>
              </w:rPr>
              <w:t>Auto assembly and distribution</w:t>
            </w:r>
          </w:p>
        </w:tc>
        <w:tc>
          <w:tcPr>
            <w:tcW w:type="dxa" w:w="3024"/>
          </w:tcPr>
          <w:p>
            <w:pPr>
              <w:spacing w:after="20"/>
              <w:jc w:val="right"/>
            </w:pPr>
            <w:r>
              <w:rPr>
                <w:color w:val="1C3A36"/>
                <w:sz w:val="17"/>
              </w:rPr>
              <w:t>Gulf and regional auto distributors; listed consumer-durables names on this exchange</w:t>
            </w:r>
          </w:p>
        </w:tc>
        <w:tc>
          <w:tcPr>
            <w:tcW w:type="dxa" w:w="2448"/>
          </w:tcPr>
          <w:p>
            <w:pPr>
              <w:spacing w:after="20"/>
              <w:jc w:val="right"/>
            </w:pPr>
            <w:r>
              <w:rPr>
                <w:color w:val="1C3A36"/>
                <w:sz w:val="17"/>
              </w:rPr>
              <w:t>Enterprise value against operating profit; earnings multiples</w:t>
            </w:r>
          </w:p>
        </w:tc>
        <w:tc>
          <w:tcPr>
            <w:tcW w:type="dxa" w:w="2592"/>
          </w:tcPr>
          <w:p>
            <w:pPr>
              <w:spacing w:after="20"/>
              <w:jc w:val="right"/>
            </w:pPr>
            <w:r>
              <w:rPr>
                <w:color w:val="1C3A36"/>
                <w:sz w:val="17"/>
              </w:rPr>
              <w:t>None of them assembles under the same localisation regime or carries a captive lender</w:t>
            </w:r>
          </w:p>
        </w:tc>
      </w:tr>
      <w:tr>
        <w:tc>
          <w:tcPr>
            <w:tcW w:type="dxa" w:w="2160"/>
          </w:tcPr>
          <w:p>
            <w:pPr>
              <w:spacing w:after="20"/>
            </w:pPr>
            <w:r>
              <w:rPr>
                <w:b/>
                <w:color w:val="1C3A36"/>
                <w:sz w:val="17"/>
              </w:rPr>
              <w:t>Non-bank consumer and corporate finance</w:t>
            </w:r>
          </w:p>
        </w:tc>
        <w:tc>
          <w:tcPr>
            <w:tcW w:type="dxa" w:w="3024"/>
          </w:tcPr>
          <w:p>
            <w:pPr>
              <w:spacing w:after="20"/>
              <w:jc w:val="right"/>
            </w:pPr>
            <w:r>
              <w:rPr>
                <w:color w:val="1C3A36"/>
                <w:sz w:val="17"/>
              </w:rPr>
              <w:t>Listed Egyptian finance companies with a comparable book</w:t>
            </w:r>
          </w:p>
        </w:tc>
        <w:tc>
          <w:tcPr>
            <w:tcW w:type="dxa" w:w="2448"/>
          </w:tcPr>
          <w:p>
            <w:pPr>
              <w:spacing w:after="20"/>
              <w:jc w:val="right"/>
            </w:pPr>
            <w:r>
              <w:rPr>
                <w:color w:val="1C3A36"/>
                <w:sz w:val="17"/>
              </w:rPr>
              <w:t>Price to book against the return on that book</w:t>
            </w:r>
          </w:p>
        </w:tc>
        <w:tc>
          <w:tcPr>
            <w:tcW w:type="dxa" w:w="2592"/>
          </w:tcPr>
          <w:p>
            <w:pPr>
              <w:spacing w:after="20"/>
              <w:jc w:val="right"/>
            </w:pPr>
            <w:r>
              <w:rPr>
                <w:color w:val="1C3A36"/>
                <w:sz w:val="17"/>
              </w:rPr>
              <w:t>Funding mix and provisioning policy differ enough that the multiple travels badly</w:t>
            </w:r>
          </w:p>
        </w:tc>
      </w:tr>
      <w:tr>
        <w:tc>
          <w:tcPr>
            <w:tcW w:type="dxa" w:w="2160"/>
          </w:tcPr>
          <w:p>
            <w:pPr>
              <w:spacing w:after="20"/>
            </w:pPr>
            <w:r>
              <w:rPr>
                <w:b/>
                <w:color w:val="1C3A36"/>
                <w:sz w:val="17"/>
              </w:rPr>
              <w:t>Fintech associate</w:t>
            </w:r>
          </w:p>
        </w:tc>
        <w:tc>
          <w:tcPr>
            <w:tcW w:type="dxa" w:w="3024"/>
          </w:tcPr>
          <w:p>
            <w:pPr>
              <w:spacing w:after="20"/>
              <w:jc w:val="right"/>
            </w:pPr>
            <w:r>
              <w:rPr>
                <w:color w:val="1C3A36"/>
                <w:sz w:val="17"/>
              </w:rPr>
              <w:t>Listed payments and financial-technology names on this exchange</w:t>
            </w:r>
          </w:p>
        </w:tc>
        <w:tc>
          <w:tcPr>
            <w:tcW w:type="dxa" w:w="2448"/>
          </w:tcPr>
          <w:p>
            <w:pPr>
              <w:spacing w:after="20"/>
              <w:jc w:val="right"/>
            </w:pPr>
            <w:r>
              <w:rPr>
                <w:color w:val="1C3A36"/>
                <w:sz w:val="17"/>
              </w:rPr>
              <w:t>Private marks; the last round is the only observable price</w:t>
            </w:r>
          </w:p>
        </w:tc>
        <w:tc>
          <w:tcPr>
            <w:tcW w:type="dxa" w:w="2592"/>
          </w:tcPr>
          <w:p>
            <w:pPr>
              <w:spacing w:after="20"/>
              <w:jc w:val="right"/>
            </w:pPr>
            <w:r>
              <w:rPr>
                <w:color w:val="1C3A36"/>
                <w:sz w:val="17"/>
              </w:rPr>
              <w:t>A listed comparator has a price and this holding has none — which is the whole subject of this study</w:t>
            </w:r>
          </w:p>
        </w:tc>
      </w:tr>
    </w:tbl>
    <w:p>
      <w:pPr>
        <w:spacing w:after="40"/>
      </w:pPr>
    </w:p>
    <w:p>
      <w:pPr>
        <w:spacing w:after="120" w:before="0"/>
      </w:pPr>
      <w:r>
        <w:rPr>
          <w:b w:val="0"/>
          <w:i w:val="0"/>
          <w:color w:val="1C3A36"/>
          <w:sz w:val="19"/>
        </w:rPr>
        <w:t>The absence of a single clean comparable is itself a finding rather than a gap in the research, and it is why the relative multiple in §1.3 is taken from GB CORP’S OWN trailing rating at its own three year-end closes rather than from a peer set at all. Sector structure: the Egyptian passenger-car market is in a policy-assisted recovery, with the easing cycle restoring affordability, localisation incentives reshaping the assembled-versus-imported mix, and new entrants resetting price points. Consumer and corporate finance is growing faster than banking credit off a low base, with securitisation deepening as a funding market.</w:t>
      </w:r>
    </w:p>
    <w:p>
      <w:pPr>
        <w:spacing w:after="80" w:before="200"/>
      </w:pPr>
      <w:r>
        <w:rPr>
          <w:b/>
          <w:i w:val="0"/>
          <w:color w:val="1C3A36"/>
          <w:sz w:val="24"/>
        </w:rPr>
        <w:t>B.2  Risk register</w:t>
      </w:r>
    </w:p>
    <w:p>
      <w:pPr>
        <w:spacing w:after="120" w:before="0"/>
      </w:pPr>
      <w:r>
        <w:rPr>
          <w:b w:val="0"/>
          <w:i w:val="0"/>
          <w:color w:val="1C3A36"/>
          <w:sz w:val="19"/>
        </w:rPr>
        <w:t>Every risk below is either PRICED — the study can put a number on what it is worth and does — or NAMED AND NOT PRICED, because the disclosure to price it does not exist. Nothing is left as an adjective. Where a risk is one of the study’s own contested judgements, the figure is what moving that judgement to its other framing does to the answer.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520"/>
            <w:shd w:val="clear" w:color="auto" w:fill="EAF0EE"/>
          </w:tcPr>
          <w:p>
            <w:pPr>
              <w:spacing w:after="20"/>
            </w:pPr>
            <w:r>
              <w:rPr>
                <w:b/>
                <w:color w:val="1C3A36"/>
                <w:sz w:val="16"/>
              </w:rPr>
              <w:t>Risk</w:t>
            </w:r>
          </w:p>
        </w:tc>
        <w:tc>
          <w:tcPr>
            <w:tcW w:type="dxa" w:w="3960"/>
            <w:shd w:val="clear" w:color="auto" w:fill="EAF0EE"/>
          </w:tcPr>
          <w:p>
            <w:pPr>
              <w:spacing w:after="20"/>
            </w:pPr>
            <w:r>
              <w:rPr>
                <w:b/>
                <w:color w:val="1C3A36"/>
                <w:sz w:val="16"/>
              </w:rPr>
              <w:t>Mechanism</w:t>
            </w:r>
          </w:p>
        </w:tc>
        <w:tc>
          <w:tcPr>
            <w:tcW w:type="dxa" w:w="3744"/>
            <w:shd w:val="clear" w:color="auto" w:fill="EAF0EE"/>
          </w:tcPr>
          <w:p>
            <w:pPr>
              <w:spacing w:after="20"/>
            </w:pPr>
            <w:r>
              <w:rPr>
                <w:b/>
                <w:color w:val="1C3A36"/>
                <w:sz w:val="16"/>
              </w:rPr>
              <w:t>What it is worth</w:t>
            </w:r>
          </w:p>
        </w:tc>
      </w:tr>
      <w:tr>
        <w:tc>
          <w:tcPr>
            <w:tcW w:type="dxa" w:w="2520"/>
          </w:tcPr>
          <w:p>
            <w:pPr>
              <w:spacing w:after="20"/>
            </w:pPr>
            <w:r>
              <w:rPr>
                <w:b/>
                <w:color w:val="1C3A36"/>
                <w:sz w:val="16"/>
              </w:rPr>
              <w:t>The basis on which the associate is marked</w:t>
            </w:r>
          </w:p>
        </w:tc>
        <w:tc>
          <w:tcPr>
            <w:tcW w:type="dxa" w:w="3960"/>
          </w:tcPr>
          <w:p>
            <w:pPr>
              <w:spacing w:after="20"/>
              <w:jc w:val="right"/>
            </w:pPr>
            <w:r>
              <w:rPr>
                <w:color w:val="1C3A36"/>
                <w:sz w:val="16"/>
              </w:rPr>
              <w:t>GB Corp carries its MNT-Halan interest one way in its own reviewed balance sheet and announced a funding round that marks it another. Both are its own disclosures; the filings do not choose</w:t>
            </w:r>
          </w:p>
        </w:tc>
        <w:tc>
          <w:tcPr>
            <w:tcW w:type="dxa" w:w="3744"/>
          </w:tcPr>
          <w:p>
            <w:pPr>
              <w:spacing w:after="20"/>
              <w:jc w:val="right"/>
            </w:pPr>
            <w:r>
              <w:rPr>
                <w:color w:val="1C3A36"/>
                <w:sz w:val="16"/>
              </w:rPr>
              <w:t>THE ANSWER ITSELF: EGP 12.48 a share between the two published branches, 41.2% of the higher one</w:t>
            </w:r>
          </w:p>
        </w:tc>
      </w:tr>
      <w:tr>
        <w:tc>
          <w:tcPr>
            <w:tcW w:type="dxa" w:w="2520"/>
          </w:tcPr>
          <w:p>
            <w:pPr>
              <w:spacing w:after="20"/>
            </w:pPr>
            <w:r>
              <w:rPr>
                <w:b/>
                <w:color w:val="1C3A36"/>
                <w:sz w:val="16"/>
              </w:rPr>
              <w:t>The associate’s own accounts cannot be verified</w:t>
            </w:r>
          </w:p>
        </w:tc>
        <w:tc>
          <w:tcPr>
            <w:tcW w:type="dxa" w:w="3960"/>
          </w:tcPr>
          <w:p>
            <w:pPr>
              <w:spacing w:after="20"/>
              <w:jc w:val="right"/>
            </w:pPr>
            <w:r>
              <w:rPr>
                <w:color w:val="1C3A36"/>
                <w:sz w:val="16"/>
              </w:rPr>
              <w:t>The reviewers of the 30 June 2026 statements were not provided with that company’s financial statements and could not verify the group’s share of its profits; the same qualification stood on the prior audited year</w:t>
            </w:r>
          </w:p>
        </w:tc>
        <w:tc>
          <w:tcPr>
            <w:tcW w:type="dxa" w:w="3744"/>
          </w:tcPr>
          <w:p>
            <w:pPr>
              <w:spacing w:after="20"/>
              <w:jc w:val="right"/>
            </w:pPr>
            <w:r>
              <w:rPr>
                <w:color w:val="1C3A36"/>
                <w:sz w:val="16"/>
              </w:rPr>
              <w:t>NAMED AND NOT PRICED. A qualification says a figure could not be verified, not what it should have been — but it is why the lower branch is not a safe harbour</w:t>
            </w:r>
          </w:p>
        </w:tc>
      </w:tr>
      <w:tr>
        <w:tc>
          <w:tcPr>
            <w:tcW w:type="dxa" w:w="2520"/>
          </w:tcPr>
          <w:p>
            <w:pPr>
              <w:spacing w:after="20"/>
            </w:pPr>
            <w:r>
              <w:rPr>
                <w:b/>
                <w:color w:val="1C3A36"/>
                <w:sz w:val="16"/>
              </w:rPr>
              <w:t>Working-capital intensity does not release</w:t>
            </w:r>
          </w:p>
        </w:tc>
        <w:tc>
          <w:tcPr>
            <w:tcW w:type="dxa" w:w="3960"/>
          </w:tcPr>
          <w:p>
            <w:pPr>
              <w:spacing w:after="20"/>
              <w:jc w:val="right"/>
            </w:pPr>
            <w:r>
              <w:rPr>
                <w:color w:val="1C3A36"/>
                <w:sz w:val="16"/>
              </w:rPr>
              <w:t>The auto leg’s free cash flow is a thin residual, so the glide in receivables, inventory and payables moves it directly</w:t>
            </w:r>
          </w:p>
        </w:tc>
        <w:tc>
          <w:tcPr>
            <w:tcW w:type="dxa" w:w="3744"/>
          </w:tcPr>
          <w:p>
            <w:pPr>
              <w:spacing w:after="20"/>
              <w:jc w:val="right"/>
            </w:pPr>
            <w:r>
              <w:rPr>
                <w:color w:val="1C3A36"/>
                <w:sz w:val="16"/>
              </w:rPr>
              <w:t>PRICED: 4.4% of the lower branch. Holding the first forecast year flat across the window gives EGP 18.65 against EGP 17.83</w:t>
            </w:r>
          </w:p>
        </w:tc>
      </w:tr>
      <w:tr>
        <w:tc>
          <w:tcPr>
            <w:tcW w:type="dxa" w:w="2520"/>
          </w:tcPr>
          <w:p>
            <w:pPr>
              <w:spacing w:after="20"/>
            </w:pPr>
            <w:r>
              <w:rPr>
                <w:b/>
                <w:color w:val="1C3A36"/>
                <w:sz w:val="16"/>
              </w:rPr>
              <w:t>Capital expenditure stays where the company has been spending it</w:t>
            </w:r>
          </w:p>
        </w:tc>
        <w:tc>
          <w:tcPr>
            <w:tcW w:type="dxa" w:w="3960"/>
          </w:tcPr>
          <w:p>
            <w:pPr>
              <w:spacing w:after="20"/>
              <w:jc w:val="right"/>
            </w:pPr>
            <w:r>
              <w:rPr>
                <w:color w:val="1C3A36"/>
                <w:sz w:val="16"/>
              </w:rPr>
              <w:t>The path is now held flat as a share of revenue — no mechanism could be measured, because this company publishes no capital-expenditure disclosure at all — but its OPENING LEVEL still rests on described investment plans rather than on a figure this study built or the company published</w:t>
            </w:r>
          </w:p>
        </w:tc>
        <w:tc>
          <w:tcPr>
            <w:tcW w:type="dxa" w:w="3744"/>
          </w:tcPr>
          <w:p>
            <w:pPr>
              <w:spacing w:after="20"/>
              <w:jc w:val="right"/>
            </w:pPr>
            <w:r>
              <w:rPr>
                <w:color w:val="1C3A36"/>
                <w:sz w:val="16"/>
              </w:rPr>
              <w:t>PRICED: 56.0% of the lower branch. Spending on at the FY2025 filed amount, flat and therefore falling in real terms, gives EGP 40.55 against EGP 17.83</w:t>
            </w:r>
          </w:p>
        </w:tc>
      </w:tr>
      <w:tr>
        <w:tc>
          <w:tcPr>
            <w:tcW w:type="dxa" w:w="2520"/>
          </w:tcPr>
          <w:p>
            <w:pPr>
              <w:spacing w:after="20"/>
            </w:pPr>
            <w:r>
              <w:rPr>
                <w:b/>
                <w:color w:val="1C3A36"/>
                <w:sz w:val="16"/>
              </w:rPr>
              <w:t>The cost of capital is higher than this study builds</w:t>
            </w:r>
          </w:p>
        </w:tc>
        <w:tc>
          <w:tcPr>
            <w:tcW w:type="dxa" w:w="3960"/>
          </w:tcPr>
          <w:p>
            <w:pPr>
              <w:spacing w:after="20"/>
              <w:jc w:val="right"/>
            </w:pPr>
            <w:r>
              <w:rPr>
                <w:color w:val="1C3A36"/>
                <w:sz w:val="16"/>
              </w:rPr>
              <w:t>The premium basis and the beta are both estimates, and the whole ladder moves with either</w:t>
            </w:r>
          </w:p>
        </w:tc>
        <w:tc>
          <w:tcPr>
            <w:tcW w:type="dxa" w:w="3744"/>
          </w:tcPr>
          <w:p>
            <w:pPr>
              <w:spacing w:after="20"/>
              <w:jc w:val="right"/>
            </w:pPr>
            <w:r>
              <w:rPr>
                <w:color w:val="1C3A36"/>
                <w:sz w:val="16"/>
              </w:rPr>
              <w:t>PRICED: 2.3% on the premium basis and 2.2% on the beta, each measured on the lower branch. §1.9 prices the whole grid</w:t>
            </w:r>
          </w:p>
        </w:tc>
      </w:tr>
      <w:tr>
        <w:tc>
          <w:tcPr>
            <w:tcW w:type="dxa" w:w="2520"/>
          </w:tcPr>
          <w:p>
            <w:pPr>
              <w:spacing w:after="20"/>
            </w:pPr>
            <w:r>
              <w:rPr>
                <w:b/>
                <w:color w:val="1C3A36"/>
                <w:sz w:val="16"/>
              </w:rPr>
              <w:t>The lender’s return is a credit cycle</w:t>
            </w:r>
          </w:p>
        </w:tc>
        <w:tc>
          <w:tcPr>
            <w:tcW w:type="dxa" w:w="3960"/>
          </w:tcPr>
          <w:p>
            <w:pPr>
              <w:spacing w:after="20"/>
              <w:jc w:val="right"/>
            </w:pPr>
            <w:r>
              <w:rPr>
                <w:color w:val="1C3A36"/>
                <w:sz w:val="16"/>
              </w:rPr>
              <w:t>GB Capital is marked by the return it earns above the cost of that equity, and both move with the cycle</w:t>
            </w:r>
          </w:p>
        </w:tc>
        <w:tc>
          <w:tcPr>
            <w:tcW w:type="dxa" w:w="3744"/>
          </w:tcPr>
          <w:p>
            <w:pPr>
              <w:spacing w:after="20"/>
              <w:jc w:val="right"/>
            </w:pPr>
            <w:r>
              <w:rPr>
                <w:color w:val="1C3A36"/>
                <w:sz w:val="16"/>
              </w:rPr>
              <w:t>PRICED: 1.0% between the reviewed half and the full prior year — EGP 283 mn against EGP 482 mn on that leg</w:t>
            </w:r>
          </w:p>
        </w:tc>
      </w:tr>
      <w:tr>
        <w:tc>
          <w:tcPr>
            <w:tcW w:type="dxa" w:w="2520"/>
          </w:tcPr>
          <w:p>
            <w:pPr>
              <w:spacing w:after="20"/>
            </w:pPr>
            <w:r>
              <w:rPr>
                <w:b/>
                <w:color w:val="1C3A36"/>
                <w:sz w:val="16"/>
              </w:rPr>
              <w:t>The Auto margin does not hold where the reviewed half left it</w:t>
            </w:r>
          </w:p>
        </w:tc>
        <w:tc>
          <w:tcPr>
            <w:tcW w:type="dxa" w:w="3960"/>
          </w:tcPr>
          <w:p>
            <w:pPr>
              <w:spacing w:after="20"/>
              <w:jc w:val="right"/>
            </w:pPr>
            <w:r>
              <w:rPr>
                <w:color w:val="1C3A36"/>
                <w:sz w:val="16"/>
              </w:rPr>
              <w:t>New entrants resetting price points, or the currency moving through imported assembly content</w:t>
            </w:r>
          </w:p>
        </w:tc>
        <w:tc>
          <w:tcPr>
            <w:tcW w:type="dxa" w:w="3744"/>
          </w:tcPr>
          <w:p>
            <w:pPr>
              <w:spacing w:after="20"/>
              <w:jc w:val="right"/>
            </w:pPr>
            <w:r>
              <w:rPr>
                <w:color w:val="1C3A36"/>
                <w:sz w:val="16"/>
              </w:rPr>
              <w:t>PRICED: 9.9% between the forecast path and the latest reviewed half held flat across the window</w:t>
            </w:r>
          </w:p>
        </w:tc>
      </w:tr>
      <w:tr>
        <w:tc>
          <w:tcPr>
            <w:tcW w:type="dxa" w:w="2520"/>
          </w:tcPr>
          <w:p>
            <w:pPr>
              <w:spacing w:after="20"/>
            </w:pPr>
            <w:r>
              <w:rPr>
                <w:b/>
                <w:color w:val="1C3A36"/>
                <w:sz w:val="16"/>
              </w:rPr>
              <w:t>Terminal-value dependency, on an asset life that could not be sourced</w:t>
            </w:r>
          </w:p>
        </w:tc>
        <w:tc>
          <w:tcPr>
            <w:tcW w:type="dxa" w:w="3960"/>
          </w:tcPr>
          <w:p>
            <w:pPr>
              <w:spacing w:after="20"/>
              <w:jc w:val="right"/>
            </w:pPr>
            <w:r>
              <w:rPr>
                <w:color w:val="1C3A36"/>
                <w:sz w:val="16"/>
              </w:rPr>
              <w:t>97% of the auto leg’s enterprise value is terminal value, and the accounting-policy note discloses depreciation rate RANGES per class rather than a life</w:t>
            </w:r>
          </w:p>
        </w:tc>
        <w:tc>
          <w:tcPr>
            <w:tcW w:type="dxa" w:w="3744"/>
          </w:tcPr>
          <w:p>
            <w:pPr>
              <w:spacing w:after="20"/>
              <w:jc w:val="right"/>
            </w:pPr>
            <w:r>
              <w:rPr>
                <w:color w:val="1C3A36"/>
                <w:sz w:val="16"/>
              </w:rPr>
              <w:t>NAMED AND NOT PRICED. A life this desk chose would not be a disclosed life, so none was chosen; B.3 records the search</w:t>
            </w:r>
          </w:p>
        </w:tc>
      </w:tr>
      <w:tr>
        <w:tc>
          <w:tcPr>
            <w:tcW w:type="dxa" w:w="2520"/>
          </w:tcPr>
          <w:p>
            <w:pPr>
              <w:spacing w:after="20"/>
            </w:pPr>
            <w:r>
              <w:rPr>
                <w:b/>
                <w:color w:val="1C3A36"/>
                <w:sz w:val="16"/>
              </w:rPr>
              <w:t>Regional exposure to Iraq and Jordan</w:t>
            </w:r>
          </w:p>
        </w:tc>
        <w:tc>
          <w:tcPr>
            <w:tcW w:type="dxa" w:w="3960"/>
          </w:tcPr>
          <w:p>
            <w:pPr>
              <w:spacing w:after="20"/>
              <w:jc w:val="right"/>
            </w:pPr>
            <w:r>
              <w:rPr>
                <w:color w:val="1C3A36"/>
                <w:sz w:val="16"/>
              </w:rPr>
              <w:t>Conflict has already cut volumes in markets that are part of passenger-car revenue</w:t>
            </w:r>
          </w:p>
        </w:tc>
        <w:tc>
          <w:tcPr>
            <w:tcW w:type="dxa" w:w="3744"/>
          </w:tcPr>
          <w:p>
            <w:pPr>
              <w:spacing w:after="20"/>
              <w:jc w:val="right"/>
            </w:pPr>
            <w:r>
              <w:rPr>
                <w:color w:val="1C3A36"/>
                <w:sz w:val="16"/>
              </w:rPr>
              <w:t>NAMED AND NOT PRICED. No sourced split of that revenue for the reviewed half exists in the documents this study holds</w:t>
            </w:r>
          </w:p>
        </w:tc>
      </w:tr>
      <w:tr>
        <w:tc>
          <w:tcPr>
            <w:tcW w:type="dxa" w:w="2520"/>
          </w:tcPr>
          <w:p>
            <w:pPr>
              <w:spacing w:after="20"/>
            </w:pPr>
            <w:r>
              <w:rPr>
                <w:b/>
                <w:color w:val="1C3A36"/>
                <w:sz w:val="16"/>
              </w:rPr>
              <w:t>The pound, on the round-price branch only</w:t>
            </w:r>
          </w:p>
        </w:tc>
        <w:tc>
          <w:tcPr>
            <w:tcW w:type="dxa" w:w="3960"/>
          </w:tcPr>
          <w:p>
            <w:pPr>
              <w:spacing w:after="20"/>
              <w:jc w:val="right"/>
            </w:pPr>
            <w:r>
              <w:rPr>
                <w:color w:val="1C3A36"/>
                <w:sz w:val="16"/>
              </w:rPr>
              <w:t>The round is struck in dollars and translated; a step devaluation moves assembly costs, rates and the pound value of that mark at once</w:t>
            </w:r>
          </w:p>
        </w:tc>
        <w:tc>
          <w:tcPr>
            <w:tcW w:type="dxa" w:w="3744"/>
          </w:tcPr>
          <w:p>
            <w:pPr>
              <w:spacing w:after="20"/>
              <w:jc w:val="right"/>
            </w:pPr>
            <w:r>
              <w:rPr>
                <w:color w:val="1C3A36"/>
                <w:sz w:val="16"/>
              </w:rPr>
              <w:t>NAMED AND NOT PRICED as a separate line. It moves the ROUND branch only — the carrying branch is a pound figure off a pound balance sheet and does not move with it at all</w:t>
            </w:r>
          </w:p>
        </w:tc>
      </w:tr>
    </w:tbl>
    <w:p>
      <w:pPr>
        <w:spacing w:after="40"/>
      </w:pPr>
    </w:p>
    <w:p>
      <w:pPr>
        <w:spacing w:after="200" w:before="0"/>
      </w:pPr>
      <w:r>
        <w:rPr>
          <w:b w:val="0"/>
          <w:i/>
          <w:color w:val="6E7B77"/>
          <w:sz w:val="17"/>
        </w:rPr>
        <w:t>Table B1 — the risk register. Every priced figure is the study’s own contested-judgement record read straight, measured on the branch that gives the larger relative number so the register errs strict.</w:t>
      </w:r>
    </w:p>
    <w:p>
      <w:pPr>
        <w:spacing w:after="80" w:before="200"/>
      </w:pPr>
      <w:r>
        <w:rPr>
          <w:b/>
          <w:i w:val="0"/>
          <w:color w:val="1C3A36"/>
          <w:sz w:val="24"/>
        </w:rPr>
        <w:t>B.3  The research register — layers, dated, negative results included</w:t>
      </w:r>
    </w:p>
    <w:p>
      <w:pPr>
        <w:spacing w:after="120" w:before="0"/>
      </w:pPr>
      <w:r>
        <w:rPr>
          <w:b w:val="0"/>
          <w:i w:val="0"/>
          <w:color w:val="1C3A36"/>
          <w:sz w:val="21"/>
        </w:rPr>
        <w:t>Research for this study proceeded in four layers: the global backdrop, the country, the industry and the company itself. Figures GB CORP REPORTS ABOUT ITSELF come only from documents GB Corp published — its own audited and reviewed statements, its own earnings releases and its own investor material — and never from a data vendor, a broker or a press report. Where the company’s own document could not be obtained, the study says so below rather than substituting a weaker source. The standalone source register that accompanies this study carries every input with its value, its source, that source’s own date and the layer it belongs to.</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744"/>
            <w:shd w:val="clear" w:color="auto" w:fill="EAF0EE"/>
          </w:tcPr>
          <w:p>
            <w:pPr>
              <w:spacing w:after="20"/>
            </w:pPr>
            <w:r>
              <w:rPr>
                <w:b/>
                <w:color w:val="1C3A36"/>
                <w:sz w:val="16"/>
              </w:rPr>
              <w:t>Source</w:t>
            </w:r>
          </w:p>
        </w:tc>
        <w:tc>
          <w:tcPr>
            <w:tcW w:type="dxa" w:w="1656"/>
            <w:shd w:val="clear" w:color="auto" w:fill="EAF0EE"/>
          </w:tcPr>
          <w:p>
            <w:pPr>
              <w:spacing w:after="20"/>
            </w:pPr>
            <w:r>
              <w:rPr>
                <w:b/>
                <w:color w:val="1C3A36"/>
                <w:sz w:val="16"/>
              </w:rPr>
              <w:t>Layer</w:t>
            </w:r>
          </w:p>
        </w:tc>
        <w:tc>
          <w:tcPr>
            <w:tcW w:type="dxa" w:w="1944"/>
            <w:shd w:val="clear" w:color="auto" w:fill="EAF0EE"/>
          </w:tcPr>
          <w:p>
            <w:pPr>
              <w:spacing w:after="20"/>
            </w:pPr>
            <w:r>
              <w:rPr>
                <w:b/>
                <w:color w:val="1C3A36"/>
                <w:sz w:val="16"/>
              </w:rPr>
              <w:t>Date the source carries</w:t>
            </w:r>
          </w:p>
        </w:tc>
        <w:tc>
          <w:tcPr>
            <w:tcW w:type="dxa" w:w="2880"/>
            <w:shd w:val="clear" w:color="auto" w:fill="EAF0EE"/>
          </w:tcPr>
          <w:p>
            <w:pPr>
              <w:spacing w:after="20"/>
            </w:pPr>
            <w:r>
              <w:rPr>
                <w:b/>
                <w:color w:val="1C3A36"/>
                <w:sz w:val="16"/>
              </w:rPr>
              <w:t>What it provided</w:t>
            </w:r>
          </w:p>
        </w:tc>
      </w:tr>
      <w:tr>
        <w:tc>
          <w:tcPr>
            <w:tcW w:type="dxa" w:w="3744"/>
          </w:tcPr>
          <w:p>
            <w:pPr>
              <w:spacing w:after="20"/>
            </w:pPr>
            <w:r>
              <w:rPr>
                <w:color w:val="1C3A36"/>
                <w:sz w:val="16"/>
              </w:rPr>
              <w:t>GB_Corp_ER_4Q23_-_ER_-_FINAL.pdf</w:t>
            </w:r>
          </w:p>
        </w:tc>
        <w:tc>
          <w:tcPr>
            <w:tcW w:type="dxa" w:w="1656"/>
          </w:tcPr>
          <w:p>
            <w:pPr>
              <w:spacing w:after="20"/>
              <w:jc w:val="right"/>
            </w:pPr>
            <w:r>
              <w:rPr>
                <w:color w:val="1C3A36"/>
                <w:sz w:val="16"/>
              </w:rPr>
              <w:t>Company</w:t>
            </w:r>
          </w:p>
        </w:tc>
        <w:tc>
          <w:tcPr>
            <w:tcW w:type="dxa" w:w="1944"/>
          </w:tcPr>
          <w:p>
            <w:pPr>
              <w:spacing w:after="20"/>
              <w:jc w:val="right"/>
            </w:pPr>
            <w:r>
              <w:rPr>
                <w:color w:val="1C3A36"/>
                <w:sz w:val="16"/>
              </w:rPr>
              <w:t>1 March 2024</w:t>
            </w:r>
          </w:p>
        </w:tc>
        <w:tc>
          <w:tcPr>
            <w:tcW w:type="dxa" w:w="2880"/>
          </w:tcPr>
          <w:p>
            <w:pPr>
              <w:spacing w:after="20"/>
              <w:jc w:val="right"/>
            </w:pPr>
            <w:r>
              <w:rPr>
                <w:color w:val="1C3A36"/>
                <w:sz w:val="16"/>
              </w:rPr>
              <w:t>the consolidated income statement as originally reported for FY2023</w:t>
            </w:r>
          </w:p>
        </w:tc>
      </w:tr>
      <w:tr>
        <w:tc>
          <w:tcPr>
            <w:tcW w:type="dxa" w:w="3744"/>
          </w:tcPr>
          <w:p>
            <w:pPr>
              <w:spacing w:after="20"/>
            </w:pPr>
            <w:r>
              <w:rPr>
                <w:color w:val="1C3A36"/>
                <w:sz w:val="16"/>
              </w:rPr>
              <w:t>GB_Corp_ER_4Q24-_E_-_Final.pdf</w:t>
            </w:r>
          </w:p>
        </w:tc>
        <w:tc>
          <w:tcPr>
            <w:tcW w:type="dxa" w:w="1656"/>
          </w:tcPr>
          <w:p>
            <w:pPr>
              <w:spacing w:after="20"/>
              <w:jc w:val="right"/>
            </w:pPr>
            <w:r>
              <w:rPr>
                <w:color w:val="1C3A36"/>
                <w:sz w:val="16"/>
              </w:rPr>
              <w:t>Company</w:t>
            </w:r>
          </w:p>
        </w:tc>
        <w:tc>
          <w:tcPr>
            <w:tcW w:type="dxa" w:w="1944"/>
          </w:tcPr>
          <w:p>
            <w:pPr>
              <w:spacing w:after="20"/>
              <w:jc w:val="right"/>
            </w:pPr>
            <w:r>
              <w:rPr>
                <w:color w:val="1C3A36"/>
                <w:sz w:val="16"/>
              </w:rPr>
              <w:t>1 February 2025</w:t>
            </w:r>
          </w:p>
        </w:tc>
        <w:tc>
          <w:tcPr>
            <w:tcW w:type="dxa" w:w="2880"/>
          </w:tcPr>
          <w:p>
            <w:pPr>
              <w:spacing w:after="20"/>
              <w:jc w:val="right"/>
            </w:pPr>
            <w:r>
              <w:rPr>
                <w:color w:val="1C3A36"/>
                <w:sz w:val="16"/>
              </w:rPr>
              <w:t>the consolidated income statement as originally reported for FY2024</w:t>
            </w:r>
          </w:p>
        </w:tc>
      </w:tr>
      <w:tr>
        <w:tc>
          <w:tcPr>
            <w:tcW w:type="dxa" w:w="3744"/>
          </w:tcPr>
          <w:p>
            <w:pPr>
              <w:spacing w:after="20"/>
            </w:pPr>
            <w:r>
              <w:rPr>
                <w:color w:val="1C3A36"/>
                <w:sz w:val="16"/>
              </w:rPr>
              <w:t>GB_Corp_ER_4Q25-_E_-_Final.pdf</w:t>
            </w:r>
          </w:p>
        </w:tc>
        <w:tc>
          <w:tcPr>
            <w:tcW w:type="dxa" w:w="1656"/>
          </w:tcPr>
          <w:p>
            <w:pPr>
              <w:spacing w:after="20"/>
              <w:jc w:val="right"/>
            </w:pPr>
            <w:r>
              <w:rPr>
                <w:color w:val="1C3A36"/>
                <w:sz w:val="16"/>
              </w:rPr>
              <w:t>Company</w:t>
            </w:r>
          </w:p>
        </w:tc>
        <w:tc>
          <w:tcPr>
            <w:tcW w:type="dxa" w:w="1944"/>
          </w:tcPr>
          <w:p>
            <w:pPr>
              <w:spacing w:after="20"/>
              <w:jc w:val="right"/>
            </w:pPr>
            <w:r>
              <w:rPr>
                <w:color w:val="1C3A36"/>
                <w:sz w:val="16"/>
              </w:rPr>
              <w:t>26 February 2026</w:t>
            </w:r>
          </w:p>
        </w:tc>
        <w:tc>
          <w:tcPr>
            <w:tcW w:type="dxa" w:w="2880"/>
          </w:tcPr>
          <w:p>
            <w:pPr>
              <w:spacing w:after="20"/>
              <w:jc w:val="right"/>
            </w:pPr>
            <w:r>
              <w:rPr>
                <w:color w:val="1C3A36"/>
                <w:sz w:val="16"/>
              </w:rPr>
              <w:t>the consolidated income statement as originally reported for FY2025</w:t>
            </w:r>
          </w:p>
        </w:tc>
      </w:tr>
      <w:tr>
        <w:tc>
          <w:tcPr>
            <w:tcW w:type="dxa" w:w="3744"/>
          </w:tcPr>
          <w:p>
            <w:pPr>
              <w:spacing w:after="20"/>
            </w:pPr>
            <w:r>
              <w:rPr>
                <w:color w:val="1C3A36"/>
                <w:sz w:val="16"/>
              </w:rPr>
              <w:t>GB Corp’s own reviewed statements, earnings releases and investor material</w:t>
            </w:r>
          </w:p>
        </w:tc>
        <w:tc>
          <w:tcPr>
            <w:tcW w:type="dxa" w:w="1656"/>
          </w:tcPr>
          <w:p>
            <w:pPr>
              <w:spacing w:after="20"/>
              <w:jc w:val="right"/>
            </w:pPr>
            <w:r>
              <w:rPr>
                <w:color w:val="1C3A36"/>
                <w:sz w:val="16"/>
              </w:rPr>
              <w:t>Company</w:t>
            </w:r>
          </w:p>
        </w:tc>
        <w:tc>
          <w:tcPr>
            <w:tcW w:type="dxa" w:w="1944"/>
          </w:tcPr>
          <w:p>
            <w:pPr>
              <w:spacing w:after="20"/>
              <w:jc w:val="right"/>
            </w:pPr>
            <w:r>
              <w:rPr>
                <w:color w:val="1C3A36"/>
                <w:sz w:val="16"/>
              </w:rPr>
              <w:t>1 February 2025 to 26 February 2026</w:t>
            </w:r>
          </w:p>
        </w:tc>
        <w:tc>
          <w:tcPr>
            <w:tcW w:type="dxa" w:w="2880"/>
          </w:tcPr>
          <w:p>
            <w:pPr>
              <w:spacing w:after="20"/>
              <w:jc w:val="right"/>
            </w:pPr>
            <w:r>
              <w:rPr>
                <w:color w:val="1C3A36"/>
                <w:sz w:val="16"/>
              </w:rPr>
              <w:t>the 8 dated inputs the model consumes, each carried in the source register with its own four fields</w:t>
            </w:r>
          </w:p>
        </w:tc>
      </w:tr>
      <w:tr>
        <w:tc>
          <w:tcPr>
            <w:tcW w:type="dxa" w:w="3744"/>
          </w:tcPr>
          <w:p>
            <w:pPr>
              <w:spacing w:after="20"/>
            </w:pPr>
            <w:r>
              <w:rPr>
                <w:color w:val="1C3A36"/>
                <w:sz w:val="16"/>
              </w:rPr>
              <w:t>GB Corp’s own reviewed statements, earnings releases and investor material</w:t>
            </w:r>
          </w:p>
        </w:tc>
        <w:tc>
          <w:tcPr>
            <w:tcW w:type="dxa" w:w="1656"/>
          </w:tcPr>
          <w:p>
            <w:pPr>
              <w:spacing w:after="20"/>
              <w:jc w:val="right"/>
            </w:pPr>
            <w:r>
              <w:rPr>
                <w:color w:val="1C3A36"/>
                <w:sz w:val="16"/>
              </w:rPr>
              <w:t>Company (investor relations)</w:t>
            </w:r>
          </w:p>
        </w:tc>
        <w:tc>
          <w:tcPr>
            <w:tcW w:type="dxa" w:w="1944"/>
          </w:tcPr>
          <w:p>
            <w:pPr>
              <w:spacing w:after="20"/>
              <w:jc w:val="right"/>
            </w:pPr>
            <w:r>
              <w:rPr>
                <w:color w:val="1C3A36"/>
                <w:sz w:val="16"/>
              </w:rPr>
              <w:t>1 March 2024 to 13 August 2026</w:t>
            </w:r>
          </w:p>
        </w:tc>
        <w:tc>
          <w:tcPr>
            <w:tcW w:type="dxa" w:w="2880"/>
          </w:tcPr>
          <w:p>
            <w:pPr>
              <w:spacing w:after="20"/>
              <w:jc w:val="right"/>
            </w:pPr>
            <w:r>
              <w:rPr>
                <w:color w:val="1C3A36"/>
                <w:sz w:val="16"/>
              </w:rPr>
              <w:t>the 11 dated inputs the model consumes, each carried in the source register with its own four fields</w:t>
            </w:r>
          </w:p>
        </w:tc>
      </w:tr>
    </w:tbl>
    <w:p>
      <w:pPr>
        <w:spacing w:after="40"/>
      </w:pPr>
    </w:p>
    <w:p>
      <w:pPr>
        <w:spacing w:after="120" w:before="120"/>
      </w:pPr>
      <w:r>
        <w:rPr>
          <w:b w:val="0"/>
          <w:i w:val="0"/>
          <w:color w:val="1C3A36"/>
          <w:sz w:val="19"/>
        </w:rPr>
        <w:t>Negative results. Each of these is a search that was actually run and did not find what it was looking for; each shaped the model as much as the evidence did.</w:t>
      </w:r>
    </w:p>
    <w:p>
      <w:pPr>
        <w:pStyle w:val="ListBullet"/>
        <w:spacing w:after="60"/>
      </w:pPr>
      <w:r>
        <w:rPr>
          <w:b/>
          <w:color w:val="1C3A36"/>
          <w:sz w:val="21"/>
        </w:rPr>
        <w:t xml:space="preserve">No disclosed useful life for the operating asset base. </w:t>
      </w:r>
      <w:r>
        <w:rPr>
          <w:color w:val="1C3A36"/>
          <w:sz w:val="21"/>
        </w:rPr>
        <w:t>A terminal is meant to rest on a life the company discloses. GB Corp’s accounting-policy note gives depreciation rate RANGES by asset class and no single figure; recovering an implied life from the property, plant and equipment note returns a span that depends on an undisclosed land split and produces per-class rates that contradict the disclosed bands. Finding a range is not finding a life, and a derived life that contradicts the policy it implements is not one either. No life was chosen and the refusal is printed in §1.2.</w:t>
      </w:r>
    </w:p>
    <w:p>
      <w:pPr>
        <w:pStyle w:val="ListBullet"/>
        <w:spacing w:after="60"/>
      </w:pPr>
      <w:r>
        <w:rPr>
          <w:b/>
          <w:color w:val="1C3A36"/>
          <w:sz w:val="21"/>
        </w:rPr>
        <w:t xml:space="preserve">No audited financial statements for the associate that dominates this valuation. </w:t>
      </w:r>
      <w:r>
        <w:rPr>
          <w:color w:val="1C3A36"/>
          <w:sz w:val="21"/>
        </w:rPr>
        <w:t>They were not available to this study and they were not available to GB Corp’s own reviewers either, who say so in a qualified conclusion. That absence is the reason this study publishes two answers rather than one.</w:t>
      </w:r>
    </w:p>
    <w:p>
      <w:pPr>
        <w:pStyle w:val="ListBullet"/>
        <w:spacing w:after="60"/>
      </w:pPr>
      <w:r>
        <w:rPr>
          <w:b/>
          <w:color w:val="1C3A36"/>
          <w:sz w:val="21"/>
        </w:rPr>
        <w:t xml:space="preserve">No sourced split of passenger-car revenue between the domestic and regional markets for the reviewed half. </w:t>
      </w:r>
      <w:r>
        <w:rPr>
          <w:color w:val="1C3A36"/>
          <w:sz w:val="21"/>
        </w:rPr>
        <w:t>The regional exposure is named as a risk and a reader is entitled to its size. It is not disclosed in the documents this study holds for that period, so the exposure is NAMED and NOT PRICED and no split was estimated.</w:t>
      </w:r>
    </w:p>
    <w:p>
      <w:pPr>
        <w:pStyle w:val="ListBullet"/>
        <w:spacing w:after="60"/>
      </w:pPr>
      <w:r>
        <w:rPr>
          <w:b/>
          <w:color w:val="1C3A36"/>
          <w:sz w:val="21"/>
        </w:rPr>
        <w:t xml:space="preserve">No usable beta from the first regression attempted on this name. </w:t>
      </w:r>
      <w:r>
        <w:rPr>
          <w:color w:val="1C3A36"/>
          <w:sz w:val="21"/>
        </w:rPr>
        <w:t>The first attempt used five annual observations and returned a negative slope with essentially no explanatory power. It was refused rather than used. A conforming weekly regression against the exchange’s published index has since been produced and is what this edition adopts; the superseded figure is recorded beside it in the source register rather than deleted.</w:t>
      </w:r>
    </w:p>
    <w:p>
      <w:pPr>
        <w:pStyle w:val="ListBullet"/>
        <w:spacing w:after="60"/>
      </w:pPr>
      <w:r>
        <w:rPr>
          <w:b/>
          <w:color w:val="1C3A36"/>
          <w:sz w:val="21"/>
        </w:rPr>
        <w:t xml:space="preserve">No terms for the second closing of the June-2026 round. </w:t>
      </w:r>
      <w:r>
        <w:rPr>
          <w:color w:val="1C3A36"/>
          <w:sz w:val="21"/>
        </w:rPr>
        <w:t>Public reporting describes that close as an initial tranche of an ongoing round. Size and terms are undisclosed, so neither a higher nor a lower mark has a number behind it and none was invented.</w:t>
      </w:r>
    </w:p>
    <w:p>
      <w:pPr>
        <w:pStyle w:val="ListBullet"/>
        <w:spacing w:after="60"/>
      </w:pPr>
      <w:r>
        <w:rPr>
          <w:b/>
          <w:color w:val="1C3A36"/>
          <w:sz w:val="21"/>
        </w:rPr>
        <w:t xml:space="preserve">No audited statements for the two earliest years of the intended history window. </w:t>
      </w:r>
      <w:r>
        <w:rPr>
          <w:color w:val="1C3A36"/>
          <w:sz w:val="21"/>
        </w:rPr>
        <w:t>The company’s own filings index does not reach those years, and the annual reports for them lay the statements out in a form the text layer cannot attach to labels. The affected balance-sheet items are recorded as MISSING with that reason rather than estimated, and the window was shortened instead.</w:t>
      </w:r>
    </w:p>
    <w:p>
      <w:pPr>
        <w:spacing w:after="120" w:before="280"/>
      </w:pPr>
      <w:r>
        <w:rPr>
          <w:b/>
          <w:i w:val="0"/>
          <w:color w:val="1C3A36"/>
          <w:sz w:val="30"/>
        </w:rPr>
        <w:t>Appendix C  The expert valuation panel</w:t>
      </w:r>
    </w:p>
    <w:p>
      <w:pPr>
        <w:spacing w:after="120" w:before="0"/>
      </w:pPr>
      <w:r>
        <w:rPr>
          <w:b w:val="0"/>
          <w:i w:val="0"/>
          <w:color w:val="1C3A36"/>
          <w:sz w:val="21"/>
        </w:rPr>
        <w:t>Every study closes with a panel of standing expert personas, so that each accumulates a track record across studies and an update is a re-run rather than a re-training. For GB Corp we cast the industrial trio, adapted to what this group actually is: Expert 1 (the accountant — net asset value and the marks), Expert 2 (residual income — what the group’s own reported return justifies against its own book), Expert 3 (cash returns — return on capital against its cost). Each runs a different method, derives its value from shown workings, states a named sensitivity, and states in advance what would falsify it.</w:t>
      </w:r>
    </w:p>
    <w:p>
      <w:pPr>
        <w:spacing w:after="120" w:before="0"/>
      </w:pPr>
      <w:r>
        <w:rPr>
          <w:b w:val="0"/>
          <w:i w:val="0"/>
          <w:color w:val="1C3A36"/>
          <w:sz w:val="19"/>
        </w:rPr>
        <w:t>One change since the last edition is worth naming, because it is a method being retired rather than a persona being renamed. Expert 2 used to capitalise mid-cycle earnings. That lens is gone from this study for the reason §1.4 gives — GB Corp’s reported earnings swing with what its associates are marked at rather than with an operating cycle — so an expert still running it would be working on a lens the study no longer holds. He now runs residual income on the whole group, which needs no mid-cycle figure anybody has to choose.</w:t>
      </w:r>
    </w:p>
    <w:p>
      <w:pPr>
        <w:spacing w:after="80" w:before="200"/>
      </w:pPr>
      <w:r>
        <w:rPr>
          <w:b/>
          <w:i w:val="0"/>
          <w:color w:val="1C3A36"/>
          <w:sz w:val="24"/>
        </w:rPr>
        <w:t>C.1  Expert 1 — the split-legs net asset value and the marks</w:t>
      </w:r>
    </w:p>
    <w:p>
      <w:pPr>
        <w:spacing w:after="120" w:before="0"/>
      </w:pPr>
      <w:r>
        <w:rPr>
          <w:b w:val="0"/>
          <w:i w:val="0"/>
          <w:color w:val="1C3A36"/>
          <w:sz w:val="19"/>
        </w:rPr>
        <w:t>Worldview. A group is worth the sum of its parts at realisable value, less a discount for the wrapper. Mark each leg to what it would fetch on its own; then argue only about the discount.</w:t>
      </w:r>
    </w:p>
    <w:p>
      <w:pPr>
        <w:spacing w:after="120" w:before="0"/>
      </w:pPr>
      <w:r>
        <w:rPr>
          <w:b w:val="0"/>
          <w:i w:val="0"/>
          <w:color w:val="1C3A36"/>
          <w:sz w:val="19"/>
        </w:rPr>
        <w:t>When it works and when it fails. Best where the legs are separable and independently markable; it fails hardest when the discount applied to a private mark is itself contestable, which is exactly his position here. He also differs from the study on the lender: he marks it at its book rather than at what its return justifies, which is a real disagreement and is why his number is not the study’s round-price branch.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336"/>
            <w:shd w:val="clear" w:color="auto" w:fill="EAF0EE"/>
          </w:tcPr>
          <w:p>
            <w:pPr>
              <w:spacing w:after="20"/>
            </w:pPr>
            <w:r>
              <w:rPr>
                <w:b/>
                <w:color w:val="1C3A36"/>
                <w:sz w:val="18"/>
              </w:rPr>
              <w:t>Expert 1’s marks</w:t>
            </w:r>
          </w:p>
        </w:tc>
        <w:tc>
          <w:tcPr>
            <w:tcW w:type="dxa" w:w="2448"/>
            <w:shd w:val="clear" w:color="auto" w:fill="EAF0EE"/>
          </w:tcPr>
          <w:p>
            <w:pPr>
              <w:spacing w:after="20"/>
            </w:pPr>
            <w:r>
              <w:rPr>
                <w:b/>
                <w:color w:val="1C3A36"/>
                <w:sz w:val="18"/>
              </w:rPr>
              <w:t>EGP mn</w:t>
            </w:r>
          </w:p>
        </w:tc>
      </w:tr>
      <w:tr>
        <w:tc>
          <w:tcPr>
            <w:tcW w:type="dxa" w:w="6336"/>
          </w:tcPr>
          <w:p>
            <w:pPr>
              <w:spacing w:after="20"/>
            </w:pPr>
            <w:r>
              <w:rPr>
                <w:b/>
                <w:color w:val="1C3A36"/>
                <w:sz w:val="18"/>
              </w:rPr>
              <w:t>Auto leg (he accepts the §1.2 cash-flow value)</w:t>
            </w:r>
          </w:p>
        </w:tc>
        <w:tc>
          <w:tcPr>
            <w:tcW w:type="dxa" w:w="2448"/>
          </w:tcPr>
          <w:p>
            <w:pPr>
              <w:spacing w:after="20"/>
              <w:jc w:val="right"/>
            </w:pPr>
            <w:r>
              <w:rPr>
                <w:color w:val="1C3A36"/>
                <w:sz w:val="18"/>
              </w:rPr>
              <w:t>2,645</w:t>
            </w:r>
          </w:p>
        </w:tc>
      </w:tr>
      <w:tr>
        <w:tc>
          <w:tcPr>
            <w:tcW w:type="dxa" w:w="6336"/>
          </w:tcPr>
          <w:p>
            <w:pPr>
              <w:spacing w:after="20"/>
            </w:pPr>
            <w:r>
              <w:rPr>
                <w:b/>
                <w:color w:val="1C3A36"/>
                <w:sz w:val="18"/>
              </w:rPr>
              <w:t>Plus GB Capital at its operating book</w:t>
            </w:r>
          </w:p>
        </w:tc>
        <w:tc>
          <w:tcPr>
            <w:tcW w:type="dxa" w:w="2448"/>
          </w:tcPr>
          <w:p>
            <w:pPr>
              <w:spacing w:after="20"/>
              <w:jc w:val="right"/>
            </w:pPr>
            <w:r>
              <w:rPr>
                <w:color w:val="1C3A36"/>
                <w:sz w:val="18"/>
              </w:rPr>
              <w:t>6,267</w:t>
            </w:r>
          </w:p>
        </w:tc>
      </w:tr>
      <w:tr>
        <w:tc>
          <w:tcPr>
            <w:tcW w:type="dxa" w:w="6336"/>
          </w:tcPr>
          <w:p>
            <w:pPr>
              <w:spacing w:after="20"/>
            </w:pPr>
            <w:r>
              <w:rPr>
                <w:b/>
                <w:color w:val="1C3A36"/>
                <w:sz w:val="18"/>
              </w:rPr>
              <w:t>Plus associates: MNT-Halan at the round price, plus the residual holdings</w:t>
            </w:r>
          </w:p>
        </w:tc>
        <w:tc>
          <w:tcPr>
            <w:tcW w:type="dxa" w:w="2448"/>
          </w:tcPr>
          <w:p>
            <w:pPr>
              <w:spacing w:after="20"/>
              <w:jc w:val="right"/>
            </w:pPr>
            <w:r>
              <w:rPr>
                <w:color w:val="1C3A36"/>
                <w:sz w:val="18"/>
              </w:rPr>
              <w:t>29,780</w:t>
            </w:r>
          </w:p>
        </w:tc>
      </w:tr>
      <w:tr>
        <w:tc>
          <w:tcPr>
            <w:tcW w:type="dxa" w:w="6336"/>
          </w:tcPr>
          <w:p>
            <w:pPr>
              <w:spacing w:after="20"/>
            </w:pPr>
            <w:r>
              <w:rPr>
                <w:b/>
                <w:color w:val="1C3A36"/>
                <w:sz w:val="18"/>
              </w:rPr>
              <w:t>Sum before the discount</w:t>
            </w:r>
          </w:p>
        </w:tc>
        <w:tc>
          <w:tcPr>
            <w:tcW w:type="dxa" w:w="2448"/>
          </w:tcPr>
          <w:p>
            <w:pPr>
              <w:spacing w:after="20"/>
              <w:jc w:val="right"/>
            </w:pPr>
            <w:r>
              <w:rPr>
                <w:color w:val="1C3A36"/>
                <w:sz w:val="18"/>
              </w:rPr>
              <w:t>38,692</w:t>
            </w:r>
          </w:p>
        </w:tc>
      </w:tr>
      <w:tr>
        <w:tc>
          <w:tcPr>
            <w:tcW w:type="dxa" w:w="6336"/>
          </w:tcPr>
          <w:p>
            <w:pPr>
              <w:spacing w:after="20"/>
            </w:pPr>
            <w:r>
              <w:rPr>
                <w:b/>
                <w:color w:val="1C3A36"/>
                <w:sz w:val="18"/>
              </w:rPr>
              <w:t>Less wrapper discount at 8% — an operator, not a passive holding company</w:t>
            </w:r>
          </w:p>
        </w:tc>
        <w:tc>
          <w:tcPr>
            <w:tcW w:type="dxa" w:w="2448"/>
          </w:tcPr>
          <w:p>
            <w:pPr>
              <w:spacing w:after="20"/>
              <w:jc w:val="right"/>
            </w:pPr>
            <w:r>
              <w:rPr>
                <w:color w:val="1C3A36"/>
                <w:sz w:val="18"/>
              </w:rPr>
              <w:t>(3,095)</w:t>
            </w:r>
          </w:p>
        </w:tc>
      </w:tr>
      <w:tr>
        <w:tc>
          <w:tcPr>
            <w:tcW w:type="dxa" w:w="6336"/>
          </w:tcPr>
          <w:p>
            <w:pPr>
              <w:spacing w:after="20"/>
            </w:pPr>
            <w:r>
              <w:rPr>
                <w:b/>
                <w:color w:val="1C3A36"/>
                <w:sz w:val="18"/>
              </w:rPr>
              <w:t>Equity value</w:t>
            </w:r>
          </w:p>
        </w:tc>
        <w:tc>
          <w:tcPr>
            <w:tcW w:type="dxa" w:w="2448"/>
          </w:tcPr>
          <w:p>
            <w:pPr>
              <w:spacing w:after="20"/>
              <w:jc w:val="right"/>
            </w:pPr>
            <w:r>
              <w:rPr>
                <w:color w:val="1C3A36"/>
                <w:sz w:val="18"/>
              </w:rPr>
              <w:t>35,597</w:t>
            </w:r>
          </w:p>
        </w:tc>
      </w:tr>
      <w:tr>
        <w:tc>
          <w:tcPr>
            <w:tcW w:type="dxa" w:w="6336"/>
          </w:tcPr>
          <w:p>
            <w:pPr>
              <w:spacing w:after="20"/>
            </w:pPr>
            <w:r>
              <w:rPr>
                <w:b/>
                <w:color w:val="1C3A36"/>
                <w:sz w:val="18"/>
              </w:rPr>
              <w:t>Per share (EGP)</w:t>
            </w:r>
          </w:p>
        </w:tc>
        <w:tc>
          <w:tcPr>
            <w:tcW w:type="dxa" w:w="2448"/>
          </w:tcPr>
          <w:p>
            <w:pPr>
              <w:spacing w:after="20"/>
              <w:jc w:val="right"/>
            </w:pPr>
            <w:r>
              <w:rPr>
                <w:color w:val="1C3A36"/>
                <w:sz w:val="18"/>
              </w:rPr>
              <w:t>32.79</w:t>
            </w:r>
          </w:p>
        </w:tc>
      </w:tr>
    </w:tbl>
    <w:p>
      <w:pPr>
        <w:spacing w:after="40"/>
      </w:pPr>
    </w:p>
    <w:p>
      <w:pPr>
        <w:spacing w:after="120" w:before="0"/>
      </w:pPr>
      <w:r>
        <w:rPr>
          <w:b w:val="0"/>
          <w:i w:val="0"/>
          <w:color w:val="1C3A36"/>
          <w:sz w:val="19"/>
        </w:rPr>
        <w:t>Sensitivity — the swing is the mark, not the ownership. Marking MNT-Halan at three quarters of the round’s valuation takes his number to EGP 26.59 per share; at half, to EGP 20.39. He concedes the point openly: the stake is not the argument, the argument is what a 41.61% minority holding in an unlisted company is worth to a public-market buyer who cannot sell it.</w:t>
      </w:r>
    </w:p>
    <w:p>
      <w:pPr>
        <w:spacing w:after="120" w:before="0"/>
      </w:pPr>
      <w:r>
        <w:rPr>
          <w:b/>
          <w:i w:val="0"/>
          <w:color w:val="1C3A36"/>
          <w:sz w:val="21"/>
        </w:rPr>
        <w:t xml:space="preserve">Verdict, falsification, and what the price implies. </w:t>
      </w:r>
      <w:r>
        <w:rPr>
          <w:b w:val="0"/>
          <w:i w:val="0"/>
          <w:color w:val="1C3A36"/>
          <w:sz w:val="21"/>
        </w:rPr>
        <w:t>Fair value EGP 32.79, on a range of EGP 7.52 to 75.39 — the widest in the room, and driven by the discount debate rather than by an unconfirmed stake. HE IS FALSIFIED BY a real secondary transaction in the associate’s shares at a materially different price, or by a second closing repricing the round. The traded price leaves EGP 28,330 mn for all the associates together, which in his own view is evidence the market does not accept that the round’s marked value transfers cleanly to a minority holder.</w:t>
      </w:r>
    </w:p>
    <w:p>
      <w:pPr>
        <w:spacing w:after="80" w:before="200"/>
      </w:pPr>
      <w:r>
        <w:rPr>
          <w:b/>
          <w:i w:val="0"/>
          <w:color w:val="1C3A36"/>
          <w:sz w:val="24"/>
        </w:rPr>
        <w:t>C.2  Expert 2 — residual income on the whole group</w:t>
      </w:r>
    </w:p>
    <w:p>
      <w:pPr>
        <w:spacing w:after="120" w:before="0"/>
      </w:pPr>
      <w:r>
        <w:rPr>
          <w:b w:val="0"/>
          <w:i w:val="0"/>
          <w:color w:val="1C3A36"/>
          <w:sz w:val="19"/>
        </w:rPr>
        <w:t>Worldview. A company is worth its book value plus the present value of whatever it earns ABOVE the cost of that equity. If it earns exactly its cost of capital it is worth book; if it earns less, it is worth less than book, and no growth rate rescues it. He needs no mid-cycle earnings figure and no multiple anybody has to choose — only a book value, a return and a cost of equity, all three of which the accounts and the cost-of-capital schedule already carry.</w:t>
      </w:r>
    </w:p>
    <w:p>
      <w:pPr>
        <w:spacing w:after="120" w:before="0"/>
      </w:pPr>
      <w:r>
        <w:rPr>
          <w:b w:val="0"/>
          <w:i w:val="0"/>
          <w:color w:val="1C3A36"/>
          <w:sz w:val="19"/>
        </w:rPr>
        <w:t>When it works and when it fails. Best where the accounts are clean and the return is durable. It fails where reported equity or reported profit is contaminated, and HE STATES THAT BOTH OF HIS OWN INPUTS ARE, in known directions: the earnings carry the group’s share of associate results, and the equity carries a revaluation booked on deconsolidating an associate. He runs the method anyway and says so, because the direction of the contamination is the argument. His is the harshest read in the study.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336"/>
            <w:shd w:val="clear" w:color="auto" w:fill="EAF0EE"/>
          </w:tcPr>
          <w:p>
            <w:pPr>
              <w:spacing w:after="20"/>
            </w:pPr>
            <w:r>
              <w:rPr>
                <w:b/>
                <w:color w:val="1C3A36"/>
                <w:sz w:val="18"/>
              </w:rPr>
              <w:t>Expert 2’s residual-income read</w:t>
            </w:r>
          </w:p>
        </w:tc>
        <w:tc>
          <w:tcPr>
            <w:tcW w:type="dxa" w:w="2448"/>
            <w:shd w:val="clear" w:color="auto" w:fill="EAF0EE"/>
          </w:tcPr>
          <w:p>
            <w:pPr>
              <w:spacing w:after="20"/>
            </w:pPr>
            <w:r>
              <w:rPr>
                <w:b/>
                <w:color w:val="1C3A36"/>
                <w:sz w:val="18"/>
              </w:rPr>
              <w:t>Value</w:t>
            </w:r>
          </w:p>
        </w:tc>
      </w:tr>
      <w:tr>
        <w:tc>
          <w:tcPr>
            <w:tcW w:type="dxa" w:w="6336"/>
          </w:tcPr>
          <w:p>
            <w:pPr>
              <w:spacing w:after="20"/>
            </w:pPr>
            <w:r>
              <w:rPr>
                <w:b/>
                <w:color w:val="1C3A36"/>
                <w:sz w:val="18"/>
              </w:rPr>
              <w:t>Group shareholders’ equity before minority interests, 30 June 2026 (EGP mn)</w:t>
            </w:r>
          </w:p>
        </w:tc>
        <w:tc>
          <w:tcPr>
            <w:tcW w:type="dxa" w:w="2448"/>
          </w:tcPr>
          <w:p>
            <w:pPr>
              <w:spacing w:after="20"/>
              <w:jc w:val="right"/>
            </w:pPr>
            <w:r>
              <w:rPr>
                <w:color w:val="1C3A36"/>
                <w:sz w:val="18"/>
              </w:rPr>
              <w:t>33,454.3</w:t>
            </w:r>
          </w:p>
        </w:tc>
      </w:tr>
      <w:tr>
        <w:tc>
          <w:tcPr>
            <w:tcW w:type="dxa" w:w="6336"/>
          </w:tcPr>
          <w:p>
            <w:pPr>
              <w:spacing w:after="20"/>
            </w:pPr>
            <w:r>
              <w:rPr>
                <w:b/>
                <w:color w:val="1C3A36"/>
                <w:sz w:val="18"/>
              </w:rPr>
              <w:t>Divided by shares in issue (mn)</w:t>
            </w:r>
          </w:p>
        </w:tc>
        <w:tc>
          <w:tcPr>
            <w:tcW w:type="dxa" w:w="2448"/>
          </w:tcPr>
          <w:p>
            <w:pPr>
              <w:spacing w:after="20"/>
              <w:jc w:val="right"/>
            </w:pPr>
            <w:r>
              <w:rPr>
                <w:color w:val="1C3A36"/>
                <w:sz w:val="18"/>
              </w:rPr>
              <w:t>1,085.5</w:t>
            </w:r>
          </w:p>
        </w:tc>
      </w:tr>
      <w:tr>
        <w:tc>
          <w:tcPr>
            <w:tcW w:type="dxa" w:w="6336"/>
          </w:tcPr>
          <w:p>
            <w:pPr>
              <w:spacing w:after="20"/>
            </w:pPr>
            <w:r>
              <w:rPr>
                <w:b/>
                <w:color w:val="1C3A36"/>
                <w:sz w:val="18"/>
              </w:rPr>
              <w:t>Book value per share (EGP)</w:t>
            </w:r>
          </w:p>
        </w:tc>
        <w:tc>
          <w:tcPr>
            <w:tcW w:type="dxa" w:w="2448"/>
          </w:tcPr>
          <w:p>
            <w:pPr>
              <w:spacing w:after="20"/>
              <w:jc w:val="right"/>
            </w:pPr>
            <w:r>
              <w:rPr>
                <w:color w:val="1C3A36"/>
                <w:sz w:val="18"/>
              </w:rPr>
              <w:t>30.82</w:t>
            </w:r>
          </w:p>
        </w:tc>
      </w:tr>
      <w:tr>
        <w:tc>
          <w:tcPr>
            <w:tcW w:type="dxa" w:w="6336"/>
          </w:tcPr>
          <w:p>
            <w:pPr>
              <w:spacing w:after="20"/>
            </w:pPr>
            <w:r>
              <w:rPr>
                <w:b/>
                <w:color w:val="1C3A36"/>
                <w:sz w:val="18"/>
              </w:rPr>
              <w:t>Return on that equity — FY2025 reported profit attributable over reported equity</w:t>
            </w:r>
          </w:p>
        </w:tc>
        <w:tc>
          <w:tcPr>
            <w:tcW w:type="dxa" w:w="2448"/>
          </w:tcPr>
          <w:p>
            <w:pPr>
              <w:spacing w:after="20"/>
              <w:jc w:val="right"/>
            </w:pPr>
            <w:r>
              <w:rPr>
                <w:color w:val="1C3A36"/>
                <w:sz w:val="18"/>
              </w:rPr>
              <w:t>10.00%</w:t>
            </w:r>
          </w:p>
        </w:tc>
      </w:tr>
      <w:tr>
        <w:tc>
          <w:tcPr>
            <w:tcW w:type="dxa" w:w="6336"/>
          </w:tcPr>
          <w:p>
            <w:pPr>
              <w:spacing w:after="20"/>
            </w:pPr>
            <w:r>
              <w:rPr>
                <w:b/>
                <w:color w:val="1C3A36"/>
                <w:sz w:val="18"/>
              </w:rPr>
              <w:t>Cost of that equity — the terminal rate from the §1.8 schedule</w:t>
            </w:r>
          </w:p>
        </w:tc>
        <w:tc>
          <w:tcPr>
            <w:tcW w:type="dxa" w:w="2448"/>
          </w:tcPr>
          <w:p>
            <w:pPr>
              <w:spacing w:after="20"/>
              <w:jc w:val="right"/>
            </w:pPr>
            <w:r>
              <w:rPr>
                <w:color w:val="1C3A36"/>
                <w:sz w:val="18"/>
              </w:rPr>
              <w:t>18.73%</w:t>
            </w:r>
          </w:p>
        </w:tc>
      </w:tr>
      <w:tr>
        <w:tc>
          <w:tcPr>
            <w:tcW w:type="dxa" w:w="6336"/>
          </w:tcPr>
          <w:p>
            <w:pPr>
              <w:spacing w:after="20"/>
            </w:pPr>
            <w:r>
              <w:rPr>
                <w:b/>
                <w:color w:val="1C3A36"/>
                <w:sz w:val="18"/>
              </w:rPr>
              <w:t>Long-run growth applied to both</w:t>
            </w:r>
          </w:p>
        </w:tc>
        <w:tc>
          <w:tcPr>
            <w:tcW w:type="dxa" w:w="2448"/>
          </w:tcPr>
          <w:p>
            <w:pPr>
              <w:spacing w:after="20"/>
              <w:jc w:val="right"/>
            </w:pPr>
            <w:r>
              <w:rPr>
                <w:color w:val="1C3A36"/>
                <w:sz w:val="18"/>
              </w:rPr>
              <w:t>7.00%</w:t>
            </w:r>
          </w:p>
        </w:tc>
      </w:tr>
      <w:tr>
        <w:tc>
          <w:tcPr>
            <w:tcW w:type="dxa" w:w="6336"/>
          </w:tcPr>
          <w:p>
            <w:pPr>
              <w:spacing w:after="20"/>
            </w:pPr>
            <w:r>
              <w:rPr>
                <w:b/>
                <w:color w:val="1C3A36"/>
                <w:sz w:val="18"/>
              </w:rPr>
              <w:t>Times the justified multiple of book — (return less growth) over (cost of equity less growth)</w:t>
            </w:r>
          </w:p>
        </w:tc>
        <w:tc>
          <w:tcPr>
            <w:tcW w:type="dxa" w:w="2448"/>
          </w:tcPr>
          <w:p>
            <w:pPr>
              <w:spacing w:after="20"/>
              <w:jc w:val="right"/>
            </w:pPr>
            <w:r>
              <w:rPr>
                <w:color w:val="1C3A36"/>
                <w:sz w:val="18"/>
              </w:rPr>
              <w:t>0.2560×</w:t>
            </w:r>
          </w:p>
        </w:tc>
      </w:tr>
      <w:tr>
        <w:tc>
          <w:tcPr>
            <w:tcW w:type="dxa" w:w="6336"/>
          </w:tcPr>
          <w:p>
            <w:pPr>
              <w:spacing w:after="20"/>
            </w:pPr>
            <w:r>
              <w:rPr>
                <w:b/>
                <w:color w:val="1C3A36"/>
                <w:sz w:val="18"/>
              </w:rPr>
              <w:t>Fair value per share (EGP)</w:t>
            </w:r>
          </w:p>
        </w:tc>
        <w:tc>
          <w:tcPr>
            <w:tcW w:type="dxa" w:w="2448"/>
          </w:tcPr>
          <w:p>
            <w:pPr>
              <w:spacing w:after="20"/>
              <w:jc w:val="right"/>
            </w:pPr>
            <w:r>
              <w:rPr>
                <w:color w:val="1C3A36"/>
                <w:sz w:val="18"/>
              </w:rPr>
              <w:t>7.89</w:t>
            </w:r>
          </w:p>
        </w:tc>
      </w:tr>
    </w:tbl>
    <w:p>
      <w:pPr>
        <w:spacing w:after="40"/>
      </w:pPr>
    </w:p>
    <w:p>
      <w:pPr>
        <w:spacing w:after="120" w:before="0"/>
      </w:pPr>
      <w:r>
        <w:rPr>
          <w:b w:val="0"/>
          <w:i w:val="0"/>
          <w:color w:val="1C3A36"/>
          <w:sz w:val="19"/>
        </w:rPr>
        <w:t>His arithmetic in one sentence: the group earns 10.00% on its own reported equity against a cost of 18.73%, a shortfall of 8.73 points against its cost of capital, so the accounts on their own justify 0.2560× book and no more — EGP 7.89 a share against a book value of EGP 30.82 and a traded price of EGP 28.98.</w:t>
      </w:r>
    </w:p>
    <w:p>
      <w:pPr>
        <w:spacing w:after="120" w:before="0"/>
      </w:pPr>
      <w:r>
        <w:rPr>
          <w:b w:val="0"/>
          <w:i w:val="0"/>
          <w:color w:val="1C3A36"/>
          <w:sz w:val="19"/>
        </w:rPr>
        <w:t>Sensitivity — the swing is the return, and he names it as the only lever worth arguing about. A return one percentage point lower takes him to EGP 5.26; two points higher, to EGP 13.14. That is the whole range: at this cost of equity the justified multiple is roughly ten times as sensitive to the return as it is to anything else on the page, which is why he refuses to argue about multiples.</w:t>
      </w:r>
    </w:p>
    <w:p>
      <w:pPr>
        <w:spacing w:after="120" w:before="0"/>
      </w:pPr>
      <w:r>
        <w:rPr>
          <w:b w:val="0"/>
          <w:i w:val="0"/>
          <w:color w:val="1C3A36"/>
          <w:sz w:val="19"/>
        </w:rPr>
        <w:t>His own two admissions, stated before anyone puts them to him. FIRST, HIS EARNINGS ARE CONTAMINATED UPWARD: the group’s share of associates’ results was EGP 974.8 mn in FY2025, 34% of profit attributable — so the return he measures is FLATTERED by the very associate the other two experts are arguing about, and the operating return is lower than the one in his table. SECOND, HIS EQUITY IS CONTAMINATED UPWARD TOO: it includes the revaluation booked when an associate was deconsolidated, which the company itself strips out of its own return measure. The two pull the ratio in opposite directions and he does not claim to net them. What survives both admissions is his one claim, and it does not depend on the size of either: on its own accounts, read as they stand, GB Corp does not earn its cost of equity — so the entire investment case rests on the associate being worth more than those accounts say.</w:t>
      </w:r>
    </w:p>
    <w:p>
      <w:pPr>
        <w:spacing w:after="120" w:before="0"/>
      </w:pPr>
      <w:r>
        <w:rPr>
          <w:b/>
          <w:i w:val="0"/>
          <w:color w:val="1C3A36"/>
          <w:sz w:val="21"/>
        </w:rPr>
        <w:t xml:space="preserve">Verdict, falsification, and what the price implies. </w:t>
      </w:r>
      <w:r>
        <w:rPr>
          <w:b w:val="0"/>
          <w:i w:val="0"/>
          <w:color w:val="1C3A36"/>
          <w:sz w:val="21"/>
        </w:rPr>
        <w:t>Fair value EGP 7.89, on a range of EGP 5.26 to 13.14 — far the most conservative in the room and -73% against the traded price, which is the one number in this study that reads the shares as expensive. HE IS FALSIFIED BY the group’s return on its own reported equity rising to its cost of equity and staying there for two consecutive reported years — which on his own arithmetic would take his value straight to book — or by the associate being realised at anything like either of the marks in §1.1, since a realisation converts the contaminated line into cash and settles the argument. What the price implies against him is that the market pays a premium to his number: he is the read a buyer of these shares is betting against.</w:t>
      </w:r>
    </w:p>
    <w:p>
      <w:pPr>
        <w:spacing w:after="80" w:before="200"/>
      </w:pPr>
      <w:r>
        <w:rPr>
          <w:b/>
          <w:i w:val="0"/>
          <w:color w:val="1C3A36"/>
          <w:sz w:val="24"/>
        </w:rPr>
        <w:t>C.3  Expert 3 — cash returns: return on capital against its cost</w:t>
      </w:r>
    </w:p>
    <w:p>
      <w:pPr>
        <w:spacing w:after="120" w:before="0"/>
      </w:pPr>
      <w:r>
        <w:rPr>
          <w:b w:val="0"/>
          <w:i w:val="0"/>
          <w:color w:val="1C3A36"/>
          <w:sz w:val="19"/>
        </w:rPr>
        <w:t>Worldview. A business creates value only when each pound of capital earns above its cost, in cash. He looks past the income statement to the economic-profit spread, and past reported returns to returns excluding one-offs.</w:t>
      </w:r>
    </w:p>
    <w:p>
      <w:pPr>
        <w:spacing w:after="120" w:before="0"/>
      </w:pPr>
      <w:r>
        <w:rPr>
          <w:b w:val="0"/>
          <w:i w:val="0"/>
          <w:color w:val="1C3A36"/>
          <w:sz w:val="19"/>
        </w:rPr>
        <w:t>When it works and when it fails. Best for capital-intensive compounders where the reinvestment spread is the story; it fails where the capital base is temporarily inflated by a one-off build, which is his own caveat here.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336"/>
            <w:shd w:val="clear" w:color="auto" w:fill="EAF0EE"/>
          </w:tcPr>
          <w:p>
            <w:pPr>
              <w:spacing w:after="20"/>
            </w:pPr>
            <w:r>
              <w:rPr>
                <w:b/>
                <w:color w:val="1C3A36"/>
                <w:sz w:val="18"/>
              </w:rPr>
              <w:t>Expert 3’s economic-profit test</w:t>
            </w:r>
          </w:p>
        </w:tc>
        <w:tc>
          <w:tcPr>
            <w:tcW w:type="dxa" w:w="2448"/>
            <w:shd w:val="clear" w:color="auto" w:fill="EAF0EE"/>
          </w:tcPr>
          <w:p>
            <w:pPr>
              <w:spacing w:after="20"/>
            </w:pPr>
            <w:r>
              <w:rPr>
                <w:b/>
                <w:color w:val="1C3A36"/>
                <w:sz w:val="18"/>
              </w:rPr>
              <w:t>Value</w:t>
            </w:r>
          </w:p>
        </w:tc>
      </w:tr>
      <w:tr>
        <w:tc>
          <w:tcPr>
            <w:tcW w:type="dxa" w:w="6336"/>
          </w:tcPr>
          <w:p>
            <w:pPr>
              <w:spacing w:after="20"/>
            </w:pPr>
            <w:r>
              <w:rPr>
                <w:b/>
                <w:color w:val="1C3A36"/>
                <w:sz w:val="18"/>
              </w:rPr>
              <w:t>Auto capital employed, FY2025 (EGP mn)</w:t>
            </w:r>
          </w:p>
        </w:tc>
        <w:tc>
          <w:tcPr>
            <w:tcW w:type="dxa" w:w="2448"/>
          </w:tcPr>
          <w:p>
            <w:pPr>
              <w:spacing w:after="20"/>
              <w:jc w:val="right"/>
            </w:pPr>
            <w:r>
              <w:rPr>
                <w:color w:val="1C3A36"/>
                <w:sz w:val="18"/>
              </w:rPr>
              <w:t>28,513</w:t>
            </w:r>
          </w:p>
        </w:tc>
      </w:tr>
      <w:tr>
        <w:tc>
          <w:tcPr>
            <w:tcW w:type="dxa" w:w="6336"/>
          </w:tcPr>
          <w:p>
            <w:pPr>
              <w:spacing w:after="20"/>
            </w:pPr>
            <w:r>
              <w:rPr>
                <w:b/>
                <w:color w:val="1C3A36"/>
                <w:sz w:val="18"/>
              </w:rPr>
              <w:t>Auto return on capital employed — FY2023 / FY2024 / FY2025</w:t>
            </w:r>
          </w:p>
        </w:tc>
        <w:tc>
          <w:tcPr>
            <w:tcW w:type="dxa" w:w="2448"/>
          </w:tcPr>
          <w:p>
            <w:pPr>
              <w:spacing w:after="20"/>
              <w:jc w:val="right"/>
            </w:pPr>
            <w:r>
              <w:rPr>
                <w:color w:val="1C3A36"/>
                <w:sz w:val="18"/>
              </w:rPr>
              <w:t>35.9% / 31.5% / 21.3%</w:t>
            </w:r>
          </w:p>
        </w:tc>
      </w:tr>
      <w:tr>
        <w:tc>
          <w:tcPr>
            <w:tcW w:type="dxa" w:w="6336"/>
          </w:tcPr>
          <w:p>
            <w:pPr>
              <w:spacing w:after="20"/>
            </w:pPr>
            <w:r>
              <w:rPr>
                <w:b/>
                <w:color w:val="1C3A36"/>
                <w:sz w:val="18"/>
              </w:rPr>
              <w:t>His hurdle — the first forecast year’s cost of capital</w:t>
            </w:r>
          </w:p>
        </w:tc>
        <w:tc>
          <w:tcPr>
            <w:tcW w:type="dxa" w:w="2448"/>
          </w:tcPr>
          <w:p>
            <w:pPr>
              <w:spacing w:after="20"/>
              <w:jc w:val="right"/>
            </w:pPr>
            <w:r>
              <w:rPr>
                <w:color w:val="1C3A36"/>
                <w:sz w:val="18"/>
              </w:rPr>
              <w:t>14.58%</w:t>
            </w:r>
          </w:p>
        </w:tc>
      </w:tr>
      <w:tr>
        <w:tc>
          <w:tcPr>
            <w:tcW w:type="dxa" w:w="6336"/>
          </w:tcPr>
          <w:p>
            <w:pPr>
              <w:spacing w:after="20"/>
            </w:pPr>
            <w:r>
              <w:rPr>
                <w:b/>
                <w:color w:val="1C3A36"/>
                <w:sz w:val="18"/>
              </w:rPr>
              <w:t>Spread near nil, so the operating leg is marked at 0.90× capital employed (EGP mn)</w:t>
            </w:r>
          </w:p>
        </w:tc>
        <w:tc>
          <w:tcPr>
            <w:tcW w:type="dxa" w:w="2448"/>
          </w:tcPr>
          <w:p>
            <w:pPr>
              <w:spacing w:after="20"/>
              <w:jc w:val="right"/>
            </w:pPr>
            <w:r>
              <w:rPr>
                <w:color w:val="1C3A36"/>
                <w:sz w:val="18"/>
              </w:rPr>
              <w:t>25,662</w:t>
            </w:r>
          </w:p>
        </w:tc>
      </w:tr>
      <w:tr>
        <w:tc>
          <w:tcPr>
            <w:tcW w:type="dxa" w:w="6336"/>
          </w:tcPr>
          <w:p>
            <w:pPr>
              <w:spacing w:after="20"/>
            </w:pPr>
            <w:r>
              <w:rPr>
                <w:b/>
                <w:color w:val="1C3A36"/>
                <w:sz w:val="18"/>
              </w:rPr>
              <w:t>Less Auto net debt and minority interests (EGP mn)</w:t>
            </w:r>
          </w:p>
        </w:tc>
        <w:tc>
          <w:tcPr>
            <w:tcW w:type="dxa" w:w="2448"/>
          </w:tcPr>
          <w:p>
            <w:pPr>
              <w:spacing w:after="20"/>
              <w:jc w:val="right"/>
            </w:pPr>
            <w:r>
              <w:rPr>
                <w:color w:val="1C3A36"/>
                <w:sz w:val="18"/>
              </w:rPr>
              <w:t>(15,084)</w:t>
            </w:r>
          </w:p>
        </w:tc>
      </w:tr>
      <w:tr>
        <w:tc>
          <w:tcPr>
            <w:tcW w:type="dxa" w:w="6336"/>
          </w:tcPr>
          <w:p>
            <w:pPr>
              <w:spacing w:after="20"/>
            </w:pPr>
            <w:r>
              <w:rPr>
                <w:b/>
                <w:color w:val="1C3A36"/>
                <w:sz w:val="18"/>
              </w:rPr>
              <w:t>Operating-leg equity (EGP mn)</w:t>
            </w:r>
          </w:p>
        </w:tc>
        <w:tc>
          <w:tcPr>
            <w:tcW w:type="dxa" w:w="2448"/>
          </w:tcPr>
          <w:p>
            <w:pPr>
              <w:spacing w:after="20"/>
              <w:jc w:val="right"/>
            </w:pPr>
            <w:r>
              <w:rPr>
                <w:color w:val="1C3A36"/>
                <w:sz w:val="18"/>
              </w:rPr>
              <w:t>10,577</w:t>
            </w:r>
          </w:p>
        </w:tc>
      </w:tr>
      <w:tr>
        <w:tc>
          <w:tcPr>
            <w:tcW w:type="dxa" w:w="6336"/>
          </w:tcPr>
          <w:p>
            <w:pPr>
              <w:spacing w:after="20"/>
            </w:pPr>
            <w:r>
              <w:rPr>
                <w:b/>
                <w:color w:val="1C3A36"/>
                <w:sz w:val="18"/>
              </w:rPr>
              <w:t>Plus the lender at 0.90× its operating book (EGP mn)</w:t>
            </w:r>
          </w:p>
        </w:tc>
        <w:tc>
          <w:tcPr>
            <w:tcW w:type="dxa" w:w="2448"/>
          </w:tcPr>
          <w:p>
            <w:pPr>
              <w:spacing w:after="20"/>
              <w:jc w:val="right"/>
            </w:pPr>
            <w:r>
              <w:rPr>
                <w:color w:val="1C3A36"/>
                <w:sz w:val="18"/>
              </w:rPr>
              <w:t>5,641</w:t>
            </w:r>
          </w:p>
        </w:tc>
      </w:tr>
      <w:tr>
        <w:tc>
          <w:tcPr>
            <w:tcW w:type="dxa" w:w="6336"/>
          </w:tcPr>
          <w:p>
            <w:pPr>
              <w:spacing w:after="20"/>
            </w:pPr>
            <w:r>
              <w:rPr>
                <w:b/>
                <w:color w:val="1C3A36"/>
                <w:sz w:val="18"/>
              </w:rPr>
              <w:t>Plus the associates at 0.85× the round-price mark (EGP mn)</w:t>
            </w:r>
          </w:p>
        </w:tc>
        <w:tc>
          <w:tcPr>
            <w:tcW w:type="dxa" w:w="2448"/>
          </w:tcPr>
          <w:p>
            <w:pPr>
              <w:spacing w:after="20"/>
              <w:jc w:val="right"/>
            </w:pPr>
            <w:r>
              <w:rPr>
                <w:color w:val="1C3A36"/>
                <w:sz w:val="18"/>
              </w:rPr>
              <w:t>25,313</w:t>
            </w:r>
          </w:p>
        </w:tc>
      </w:tr>
      <w:tr>
        <w:tc>
          <w:tcPr>
            <w:tcW w:type="dxa" w:w="6336"/>
          </w:tcPr>
          <w:p>
            <w:pPr>
              <w:spacing w:after="20"/>
            </w:pPr>
            <w:r>
              <w:rPr>
                <w:b/>
                <w:color w:val="1C3A36"/>
                <w:sz w:val="18"/>
              </w:rPr>
              <w:t>Equity value (EGP mn)</w:t>
            </w:r>
          </w:p>
        </w:tc>
        <w:tc>
          <w:tcPr>
            <w:tcW w:type="dxa" w:w="2448"/>
          </w:tcPr>
          <w:p>
            <w:pPr>
              <w:spacing w:after="20"/>
              <w:jc w:val="right"/>
            </w:pPr>
            <w:r>
              <w:rPr>
                <w:color w:val="1C3A36"/>
                <w:sz w:val="18"/>
              </w:rPr>
              <w:t>41,531</w:t>
            </w:r>
          </w:p>
        </w:tc>
      </w:tr>
      <w:tr>
        <w:tc>
          <w:tcPr>
            <w:tcW w:type="dxa" w:w="6336"/>
          </w:tcPr>
          <w:p>
            <w:pPr>
              <w:spacing w:after="20"/>
            </w:pPr>
            <w:r>
              <w:rPr>
                <w:b/>
                <w:color w:val="1C3A36"/>
                <w:sz w:val="18"/>
              </w:rPr>
              <w:t>Per share (EGP)</w:t>
            </w:r>
          </w:p>
        </w:tc>
        <w:tc>
          <w:tcPr>
            <w:tcW w:type="dxa" w:w="2448"/>
          </w:tcPr>
          <w:p>
            <w:pPr>
              <w:spacing w:after="20"/>
              <w:jc w:val="right"/>
            </w:pPr>
            <w:r>
              <w:rPr>
                <w:color w:val="1C3A36"/>
                <w:sz w:val="18"/>
              </w:rPr>
              <w:t>38.26</w:t>
            </w:r>
          </w:p>
        </w:tc>
      </w:tr>
    </w:tbl>
    <w:p>
      <w:pPr>
        <w:spacing w:after="40"/>
      </w:pPr>
    </w:p>
    <w:p>
      <w:pPr>
        <w:spacing w:after="120" w:before="0"/>
      </w:pPr>
      <w:r>
        <w:rPr>
          <w:b w:val="0"/>
          <w:i w:val="0"/>
          <w:color w:val="1C3A36"/>
          <w:sz w:val="19"/>
        </w:rPr>
        <w:t>Sensitivity — two levers, and he ranks them himself. Moving his haircut on the associate mark from 0.85× to 0.60× costs EGP 6.86 per share; marking the operating leg at 1.00× capital employed instead of 0.90×, which is what a recovery in the return on capital would buy, adds EGP 2.63. The mark is the bigger lever by more than two to one, and that is his point.</w:t>
      </w:r>
    </w:p>
    <w:p>
      <w:pPr>
        <w:spacing w:after="120" w:before="0"/>
      </w:pPr>
      <w:r>
        <w:rPr>
          <w:b/>
          <w:i w:val="0"/>
          <w:color w:val="1C3A36"/>
          <w:sz w:val="21"/>
        </w:rPr>
        <w:t xml:space="preserve">Verdict, falsification, and what the price implies. </w:t>
      </w:r>
      <w:r>
        <w:rPr>
          <w:b w:val="0"/>
          <w:i w:val="0"/>
          <w:color w:val="1C3A36"/>
          <w:sz w:val="21"/>
        </w:rPr>
        <w:t>Fair value EGP 38.26, on a range of EGP 31.40 to 40.89 — even his conservative method lands +32% against the price once the stated stake is applied at a haircut to the round’s valuation. HE IS FALSIFIED BY a durable recovery in the return on capital well above the FY2025 figure, which would make his multiple of capital employed too low, or by a real secondary sale of the associate’s shares meaningfully below his own haircut.</w:t>
      </w:r>
    </w:p>
    <w:p>
      <w:pPr>
        <w:spacing w:after="80" w:before="200"/>
      </w:pPr>
      <w:r>
        <w:rPr>
          <w:b/>
          <w:i w:val="0"/>
          <w:color w:val="1C3A36"/>
          <w:sz w:val="24"/>
        </w:rPr>
        <w:t>C.4  Cross-examination — each challenge, conceded or rejected</w:t>
      </w:r>
    </w:p>
    <w:p>
      <w:pPr>
        <w:spacing w:after="120" w:before="0"/>
      </w:pPr>
      <w:r>
        <w:rPr>
          <w:b w:val="0"/>
          <w:i w:val="0"/>
          <w:color w:val="1C3A36"/>
          <w:sz w:val="19"/>
        </w:rPr>
        <w:t>Each expert puts one challenge to each of the others, and the answer is recorded as CONCEDED or REJECTED rather than left as an exchange of views.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3744"/>
            <w:shd w:val="clear" w:color="auto" w:fill="EAF0EE"/>
          </w:tcPr>
          <w:p>
            <w:pPr>
              <w:spacing w:after="20"/>
            </w:pPr>
            <w:r>
              <w:rPr>
                <w:b/>
                <w:color w:val="1C3A36"/>
                <w:sz w:val="17"/>
              </w:rPr>
              <w:t>Challenge</w:t>
            </w:r>
          </w:p>
        </w:tc>
        <w:tc>
          <w:tcPr>
            <w:tcW w:type="dxa" w:w="1656"/>
            <w:shd w:val="clear" w:color="auto" w:fill="EAF0EE"/>
          </w:tcPr>
          <w:p>
            <w:pPr>
              <w:spacing w:after="20"/>
            </w:pPr>
            <w:r>
              <w:rPr>
                <w:b/>
                <w:color w:val="1C3A36"/>
                <w:sz w:val="17"/>
              </w:rPr>
              <w:t>From → to</w:t>
            </w:r>
          </w:p>
        </w:tc>
        <w:tc>
          <w:tcPr>
            <w:tcW w:type="dxa" w:w="4824"/>
            <w:shd w:val="clear" w:color="auto" w:fill="EAF0EE"/>
          </w:tcPr>
          <w:p>
            <w:pPr>
              <w:spacing w:after="20"/>
            </w:pPr>
            <w:r>
              <w:rPr>
                <w:b/>
                <w:color w:val="1C3A36"/>
                <w:sz w:val="17"/>
              </w:rPr>
              <w:t>The answer</w:t>
            </w:r>
          </w:p>
        </w:tc>
      </w:tr>
      <w:tr>
        <w:tc>
          <w:tcPr>
            <w:tcW w:type="dxa" w:w="3744"/>
          </w:tcPr>
          <w:p>
            <w:pPr>
              <w:spacing w:after="20"/>
            </w:pPr>
            <w:r>
              <w:rPr>
                <w:color w:val="1C3A36"/>
                <w:sz w:val="17"/>
              </w:rPr>
              <w:t>“Capitalising a return you admit is flattered by the associate double-counts an asset I have already marked at full value.”</w:t>
            </w:r>
          </w:p>
        </w:tc>
        <w:tc>
          <w:tcPr>
            <w:tcW w:type="dxa" w:w="1656"/>
          </w:tcPr>
          <w:p>
            <w:pPr>
              <w:spacing w:after="20"/>
              <w:jc w:val="right"/>
            </w:pPr>
            <w:r>
              <w:rPr>
                <w:color w:val="1C3A36"/>
                <w:sz w:val="17"/>
              </w:rPr>
              <w:t>Expert 1 → Expert 2</w:t>
            </w:r>
          </w:p>
        </w:tc>
        <w:tc>
          <w:tcPr>
            <w:tcW w:type="dxa" w:w="4824"/>
          </w:tcPr>
          <w:p>
            <w:pPr>
              <w:spacing w:after="20"/>
              <w:jc w:val="right"/>
            </w:pPr>
            <w:r>
              <w:rPr>
                <w:color w:val="1C3A36"/>
                <w:sz w:val="17"/>
              </w:rPr>
              <w:t>CONCEDED IN PART. Expert 2 accepts the return is flattered and that his read is therefore too HIGH rather than too low. He rejects the conclusion: correcting for it widens his discount to book, it does not close it.</w:t>
            </w:r>
          </w:p>
        </w:tc>
      </w:tr>
      <w:tr>
        <w:tc>
          <w:tcPr>
            <w:tcW w:type="dxa" w:w="3744"/>
          </w:tcPr>
          <w:p>
            <w:pPr>
              <w:spacing w:after="20"/>
            </w:pPr>
            <w:r>
              <w:rPr>
                <w:color w:val="1C3A36"/>
                <w:sz w:val="17"/>
              </w:rPr>
              <w:t>“A single-digit wrapper discount does not begin to capture the illiquidity of a minority stake in a company that has never had a public exit.”</w:t>
            </w:r>
          </w:p>
        </w:tc>
        <w:tc>
          <w:tcPr>
            <w:tcW w:type="dxa" w:w="1656"/>
          </w:tcPr>
          <w:p>
            <w:pPr>
              <w:spacing w:after="20"/>
              <w:jc w:val="right"/>
            </w:pPr>
            <w:r>
              <w:rPr>
                <w:color w:val="1C3A36"/>
                <w:sz w:val="17"/>
              </w:rPr>
              <w:t>Expert 3 → Expert 1</w:t>
            </w:r>
          </w:p>
        </w:tc>
        <w:tc>
          <w:tcPr>
            <w:tcW w:type="dxa" w:w="4824"/>
          </w:tcPr>
          <w:p>
            <w:pPr>
              <w:spacing w:after="20"/>
              <w:jc w:val="right"/>
            </w:pPr>
            <w:r>
              <w:rPr>
                <w:color w:val="1C3A36"/>
                <w:sz w:val="17"/>
              </w:rPr>
              <w:t>REJECTED, with a reason. Expert 1 argues the wrapper discount and the mark haircut are two different things and that he prices the second separately — his own sensitivity takes the mark to half the round. What he will not do is apply both at once and call it prudence.</w:t>
            </w:r>
          </w:p>
        </w:tc>
      </w:tr>
      <w:tr>
        <w:tc>
          <w:tcPr>
            <w:tcW w:type="dxa" w:w="3744"/>
          </w:tcPr>
          <w:p>
            <w:pPr>
              <w:spacing w:after="20"/>
            </w:pPr>
            <w:r>
              <w:rPr>
                <w:color w:val="1C3A36"/>
                <w:sz w:val="17"/>
              </w:rPr>
              <w:t>“Marking the lender at book ignores that its own disclosed return does not justify book.”</w:t>
            </w:r>
          </w:p>
        </w:tc>
        <w:tc>
          <w:tcPr>
            <w:tcW w:type="dxa" w:w="1656"/>
          </w:tcPr>
          <w:p>
            <w:pPr>
              <w:spacing w:after="20"/>
              <w:jc w:val="right"/>
            </w:pPr>
            <w:r>
              <w:rPr>
                <w:color w:val="1C3A36"/>
                <w:sz w:val="17"/>
              </w:rPr>
              <w:t>Expert 2 → Expert 1</w:t>
            </w:r>
          </w:p>
        </w:tc>
        <w:tc>
          <w:tcPr>
            <w:tcW w:type="dxa" w:w="4824"/>
          </w:tcPr>
          <w:p>
            <w:pPr>
              <w:spacing w:after="20"/>
              <w:jc w:val="right"/>
            </w:pPr>
            <w:r>
              <w:rPr>
                <w:color w:val="1C3A36"/>
                <w:sz w:val="17"/>
              </w:rPr>
              <w:t>CONCEDED. Expert 1 accepts that the study’s residual-income mark on GB Capital is the better construction and that his own number is EGP 4.90 a share higher for that reason alone. He keeps his mark on the ground that a realisable-value method marks assets at what they would fetch, not at what a return identity supports.</w:t>
            </w:r>
          </w:p>
        </w:tc>
      </w:tr>
      <w:tr>
        <w:tc>
          <w:tcPr>
            <w:tcW w:type="dxa" w:w="3744"/>
          </w:tcPr>
          <w:p>
            <w:pPr>
              <w:spacing w:after="20"/>
            </w:pPr>
            <w:r>
              <w:rPr>
                <w:color w:val="1C3A36"/>
                <w:sz w:val="17"/>
              </w:rPr>
              <w:t>“Mid-cycle or residual income, you are still valuing a company whose largest asset produces no cash flow you can model — so your precision is misplaced.”</w:t>
            </w:r>
          </w:p>
        </w:tc>
        <w:tc>
          <w:tcPr>
            <w:tcW w:type="dxa" w:w="1656"/>
          </w:tcPr>
          <w:p>
            <w:pPr>
              <w:spacing w:after="20"/>
              <w:jc w:val="right"/>
            </w:pPr>
            <w:r>
              <w:rPr>
                <w:color w:val="1C3A36"/>
                <w:sz w:val="17"/>
              </w:rPr>
              <w:t>Expert 1 → Expert 2</w:t>
            </w:r>
          </w:p>
        </w:tc>
        <w:tc>
          <w:tcPr>
            <w:tcW w:type="dxa" w:w="4824"/>
          </w:tcPr>
          <w:p>
            <w:pPr>
              <w:spacing w:after="20"/>
              <w:jc w:val="right"/>
            </w:pPr>
            <w:r>
              <w:rPr>
                <w:color w:val="1C3A36"/>
                <w:sz w:val="17"/>
              </w:rPr>
              <w:t>REJECTED. Expert 2’s answer is that this is his point rather than an objection to it: he prices only what the accounts support and lets the gap to the traded price be the associate, which makes the disagreement measurable.</w:t>
            </w:r>
          </w:p>
        </w:tc>
      </w:tr>
      <w:tr>
        <w:tc>
          <w:tcPr>
            <w:tcW w:type="dxa" w:w="3744"/>
          </w:tcPr>
          <w:p>
            <w:pPr>
              <w:spacing w:after="20"/>
            </w:pPr>
            <w:r>
              <w:rPr>
                <w:color w:val="1C3A36"/>
                <w:sz w:val="17"/>
              </w:rPr>
              <w:t>“A return on capital employed struck on a capital base inflated by a one-off inventory and receivable build understates the business.”</w:t>
            </w:r>
          </w:p>
        </w:tc>
        <w:tc>
          <w:tcPr>
            <w:tcW w:type="dxa" w:w="1656"/>
          </w:tcPr>
          <w:p>
            <w:pPr>
              <w:spacing w:after="20"/>
              <w:jc w:val="right"/>
            </w:pPr>
            <w:r>
              <w:rPr>
                <w:color w:val="1C3A36"/>
                <w:sz w:val="17"/>
              </w:rPr>
              <w:t>Expert 2 → Expert 3</w:t>
            </w:r>
          </w:p>
        </w:tc>
        <w:tc>
          <w:tcPr>
            <w:tcW w:type="dxa" w:w="4824"/>
          </w:tcPr>
          <w:p>
            <w:pPr>
              <w:spacing w:after="20"/>
              <w:jc w:val="right"/>
            </w:pPr>
            <w:r>
              <w:rPr>
                <w:color w:val="1C3A36"/>
                <w:sz w:val="17"/>
              </w:rPr>
              <w:t>CONCEDED, and it is already his stated caveat. His bull lever is exactly that recovery and he prices it at EGP 2.63 a share — which he notes is less than half his mark lever, so conceding it does not change his ranking of the two.</w:t>
            </w:r>
          </w:p>
        </w:tc>
      </w:tr>
      <w:tr>
        <w:tc>
          <w:tcPr>
            <w:tcW w:type="dxa" w:w="3744"/>
          </w:tcPr>
          <w:p>
            <w:pPr>
              <w:spacing w:after="20"/>
            </w:pPr>
            <w:r>
              <w:rPr>
                <w:color w:val="1C3A36"/>
                <w:sz w:val="17"/>
              </w:rPr>
              <w:t>“You accept the cash-flow value for the auto leg and then mark the same leg at a multiple of capital employed. Pick one.”</w:t>
            </w:r>
          </w:p>
        </w:tc>
        <w:tc>
          <w:tcPr>
            <w:tcW w:type="dxa" w:w="1656"/>
          </w:tcPr>
          <w:p>
            <w:pPr>
              <w:spacing w:after="20"/>
              <w:jc w:val="right"/>
            </w:pPr>
            <w:r>
              <w:rPr>
                <w:color w:val="1C3A36"/>
                <w:sz w:val="17"/>
              </w:rPr>
              <w:t>Expert 1 → Expert 3</w:t>
            </w:r>
          </w:p>
        </w:tc>
        <w:tc>
          <w:tcPr>
            <w:tcW w:type="dxa" w:w="4824"/>
          </w:tcPr>
          <w:p>
            <w:pPr>
              <w:spacing w:after="20"/>
              <w:jc w:val="right"/>
            </w:pPr>
            <w:r>
              <w:rPr>
                <w:color w:val="1C3A36"/>
                <w:sz w:val="17"/>
              </w:rPr>
              <w:t>REJECTED. Expert 3 says the two are different questions — what the leg is worth on its forecast cash flows and what its capital has historically earned — and that publishing both is the point of a panel. He notes his mark is the lower of the two by EGP -7.9 bn.</w:t>
            </w:r>
          </w:p>
        </w:tc>
      </w:tr>
    </w:tbl>
    <w:p>
      <w:pPr>
        <w:spacing w:after="40"/>
      </w:pPr>
    </w:p>
    <w:p>
      <w:pPr>
        <w:spacing w:after="80" w:before="200"/>
      </w:pPr>
      <w:r>
        <w:rPr>
          <w:b/>
          <w:i w:val="0"/>
          <w:color w:val="1C3A36"/>
          <w:sz w:val="24"/>
        </w:rPr>
        <w:t>C.5  The three in one room</w:t>
      </w:r>
    </w:p>
    <w:p>
      <w:pPr>
        <w:spacing w:after="120" w:before="0"/>
      </w:pPr>
      <w:r>
        <w:rPr>
          <w:b w:val="0"/>
          <w:i w:val="0"/>
          <w:color w:val="1C3A36"/>
          <w:sz w:val="19"/>
        </w:rPr>
        <w:t>The stake question that dominated an earlier draft of this study is settled — the company stated its holding in writing. What the three disagree on is what that holding is worth, and this edition has added a second disagreement they had not had before: what the lender is worth.</w:t>
      </w:r>
    </w:p>
    <w:p>
      <w:pPr>
        <w:spacing w:after="120" w:before="0"/>
      </w:pPr>
      <w:r>
        <w:rPr>
          <w:b w:val="0"/>
          <w:i w:val="0"/>
          <w:color w:val="1C3A36"/>
          <w:sz w:val="19"/>
        </w:rPr>
        <w:t>Expert 1: “The company told us what it owns. Fine — now the argument is honest: it is about the discount, not the number. I apply a single-digit wrapper discount to a clean sum of realisable marks. If you think that is too thin for an illiquid minority stake, argue the discount, not the disclosure.”</w:t>
      </w:r>
    </w:p>
    <w:p>
      <w:pPr>
        <w:spacing w:after="120" w:before="0"/>
      </w:pPr>
      <w:r>
        <w:rPr>
          <w:b w:val="0"/>
          <w:i w:val="0"/>
          <w:color w:val="1C3A36"/>
          <w:sz w:val="19"/>
        </w:rPr>
        <w:t>Expert 3: “Your own arithmetic says a stated 41.61% stake is worth 93% of the entire market capitalisation at the round price. That was true when the number was uncertain and it is just as true now that it is not. The company being straight about its ownership does not make the market’s scepticism about the mark go away — if anything it sharpens the question, and I take a haircut to it for exactly that reason.”</w:t>
      </w:r>
    </w:p>
    <w:p>
      <w:pPr>
        <w:spacing w:after="120" w:before="0"/>
      </w:pPr>
      <w:r>
        <w:rPr>
          <w:b w:val="0"/>
          <w:i w:val="0"/>
          <w:color w:val="1C3A36"/>
          <w:sz w:val="19"/>
        </w:rPr>
        <w:t>Expert 2: “You are both arguing about an asset. I am arguing about a business. On its own reported accounts this group earns 10.00% against a cost of equity of 18.73% — it destroys value on the capital it already has, which is why my number is EGP 7.89 against a book value of EGP 30.82. And my return is FLATTERED by the very associate you two are pricing. Take that out and it is worse. If the associate is worth what either of you says, the shares are cheap; if it is worth what the accounts can demonstrate, they are not cheap at all. That is the whole case, and neither of you has narrowed it.”</w:t>
      </w:r>
    </w:p>
    <w:p>
      <w:pPr>
        <w:spacing w:after="120" w:before="0"/>
      </w:pPr>
      <w:r>
        <w:rPr>
          <w:b w:val="0"/>
          <w:i w:val="0"/>
          <w:color w:val="1C3A36"/>
          <w:sz w:val="19"/>
        </w:rPr>
        <w:t>Where they end up. All three accept the ownership percentage, the volumes, the working-capital path and the cost of capital, and none of them adopts the study’s own residual-income mark on the lender: Expert 1 concedes it is the better construction and keeps his book mark anyway, and Expert 3 marks the same book at a haircut. That second disagreement is worth a few pounds a share. What remains, and what the study publishes as two branches rather than resolving, is a basis question about one line that no amount of modelling can settle from outside — and, as Expert 2 keeps pointing out, one that the reviewers of GB Corp’s own statements could not settle from inside either.</w:t>
      </w:r>
    </w:p>
    <w:p>
      <w:pPr>
        <w:spacing w:after="80" w:before="200"/>
      </w:pPr>
      <w:r>
        <w:rPr>
          <w:b/>
          <w:i w:val="0"/>
          <w:color w:val="1C3A36"/>
          <w:sz w:val="24"/>
        </w:rPr>
        <w:t>C.6  Reading the divergence</w:t>
      </w:r>
    </w:p>
    <w:p>
      <w:pPr>
        <w:spacing w:after="40"/>
        <w:jc w:val="center"/>
      </w:pPr>
      <w:r>
        <w:drawing>
          <wp:inline xmlns:a="http://schemas.openxmlformats.org/drawingml/2006/main" xmlns:pic="http://schemas.openxmlformats.org/drawingml/2006/picture">
            <wp:extent cx="5486400" cy="1866507"/>
            <wp:docPr id="7" name="Picture 7"/>
            <wp:cNvGraphicFramePr>
              <a:graphicFrameLocks noChangeAspect="1"/>
            </wp:cNvGraphicFramePr>
            <a:graphic>
              <a:graphicData uri="http://schemas.openxmlformats.org/drawingml/2006/picture">
                <pic:pic>
                  <pic:nvPicPr>
                    <pic:cNvPr id="0" name="figD1_experts.png"/>
                    <pic:cNvPicPr/>
                  </pic:nvPicPr>
                  <pic:blipFill>
                    <a:blip r:embed="rId15"/>
                    <a:stretch>
                      <a:fillRect/>
                    </a:stretch>
                  </pic:blipFill>
                  <pic:spPr>
                    <a:xfrm>
                      <a:off x="0" y="0"/>
                      <a:ext cx="5486400" cy="1866507"/>
                    </a:xfrm>
                    <a:prstGeom prst="rect"/>
                  </pic:spPr>
                </pic:pic>
              </a:graphicData>
            </a:graphic>
          </wp:inline>
        </w:drawing>
      </w:r>
    </w:p>
    <w:p>
      <w:pPr>
        <w:spacing w:after="200" w:before="0"/>
      </w:pPr>
      <w:r>
        <w:rPr>
          <w:b w:val="0"/>
          <w:i/>
          <w:color w:val="6E7B77"/>
          <w:sz w:val="17"/>
        </w:rPr>
        <w:t>Figure C-1 — the three experts’ fair-value ranges. Brass ticks are base cases; the gold band is the panel centre; the ink line is the price. The spread is almost entirely the associate mark and the lender basis.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1224"/>
            <w:shd w:val="clear" w:color="auto" w:fill="EAF0EE"/>
          </w:tcPr>
          <w:p>
            <w:pPr>
              <w:spacing w:after="20"/>
            </w:pPr>
            <w:r>
              <w:rPr>
                <w:b/>
                <w:color w:val="1C3A36"/>
                <w:sz w:val="17"/>
              </w:rPr>
              <w:t>Expert</w:t>
            </w:r>
          </w:p>
        </w:tc>
        <w:tc>
          <w:tcPr>
            <w:tcW w:type="dxa" w:w="2736"/>
            <w:shd w:val="clear" w:color="auto" w:fill="EAF0EE"/>
          </w:tcPr>
          <w:p>
            <w:pPr>
              <w:spacing w:after="20"/>
            </w:pPr>
            <w:r>
              <w:rPr>
                <w:b/>
                <w:color w:val="1C3A36"/>
                <w:sz w:val="17"/>
              </w:rPr>
              <w:t>Method</w:t>
            </w:r>
          </w:p>
        </w:tc>
        <w:tc>
          <w:tcPr>
            <w:tcW w:type="dxa" w:w="2376"/>
            <w:shd w:val="clear" w:color="auto" w:fill="EAF0EE"/>
          </w:tcPr>
          <w:p>
            <w:pPr>
              <w:spacing w:after="20"/>
            </w:pPr>
            <w:r>
              <w:rPr>
                <w:b/>
                <w:color w:val="1C3A36"/>
                <w:sz w:val="17"/>
              </w:rPr>
              <w:t>The single swing assumption</w:t>
            </w:r>
          </w:p>
        </w:tc>
        <w:tc>
          <w:tcPr>
            <w:tcW w:type="dxa" w:w="2304"/>
            <w:shd w:val="clear" w:color="auto" w:fill="EAF0EE"/>
          </w:tcPr>
          <w:p>
            <w:pPr>
              <w:spacing w:after="20"/>
            </w:pPr>
            <w:r>
              <w:rPr>
                <w:b/>
                <w:color w:val="1C3A36"/>
                <w:sz w:val="17"/>
              </w:rPr>
              <w:t>What it does to the associate</w:t>
            </w:r>
          </w:p>
        </w:tc>
        <w:tc>
          <w:tcPr>
            <w:tcW w:type="dxa" w:w="1584"/>
            <w:shd w:val="clear" w:color="auto" w:fill="EAF0EE"/>
          </w:tcPr>
          <w:p>
            <w:pPr>
              <w:spacing w:after="20"/>
            </w:pPr>
            <w:r>
              <w:rPr>
                <w:b/>
                <w:color w:val="1C3A36"/>
                <w:sz w:val="17"/>
              </w:rPr>
              <w:t>Base fair value</w:t>
            </w:r>
          </w:p>
        </w:tc>
      </w:tr>
      <w:tr>
        <w:tc>
          <w:tcPr>
            <w:tcW w:type="dxa" w:w="1224"/>
          </w:tcPr>
          <w:p>
            <w:pPr>
              <w:spacing w:after="20"/>
            </w:pPr>
            <w:r>
              <w:rPr>
                <w:b/>
                <w:color w:val="1C3A36"/>
                <w:sz w:val="17"/>
              </w:rPr>
              <w:t>Expert 1</w:t>
            </w:r>
          </w:p>
        </w:tc>
        <w:tc>
          <w:tcPr>
            <w:tcW w:type="dxa" w:w="2736"/>
          </w:tcPr>
          <w:p>
            <w:pPr>
              <w:spacing w:after="20"/>
              <w:jc w:val="right"/>
            </w:pPr>
            <w:r>
              <w:rPr>
                <w:color w:val="1C3A36"/>
                <w:sz w:val="17"/>
              </w:rPr>
              <w:t>Split-legs net asset value</w:t>
            </w:r>
          </w:p>
        </w:tc>
        <w:tc>
          <w:tcPr>
            <w:tcW w:type="dxa" w:w="2376"/>
          </w:tcPr>
          <w:p>
            <w:pPr>
              <w:spacing w:after="20"/>
              <w:jc w:val="right"/>
            </w:pPr>
            <w:r>
              <w:rPr>
                <w:color w:val="1C3A36"/>
                <w:sz w:val="17"/>
              </w:rPr>
              <w:t>The wrapper discount, at 8%</w:t>
            </w:r>
          </w:p>
        </w:tc>
        <w:tc>
          <w:tcPr>
            <w:tcW w:type="dxa" w:w="2304"/>
          </w:tcPr>
          <w:p>
            <w:pPr>
              <w:spacing w:after="20"/>
              <w:jc w:val="right"/>
            </w:pPr>
            <w:r>
              <w:rPr>
                <w:color w:val="1C3A36"/>
                <w:sz w:val="17"/>
              </w:rPr>
              <w:t>Takes the round price at face value</w:t>
            </w:r>
          </w:p>
        </w:tc>
        <w:tc>
          <w:tcPr>
            <w:tcW w:type="dxa" w:w="1584"/>
          </w:tcPr>
          <w:p>
            <w:pPr>
              <w:spacing w:after="20"/>
              <w:jc w:val="right"/>
            </w:pPr>
            <w:r>
              <w:rPr>
                <w:color w:val="1C3A36"/>
                <w:sz w:val="17"/>
              </w:rPr>
              <w:t>EGP 32.79</w:t>
            </w:r>
          </w:p>
        </w:tc>
      </w:tr>
      <w:tr>
        <w:tc>
          <w:tcPr>
            <w:tcW w:type="dxa" w:w="1224"/>
          </w:tcPr>
          <w:p>
            <w:pPr>
              <w:spacing w:after="20"/>
            </w:pPr>
            <w:r>
              <w:rPr>
                <w:b/>
                <w:color w:val="1C3A36"/>
                <w:sz w:val="17"/>
              </w:rPr>
              <w:t>Expert 2</w:t>
            </w:r>
          </w:p>
        </w:tc>
        <w:tc>
          <w:tcPr>
            <w:tcW w:type="dxa" w:w="2736"/>
          </w:tcPr>
          <w:p>
            <w:pPr>
              <w:spacing w:after="20"/>
              <w:jc w:val="right"/>
            </w:pPr>
            <w:r>
              <w:rPr>
                <w:color w:val="1C3A36"/>
                <w:sz w:val="17"/>
              </w:rPr>
              <w:t>Residual income on the whole group</w:t>
            </w:r>
          </w:p>
        </w:tc>
        <w:tc>
          <w:tcPr>
            <w:tcW w:type="dxa" w:w="2376"/>
          </w:tcPr>
          <w:p>
            <w:pPr>
              <w:spacing w:after="20"/>
              <w:jc w:val="right"/>
            </w:pPr>
            <w:r>
              <w:rPr>
                <w:color w:val="1C3A36"/>
                <w:sz w:val="17"/>
              </w:rPr>
              <w:t>The return on reported equity</w:t>
            </w:r>
          </w:p>
        </w:tc>
        <w:tc>
          <w:tcPr>
            <w:tcW w:type="dxa" w:w="2304"/>
          </w:tcPr>
          <w:p>
            <w:pPr>
              <w:spacing w:after="20"/>
              <w:jc w:val="right"/>
            </w:pPr>
            <w:r>
              <w:rPr>
                <w:color w:val="1C3A36"/>
                <w:sz w:val="17"/>
              </w:rPr>
              <w:t>Prices it at nothing — it is the gap</w:t>
            </w:r>
          </w:p>
        </w:tc>
        <w:tc>
          <w:tcPr>
            <w:tcW w:type="dxa" w:w="1584"/>
          </w:tcPr>
          <w:p>
            <w:pPr>
              <w:spacing w:after="20"/>
              <w:jc w:val="right"/>
            </w:pPr>
            <w:r>
              <w:rPr>
                <w:color w:val="1C3A36"/>
                <w:sz w:val="17"/>
              </w:rPr>
              <w:t>EGP 7.89</w:t>
            </w:r>
          </w:p>
        </w:tc>
      </w:tr>
      <w:tr>
        <w:tc>
          <w:tcPr>
            <w:tcW w:type="dxa" w:w="1224"/>
          </w:tcPr>
          <w:p>
            <w:pPr>
              <w:spacing w:after="20"/>
            </w:pPr>
            <w:r>
              <w:rPr>
                <w:b/>
                <w:color w:val="1C3A36"/>
                <w:sz w:val="17"/>
              </w:rPr>
              <w:t>Expert 3</w:t>
            </w:r>
          </w:p>
        </w:tc>
        <w:tc>
          <w:tcPr>
            <w:tcW w:type="dxa" w:w="2736"/>
          </w:tcPr>
          <w:p>
            <w:pPr>
              <w:spacing w:after="20"/>
              <w:jc w:val="right"/>
            </w:pPr>
            <w:r>
              <w:rPr>
                <w:color w:val="1C3A36"/>
                <w:sz w:val="17"/>
              </w:rPr>
              <w:t>Cash returns against the cost of capital</w:t>
            </w:r>
          </w:p>
        </w:tc>
        <w:tc>
          <w:tcPr>
            <w:tcW w:type="dxa" w:w="2376"/>
          </w:tcPr>
          <w:p>
            <w:pPr>
              <w:spacing w:after="20"/>
              <w:jc w:val="right"/>
            </w:pPr>
            <w:r>
              <w:rPr>
                <w:color w:val="1C3A36"/>
                <w:sz w:val="17"/>
              </w:rPr>
              <w:t>A 0.85× haircut on the mark</w:t>
            </w:r>
          </w:p>
        </w:tc>
        <w:tc>
          <w:tcPr>
            <w:tcW w:type="dxa" w:w="2304"/>
          </w:tcPr>
          <w:p>
            <w:pPr>
              <w:spacing w:after="20"/>
              <w:jc w:val="right"/>
            </w:pPr>
            <w:r>
              <w:rPr>
                <w:color w:val="1C3A36"/>
                <w:sz w:val="17"/>
              </w:rPr>
              <w:t>Takes the round price and cuts it</w:t>
            </w:r>
          </w:p>
        </w:tc>
        <w:tc>
          <w:tcPr>
            <w:tcW w:type="dxa" w:w="1584"/>
          </w:tcPr>
          <w:p>
            <w:pPr>
              <w:spacing w:after="20"/>
              <w:jc w:val="right"/>
            </w:pPr>
            <w:r>
              <w:rPr>
                <w:color w:val="1C3A36"/>
                <w:sz w:val="17"/>
              </w:rPr>
              <w:t>EGP 38.26</w:t>
            </w:r>
          </w:p>
        </w:tc>
      </w:tr>
    </w:tbl>
    <w:p>
      <w:pPr>
        <w:spacing w:after="40"/>
      </w:pPr>
    </w:p>
    <w:p>
      <w:pPr>
        <w:spacing w:after="120" w:before="0"/>
      </w:pPr>
      <w:r>
        <w:rPr>
          <w:b w:val="0"/>
          <w:i w:val="0"/>
          <w:color w:val="1C3A36"/>
          <w:sz w:val="21"/>
        </w:rPr>
        <w:t>The spread — EGP 7.89 to 38.26 at base — is wide for what is otherwise a set of broadly agreeing methods, and it is one disagreement with a second one riding on it. It is not the volumes, not the cash-conversion path, not the cost of capital and not the ownership percentage, which all three accept. It is how much of the associate mark to believe, and after that how the lender should be carried. Expert 2 sidesteps the first by pricing the associate at nothing and letting the gap to the market be the answer; Experts 1 and 3 both use the stated stake at the round price and disagree on the haircut. Unlike a business uncertainty that resolves with quarterly prints, this one may never fully resolve without a transaction, because private-mark discounts are a matter of judgment rather than a fact that appears on a schedule. Until a real secondary transaction supplies an independent data point, Expert 2’s number is the one estimate in the room that does not depend on the argument at all — which is exactly why it is also the lowest.</w:t>
      </w:r>
    </w:p>
    <w:p>
      <w:pPr>
        <w:spacing w:after="200" w:before="0"/>
      </w:pPr>
      <w:r>
        <w:rPr>
          <w:b w:val="0"/>
          <w:i/>
          <w:color w:val="6E7B77"/>
          <w:sz w:val="17"/>
        </w:rPr>
        <w:t>Each expert’s fair value is logged against this study’s date (17 September 2026) and the price it was struck at (EGP 28.98, 3 September 2026) as an internal per-expert track record.</w:t>
      </w:r>
    </w:p>
    <w:p>
      <w:pPr>
        <w:spacing w:after="120" w:before="280"/>
      </w:pPr>
      <w:r>
        <w:rPr>
          <w:b/>
          <w:i w:val="0"/>
          <w:color w:val="1C3A36"/>
          <w:sz w:val="30"/>
        </w:rPr>
        <w:t>About this series</w:t>
      </w:r>
    </w:p>
    <w:p>
      <w:pPr>
        <w:spacing w:after="120" w:before="0"/>
      </w:pPr>
      <w:r>
        <w:rPr>
          <w:b w:val="0"/>
          <w:i w:val="0"/>
          <w:color w:val="1C3A36"/>
          <w:sz w:val="21"/>
        </w:rPr>
        <w:t>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Where a question cannot be settled from the evidence, as one cannot here, we publish the disagreement rather than an average of it. Studies are framed as educational analysis, the preparer is not licensed by any securities regulator, and holdings are disclosed.</w:t>
      </w:r>
    </w:p>
    <w:p>
      <w:pPr>
        <w:spacing w:after="120" w:before="280"/>
      </w:pPr>
      <w:r>
        <w:rPr>
          <w:b/>
          <w:i w:val="0"/>
          <w:color w:val="1C3A36"/>
          <w:sz w:val="30"/>
        </w:rPr>
        <w:t>Disclosure &amp; Disclaimer</w:t>
      </w:r>
    </w:p>
    <w:p>
      <w:pPr>
        <w:spacing w:after="100" w:before="0"/>
      </w:pPr>
      <w:r>
        <w:rPr>
          <w:b/>
          <w:i/>
          <w:color w:val="1C3A36"/>
          <w:sz w:val="19"/>
        </w:rPr>
        <w:t xml:space="preserve">Not investment advice. </w:t>
      </w:r>
      <w:r>
        <w:rPr>
          <w:b w:val="0"/>
          <w:i w:val="0"/>
          <w:color w:val="1C3A36"/>
          <w:sz w:val="19"/>
        </w:rPr>
        <w:t>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100" w:before="0"/>
      </w:pPr>
      <w:r>
        <w:rPr>
          <w:b/>
          <w:i/>
          <w:color w:val="1C3A36"/>
          <w:sz w:val="19"/>
        </w:rPr>
        <w:t xml:space="preserve">No licence; no advisory relationship. </w:t>
      </w:r>
      <w:r>
        <w:rPr>
          <w:b w:val="0"/>
          <w:i w:val="0"/>
          <w:color w:val="1C3A36"/>
          <w:sz w:val="19"/>
        </w:rPr>
        <w:t>The preparer is not registered or licensed with any securities or financial regulator in any jurisdiction — including Egypt’s Financial Regulatory Authority — holds no brokerage or investment-advisory authorisation, and is not acting as your adviser or fiduciary. Nothing here is personalised to your circumstances.</w:t>
      </w:r>
    </w:p>
    <w:p>
      <w:pPr>
        <w:spacing w:after="100" w:before="0"/>
      </w:pPr>
      <w:r>
        <w:rPr>
          <w:b/>
          <w:i/>
          <w:color w:val="1C3A36"/>
          <w:sz w:val="19"/>
        </w:rPr>
        <w:t xml:space="preserve">Two answers, not one. </w:t>
      </w:r>
      <w:r>
        <w:rPr>
          <w:b w:val="0"/>
          <w:i w:val="0"/>
          <w:color w:val="1C3A36"/>
          <w:sz w:val="19"/>
        </w:rPr>
        <w:t>This study publishes two fair-value figures because GB Corp publishes two different values for its largest single asset and the filings do not decide between them. They are not a range, not a confidence interval and not an invitation to take the midpoint: they are two answers to one question under two of the company’s own disclosures.</w:t>
      </w:r>
    </w:p>
    <w:p>
      <w:pPr>
        <w:spacing w:after="100" w:before="0"/>
      </w:pPr>
      <w:r>
        <w:rPr>
          <w:b/>
          <w:i/>
          <w:color w:val="1C3A36"/>
          <w:sz w:val="19"/>
        </w:rPr>
        <w:t xml:space="preserve">A qualified review conclusion, disclosed. </w:t>
      </w:r>
      <w:r>
        <w:rPr>
          <w:b w:val="0"/>
          <w:i w:val="0"/>
          <w:color w:val="1C3A36"/>
          <w:sz w:val="19"/>
        </w:rPr>
        <w:t>The limited review of GB Corp’s consolidated statements to 30 June 2026 reaches a qualified conclusion at the associate line this study is built around: the reviewers state they were not provided with that associate’s own financial statements and could not verify the group’s share of its profits for the period. The same qualification stood on the 31 December 2025 audited statements. This is disclosed because it bears directly on both of the figures above.</w:t>
      </w:r>
    </w:p>
    <w:p>
      <w:pPr>
        <w:spacing w:after="100" w:before="0"/>
      </w:pPr>
      <w:r>
        <w:rPr>
          <w:b/>
          <w:i/>
          <w:color w:val="1C3A36"/>
          <w:sz w:val="19"/>
        </w:rPr>
        <w:t xml:space="preserve">Holdings disclosure. </w:t>
      </w:r>
      <w:r>
        <w:rPr>
          <w:b w:val="0"/>
          <w:i w:val="0"/>
          <w:color w:val="1C3A36"/>
          <w:sz w:val="19"/>
        </w:rPr>
        <w:t>The preparer may hold, and may in the future take or dispose of, a position in the security discussed in this report, and may transact at any time without notice. This is a potential conflict of interest you should weigh.</w:t>
      </w:r>
    </w:p>
    <w:p>
      <w:pPr>
        <w:spacing w:after="100" w:before="0"/>
      </w:pPr>
      <w:r>
        <w:rPr>
          <w:b/>
          <w:i/>
          <w:color w:val="1C3A36"/>
          <w:sz w:val="19"/>
        </w:rPr>
        <w:t xml:space="preserve">Sources and accuracy. </w:t>
      </w:r>
      <w:r>
        <w:rPr>
          <w:b w:val="0"/>
          <w:i w:val="0"/>
          <w:color w:val="1C3A36"/>
          <w:sz w:val="19"/>
        </w:rPr>
        <w:t>Reported financial and operating figures are drawn from the company’s public disclosure and other public sources believed reliable but not independently verified; they may contain errors or be superseded. Forward-looking inputs — the basis chosen for the associate mark, the mark on the lending arm, projections, multiples, the cash-flow model and the simulation’s factor probabilities — are the preparer’s own judgments and are inherently uncertain.</w:t>
      </w:r>
    </w:p>
    <w:p>
      <w:pPr>
        <w:spacing w:after="100" w:before="0"/>
      </w:pPr>
      <w:r>
        <w:rPr>
          <w:b/>
          <w:i/>
          <w:color w:val="1C3A36"/>
          <w:sz w:val="19"/>
        </w:rPr>
        <w:t xml:space="preserve">Forward-looking statements. </w:t>
      </w:r>
      <w:r>
        <w:rPr>
          <w:b w:val="0"/>
          <w:i w:val="0"/>
          <w:color w:val="1C3A36"/>
          <w:sz w:val="19"/>
        </w:rPr>
        <w:t>Any statements about the future are estimates subject to risks and uncertainties; actual results may differ materially. The simulation models price, not value, and encodes subjective probabilities for events that have not occurred.</w:t>
      </w:r>
    </w:p>
    <w:p>
      <w:pPr>
        <w:spacing w:after="100" w:before="0"/>
      </w:pPr>
      <w:r>
        <w:rPr>
          <w:b/>
          <w:i/>
          <w:color w:val="1C3A36"/>
          <w:sz w:val="19"/>
        </w:rPr>
        <w:t xml:space="preserve">No reliance; your responsibility. </w:t>
      </w:r>
      <w:r>
        <w:rPr>
          <w:b w:val="0"/>
          <w:i w:val="0"/>
          <w:color w:val="1C3A36"/>
          <w:sz w:val="19"/>
        </w:rPr>
        <w:t>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100" w:before="0"/>
      </w:pPr>
      <w:r>
        <w:rPr>
          <w:b/>
          <w:i/>
          <w:color w:val="1C3A36"/>
          <w:sz w:val="19"/>
        </w:rPr>
        <w:t xml:space="preserve">Currency and figures. </w:t>
      </w:r>
      <w:r>
        <w:rPr>
          <w:b w:val="0"/>
          <w:i w:val="0"/>
          <w:color w:val="1C3A36"/>
          <w:sz w:val="19"/>
        </w:rPr>
        <w:t>Figures are in Egyptian pounds, millions unless stated; bn denotes billion. The exchange rate used for the round-price mark is EGP 50.2 to the US dollar, and it is a flagged estimate. Rounding may cause totals to differ slightly. The price is EGP 28.98 as at 3 September 2026; the price cone and the technical read are computed on the exchange library’s own last session, EGP 29.51 on 23 August 2026. Market data change continuously.</w:t>
      </w:r>
    </w:p>
    <w:p>
      <w:pPr>
        <w:spacing w:after="120" w:before="200"/>
        <w:jc w:val="center"/>
      </w:pPr>
      <w:r>
        <w:rPr>
          <w:b w:val="0"/>
          <w:i w:val="0"/>
          <w:color w:val="6E7B77"/>
          <w:sz w:val="17"/>
        </w:rPr>
        <w:t>TESTAHIL · Independent Valuation Study · Educational Analysis · GB Corp S.A.E. (EGX: GBCO) · edition 17-09-2026 · reporting currency EGP</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