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10 September 2026</w:t>
      </w:r>
    </w:p>
    <w:p>
      <w:pPr>
        <w:pStyle w:val="Heading1"/>
      </w:pPr>
      <w:r>
        <w:t>Read first</w:t>
      </w:r>
    </w:p>
    <w:p>
      <w:r>
        <w:rPr>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30.10% in the first year to 17.48%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84.54 and EGP 149.24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30.10% on the credit-default-swap premium — the rating-based premium runs 1.46% higher in the first year — and settling at 17.48%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31.56%</w:t>
            </w:r>
          </w:p>
        </w:tc>
        <w:tc>
          <w:tcPr>
            <w:tcW w:type="dxa" w:w="1378"/>
          </w:tcPr>
          <w:p>
            <w:pPr>
              <w:jc w:val="right"/>
            </w:pPr>
            <w:r/>
            <w:r>
              <w:rPr>
                <w:color w:val="1A1D21"/>
                <w:sz w:val="17"/>
              </w:rPr>
              <w:t>294,736</w:t>
            </w:r>
          </w:p>
        </w:tc>
        <w:tc>
          <w:tcPr>
            <w:tcW w:type="dxa" w:w="1202"/>
          </w:tcPr>
          <w:p>
            <w:pPr>
              <w:jc w:val="right"/>
            </w:pPr>
            <w:r/>
            <w:r>
              <w:rPr>
                <w:color w:val="1A1D21"/>
                <w:sz w:val="17"/>
              </w:rPr>
              <w:t>301,894</w:t>
            </w:r>
          </w:p>
        </w:tc>
        <w:tc>
          <w:tcPr>
            <w:tcW w:type="dxa" w:w="1151"/>
          </w:tcPr>
          <w:p>
            <w:pPr>
              <w:jc w:val="right"/>
            </w:pPr>
            <w:r/>
            <w:r>
              <w:rPr>
                <w:color w:val="1A1D21"/>
                <w:sz w:val="17"/>
              </w:rPr>
              <w:t>146.50</w:t>
            </w:r>
          </w:p>
        </w:tc>
        <w:tc>
          <w:tcPr>
            <w:tcW w:type="dxa" w:w="867"/>
          </w:tcPr>
          <w:p>
            <w:pPr>
              <w:jc w:val="right"/>
            </w:pPr>
            <w:r/>
            <w:r>
              <w:rPr>
                <w:color w:val="1A1D21"/>
                <w:sz w:val="17"/>
              </w:rPr>
              <w:t>148.68</w:t>
            </w:r>
          </w:p>
        </w:tc>
        <w:tc>
          <w:tcPr>
            <w:tcW w:type="dxa" w:w="867"/>
          </w:tcPr>
          <w:p>
            <w:pPr>
              <w:jc w:val="right"/>
            </w:pPr>
            <w:r/>
            <w:r>
              <w:rPr>
                <w:color w:val="1A1D21"/>
                <w:sz w:val="17"/>
              </w:rPr>
              <w:t>101.57</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31.56%</w:t>
            </w:r>
          </w:p>
        </w:tc>
        <w:tc>
          <w:tcPr>
            <w:tcW w:type="dxa" w:w="1378"/>
          </w:tcPr>
          <w:p>
            <w:pPr>
              <w:jc w:val="right"/>
            </w:pPr>
            <w:r/>
            <w:r>
              <w:rPr>
                <w:color w:val="1A1D21"/>
                <w:sz w:val="17"/>
              </w:rPr>
              <w:t>133,148</w:t>
            </w:r>
          </w:p>
        </w:tc>
        <w:tc>
          <w:tcPr>
            <w:tcW w:type="dxa" w:w="1202"/>
          </w:tcPr>
          <w:p>
            <w:pPr>
              <w:jc w:val="right"/>
            </w:pPr>
            <w:r/>
            <w:r>
              <w:rPr>
                <w:color w:val="1A1D21"/>
                <w:sz w:val="17"/>
              </w:rPr>
              <w:t>174,201</w:t>
            </w:r>
          </w:p>
        </w:tc>
        <w:tc>
          <w:tcPr>
            <w:tcW w:type="dxa" w:w="1151"/>
          </w:tcPr>
          <w:p>
            <w:pPr>
              <w:jc w:val="right"/>
            </w:pPr>
            <w:r/>
            <w:r>
              <w:rPr>
                <w:color w:val="1A1D21"/>
                <w:sz w:val="17"/>
              </w:rPr>
              <w:t>84.54</w:t>
            </w:r>
          </w:p>
        </w:tc>
        <w:tc>
          <w:tcPr>
            <w:tcW w:type="dxa" w:w="867"/>
          </w:tcPr>
          <w:p>
            <w:pPr>
              <w:jc w:val="right"/>
            </w:pPr>
            <w:r/>
            <w:r>
              <w:rPr>
                <w:color w:val="1A1D21"/>
                <w:sz w:val="17"/>
              </w:rPr>
              <w:t>70.26</w:t>
            </w:r>
          </w:p>
        </w:tc>
        <w:tc>
          <w:tcPr>
            <w:tcW w:type="dxa" w:w="867"/>
          </w:tcPr>
          <w:p>
            <w:pPr>
              <w:jc w:val="right"/>
            </w:pPr>
            <w:r/>
            <w:r>
              <w:rPr>
                <w:color w:val="1A1D21"/>
                <w:sz w:val="17"/>
              </w:rPr>
              <w:t>58.61</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30.10%</w:t>
            </w:r>
          </w:p>
        </w:tc>
        <w:tc>
          <w:tcPr>
            <w:tcW w:type="dxa" w:w="1378"/>
          </w:tcPr>
          <w:p>
            <w:pPr>
              <w:jc w:val="right"/>
            </w:pPr>
            <w:r/>
            <w:r>
              <w:rPr>
                <w:color w:val="1A1D21"/>
                <w:sz w:val="17"/>
              </w:rPr>
              <w:t>301,877</w:t>
            </w:r>
          </w:p>
        </w:tc>
        <w:tc>
          <w:tcPr>
            <w:tcW w:type="dxa" w:w="1202"/>
          </w:tcPr>
          <w:p>
            <w:pPr>
              <w:jc w:val="right"/>
            </w:pPr>
            <w:r/>
            <w:r>
              <w:rPr>
                <w:color w:val="1A1D21"/>
                <w:sz w:val="17"/>
              </w:rPr>
              <w:t>307,537</w:t>
            </w:r>
          </w:p>
        </w:tc>
        <w:tc>
          <w:tcPr>
            <w:tcW w:type="dxa" w:w="1151"/>
          </w:tcPr>
          <w:p>
            <w:pPr>
              <w:jc w:val="right"/>
            </w:pPr>
            <w:r/>
            <w:r>
              <w:rPr>
                <w:color w:val="1A1D21"/>
                <w:sz w:val="17"/>
              </w:rPr>
              <w:t>149.24</w:t>
            </w:r>
          </w:p>
        </w:tc>
        <w:tc>
          <w:tcPr>
            <w:tcW w:type="dxa" w:w="867"/>
          </w:tcPr>
          <w:p>
            <w:pPr>
              <w:jc w:val="right"/>
            </w:pPr>
            <w:r/>
            <w:r>
              <w:rPr>
                <w:color w:val="1A1D21"/>
                <w:sz w:val="17"/>
              </w:rPr>
              <w:t>152.14</w:t>
            </w:r>
          </w:p>
        </w:tc>
        <w:tc>
          <w:tcPr>
            <w:tcW w:type="dxa" w:w="867"/>
          </w:tcPr>
          <w:p>
            <w:pPr>
              <w:jc w:val="right"/>
            </w:pPr>
            <w:r/>
            <w:r>
              <w:rPr>
                <w:color w:val="1A1D21"/>
                <w:sz w:val="17"/>
              </w:rPr>
              <w:t>103.47</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30.10%</w:t>
            </w:r>
          </w:p>
        </w:tc>
        <w:tc>
          <w:tcPr>
            <w:tcW w:type="dxa" w:w="1378"/>
          </w:tcPr>
          <w:p>
            <w:pPr>
              <w:jc w:val="right"/>
            </w:pPr>
            <w:r/>
            <w:r>
              <w:rPr>
                <w:color w:val="1A1D21"/>
                <w:sz w:val="17"/>
              </w:rPr>
              <w:t>136,359</w:t>
            </w:r>
          </w:p>
        </w:tc>
        <w:tc>
          <w:tcPr>
            <w:tcW w:type="dxa" w:w="1202"/>
          </w:tcPr>
          <w:p>
            <w:pPr>
              <w:jc w:val="right"/>
            </w:pPr>
            <w:r/>
            <w:r>
              <w:rPr>
                <w:color w:val="1A1D21"/>
                <w:sz w:val="17"/>
              </w:rPr>
              <w:t>176,739</w:t>
            </w:r>
          </w:p>
        </w:tc>
        <w:tc>
          <w:tcPr>
            <w:tcW w:type="dxa" w:w="1151"/>
          </w:tcPr>
          <w:p>
            <w:pPr>
              <w:jc w:val="right"/>
            </w:pPr>
            <w:r/>
            <w:r>
              <w:rPr>
                <w:color w:val="1A1D21"/>
                <w:sz w:val="17"/>
              </w:rPr>
              <w:t>85.77</w:t>
            </w:r>
          </w:p>
        </w:tc>
        <w:tc>
          <w:tcPr>
            <w:tcW w:type="dxa" w:w="867"/>
          </w:tcPr>
          <w:p>
            <w:pPr>
              <w:jc w:val="right"/>
            </w:pPr>
            <w:r/>
            <w:r>
              <w:rPr>
                <w:color w:val="1A1D21"/>
                <w:sz w:val="17"/>
              </w:rPr>
              <w:t>71.82</w:t>
            </w:r>
          </w:p>
        </w:tc>
        <w:tc>
          <w:tcPr>
            <w:tcW w:type="dxa" w:w="867"/>
          </w:tcPr>
          <w:p>
            <w:pPr>
              <w:jc w:val="right"/>
            </w:pPr>
            <w:r/>
            <w:r>
              <w:rPr>
                <w:color w:val="1A1D21"/>
                <w:sz w:val="17"/>
              </w:rPr>
              <w:t>59.46</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32.6%</w:t>
            </w:r>
          </w:p>
        </w:tc>
        <w:tc>
          <w:tcPr>
            <w:tcW w:type="dxa" w:w="1814"/>
          </w:tcPr>
          <w:p>
            <w:r/>
            <w:r>
              <w:rPr>
                <w:color w:val="1A1D21"/>
                <w:sz w:val="17"/>
              </w:rPr>
              <w:t>4.19 – 14.11</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18.58 – 27.42</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0.7601</w:t>
            </w:r>
          </w:p>
        </w:tc>
        <w:tc>
          <w:tcPr>
            <w:tcW w:type="dxa" w:w="1134"/>
          </w:tcPr>
          <w:p>
            <w:pPr>
              <w:jc w:val="right"/>
            </w:pPr>
            <w:r/>
            <w:r>
              <w:rPr>
                <w:color w:val="1A1D21"/>
                <w:sz w:val="17"/>
              </w:rPr>
              <w:t>0.6007</w:t>
            </w:r>
          </w:p>
        </w:tc>
        <w:tc>
          <w:tcPr>
            <w:tcW w:type="dxa" w:w="1134"/>
          </w:tcPr>
          <w:p>
            <w:pPr>
              <w:jc w:val="right"/>
            </w:pPr>
            <w:r/>
            <w:r>
              <w:rPr>
                <w:color w:val="1A1D21"/>
                <w:sz w:val="17"/>
              </w:rPr>
              <w:t>0.4903</w:t>
            </w:r>
          </w:p>
        </w:tc>
        <w:tc>
          <w:tcPr>
            <w:tcW w:type="dxa" w:w="1134"/>
          </w:tcPr>
          <w:p>
            <w:pPr>
              <w:jc w:val="right"/>
            </w:pPr>
            <w:r/>
            <w:r>
              <w:rPr>
                <w:color w:val="1A1D21"/>
                <w:sz w:val="17"/>
              </w:rPr>
              <w:t>0.4103</w:t>
            </w:r>
          </w:p>
        </w:tc>
        <w:tc>
          <w:tcPr>
            <w:tcW w:type="dxa" w:w="1134"/>
          </w:tcPr>
          <w:p>
            <w:pPr>
              <w:jc w:val="right"/>
            </w:pPr>
            <w:r/>
            <w:r>
              <w:rPr>
                <w:color w:val="1A1D21"/>
                <w:sz w:val="17"/>
              </w:rPr>
              <w:t>0.3492</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18,893</w:t>
            </w:r>
          </w:p>
        </w:tc>
        <w:tc>
          <w:tcPr>
            <w:tcW w:type="dxa" w:w="1134"/>
          </w:tcPr>
          <w:p>
            <w:pPr>
              <w:jc w:val="right"/>
            </w:pPr>
            <w:r/>
            <w:r>
              <w:rPr>
                <w:color w:val="1A1D21"/>
                <w:sz w:val="17"/>
              </w:rPr>
              <w:t>22,236</w:t>
            </w:r>
          </w:p>
        </w:tc>
        <w:tc>
          <w:tcPr>
            <w:tcW w:type="dxa" w:w="1134"/>
          </w:tcPr>
          <w:p>
            <w:pPr>
              <w:jc w:val="right"/>
            </w:pPr>
            <w:r/>
            <w:r>
              <w:rPr>
                <w:color w:val="1A1D21"/>
                <w:sz w:val="17"/>
              </w:rPr>
              <w:t>23,212</w:t>
            </w:r>
          </w:p>
        </w:tc>
        <w:tc>
          <w:tcPr>
            <w:tcW w:type="dxa" w:w="1134"/>
          </w:tcPr>
          <w:p>
            <w:pPr>
              <w:jc w:val="right"/>
            </w:pPr>
            <w:r/>
            <w:r>
              <w:rPr>
                <w:color w:val="1A1D21"/>
                <w:sz w:val="17"/>
              </w:rPr>
              <w:t>23,363</w:t>
            </w:r>
          </w:p>
        </w:tc>
        <w:tc>
          <w:tcPr>
            <w:tcW w:type="dxa" w:w="1134"/>
          </w:tcPr>
          <w:p>
            <w:pPr>
              <w:jc w:val="right"/>
            </w:pPr>
            <w:r/>
            <w:r>
              <w:rPr>
                <w:color w:val="1A1D21"/>
                <w:sz w:val="17"/>
              </w:rPr>
              <w:t>23,280</w:t>
            </w:r>
          </w:p>
        </w:tc>
      </w:tr>
    </w:tbl>
    <w:p>
      <w:pPr>
        <w:spacing w:after="200"/>
      </w:pPr>
      <w:r>
        <w:rPr>
          <w:b w:val="0"/>
          <w:i/>
          <w:color w:val="5B6570"/>
          <w:sz w:val="16"/>
        </w:rPr>
        <w:t>The first five of the ten explicit years, on the case built on the rating-based equity risk premium, slower conversion, whose first-year rate is 31.56%;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221,850</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24,044</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48,842</w:t>
            </w:r>
          </w:p>
        </w:tc>
      </w:tr>
      <w:tr>
        <w:trPr>
          <w:cantSplit/>
        </w:trPr>
        <w:tc>
          <w:tcPr>
            <w:tcW w:type="dxa" w:w="6236"/>
          </w:tcPr>
          <w:p>
            <w:r/>
            <w:r>
              <w:rPr>
                <w:color w:val="1A1D21"/>
                <w:sz w:val="17"/>
              </w:rPr>
              <w:t>Enterprise value</w:t>
            </w:r>
          </w:p>
        </w:tc>
        <w:tc>
          <w:tcPr>
            <w:tcW w:type="dxa" w:w="2948"/>
          </w:tcPr>
          <w:p>
            <w:pPr>
              <w:jc w:val="right"/>
            </w:pPr>
            <w:r/>
            <w:r>
              <w:rPr>
                <w:color w:val="1A1D21"/>
                <w:sz w:val="17"/>
              </w:rPr>
              <w:t>294,736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382,030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(80,136)</w:t>
            </w:r>
          </w:p>
        </w:tc>
      </w:tr>
      <w:tr>
        <w:trPr>
          <w:cantSplit/>
        </w:trPr>
        <w:tc>
          <w:tcPr>
            <w:tcW w:type="dxa" w:w="6236"/>
          </w:tcPr>
          <w:p>
            <w:r/>
            <w:r>
              <w:rPr>
                <w:color w:val="1A1D21"/>
                <w:sz w:val="17"/>
              </w:rPr>
              <w:t xml:space="preserve">  for reference: at book 75,653; pro rata to book 172,729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301,894</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146.50</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32.6%. A business earning less on its capital than the capital costs is worth less than its book, and the arithmetic says so plainly: at a long-run growth rate of 10% the justified multiple of book is 0.29 times, giving EGP 13.12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18.58 to EGP 27.42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79.51</w:t>
            </w:r>
          </w:p>
        </w:tc>
      </w:tr>
      <w:tr>
        <w:trPr>
          <w:cantSplit/>
        </w:trPr>
        <w:tc>
          <w:tcPr>
            <w:tcW w:type="dxa" w:w="3969"/>
          </w:tcPr>
          <w:p>
            <w:r/>
            <w:r>
              <w:rPr>
                <w:color w:val="1A1D21"/>
                <w:sz w:val="17"/>
              </w:rPr>
              <w:t>10</w:t>
            </w:r>
          </w:p>
        </w:tc>
        <w:tc>
          <w:tcPr>
            <w:tcW w:type="dxa" w:w="2268"/>
          </w:tcPr>
          <w:p>
            <w:pPr>
              <w:jc w:val="right"/>
            </w:pPr>
            <w:r/>
            <w:r>
              <w:rPr>
                <w:color w:val="1A1D21"/>
                <w:sz w:val="17"/>
              </w:rPr>
              <w:t>108.11</w:t>
            </w:r>
          </w:p>
        </w:tc>
      </w:tr>
      <w:tr>
        <w:trPr>
          <w:cantSplit/>
        </w:trPr>
        <w:tc>
          <w:tcPr>
            <w:tcW w:type="dxa" w:w="3969"/>
          </w:tcPr>
          <w:p>
            <w:r/>
            <w:r>
              <w:rPr>
                <w:color w:val="1A1D21"/>
                <w:sz w:val="17"/>
              </w:rPr>
              <w:t>12</w:t>
            </w:r>
          </w:p>
        </w:tc>
        <w:tc>
          <w:tcPr>
            <w:tcW w:type="dxa" w:w="2268"/>
          </w:tcPr>
          <w:p>
            <w:pPr>
              <w:jc w:val="right"/>
            </w:pPr>
            <w:r/>
            <w:r>
              <w:rPr>
                <w:color w:val="1A1D21"/>
                <w:sz w:val="17"/>
              </w:rPr>
              <w:t>129.60</w:t>
            </w:r>
          </w:p>
        </w:tc>
      </w:tr>
      <w:tr>
        <w:trPr>
          <w:cantSplit/>
        </w:trPr>
        <w:tc>
          <w:tcPr>
            <w:tcW w:type="dxa" w:w="3969"/>
          </w:tcPr>
          <w:p>
            <w:r/>
            <w:r>
              <w:rPr>
                <w:color w:val="1A1D21"/>
                <w:sz w:val="17"/>
              </w:rPr>
              <w:t>14</w:t>
            </w:r>
          </w:p>
        </w:tc>
        <w:tc>
          <w:tcPr>
            <w:tcW w:type="dxa" w:w="2268"/>
          </w:tcPr>
          <w:p>
            <w:pPr>
              <w:jc w:val="right"/>
            </w:pPr>
            <w:r/>
            <w:r>
              <w:rPr>
                <w:color w:val="1A1D21"/>
                <w:sz w:val="17"/>
              </w:rPr>
              <w:t>146.50</w:t>
            </w:r>
          </w:p>
        </w:tc>
      </w:tr>
      <w:tr>
        <w:trPr>
          <w:cantSplit/>
        </w:trPr>
        <w:tc>
          <w:tcPr>
            <w:tcW w:type="dxa" w:w="3969"/>
          </w:tcPr>
          <w:p>
            <w:r/>
            <w:r>
              <w:rPr>
                <w:color w:val="1A1D21"/>
                <w:sz w:val="17"/>
              </w:rPr>
              <w:t>16</w:t>
            </w:r>
          </w:p>
        </w:tc>
        <w:tc>
          <w:tcPr>
            <w:tcW w:type="dxa" w:w="2268"/>
          </w:tcPr>
          <w:p>
            <w:pPr>
              <w:jc w:val="right"/>
            </w:pPr>
            <w:r/>
            <w:r>
              <w:rPr>
                <w:color w:val="1A1D21"/>
                <w:sz w:val="17"/>
              </w:rPr>
              <w:t>160.23</w:t>
            </w:r>
          </w:p>
        </w:tc>
      </w:tr>
      <w:tr>
        <w:trPr>
          <w:cantSplit/>
        </w:trPr>
        <w:tc>
          <w:tcPr>
            <w:tcW w:type="dxa" w:w="3969"/>
          </w:tcPr>
          <w:p>
            <w:r/>
            <w:r>
              <w:rPr>
                <w:color w:val="1A1D21"/>
                <w:sz w:val="17"/>
              </w:rPr>
              <w:t>20</w:t>
            </w:r>
          </w:p>
        </w:tc>
        <w:tc>
          <w:tcPr>
            <w:tcW w:type="dxa" w:w="2268"/>
          </w:tcPr>
          <w:p>
            <w:pPr>
              <w:jc w:val="right"/>
            </w:pPr>
            <w:r/>
            <w:r>
              <w:rPr>
                <w:color w:val="1A1D21"/>
                <w:sz w:val="17"/>
              </w:rPr>
              <w:t>181.25</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30% that investment pays back only slowly inside the window. The slower reading is worth EGP 146.50 a share and the faster one EGP 84.54.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32.57% / 30.98%</w:t>
            </w:r>
          </w:p>
        </w:tc>
        <w:tc>
          <w:tcPr>
            <w:tcW w:type="dxa" w:w="5216"/>
          </w:tcPr>
          <w:p>
            <w:r/>
            <w:r>
              <w:rPr>
                <w:color w:val="1A1D21"/>
                <w:sz w:val="17"/>
              </w:rPr>
              <w:t>the normalised risk-free rate, plus beta times the MATURE premium, plus Egypt's country premium charged once and flat. Beta measures this share's exposure to its own equity market, not to its sovereign, so it is not applied to the country leg</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31.56% / 30.10%</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17.48%</w:t>
            </w:r>
          </w:p>
        </w:tc>
        <w:tc>
          <w:tcPr>
            <w:tcW w:type="dxa" w:w="5216"/>
          </w:tcPr>
          <w:p>
            <w:r/>
            <w:r>
              <w:rPr>
                <w:color w:val="1A1D21"/>
                <w:sz w:val="17"/>
              </w:rPr>
              <w:t>built from the central bank's own inflation target plus a standard real return, not quoted from any market: 9.00%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30.1% to 17.5%</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30.1%</w:t>
            </w:r>
          </w:p>
        </w:tc>
        <w:tc>
          <w:tcPr>
            <w:tcW w:type="dxa" w:w="794"/>
          </w:tcPr>
          <w:p>
            <w:pPr>
              <w:jc w:val="right"/>
            </w:pPr>
            <w:r/>
            <w:r>
              <w:rPr>
                <w:color w:val="1A1D21"/>
                <w:sz w:val="17"/>
              </w:rPr>
              <w:t>25.6%</w:t>
            </w:r>
          </w:p>
        </w:tc>
        <w:tc>
          <w:tcPr>
            <w:tcW w:type="dxa" w:w="794"/>
          </w:tcPr>
          <w:p>
            <w:pPr>
              <w:jc w:val="right"/>
            </w:pPr>
            <w:r/>
            <w:r>
              <w:rPr>
                <w:color w:val="1A1D21"/>
                <w:sz w:val="17"/>
              </w:rPr>
              <w:t>22.0%</w:t>
            </w:r>
          </w:p>
        </w:tc>
        <w:tc>
          <w:tcPr>
            <w:tcW w:type="dxa" w:w="794"/>
          </w:tcPr>
          <w:p>
            <w:pPr>
              <w:jc w:val="right"/>
            </w:pPr>
            <w:r/>
            <w:r>
              <w:rPr>
                <w:color w:val="1A1D21"/>
                <w:sz w:val="17"/>
              </w:rPr>
              <w:t>19.3%</w:t>
            </w:r>
          </w:p>
        </w:tc>
        <w:tc>
          <w:tcPr>
            <w:tcW w:type="dxa" w:w="794"/>
          </w:tcPr>
          <w:p>
            <w:pPr>
              <w:jc w:val="right"/>
            </w:pPr>
            <w:r/>
            <w:r>
              <w:rPr>
                <w:color w:val="1A1D21"/>
                <w:sz w:val="17"/>
              </w:rPr>
              <w:t>17.5%</w:t>
            </w:r>
          </w:p>
        </w:tc>
        <w:tc>
          <w:tcPr>
            <w:tcW w:type="dxa" w:w="794"/>
          </w:tcPr>
          <w:p>
            <w:pPr>
              <w:jc w:val="right"/>
            </w:pPr>
            <w:r/>
            <w:r>
              <w:rPr>
                <w:color w:val="1A1D21"/>
                <w:sz w:val="17"/>
              </w:rPr>
              <w:t>17.5%</w:t>
            </w:r>
          </w:p>
        </w:tc>
        <w:tc>
          <w:tcPr>
            <w:tcW w:type="dxa" w:w="794"/>
          </w:tcPr>
          <w:p>
            <w:pPr>
              <w:jc w:val="right"/>
            </w:pPr>
            <w:r/>
            <w:r>
              <w:rPr>
                <w:color w:val="1A1D21"/>
                <w:sz w:val="17"/>
              </w:rPr>
              <w:t>17.5%</w:t>
            </w:r>
          </w:p>
        </w:tc>
        <w:tc>
          <w:tcPr>
            <w:tcW w:type="dxa" w:w="794"/>
          </w:tcPr>
          <w:p>
            <w:pPr>
              <w:jc w:val="right"/>
            </w:pPr>
            <w:r/>
            <w:r>
              <w:rPr>
                <w:color w:val="1A1D21"/>
                <w:sz w:val="17"/>
              </w:rPr>
              <w:t>17.5%</w:t>
            </w:r>
          </w:p>
        </w:tc>
        <w:tc>
          <w:tcPr>
            <w:tcW w:type="dxa" w:w="794"/>
          </w:tcPr>
          <w:p>
            <w:pPr>
              <w:jc w:val="right"/>
            </w:pPr>
            <w:r/>
            <w:r>
              <w:rPr>
                <w:color w:val="1A1D21"/>
                <w:sz w:val="17"/>
              </w:rPr>
              <w:t>17.5%</w:t>
            </w:r>
          </w:p>
        </w:tc>
        <w:tc>
          <w:tcPr>
            <w:tcW w:type="dxa" w:w="794"/>
          </w:tcPr>
          <w:p>
            <w:pPr>
              <w:jc w:val="right"/>
            </w:pPr>
            <w:r/>
            <w:r>
              <w:rPr>
                <w:color w:val="1A1D21"/>
                <w:sz w:val="17"/>
              </w:rPr>
              <w:t>17.5%</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0.769</w:t>
            </w:r>
          </w:p>
        </w:tc>
        <w:tc>
          <w:tcPr>
            <w:tcW w:type="dxa" w:w="794"/>
          </w:tcPr>
          <w:p>
            <w:pPr>
              <w:jc w:val="right"/>
            </w:pPr>
            <w:r/>
            <w:r>
              <w:rPr>
                <w:color w:val="1A1D21"/>
                <w:sz w:val="17"/>
              </w:rPr>
              <w:t>0.612</w:t>
            </w:r>
          </w:p>
        </w:tc>
        <w:tc>
          <w:tcPr>
            <w:tcW w:type="dxa" w:w="794"/>
          </w:tcPr>
          <w:p>
            <w:pPr>
              <w:jc w:val="right"/>
            </w:pPr>
            <w:r/>
            <w:r>
              <w:rPr>
                <w:color w:val="1A1D21"/>
                <w:sz w:val="17"/>
              </w:rPr>
              <w:t>0.502</w:t>
            </w:r>
          </w:p>
        </w:tc>
        <w:tc>
          <w:tcPr>
            <w:tcW w:type="dxa" w:w="794"/>
          </w:tcPr>
          <w:p>
            <w:pPr>
              <w:jc w:val="right"/>
            </w:pPr>
            <w:r/>
            <w:r>
              <w:rPr>
                <w:color w:val="1A1D21"/>
                <w:sz w:val="17"/>
              </w:rPr>
              <w:t>0.421</w:t>
            </w:r>
          </w:p>
        </w:tc>
        <w:tc>
          <w:tcPr>
            <w:tcW w:type="dxa" w:w="794"/>
          </w:tcPr>
          <w:p>
            <w:pPr>
              <w:jc w:val="right"/>
            </w:pPr>
            <w:r/>
            <w:r>
              <w:rPr>
                <w:color w:val="1A1D21"/>
                <w:sz w:val="17"/>
              </w:rPr>
              <w:t>0.358</w:t>
            </w:r>
          </w:p>
        </w:tc>
        <w:tc>
          <w:tcPr>
            <w:tcW w:type="dxa" w:w="794"/>
          </w:tcPr>
          <w:p>
            <w:pPr>
              <w:jc w:val="right"/>
            </w:pPr>
            <w:r/>
            <w:r>
              <w:rPr>
                <w:color w:val="1A1D21"/>
                <w:sz w:val="17"/>
              </w:rPr>
              <w:t>0.305</w:t>
            </w:r>
          </w:p>
        </w:tc>
        <w:tc>
          <w:tcPr>
            <w:tcW w:type="dxa" w:w="794"/>
          </w:tcPr>
          <w:p>
            <w:pPr>
              <w:jc w:val="right"/>
            </w:pPr>
            <w:r/>
            <w:r>
              <w:rPr>
                <w:color w:val="1A1D21"/>
                <w:sz w:val="17"/>
              </w:rPr>
              <w:t>0.259</w:t>
            </w:r>
          </w:p>
        </w:tc>
        <w:tc>
          <w:tcPr>
            <w:tcW w:type="dxa" w:w="794"/>
          </w:tcPr>
          <w:p>
            <w:pPr>
              <w:jc w:val="right"/>
            </w:pPr>
            <w:r/>
            <w:r>
              <w:rPr>
                <w:color w:val="1A1D21"/>
                <w:sz w:val="17"/>
              </w:rPr>
              <w:t>0.221</w:t>
            </w:r>
          </w:p>
        </w:tc>
        <w:tc>
          <w:tcPr>
            <w:tcW w:type="dxa" w:w="794"/>
          </w:tcPr>
          <w:p>
            <w:pPr>
              <w:jc w:val="right"/>
            </w:pPr>
            <w:r/>
            <w:r>
              <w:rPr>
                <w:color w:val="1A1D21"/>
                <w:sz w:val="17"/>
              </w:rPr>
              <w:t>0.188</w:t>
            </w:r>
          </w:p>
        </w:tc>
        <w:tc>
          <w:tcPr>
            <w:tcW w:type="dxa" w:w="794"/>
          </w:tcPr>
          <w:p>
            <w:pPr>
              <w:jc w:val="right"/>
            </w:pPr>
            <w:r/>
            <w:r>
              <w:rPr>
                <w:color w:val="1A1D21"/>
                <w:sz w:val="17"/>
              </w:rPr>
              <w:t>0.160</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0.160.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35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22.10%</w:t>
            </w:r>
          </w:p>
        </w:tc>
        <w:tc>
          <w:tcPr>
            <w:tcW w:type="dxa" w:w="2494"/>
          </w:tcPr>
          <w:p>
            <w:pPr>
              <w:jc w:val="right"/>
            </w:pPr>
            <w:r/>
            <w:r>
              <w:rPr>
                <w:color w:val="1A1D21"/>
                <w:sz w:val="17"/>
              </w:rPr>
              <w:t>352.67</w:t>
            </w:r>
          </w:p>
        </w:tc>
        <w:tc>
          <w:tcPr>
            <w:tcW w:type="dxa" w:w="2494"/>
          </w:tcPr>
          <w:p>
            <w:pPr>
              <w:jc w:val="right"/>
            </w:pPr>
            <w:r/>
            <w:r>
              <w:rPr>
                <w:color w:val="1A1D21"/>
                <w:sz w:val="17"/>
              </w:rPr>
              <w:t>282.87</w:t>
            </w:r>
          </w:p>
        </w:tc>
        <w:tc>
          <w:tcPr>
            <w:tcW w:type="dxa" w:w="2381"/>
          </w:tcPr>
          <w:p>
            <w:pPr>
              <w:jc w:val="right"/>
            </w:pPr>
            <w:r/>
            <w:r>
              <w:rPr>
                <w:color w:val="1A1D21"/>
                <w:sz w:val="17"/>
              </w:rPr>
              <w:t>265%</w:t>
            </w:r>
          </w:p>
        </w:tc>
      </w:tr>
      <w:tr>
        <w:trPr>
          <w:cantSplit/>
        </w:trPr>
        <w:tc>
          <w:tcPr>
            <w:tcW w:type="dxa" w:w="1814"/>
          </w:tcPr>
          <w:p>
            <w:r/>
            <w:r>
              <w:rPr>
                <w:color w:val="1A1D21"/>
                <w:sz w:val="17"/>
              </w:rPr>
              <w:t>26.10%</w:t>
            </w:r>
          </w:p>
        </w:tc>
        <w:tc>
          <w:tcPr>
            <w:tcW w:type="dxa" w:w="2494"/>
          </w:tcPr>
          <w:p>
            <w:pPr>
              <w:jc w:val="right"/>
            </w:pPr>
            <w:r/>
            <w:r>
              <w:rPr>
                <w:color w:val="1A1D21"/>
                <w:sz w:val="17"/>
              </w:rPr>
              <w:t>198.33</w:t>
            </w:r>
          </w:p>
        </w:tc>
        <w:tc>
          <w:tcPr>
            <w:tcW w:type="dxa" w:w="2494"/>
          </w:tcPr>
          <w:p>
            <w:pPr>
              <w:jc w:val="right"/>
            </w:pPr>
            <w:r/>
            <w:r>
              <w:rPr>
                <w:color w:val="1A1D21"/>
                <w:sz w:val="17"/>
              </w:rPr>
              <w:t>129.46</w:t>
            </w:r>
          </w:p>
        </w:tc>
        <w:tc>
          <w:tcPr>
            <w:tcW w:type="dxa" w:w="2381"/>
          </w:tcPr>
          <w:p>
            <w:pPr>
              <w:jc w:val="right"/>
            </w:pPr>
            <w:r/>
            <w:r>
              <w:rPr>
                <w:color w:val="1A1D21"/>
                <w:sz w:val="17"/>
              </w:rPr>
              <w:t>105%</w:t>
            </w:r>
          </w:p>
        </w:tc>
      </w:tr>
      <w:tr>
        <w:trPr>
          <w:cantSplit/>
        </w:trPr>
        <w:tc>
          <w:tcPr>
            <w:tcW w:type="dxa" w:w="1814"/>
          </w:tcPr>
          <w:p>
            <w:r/>
            <w:r>
              <w:rPr>
                <w:color w:val="1A1D21"/>
                <w:sz w:val="17"/>
              </w:rPr>
              <w:t>28.10%</w:t>
            </w:r>
          </w:p>
        </w:tc>
        <w:tc>
          <w:tcPr>
            <w:tcW w:type="dxa" w:w="2494"/>
          </w:tcPr>
          <w:p>
            <w:pPr>
              <w:jc w:val="right"/>
            </w:pPr>
            <w:r/>
            <w:r>
              <w:rPr>
                <w:color w:val="1A1D21"/>
                <w:sz w:val="17"/>
              </w:rPr>
              <w:t>169.37</w:t>
            </w:r>
          </w:p>
        </w:tc>
        <w:tc>
          <w:tcPr>
            <w:tcW w:type="dxa" w:w="2494"/>
          </w:tcPr>
          <w:p>
            <w:pPr>
              <w:jc w:val="right"/>
            </w:pPr>
            <w:r/>
            <w:r>
              <w:rPr>
                <w:color w:val="1A1D21"/>
                <w:sz w:val="17"/>
              </w:rPr>
              <w:t>102.88</w:t>
            </w:r>
          </w:p>
        </w:tc>
        <w:tc>
          <w:tcPr>
            <w:tcW w:type="dxa" w:w="2381"/>
          </w:tcPr>
          <w:p>
            <w:pPr>
              <w:jc w:val="right"/>
            </w:pPr>
            <w:r/>
            <w:r>
              <w:rPr>
                <w:color w:val="1A1D21"/>
                <w:sz w:val="17"/>
              </w:rPr>
              <w:t>75%</w:t>
            </w:r>
          </w:p>
        </w:tc>
      </w:tr>
      <w:tr>
        <w:trPr>
          <w:cantSplit/>
        </w:trPr>
        <w:tc>
          <w:tcPr>
            <w:tcW w:type="dxa" w:w="1814"/>
          </w:tcPr>
          <w:p>
            <w:r/>
            <w:r>
              <w:rPr>
                <w:color w:val="1A1D21"/>
                <w:sz w:val="17"/>
              </w:rPr>
              <w:t>30.10%</w:t>
            </w:r>
          </w:p>
        </w:tc>
        <w:tc>
          <w:tcPr>
            <w:tcW w:type="dxa" w:w="2494"/>
          </w:tcPr>
          <w:p>
            <w:pPr>
              <w:jc w:val="right"/>
            </w:pPr>
            <w:r/>
            <w:r>
              <w:rPr>
                <w:color w:val="1A1D21"/>
                <w:sz w:val="17"/>
              </w:rPr>
              <w:t>149.24</w:t>
            </w:r>
          </w:p>
        </w:tc>
        <w:tc>
          <w:tcPr>
            <w:tcW w:type="dxa" w:w="2494"/>
          </w:tcPr>
          <w:p>
            <w:pPr>
              <w:jc w:val="right"/>
            </w:pPr>
            <w:r/>
            <w:r>
              <w:rPr>
                <w:color w:val="1A1D21"/>
                <w:sz w:val="17"/>
              </w:rPr>
              <w:t>85.77</w:t>
            </w:r>
          </w:p>
        </w:tc>
        <w:tc>
          <w:tcPr>
            <w:tcW w:type="dxa" w:w="2381"/>
          </w:tcPr>
          <w:p>
            <w:pPr>
              <w:jc w:val="right"/>
            </w:pPr>
            <w:r/>
            <w:r>
              <w:rPr>
                <w:color w:val="1A1D21"/>
                <w:sz w:val="17"/>
              </w:rPr>
              <w:t>54%</w:t>
            </w:r>
          </w:p>
        </w:tc>
      </w:tr>
      <w:tr>
        <w:trPr>
          <w:cantSplit/>
        </w:trPr>
        <w:tc>
          <w:tcPr>
            <w:tcW w:type="dxa" w:w="1814"/>
          </w:tcPr>
          <w:p>
            <w:r/>
            <w:r>
              <w:rPr>
                <w:color w:val="1A1D21"/>
                <w:sz w:val="17"/>
              </w:rPr>
              <w:t>32.10%</w:t>
            </w:r>
          </w:p>
        </w:tc>
        <w:tc>
          <w:tcPr>
            <w:tcW w:type="dxa" w:w="2494"/>
          </w:tcPr>
          <w:p>
            <w:pPr>
              <w:jc w:val="right"/>
            </w:pPr>
            <w:r/>
            <w:r>
              <w:rPr>
                <w:color w:val="1A1D21"/>
                <w:sz w:val="17"/>
              </w:rPr>
              <w:t>134.19</w:t>
            </w:r>
          </w:p>
        </w:tc>
        <w:tc>
          <w:tcPr>
            <w:tcW w:type="dxa" w:w="2494"/>
          </w:tcPr>
          <w:p>
            <w:pPr>
              <w:jc w:val="right"/>
            </w:pPr>
            <w:r/>
            <w:r>
              <w:rPr>
                <w:color w:val="1A1D21"/>
                <w:sz w:val="17"/>
              </w:rPr>
              <w:t>74.06</w:t>
            </w:r>
          </w:p>
        </w:tc>
        <w:tc>
          <w:tcPr>
            <w:tcW w:type="dxa" w:w="2381"/>
          </w:tcPr>
          <w:p>
            <w:pPr>
              <w:jc w:val="right"/>
            </w:pPr>
            <w:r/>
            <w:r>
              <w:rPr>
                <w:color w:val="1A1D21"/>
                <w:sz w:val="17"/>
              </w:rPr>
              <w:t>39%</w:t>
            </w:r>
          </w:p>
        </w:tc>
      </w:tr>
      <w:tr>
        <w:trPr>
          <w:cantSplit/>
        </w:trPr>
        <w:tc>
          <w:tcPr>
            <w:tcW w:type="dxa" w:w="1814"/>
          </w:tcPr>
          <w:p>
            <w:r/>
            <w:r>
              <w:rPr>
                <w:color w:val="1A1D21"/>
                <w:sz w:val="17"/>
              </w:rPr>
              <w:t>34.10%</w:t>
            </w:r>
          </w:p>
        </w:tc>
        <w:tc>
          <w:tcPr>
            <w:tcW w:type="dxa" w:w="2494"/>
          </w:tcPr>
          <w:p>
            <w:pPr>
              <w:jc w:val="right"/>
            </w:pPr>
            <w:r/>
            <w:r>
              <w:rPr>
                <w:color w:val="1A1D21"/>
                <w:sz w:val="17"/>
              </w:rPr>
              <w:t>122.43</w:t>
            </w:r>
          </w:p>
        </w:tc>
        <w:tc>
          <w:tcPr>
            <w:tcW w:type="dxa" w:w="2494"/>
          </w:tcPr>
          <w:p>
            <w:pPr>
              <w:jc w:val="right"/>
            </w:pPr>
            <w:r/>
            <w:r>
              <w:rPr>
                <w:color w:val="1A1D21"/>
                <w:sz w:val="17"/>
              </w:rPr>
              <w:t>65.75</w:t>
            </w:r>
          </w:p>
        </w:tc>
        <w:tc>
          <w:tcPr>
            <w:tcW w:type="dxa" w:w="2381"/>
          </w:tcPr>
          <w:p>
            <w:pPr>
              <w:jc w:val="right"/>
            </w:pPr>
            <w:r/>
            <w:r>
              <w:rPr>
                <w:color w:val="1A1D21"/>
                <w:sz w:val="17"/>
              </w:rPr>
              <w:t>27%</w:t>
            </w:r>
          </w:p>
        </w:tc>
      </w:tr>
      <w:tr>
        <w:trPr>
          <w:cantSplit/>
        </w:trPr>
        <w:tc>
          <w:tcPr>
            <w:tcW w:type="dxa" w:w="1814"/>
          </w:tcPr>
          <w:p>
            <w:r/>
            <w:r>
              <w:rPr>
                <w:color w:val="1A1D21"/>
                <w:sz w:val="17"/>
              </w:rPr>
              <w:t>38.10%</w:t>
            </w:r>
          </w:p>
        </w:tc>
        <w:tc>
          <w:tcPr>
            <w:tcW w:type="dxa" w:w="2494"/>
          </w:tcPr>
          <w:p>
            <w:pPr>
              <w:jc w:val="right"/>
            </w:pPr>
            <w:r/>
            <w:r>
              <w:rPr>
                <w:color w:val="1A1D21"/>
                <w:sz w:val="17"/>
              </w:rPr>
              <w:t>105.11</w:t>
            </w:r>
          </w:p>
        </w:tc>
        <w:tc>
          <w:tcPr>
            <w:tcW w:type="dxa" w:w="2494"/>
          </w:tcPr>
          <w:p>
            <w:pPr>
              <w:jc w:val="right"/>
            </w:pPr>
            <w:r/>
            <w:r>
              <w:rPr>
                <w:color w:val="1A1D21"/>
                <w:sz w:val="17"/>
              </w:rPr>
              <w:t>55.25</w:t>
            </w:r>
          </w:p>
        </w:tc>
        <w:tc>
          <w:tcPr>
            <w:tcW w:type="dxa" w:w="2381"/>
          </w:tcPr>
          <w:p>
            <w:pPr>
              <w:jc w:val="right"/>
            </w:pPr>
            <w:r/>
            <w:r>
              <w:rPr>
                <w:color w:val="1A1D21"/>
                <w:sz w:val="17"/>
              </w:rPr>
              <w:t>9%</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84.54 – 149.24</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4.19 – 14.11</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18.58 – 27.42</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30.10% to 17.48%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FY2035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33.4%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31.56%</w:t>
            </w:r>
          </w:p>
        </w:tc>
        <w:tc>
          <w:tcPr>
            <w:tcW w:type="dxa" w:w="2494"/>
          </w:tcPr>
          <w:p>
            <w:pPr>
              <w:jc w:val="right"/>
            </w:pPr>
            <w:r/>
            <w:r>
              <w:rPr>
                <w:color w:val="1A1D21"/>
                <w:sz w:val="17"/>
              </w:rPr>
              <w:t>22,824</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86,004</w:t>
            </w:r>
          </w:p>
        </w:tc>
      </w:tr>
    </w:tbl>
    <w:p>
      <w:pPr>
        <w:spacing w:after="80"/>
      </w:pPr>
      <w:r>
        <w:rPr>
          <w:b w:val="0"/>
          <w:i w:val="0"/>
          <w:color w:val="1A1D21"/>
          <w:sz w:val="8"/>
        </w:rPr>
      </w:r>
    </w:p>
    <w:p>
      <w:pPr>
        <w:spacing w:after="140"/>
      </w:pPr>
      <w:r>
        <w:rPr>
          <w:b/>
          <w:i w:val="0"/>
          <w:color w:val="1A1D21"/>
          <w:sz w:val="20"/>
        </w:rPr>
        <w:t>Value per share: EGP 41.74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45.99</w:t>
            </w:r>
          </w:p>
        </w:tc>
      </w:tr>
      <w:tr>
        <w:trPr>
          <w:cantSplit/>
        </w:trPr>
        <w:tc>
          <w:tcPr>
            <w:tcW w:type="dxa" w:w="3969"/>
          </w:tcPr>
          <w:p>
            <w:r/>
            <w:r>
              <w:rPr>
                <w:color w:val="1A1D21"/>
                <w:sz w:val="17"/>
              </w:rPr>
              <w:t>10</w:t>
            </w:r>
          </w:p>
        </w:tc>
        <w:tc>
          <w:tcPr>
            <w:tcW w:type="dxa" w:w="2268"/>
          </w:tcPr>
          <w:p>
            <w:pPr>
              <w:jc w:val="right"/>
            </w:pPr>
            <w:r/>
            <w:r>
              <w:rPr>
                <w:color w:val="1A1D21"/>
                <w:sz w:val="17"/>
              </w:rPr>
              <w:t>43.58</w:t>
            </w:r>
          </w:p>
        </w:tc>
      </w:tr>
      <w:tr>
        <w:trPr>
          <w:cantSplit/>
        </w:trPr>
        <w:tc>
          <w:tcPr>
            <w:tcW w:type="dxa" w:w="3969"/>
          </w:tcPr>
          <w:p>
            <w:r/>
            <w:r>
              <w:rPr>
                <w:color w:val="1A1D21"/>
                <w:sz w:val="17"/>
              </w:rPr>
              <w:t>12</w:t>
            </w:r>
          </w:p>
        </w:tc>
        <w:tc>
          <w:tcPr>
            <w:tcW w:type="dxa" w:w="2268"/>
          </w:tcPr>
          <w:p>
            <w:pPr>
              <w:jc w:val="right"/>
            </w:pPr>
            <w:r/>
            <w:r>
              <w:rPr>
                <w:color w:val="1A1D21"/>
                <w:sz w:val="17"/>
              </w:rPr>
              <w:t>41.74</w:t>
            </w:r>
          </w:p>
        </w:tc>
      </w:tr>
      <w:tr>
        <w:trPr>
          <w:cantSplit/>
        </w:trPr>
        <w:tc>
          <w:tcPr>
            <w:tcW w:type="dxa" w:w="3969"/>
          </w:tcPr>
          <w:p>
            <w:r/>
            <w:r>
              <w:rPr>
                <w:color w:val="1A1D21"/>
                <w:sz w:val="17"/>
              </w:rPr>
              <w:t>14</w:t>
            </w:r>
          </w:p>
        </w:tc>
        <w:tc>
          <w:tcPr>
            <w:tcW w:type="dxa" w:w="2268"/>
          </w:tcPr>
          <w:p>
            <w:pPr>
              <w:jc w:val="right"/>
            </w:pPr>
            <w:r/>
            <w:r>
              <w:rPr>
                <w:color w:val="1A1D21"/>
                <w:sz w:val="17"/>
              </w:rPr>
              <w:t>40.31</w:t>
            </w:r>
          </w:p>
        </w:tc>
      </w:tr>
      <w:tr>
        <w:trPr>
          <w:cantSplit/>
        </w:trPr>
        <w:tc>
          <w:tcPr>
            <w:tcW w:type="dxa" w:w="3969"/>
          </w:tcPr>
          <w:p>
            <w:r/>
            <w:r>
              <w:rPr>
                <w:color w:val="1A1D21"/>
                <w:sz w:val="17"/>
              </w:rPr>
              <w:t>18</w:t>
            </w:r>
          </w:p>
        </w:tc>
        <w:tc>
          <w:tcPr>
            <w:tcW w:type="dxa" w:w="2268"/>
          </w:tcPr>
          <w:p>
            <w:pPr>
              <w:jc w:val="right"/>
            </w:pPr>
            <w:r/>
            <w:r>
              <w:rPr>
                <w:color w:val="1A1D21"/>
                <w:sz w:val="17"/>
              </w:rPr>
              <w:t>38.27</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32.57% less growth 15%</w:t>
            </w:r>
          </w:p>
        </w:tc>
        <w:tc>
          <w:tcPr>
            <w:tcW w:type="dxa" w:w="2494"/>
          </w:tcPr>
          <w:p>
            <w:pPr>
              <w:jc w:val="right"/>
            </w:pPr>
            <w:r/>
            <w:r>
              <w:rPr>
                <w:color w:val="1A1D21"/>
                <w:sz w:val="17"/>
              </w:rPr>
              <w:t>45,939</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29,567</w:t>
            </w:r>
          </w:p>
        </w:tc>
      </w:tr>
    </w:tbl>
    <w:p>
      <w:pPr>
        <w:spacing w:after="80"/>
      </w:pPr>
      <w:r>
        <w:rPr>
          <w:b w:val="0"/>
          <w:i w:val="0"/>
          <w:color w:val="1A1D21"/>
          <w:sz w:val="8"/>
        </w:rPr>
      </w:r>
    </w:p>
    <w:p>
      <w:pPr>
        <w:spacing w:after="140"/>
      </w:pPr>
      <w:r>
        <w:rPr>
          <w:b/>
          <w:i w:val="0"/>
          <w:color w:val="1A1D21"/>
          <w:sz w:val="20"/>
        </w:rPr>
        <w:t>Value per share: EGP 14.35</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8.65</w:t>
            </w:r>
          </w:p>
        </w:tc>
      </w:tr>
      <w:tr>
        <w:trPr>
          <w:cantSplit/>
        </w:trPr>
        <w:tc>
          <w:tcPr>
            <w:tcW w:type="dxa" w:w="3969"/>
          </w:tcPr>
          <w:p>
            <w:r/>
            <w:r>
              <w:rPr>
                <w:color w:val="1A1D21"/>
                <w:sz w:val="17"/>
              </w:rPr>
              <w:t>12%</w:t>
            </w:r>
          </w:p>
        </w:tc>
        <w:tc>
          <w:tcPr>
            <w:tcW w:type="dxa" w:w="2268"/>
          </w:tcPr>
          <w:p>
            <w:pPr>
              <w:jc w:val="right"/>
            </w:pPr>
            <w:r/>
            <w:r>
              <w:rPr>
                <w:color w:val="1A1D21"/>
                <w:sz w:val="17"/>
              </w:rPr>
              <w:t>11.15</w:t>
            </w:r>
          </w:p>
        </w:tc>
      </w:tr>
      <w:tr>
        <w:trPr>
          <w:cantSplit/>
        </w:trPr>
        <w:tc>
          <w:tcPr>
            <w:tcW w:type="dxa" w:w="3969"/>
          </w:tcPr>
          <w:p>
            <w:r/>
            <w:r>
              <w:rPr>
                <w:color w:val="1A1D21"/>
                <w:sz w:val="17"/>
              </w:rPr>
              <w:t>15%</w:t>
            </w:r>
          </w:p>
        </w:tc>
        <w:tc>
          <w:tcPr>
            <w:tcW w:type="dxa" w:w="2268"/>
          </w:tcPr>
          <w:p>
            <w:pPr>
              <w:jc w:val="right"/>
            </w:pPr>
            <w:r/>
            <w:r>
              <w:rPr>
                <w:color w:val="1A1D21"/>
                <w:sz w:val="17"/>
              </w:rPr>
              <w:t>14.35</w:t>
            </w:r>
          </w:p>
        </w:tc>
      </w:tr>
      <w:tr>
        <w:trPr>
          <w:cantSplit/>
        </w:trPr>
        <w:tc>
          <w:tcPr>
            <w:tcW w:type="dxa" w:w="3969"/>
          </w:tcPr>
          <w:p>
            <w:r/>
            <w:r>
              <w:rPr>
                <w:color w:val="1A1D21"/>
                <w:sz w:val="17"/>
              </w:rPr>
              <w:t>18%</w:t>
            </w:r>
          </w:p>
        </w:tc>
        <w:tc>
          <w:tcPr>
            <w:tcW w:type="dxa" w:w="2268"/>
          </w:tcPr>
          <w:p>
            <w:pPr>
              <w:jc w:val="right"/>
            </w:pPr>
            <w:r/>
            <w:r>
              <w:rPr>
                <w:color w:val="1A1D21"/>
                <w:sz w:val="17"/>
              </w:rPr>
              <w:t>18.61</w:t>
            </w:r>
          </w:p>
        </w:tc>
      </w:tr>
      <w:tr>
        <w:trPr>
          <w:cantSplit/>
        </w:trPr>
        <w:tc>
          <w:tcPr>
            <w:tcW w:type="dxa" w:w="3969"/>
          </w:tcPr>
          <w:p>
            <w:r/>
            <w:r>
              <w:rPr>
                <w:color w:val="1A1D21"/>
                <w:sz w:val="17"/>
              </w:rPr>
              <w:t>20%</w:t>
            </w:r>
          </w:p>
        </w:tc>
        <w:tc>
          <w:tcPr>
            <w:tcW w:type="dxa" w:w="2268"/>
          </w:tcPr>
          <w:p>
            <w:pPr>
              <w:jc w:val="right"/>
            </w:pPr>
            <w:r/>
            <w:r>
              <w:rPr>
                <w:color w:val="1A1D21"/>
                <w:sz w:val="17"/>
              </w:rPr>
              <w:t>24.57</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31.56%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14.35 is the floor, deliberately: it gives the shareholder nothing at all for EGP 491bn of sold product, and says so. Experts 1 and 2 arrive at EGP 41.74 and EGP 38.30 by routes that share almost no arithmetic — one discounts a twelve-year net cash stream, the other reconciles a balance sheet and strips goodwill — and land within EGP 3.44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14.35 to EGP 41.74.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3.44</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27.39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23.95</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