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B5E5E"/>
          <w:sz w:val="30"/>
          <w:szCs w:val="30"/>
        </w:rPr>
        <w:t xml:space="preserve">TMGH Valuation Study — Educational Analysis</w:t>
      </w:r>
    </w:p>
    <w:p>
      <w:pPr>
        <w:spacing w:after="30"/>
      </w:pPr>
      <w:r>
        <w:rPr>
          <w:rFonts w:ascii="Arial" w:cs="Arial" w:eastAsia="Arial" w:hAnsi="Arial"/>
          <w:b/>
          <w:bCs/>
          <w:color w:val="222222"/>
          <w:sz w:val="20"/>
          <w:szCs w:val="20"/>
        </w:rPr>
        <w:t xml:space="preserve">Independent Valuation Study — Educational Analysis</w:t>
      </w:r>
    </w:p>
    <w:p>
      <w:pPr>
        <w:spacing w:after="30"/>
      </w:pPr>
      <w:r>
        <w:rPr>
          <w:rFonts w:ascii="Arial" w:cs="Arial" w:eastAsia="Arial" w:hAnsi="Arial"/>
          <w:b/>
          <w:bCs/>
          <w:color w:val="222222"/>
          <w:sz w:val="24"/>
          <w:szCs w:val="24"/>
        </w:rPr>
        <w:t xml:space="preserve">Talaat Moustafa Group Holding (EGX: TMGH)</w:t>
      </w:r>
    </w:p>
    <w:p>
      <w:pPr>
        <w:spacing w:after="110"/>
      </w:pPr>
      <w:r>
        <w:rPr>
          <w:rFonts w:ascii="Arial" w:cs="Arial" w:eastAsia="Arial" w:hAnsi="Arial"/>
          <w:i/>
          <w:iCs/>
          <w:color w:val="2A8F8F"/>
          <w:sz w:val="17"/>
          <w:szCs w:val="17"/>
        </w:rPr>
        <w:t xml:space="preserve">Fundamental analysis · Technical analysis · Monte Carlo simulation — one integrated read</w:t>
      </w:r>
    </w:p>
    <w:p>
      <w:pPr>
        <w:pBdr>
          <w:bottom w:val="single" w:color="2A8F8F" w:sz="6" w:space="6"/>
        </w:pBdr>
        <w:spacing w:after="60"/>
      </w:pPr>
      <w:r>
        <w:rPr>
          <w:rFonts w:ascii="Arial" w:cs="Arial" w:eastAsia="Arial" w:hAnsi="Arial"/>
          <w:color w:val="6B6B6B"/>
          <w:sz w:val="14"/>
          <w:szCs w:val="14"/>
        </w:rPr>
        <w:t xml:space="preserve">Anchor: EGP 95.68 (14 Jun 2026 close) · 2.061bn shares · mkt cap ~EGP 197.2bn · net cash ~EGP 72bn · prices &amp; probabilities refreshed 15 Jun 2026 from the attached TMGH price history · independent bottom-up valuation of 9 Jun 2026</w:t>
      </w:r>
    </w:p>
    <w:tbl>
      <w:tblPr>
        <w:tblW w:type="dxa" w:w="9360"/>
        <w:tblBorders>
          <w:top w:val="single" w:color="1B5E5E" w:sz="10"/>
          <w:left w:val="single" w:color="1B5E5E" w:sz="10"/>
          <w:bottom w:val="single" w:color="1B5E5E" w:sz="10"/>
          <w:right w:val="single" w:color="1B5E5E" w:sz="10"/>
          <w:insideH w:val="single" w:color="1B5E5E" w:sz="10"/>
          <w:insideV w:val="single" w:color="1B5E5E" w:sz="10"/>
        </w:tblBorders>
      </w:tblPr>
      <w:tblGrid>
        <w:gridCol w:w="9360"/>
      </w:tblGrid>
      <w:tr>
        <w:tc>
          <w:tcPr>
            <w:tcW w:type="dxa" w:w="9360"/>
            <w:tcBorders>
              <w:top w:val="single" w:color="1B5E5E" w:sz="10"/>
              <w:left w:val="single" w:color="1B5E5E" w:sz="10"/>
              <w:bottom w:val="single" w:color="1B5E5E" w:sz="10"/>
              <w:right w:val="single" w:color="1B5E5E" w:sz="10"/>
            </w:tcBorders>
            <w:shd w:fill="E6F0F0" w:val="clear"/>
            <w:tcMar>
              <w:top w:type="dxa" w:w="120"/>
              <w:left w:type="dxa" w:w="160"/>
              <w:bottom w:type="dxa" w:w="120"/>
              <w:right w:type="dxa" w:w="160"/>
            </w:tcMar>
          </w:tcPr>
          <w:p>
            <w:pPr>
              <w:spacing w:after="0" w:line="252"/>
            </w:pPr>
            <w:r>
              <w:rPr>
                <w:rFonts w:ascii="Arial" w:cs="Arial" w:eastAsia="Arial" w:hAnsi="Arial"/>
                <w:b/>
                <w:bCs/>
                <w:color w:val="1B5E5E"/>
                <w:sz w:val="18"/>
                <w:szCs w:val="18"/>
              </w:rPr>
              <w:t xml:space="preserve">READ FIRST — what this document is, and is not. </w:t>
            </w:r>
            <w:r>
              <w:rPr>
                <w:rFonts w:ascii="Arial" w:cs="Arial" w:eastAsia="Arial" w:hAnsi="Arial"/>
                <w:color w:val="222222"/>
                <w:sz w:val="16"/>
                <w:szCs w:val="16"/>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(FRA) or any other regulator, provides no financial consultancy, manages no money, and accepts no fees, funds or clients. </w:t>
            </w:r>
            <w:r>
              <w:rPr>
                <w:rFonts w:ascii="Arial" w:cs="Arial" w:eastAsia="Arial" w:hAnsi="Arial"/>
                <w:color w:val="222222"/>
                <w:sz w:val="16"/>
                <w:szCs w:val="16"/>
              </w:rPr>
              <w:t xml:space="preserve">see the Disclosure &amp; Disclaimer at the end. All values are model outputs presented as ranges and distributions because no single number should be relied on. Consult a licensed financial advisor before any investment decision.</w:t>
            </w:r>
          </w:p>
        </w:tc>
      </w:tr>
    </w:tbl>
    <w:p>
      <w:pPr>
        <w:spacing w:after="60"/>
      </w:pPr>
      <w:r>
        <w:rPr>
          <w:rFonts w:ascii="Arial" w:cs="Arial" w:eastAsia="Arial" w:hAnsi="Arial"/>
          <w:sz w:val="8"/>
          <w:szCs w:val="8"/>
        </w:rPr>
        <w:t xml:space="preserve"/>
      </w:r>
    </w:p>
    <w:p>
      <w:pPr>
        <w:pStyle w:val="Heading1"/>
        <w:pBdr>
          <w:bottom w:val="single" w:color="1B5E5E" w:sz="8" w:space="4"/>
        </w:pBdr>
        <w:spacing w:after="150" w:before="300"/>
      </w:pPr>
      <w:r>
        <w:rPr>
          <w:rFonts w:ascii="Arial" w:cs="Arial" w:eastAsia="Arial" w:hAnsi="Arial"/>
          <w:b/>
          <w:bCs/>
          <w:color w:val="1B5E5E"/>
          <w:sz w:val="26"/>
          <w:szCs w:val="26"/>
        </w:rPr>
        <w:t xml:space="preserve">Headline</w:t>
      </w:r>
    </w:p>
    <w:p>
      <w:pPr>
        <w:spacing w:after="120" w:line="264"/>
      </w:pPr>
      <w:r>
        <w:rPr>
          <w:rFonts w:ascii="Arial" w:cs="Arial" w:eastAsia="Arial" w:hAnsi="Arial"/>
          <w:b/>
          <w:bCs/>
        </w:rPr>
        <w:t xml:space="preserve">The model’s read: the three-month distribution skews constructive; the near-term tape has turned back up. </w:t>
      </w:r>
      <w:r>
        <w:rPr>
          <w:rFonts w:ascii="Arial" w:cs="Arial" w:eastAsia="Arial" w:hAnsi="Arial"/>
        </w:rPr>
        <w:t xml:space="preserve">An independent, clean-sheet bottom-up build — every project valued from units × price/m² and m² × construction-cost/m², hotels and recurring income valued as separate EBITDA-multiple segments, minority stripped segment-by-segment (hotels 40.5% for the ADQ/ADNEC stake, a contribution-weighted ~10% on the backlog — each JV at its actual share, ~nil on the wholly-owned Egyptian development and recurring) and the parent-attributable ~90% of net cash (~EGP 72bn group) added, with no external price target embedded — puts risk-adjusted fair value at EGP 147.1, ~54% above the EGP 95.68 market; full execution of the disclosed pipeline is worth EGP 189.6 (+98%). The defensible floor — net cash (90% parent) plus contracted backlog plus hotels plus recurring income, all risk-weighted — is ~EGP 83.6 (−13%). Technically the pullback from the 101.40 high found support near the rising 50-day mean (91.55) and bounced +3.0% to 95.68 on rising volume, with RSI(14) recovering through the high-40s to 52 and the daily MACD histogram narrowing — a correction resolving back up inside an intact uptrend. A single 10-factor Monte Carlo (CBE rate, FX, inflation, EGX flows, Brent/Gulf liquidity, geopolitics, cross-border JV inflows, launch execution, tourism, credit; 50,000 paths, seed 42) puts the T+20 median at ~98 and the T+60 median at ~104 with a right tail to ~143 driven by the launch and cross-border events. </w:t>
      </w:r>
      <w:r>
        <w:rPr>
          <w:rFonts w:ascii="Arial" w:cs="Arial" w:eastAsia="Arial" w:hAnsi="Arial"/>
          <w:b/>
          <w:bCs/>
        </w:rPr>
        <w:t xml:space="preserve">Net: the stock trades ~54% below the model’s risk-adjusted value with the near-term tape turning back up; the right tail of the distribution belongs to launch execution and tourism, the left tail to FX/geopolitical macro and launch failure. This study estimates values and probabilities — it does not recommend actions.</w:t>
      </w:r>
    </w:p>
    <w:p>
      <w:pPr>
        <w:pStyle w:val="Heading1"/>
        <w:pBdr>
          <w:bottom w:val="single" w:color="1B5E5E" w:sz="8" w:space="4"/>
        </w:pBdr>
        <w:spacing w:after="150" w:before="300"/>
      </w:pPr>
      <w:r>
        <w:rPr>
          <w:rFonts w:ascii="Arial" w:cs="Arial" w:eastAsia="Arial" w:hAnsi="Arial"/>
          <w:b/>
          <w:bCs/>
          <w:color w:val="1B5E5E"/>
          <w:sz w:val="26"/>
          <w:szCs w:val="26"/>
        </w:rPr>
        <w:t xml:space="preserve">1.  Fundamental analysis</w:t>
      </w:r>
    </w:p>
    <w:p>
      <w:pPr>
        <w:spacing w:after="120" w:line="264"/>
      </w:pPr>
      <w:r>
        <w:rPr>
          <w:rFonts w:ascii="Arial" w:cs="Arial" w:eastAsia="Arial" w:hAnsi="Arial"/>
          <w:b/>
          <w:bCs/>
        </w:rPr>
        <w:t xml:space="preserve">Method in plain terms. </w:t>
      </w:r>
      <w:r>
        <w:rPr>
          <w:rFonts w:ascii="Arial" w:cs="Arial" w:eastAsia="Arial" w:hAnsi="Arial"/>
        </w:rPr>
        <w:t xml:space="preserve">A </w:t>
      </w:r>
      <w:r>
        <w:rPr>
          <w:rFonts w:ascii="Arial" w:cs="Arial" w:eastAsia="Arial" w:hAnsi="Arial"/>
          <w:i/>
          <w:iCs/>
        </w:rPr>
        <w:t xml:space="preserve">DCF (discounted cash flow)</w:t>
      </w:r>
      <w:r>
        <w:rPr>
          <w:rFonts w:ascii="Arial" w:cs="Arial" w:eastAsia="Arial" w:hAnsi="Arial"/>
        </w:rPr>
        <w:t xml:space="preserve"> values a stream of cash by the future cash it generates, discounted to today at a rate (the WACC) reflecting risk and the time value of money. TMGH is not one cash stream but a </w:t>
      </w:r>
      <w:r>
        <w:rPr>
          <w:rFonts w:ascii="Arial" w:cs="Arial" w:eastAsia="Arial" w:hAnsi="Arial"/>
          <w:i/>
          <w:iCs/>
        </w:rPr>
        <w:t xml:space="preserve">diversified portfolio</w:t>
      </w:r>
      <w:r>
        <w:rPr>
          <w:rFonts w:ascii="Arial" w:cs="Arial" w:eastAsia="Arial" w:hAnsi="Arial"/>
        </w:rPr>
        <w:t xml:space="preserve">: a development business (many projects), an owned-hotel portfolio operated by international flags, and a growing recurring-income base (malls, schools, sports clubs). Each development is valued as its own DCF and summed — a </w:t>
      </w:r>
      <w:r>
        <w:rPr>
          <w:rFonts w:ascii="Arial" w:cs="Arial" w:eastAsia="Arial" w:hAnsi="Arial"/>
          <w:i/>
          <w:iCs/>
        </w:rPr>
        <w:t xml:space="preserve">sum-of-the-parts (SOTP)</w:t>
      </w:r>
      <w:r>
        <w:rPr>
          <w:rFonts w:ascii="Arial" w:cs="Arial" w:eastAsia="Arial" w:hAnsi="Arial"/>
        </w:rPr>
        <w:t xml:space="preserve"> — while hotels and recurring income are valued on EBITDA multiples appropriate to those asset types. The backlog and mature sites are the existing business; the un-launched land and the cross-border JVs are </w:t>
      </w:r>
      <w:r>
        <w:rPr>
          <w:rFonts w:ascii="Arial" w:cs="Arial" w:eastAsia="Arial" w:hAnsi="Arial"/>
          <w:i/>
          <w:iCs/>
        </w:rPr>
        <w:t xml:space="preserve">pipeline option value</w:t>
      </w:r>
      <w:r>
        <w:rPr>
          <w:rFonts w:ascii="Arial" w:cs="Arial" w:eastAsia="Arial" w:hAnsi="Arial"/>
        </w:rPr>
        <w:t xml:space="preserve"> — worth a great deal if they execute, little if they don’t, so each is weighted by an execution probability. Minority is then deducted segment-by-segment using actual ownership — 40.5% on the hotels (the ADQ/ADNEC stake in ICON), a contribution-weighted ~10% on the consolidated backlog (each JV at its actual partner share — Banan 49%, Oman 40%, Iraq 50% — weighted by its share of the book), and nil on the ~99.99%-owned Egyptian development and recurring and on the cross-border JV projects, which are already carried at TMG's economic share — and the parent-attributable ~90% of net cash is then added to reach equity value.</w:t>
      </w:r>
    </w:p>
    <w:p>
      <w:pPr>
        <w:spacing w:after="120" w:line="264"/>
      </w:pPr>
      <w:r>
        <w:rPr>
          <w:rFonts w:ascii="Arial" w:cs="Arial" w:eastAsia="Arial" w:hAnsi="Arial"/>
        </w:rPr>
        <w:t xml:space="preserve">This build is bottom-up: each project starts from its unit mix priced per square metre, with construction and land costed per square metre, and only the </w:t>
      </w:r>
      <w:r>
        <w:rPr>
          <w:rFonts w:ascii="Arial" w:cs="Arial" w:eastAsia="Arial" w:hAnsi="Arial"/>
          <w:i/>
          <w:iCs/>
        </w:rPr>
        <w:t xml:space="preserve">unsold remainder</w:t>
      </w:r>
      <w:r>
        <w:rPr>
          <w:rFonts w:ascii="Arial" w:cs="Arial" w:eastAsia="Arial" w:hAnsi="Arial"/>
        </w:rPr>
        <w:t xml:space="preserve"> is valued — already-sold units sit in the contracted backlog, so nothing is double-counted. Each cohort carries an EGP price escalator (~14%/yr) and is collected over a down-payment-plus-instalment schedule; a 5% perpetual-growth (Gordon) terminal value captures development beyond the disclosed pipeline. Construction is paced to TMGH’s actual run-rate, so consolidated free cash flow is positive throughout. Full mechanics and every input are in the companion Excel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00"/>
        <w:gridCol w:w="4800"/>
      </w:tblGrid>
      <w:tr>
        <w:trPr>
          <w:tblHeader/>
        </w:trPr>
        <w:tc>
          <w:tcPr>
            <w:tcW w:type="dxa" w:w="30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Component (bottom-up build)</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Risk-adj EGP/sh</w:t>
            </w:r>
          </w:p>
        </w:tc>
        <w:tc>
          <w:tcPr>
            <w:tcW w:type="dxa" w:w="48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What it is</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Contracted backlog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25.47</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already sold (EGP 458bn); collected over ~7 yrs</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Madinaty — core (unsold remainder)</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10.02</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flagship 33.6m m²; mostly pre-sold, remainder here</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SouthMED — North Coast</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10.34</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23m m² mega-coastal; risk-weighted launch</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Spine — knowledge city</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9.38</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EGP 1.4tn vision; ~EGP 30bn sold in 15 days; early</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Noor City — East Cairo</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8.29</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21m m²; first deliveries H2-2026</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Banan — Riyadh, KSA (51% JV)</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6.27</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first cross-border (NHC JV); risk-weighted</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Sharm Bay + Privado + Celia</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9.98</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resort + Madinaty lux infill + New Capital</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Oman (Yamal+Joud) + Baghdad + Al Rehab</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5.04</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intl JVs (heavily weighted) + mature remainder</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Landbank + terminal value (5% 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4.24</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undeveloped land + going-concern terminal value</w:t>
            </w:r>
          </w:p>
        </w:tc>
      </w:tr>
      <w:tr>
        <w:trPr>
          <w:tblHeader w:val="false"/>
        </w:trPr>
        <w:tc>
          <w:tcPr>
            <w:tcW w:type="dxa" w:w="30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Development + backlog subtotal</w:t>
            </w:r>
          </w:p>
        </w:tc>
        <w:tc>
          <w:tcPr>
            <w:tcW w:type="dxa" w:w="1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89.05</w:t>
            </w:r>
          </w:p>
        </w:tc>
        <w:tc>
          <w:tcPr>
            <w:tcW w:type="dxa" w:w="48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the property engine</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Hotels (9 owned, intl-operated)</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23.59</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Four Seasons, Kempinski, Sofitel, Marriott — EBITDA × mult</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Recurring income (malls/schools/clubs)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15.16</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fast-growing annuity base — EBITDA × mult</w:t>
            </w:r>
          </w:p>
        </w:tc>
      </w:tr>
      <w:tr>
        <w:trPr>
          <w:tblHeader w:val="false"/>
        </w:trPr>
        <w:tc>
          <w:tcPr>
            <w:tcW w:type="dxa" w:w="30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Operating EV / share</w:t>
            </w:r>
          </w:p>
        </w:tc>
        <w:tc>
          <w:tcPr>
            <w:tcW w:type="dxa" w:w="1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127.78</w:t>
            </w:r>
          </w:p>
        </w:tc>
        <w:tc>
          <w:tcPr>
            <w:tcW w:type="dxa" w:w="48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all three businesses, risk-weighted</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Add: net cash (90% parent, ~EGP 65bn)</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+31.40</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group net cash 71.9 × 90% parent-attributable</w:t>
            </w:r>
          </w:p>
        </w:tc>
      </w:tr>
      <w:tr>
        <w:trPr>
          <w:tblHeader w:val="false"/>
        </w:trPr>
        <w:tc>
          <w:tcPr>
            <w:tcW w:type="dxa" w:w="30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Less: minority — hotels 40.5% + backlog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−12.06</w:t>
            </w:r>
          </w:p>
        </w:tc>
        <w:tc>
          <w:tcPr>
            <w:tcW w:type="dxa" w:w="48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ADQ/ADNEC 40.5% of ICON + contribution-wtd JV shares on backlog</w:t>
            </w:r>
          </w:p>
        </w:tc>
      </w:tr>
      <w:tr>
        <w:trPr>
          <w:tblHeader w:val="false"/>
        </w:trPr>
        <w:tc>
          <w:tcPr>
            <w:tcW w:type="dxa" w:w="30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Base-case equity value</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147.12</w:t>
            </w:r>
          </w:p>
        </w:tc>
        <w:tc>
          <w:tcPr>
            <w:tcW w:type="dxa" w:w="48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+54% vs 95.68; full execution EGP 189.6 (+98%)</w:t>
            </w:r>
          </w:p>
        </w:tc>
      </w:tr>
    </w:tbl>
    <w:p>
      <w:pPr>
        <w:spacing w:after="120" w:line="264"/>
      </w:pPr>
      <w:r>
        <w:rPr>
          <w:rFonts w:ascii="Arial" w:cs="Arial" w:eastAsia="Arial" w:hAnsi="Arial"/>
          <w:b/>
          <w:bCs/>
        </w:rPr>
        <w:t xml:space="preserve">Scenarios (by execution probability): </w:t>
      </w:r>
      <w:r>
        <w:rPr>
          <w:rFonts w:ascii="Arial" w:cs="Arial" w:eastAsia="Arial" w:hAnsi="Arial"/>
        </w:rPr>
        <w:t xml:space="preserve">Bear / defensible floor EGP ~83.6 (−13%; net cash at 90% parent + contracted backlog + hotels + recurring, all unsold pipeline ≈ 0)  ·  Base, risk-adjusted EGP 147.1 (+54%)  ·  Full execution of disclosed pipeline EGP 189.6 (+98%).</w:t>
      </w:r>
    </w:p>
    <w:p>
      <w:pPr>
        <w:spacing w:after="120" w:line="264"/>
      </w:pPr>
      <w:r>
        <w:rPr>
          <w:rFonts w:ascii="Arial" w:cs="Arial" w:eastAsia="Arial" w:hAnsi="Arial"/>
          <w:b/>
          <w:bCs/>
        </w:rPr>
        <w:t xml:space="preserve">External cross-check. </w:t>
      </w:r>
      <w:r>
        <w:rPr>
          <w:rFonts w:ascii="Arial" w:cs="Arial" w:eastAsia="Arial" w:hAnsi="Arial"/>
        </w:rPr>
        <w:t xml:space="preserve">This study's risk-adjusted base, EGP 147.1, sits ~13% above the Analyst Target Price of EGP 130 (Buy, 31 Aug 2025), and the difference is about the discount, not the assets. The analyst reaches 130 from 0.6× forward NAV — a flat 40% discount to gross NAV (7-yr average ~45%). This study risk-weights each project by its own execution probability — a ~22% haircut to its own full-execution value (189.6 → 147.1) — and adds no further blanket holding-company discount, so its base is a clean, execution-weighted NAV. The ~EGP 17 gap to the Analyst Target Price is essentially the size of the holding-company/sentiment discount one chooses to apply; the market, at 95.68, is pricing more still (~35% below this study's base, ~26% below the analyst target). Apply a 15–40% discount to this study's base and the range is ~EGP 88–125, which brackets both the Analyst Target Price and the market.</w:t>
      </w:r>
    </w:p>
    <w:p>
      <w:pPr>
        <w:spacing w:after="50" w:before="120"/>
        <w:jc w:val="center"/>
      </w:pPr>
      <w:r>
        <w:drawing>
          <wp:inline distT="0" distB="0" distL="0" distR="0">
            <wp:extent cx="5715000" cy="2686050"/>
            <wp:effectExtent t="0" r="0" b="0" l="0"/>
            <wp:docPr id="1" name="chart" descr="Figure 1. Valuation football field, grouped by source. THIS STUDY: base 147.1 (risk-adjusted, dark) inside its bear-to-full-execution range of 83.6–189.6; full execution 189.6. STREET: Analyst Target Price 130 (Buy, 31 Aug 2025 — the most recent street note, dated). MARKET: the trading range (Oct'25–Jun'26, 55.8–101.4) and spot 95.68 (dashed), both taken from the attached price history. At spot the market pays for the contracted business, segments and net cash plus little pipeline execution. Every bar is defined, with its source, in the table below."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1. Valuation football field, grouped by source. THIS STUDY: base 147.1 (risk-adjusted, dark) inside its bear-to-full-execution range of 83.6–189.6; full execution 189.6. STREET: Analyst Target Price 130 (Buy, 31 Aug 2025 — the most recent street note, dated). MARKET: the trading range (Oct'25–Jun'26, 55.8–101.4) and spot 95.68 (dashed), both taken from the attached price history. At spot the market pays for the contracted business, segments and net cash plus little pipeline execution. Every bar is defined, with its source, in the table below.</w:t>
      </w:r>
    </w:p>
    <w:p>
      <w:pPr>
        <w:pStyle w:val="Heading2"/>
        <w:spacing w:after="100" w:before="200"/>
      </w:pPr>
      <w:r>
        <w:rPr>
          <w:rFonts w:ascii="Arial" w:cs="Arial" w:eastAsia="Arial" w:hAnsi="Arial"/>
          <w:b/>
          <w:bCs/>
          <w:color w:val="2A8F8F"/>
          <w:sz w:val="21"/>
          <w:szCs w:val="21"/>
        </w:rPr>
        <w:t xml:space="preserve">1.1  The three operating streams — development, hospitality, recurring</w:t>
      </w:r>
    </w:p>
    <w:p>
      <w:pPr>
        <w:spacing w:after="120" w:line="264"/>
      </w:pPr>
      <w:r>
        <w:rPr>
          <w:rFonts w:ascii="Arial" w:cs="Arial" w:eastAsia="Arial" w:hAnsi="Arial"/>
        </w:rPr>
        <w:t xml:space="preserve">The base value is the sum of three businesses valued by the method that fits each: development + backlog by discounted cash flow (89.05/sh risk-adjusted), and two operating segments capitalised on EBITDA multiples. Hospitality and recurring income are often conflated but are distinct — different revenue, different cyclicality, hence different multiples — and the model keeps them apart. The companion Excel carries a dedicated Segments sheet for the two capitalised segments; the table below sets all three streams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2500"/>
        <w:gridCol w:w="2500"/>
      </w:tblGrid>
      <w:tr>
        <w:trPr>
          <w:tblHeader/>
        </w:trPr>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Dimension</w:t>
            </w:r>
          </w:p>
        </w:tc>
        <w:tc>
          <w:tcPr>
            <w:tcW w:type="dxa" w:w="28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Development + backlog (DCF / SOTP)</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Hospitality (9 owned hotels)</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Recurring income (malls/schools/clubs)</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What it is</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Egyptian + cross-border land sold as units — Madinaty, SouthMED, Noor, Sharm Bay, Banan, Oman, Iraq — plus the contracted backlog</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Owned hotels (Four Seasons, Kempinski, Sofitel, Marriott…) under intl mgmt contracts</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Retail/malls, schools, sports clubs, utilities &amp; services inside the cities</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Revenue driver</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Units × price/m², collected over down-payment + instalments — mostly EGP</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Room nights × ADR + F&amp;B + events — partly USD</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Rents + tuition + memberships + fees — mostly EGP</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Cyclicality</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Cyclical — launch timing, mortgage availability, FX on build cost</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High — tourism, FX, seasonal</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Low — contractual, sticky</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Revenue / EBITDA (FY est.)</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Valued on project cash flows, not an EBITDA multiple</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~17.2 / 8.8 (≈51% owned-asset margin)</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~10.8 / 4.9 (≈45% blended)</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Valuation</w:t>
            </w:r>
          </w:p>
        </w:tc>
        <w:tc>
          <w:tcPr>
            <w:tcW w:type="dxa" w:w="2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Discounted cash flow per project (SOTP), + backlog + terminal value</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EBITDA × 6.5× (lower, for cyclicality)</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EBITDA × 7.5× (higher — an annuity premium)</w:t>
            </w:r>
          </w:p>
        </w:tc>
      </w:tr>
      <w:tr>
        <w:trPr>
          <w:tblHeader w:val="false"/>
        </w:trPr>
        <w:tc>
          <w:tcPr>
            <w:tcW w:type="dxa" w:w="1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Risk-adj EV (EGP bn)</w:t>
            </w:r>
          </w:p>
        </w:tc>
        <w:tc>
          <w:tcPr>
            <w:tcW w:type="dxa" w:w="28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183.5</w:t>
            </w:r>
          </w:p>
        </w:tc>
        <w:tc>
          <w:tcPr>
            <w:tcW w:type="dxa" w:w="2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48.6</w:t>
            </w:r>
          </w:p>
        </w:tc>
        <w:tc>
          <w:tcPr>
            <w:tcW w:type="dxa" w:w="250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bCs/>
                <w:color w:val="222222"/>
                <w:sz w:val="16"/>
                <w:szCs w:val="16"/>
              </w:rPr>
              <w:t xml:space="preserve">31.2</w:t>
            </w:r>
          </w:p>
        </w:tc>
      </w:tr>
      <w:tr>
        <w:trPr>
          <w:tblHeader w:val="false"/>
        </w:trPr>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Contribution / share</w:t>
            </w:r>
          </w:p>
        </w:tc>
        <w:tc>
          <w:tcPr>
            <w:tcW w:type="dxa" w:w="28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89.05</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23.59</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15.16</w:t>
            </w:r>
          </w:p>
        </w:tc>
      </w:tr>
    </w:tbl>
    <w:p>
      <w:pPr>
        <w:spacing w:after="120" w:line="264"/>
      </w:pPr>
      <w:r>
        <w:rPr>
          <w:rFonts w:ascii="Arial" w:cs="Arial" w:eastAsia="Arial" w:hAnsi="Arial"/>
          <w:b/>
          <w:bCs/>
        </w:rPr>
        <w:t xml:space="preserve">Key fundamentals — Q1-2026: </w:t>
      </w:r>
      <w:r>
        <w:rPr>
          <w:rFonts w:ascii="Arial" w:cs="Arial" w:eastAsia="Arial" w:hAnsi="Arial"/>
        </w:rPr>
        <w:t xml:space="preserve">revenue EGP 13.1bn (+39% YoY); net profit after tax EGP 5.5bn (+24%); real-estate segment revenue EGP 6.1bn (+61.6%); hospitality EGP 4.3bn (+21%); recurring EGP 2.7bn (+26%). New contracted sales EGP 49.1bn (−36% YoY, against a one-off ~EGP 17bn Madinaty bulk-sale base in Q1-25 — timing, not demand). Backlog EGP 457.9bn (~7.3× FY25 revenue). </w:t>
      </w:r>
      <w:r>
        <w:rPr>
          <w:rFonts w:ascii="Arial" w:cs="Arial" w:eastAsia="Arial" w:hAnsi="Arial"/>
          <w:b/>
          <w:bCs/>
        </w:rPr>
        <w:t xml:space="preserve">FY-2025: </w:t>
      </w:r>
      <w:r>
        <w:rPr>
          <w:rFonts w:ascii="Arial" w:cs="Arial" w:eastAsia="Arial" w:hAnsi="Arial"/>
        </w:rPr>
        <w:t xml:space="preserve">revenue EGP 62.5bn (+46%); consolidated net profit EGP 18.2bn; attributable net profit EGP 14.38bn (EPS 6.98) — implying ~21% minority interest; dividend EGP 0.30/sh. P/E ~13.8× trailing on attributable profit vs developer peers ~6.4×; EV ~EGP 125bn (market cap less net cash) against an EGP 458bn backlog → EV/backlog ~0.27×. The defining feature is the balance sheet: cash ~EGP 86.7bn vs debt ~EGP 14.8bn → </w:t>
      </w:r>
      <w:r>
        <w:rPr>
          <w:rFonts w:ascii="Arial" w:cs="Arial" w:eastAsia="Arial" w:hAnsi="Arial"/>
          <w:b/>
          <w:bCs/>
        </w:rPr>
        <w:t xml:space="preserve">net cash ~EGP 72bn</w:t>
      </w:r>
      <w:r>
        <w:rPr>
          <w:rFonts w:ascii="Arial" w:cs="Arial" w:eastAsia="Arial" w:hAnsi="Arial"/>
        </w:rPr>
        <w:t xml:space="preserve"> (≈36% of market cap) — the inverse of the leveraged developer, which removes the rate-shock vulnerability that constrains the sector. Vendor-sourced ratios are flagged as such; audited figures are distinguished from estimates in the model.</w:t>
      </w:r>
    </w:p>
    <w:p>
      <w:pPr>
        <w:spacing w:after="120" w:line="264"/>
      </w:pPr>
      <w:r>
        <w:rPr>
          <w:rFonts w:ascii="Arial" w:cs="Arial" w:eastAsia="Arial" w:hAnsi="Arial"/>
          <w:b/>
          <w:bCs/>
        </w:rPr>
        <w:t xml:space="preserve">Reading the football field — where every number comes from. </w:t>
      </w:r>
      <w:r>
        <w:rPr>
          <w:rFonts w:ascii="Arial" w:cs="Arial" w:eastAsia="Arial" w:hAnsi="Arial"/>
        </w:rPr>
        <w:t xml:space="preserve">Three kinds of bars sit on one axis: what THIS STUDY computes, what the STREET publishes, and what the MARKET has actually paid. They are deliberately not blended — each answers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860"/>
      </w:tblGrid>
      <w:tr>
        <w:trPr>
          <w:tblHeader/>
        </w:trPr>
        <w:tc>
          <w:tcPr>
            <w:tcW w:type="dxa" w:w="23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Bar on the chart</w:t>
            </w:r>
          </w:p>
        </w:tc>
        <w:tc>
          <w:tcPr>
            <w:tcW w:type="dxa" w:w="12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EGP/sh</w:t>
            </w:r>
          </w:p>
        </w:tc>
        <w:tc>
          <w:tcPr>
            <w:tcW w:type="dxa" w:w="58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How it is computed — and where it comes from</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Base case (risk-adjusted)</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147.12</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THIS STUDY. Each project’s DCF × its execution probability, + the hotel and recurring segments, + net cash (90% parent), − minority (segment-specific: hotels 40.5%, backlog 9.85% wtd-avg), ÷ 2.061bn shares. The number this study stands on; every input is in the companion Excel.</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Full execution (gross)</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189.6</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THIS STUDY. The identical per-project bridge with every execution probability set to 100% — the ceiling if all projects, the backlog, the segments and the terminal value deliver exactly as modelled.</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Bear case (range floor)</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~83.6</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THIS STUDY. Net cash (90% parent) + contracted backlog + hotels + recurring income, all risk-weighted, with every unlaunched project and the terminal value at ZERO — the floor if no new launch ever executes.</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Analyst Target Price</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130</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STREET. Analyst target, Buy, 31 Aug 2025, 0.6× forward NAV (40% discount). Most recent street note; dated, shown for cross-check only.</w:t>
            </w:r>
          </w:p>
        </w:tc>
      </w:tr>
      <w:tr>
        <w:trPr>
          <w:tblHeader w:val="false"/>
        </w:trPr>
        <w:tc>
          <w:tcPr>
            <w:tcW w:type="dxa" w:w="2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Trading range (Oct'25–Jun'26)</w:t>
            </w:r>
          </w:p>
        </w:tc>
        <w:tc>
          <w:tcPr>
            <w:tcW w:type="dxa" w:w="12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55.8–101.4</w:t>
            </w:r>
          </w:p>
        </w:tc>
        <w:tc>
          <w:tcPr>
            <w:tcW w:type="dxa" w:w="58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MARKET. The EGX trading range over the attached ~8-month price history (1 Oct 2025–14 Jun 2026). Spot 95.68 (the 14 Jun close) is the level all bars are judged against.</w:t>
            </w:r>
          </w:p>
        </w:tc>
      </w:tr>
    </w:tbl>
    <w:p>
      <w:pPr>
        <w:pStyle w:val="Heading1"/>
        <w:pBdr>
          <w:bottom w:val="single" w:color="1B5E5E" w:sz="8" w:space="4"/>
        </w:pBdr>
        <w:spacing w:after="150" w:before="300"/>
      </w:pPr>
      <w:r>
        <w:rPr>
          <w:rFonts w:ascii="Arial" w:cs="Arial" w:eastAsia="Arial" w:hAnsi="Arial"/>
          <w:b/>
          <w:bCs/>
          <w:color w:val="1B5E5E"/>
          <w:sz w:val="26"/>
          <w:szCs w:val="26"/>
        </w:rPr>
        <w:t xml:space="preserve">2.  Technical analysis</w:t>
      </w:r>
    </w:p>
    <w:p>
      <w:pPr>
        <w:spacing w:after="120" w:line="264"/>
      </w:pPr>
      <w:r>
        <w:rPr>
          <w:rFonts w:ascii="Arial" w:cs="Arial" w:eastAsia="Arial" w:hAnsi="Arial"/>
          <w:i/>
          <w:iCs/>
          <w:color w:val="6B6B6B"/>
          <w:sz w:val="16"/>
          <w:szCs w:val="16"/>
        </w:rPr>
        <w:t xml:space="preserve">All technical inputs below are computed directly from the attached TMGH daily price history (1 Oct 2025 – 14 Jun 2026, 169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550"/>
        <w:gridCol w:w="6360"/>
      </w:tblGrid>
      <w:tr>
        <w:trPr>
          <w:tblHeader/>
        </w:trPr>
        <w:tc>
          <w:tcPr>
            <w:tcW w:type="dxa" w:w="145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Timeframe</w:t>
            </w:r>
          </w:p>
        </w:tc>
        <w:tc>
          <w:tcPr>
            <w:tcW w:type="dxa" w:w="155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Trend</w:t>
            </w:r>
          </w:p>
        </w:tc>
        <w:tc>
          <w:tcPr>
            <w:tcW w:type="dxa" w:w="63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Read</w:t>
            </w:r>
          </w:p>
        </w:tc>
      </w:tr>
      <w:tr>
        <w:trPr>
          <w:tblHeader w:val="false"/>
        </w:trPr>
        <w:tc>
          <w:tcPr>
            <w:tcW w:type="dxa" w:w="14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Weekly / long</w:t>
            </w:r>
          </w:p>
        </w:tc>
        <w:tc>
          <w:tcPr>
            <w:tcW w:type="dxa" w:w="15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Strong up</w:t>
            </w:r>
          </w:p>
        </w:tc>
        <w:tc>
          <w:tcPr>
            <w:tcW w:type="dxa" w:w="63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Secular bull; +67% over the sample; price far above the rising SMA150 (83.06, +15.2%); the first pullback off the 101.40 high held above the 50-day mean — trend intact</w:t>
            </w:r>
          </w:p>
        </w:tc>
      </w:tr>
      <w:tr>
        <w:trPr>
          <w:tblHeader w:val="false"/>
        </w:trPr>
        <w:tc>
          <w:tcPr>
            <w:tcW w:type="dxa" w:w="14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Daily</w:t>
            </w:r>
          </w:p>
        </w:tc>
        <w:tc>
          <w:tcPr>
            <w:tcW w:type="dxa" w:w="15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Recovering</w:t>
            </w:r>
          </w:p>
        </w:tc>
        <w:tc>
          <w:tcPr>
            <w:tcW w:type="dxa" w:w="63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Pullback 101.40→92.91 found support at the rising SMA50 (91.55) and bounced +3.0% to 95.68; price now ON the SMA20 (96.10); RSI(14) 52.2 recovering from ~44, just under its MA (54.6); MACD hist −0.64 but narrowing (−0.77→−0.65→−0.64) → momentum turning</w:t>
            </w:r>
          </w:p>
        </w:tc>
      </w:tr>
      <w:tr>
        <w:trPr>
          <w:tblHeader w:val="false"/>
        </w:trPr>
        <w:tc>
          <w:tcPr>
            <w:tcW w:type="dxa" w:w="14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Hourly / short</w:t>
            </w:r>
          </w:p>
        </w:tc>
        <w:tc>
          <w:tcPr>
            <w:tcW w:type="dxa" w:w="155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Bounce</w:t>
            </w:r>
          </w:p>
        </w:tc>
        <w:tc>
          <w:tcPr>
            <w:tcW w:type="dxa" w:w="63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Three closes off the 92.91 low into 95.68 on the heaviest volume in two weeks (4.76m); reclaim of 95+ achieved, the 96.1–97.4 cluster is the immediate test</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Resistance</w:t>
            </w:r>
          </w:p>
        </w:tc>
        <w:tc>
          <w:tcPr>
            <w:tcW w:type="dxa" w:w="31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Pivot</w:t>
            </w:r>
          </w:p>
        </w:tc>
        <w:tc>
          <w:tcPr>
            <w:tcW w:type="dxa" w:w="31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Support</w:t>
            </w:r>
          </w:p>
        </w:tc>
      </w:tr>
      <w:tr>
        <w:trPr>
          <w:tblHeader w:val="false"/>
        </w:trPr>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R3  101.40 (period high, 20 May)</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spot 95.68</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S1  92.75–92.16 (Boll lower / swing low)</w:t>
            </w:r>
          </w:p>
        </w:tc>
      </w:tr>
      <w:tr>
        <w:trPr>
          <w:tblHeader w:val="false"/>
        </w:trPr>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R2  99.45–100.95 (Boll upper / round)</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ATR(14) 2.49 (2.6%)</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S2  91.55 (SMA50, rising)</w:t>
            </w:r>
          </w:p>
        </w:tc>
      </w:tr>
      <w:tr>
        <w:trPr>
          <w:tblHeader w:val="false"/>
        </w:trPr>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R1  96.10–97.39 (SMA20 / swing high)</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range 55.80–101.40 (Oct'25–Jun'26)</w:t>
            </w:r>
          </w:p>
        </w:tc>
        <w:tc>
          <w:tcPr>
            <w:tcW w:type="dxa" w:w="312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S3  86.56 / 83.06 (swing low / SMA150)</w:t>
            </w:r>
          </w:p>
        </w:tc>
      </w:tr>
    </w:tbl>
    <w:p>
      <w:pPr>
        <w:spacing w:after="120" w:before="70"/>
      </w:pPr>
      <w:r>
        <w:rPr>
          <w:rFonts w:ascii="Arial" w:cs="Arial" w:eastAsia="Arial" w:hAnsi="Arial"/>
        </w:rPr>
        <w:t xml:space="preserve">Daily ATR(14) is EGP 2.49 (2.6%); realized volatility is ~36% annualized (full-sample 35.8%, trailing-60-session 36.8%), with mild positive skew (+0.65) and fat tails (excess kurtosis +1.4) — all measured from the attached history. The decisive tell is the moving-average configuration: price sits </w:t>
      </w:r>
      <w:r>
        <w:rPr>
          <w:rFonts w:ascii="Arial" w:cs="Arial" w:eastAsia="Arial" w:hAnsi="Arial"/>
          <w:i/>
          <w:iCs/>
        </w:rPr>
        <w:t xml:space="preserve">above</w:t>
      </w:r>
      <w:r>
        <w:rPr>
          <w:rFonts w:ascii="Arial" w:cs="Arial" w:eastAsia="Arial" w:hAnsi="Arial"/>
        </w:rPr>
        <w:t xml:space="preserve"> a rising 50-day (medium-term constructive) and well above the 150-day (long-term intact), and the bounce came on </w:t>
      </w:r>
      <w:r>
        <w:rPr>
          <w:rFonts w:ascii="Arial" w:cs="Arial" w:eastAsia="Arial" w:hAnsi="Arial"/>
          <w:i/>
          <w:iCs/>
        </w:rPr>
        <w:t xml:space="preserve">rising</w:t>
      </w:r>
      <w:r>
        <w:rPr>
          <w:rFonts w:ascii="Arial" w:cs="Arial" w:eastAsia="Arial" w:hAnsi="Arial"/>
        </w:rPr>
        <w:t xml:space="preserve"> volume — the slide into 92.91 was on lighter turnover than the recovery. A daily close back above the 97.4 swing high confirms the resumption; a close below the 91.55 SMA50 reopens the 88 and 83 supports.</w:t>
      </w:r>
    </w:p>
    <w:p>
      <w:pPr>
        <w:pStyle w:val="Heading1"/>
        <w:pBdr>
          <w:bottom w:val="single" w:color="1B5E5E" w:sz="8" w:space="4"/>
        </w:pBdr>
        <w:spacing w:after="150" w:before="300"/>
      </w:pPr>
      <w:r>
        <w:rPr>
          <w:rFonts w:ascii="Arial" w:cs="Arial" w:eastAsia="Arial" w:hAnsi="Arial"/>
          <w:b/>
          <w:bCs/>
          <w:color w:val="1B5E5E"/>
          <w:sz w:val="26"/>
          <w:szCs w:val="26"/>
        </w:rPr>
        <w:t xml:space="preserve">3.  Monte Carlo simulation — one model, ten external factors</w:t>
      </w:r>
    </w:p>
    <w:p>
      <w:pPr>
        <w:spacing w:after="120" w:line="264"/>
      </w:pPr>
      <w:r>
        <w:rPr>
          <w:rFonts w:ascii="Arial" w:cs="Arial" w:eastAsia="Arial" w:hAnsi="Arial"/>
          <w:b/>
          <w:bCs/>
        </w:rPr>
        <w:t xml:space="preserve">Method. </w:t>
      </w:r>
      <w:r>
        <w:rPr>
          <w:rFonts w:ascii="Arial" w:cs="Arial" w:eastAsia="Arial" w:hAnsi="Arial"/>
        </w:rPr>
        <w:t xml:space="preserve">One simulation, not a model zoo: 50,000 daily paths to T+60 are driven by ten external factors. Five are continuous (compounding daily with drift and volatility): the CBE policy-rate path, the EGP/USD rate, inflation, EGX30/foreign-flow beta, and Brent/Gulf liquidity. Five are discrete events (each occurring with a stated probability on a random session, with a stated impact): a geopolitical/regional-security shock, cross-border JV inflows (KSA/Oman/Iraq), project-launch execution, tourism/hospitality demand, and mortgage-credit conditions. Idiosyncratic company noise (calibrated to the attached history) tops the paths up to TMGH’s realized volatility. The factors are adapted to TMGH’s nature — its net-cash balance sheet softens the rate channel, its nine owned hotels make tourism a material lever, and its cross-border JVs replace PHDC’s Ras El-Hekma inflow. Every drift, probability and impact below is an explicit, editable judgment — the table IS the model.</w:t>
      </w:r>
    </w:p>
    <w:p>
      <w:pPr>
        <w:pStyle w:val="Heading2"/>
        <w:spacing w:after="100" w:before="200"/>
      </w:pPr>
      <w:r>
        <w:rPr>
          <w:rFonts w:ascii="Arial" w:cs="Arial" w:eastAsia="Arial" w:hAnsi="Arial"/>
          <w:b/>
          <w:bCs/>
          <w:color w:val="2A8F8F"/>
          <w:sz w:val="21"/>
          <w:szCs w:val="21"/>
        </w:rPr>
        <w:t xml:space="preserve">3.1  The ten external factors —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0"/>
        <w:gridCol w:w="1080"/>
        <w:gridCol w:w="1300"/>
        <w:gridCol w:w="1300"/>
        <w:gridCol w:w="2700"/>
      </w:tblGrid>
      <w:tr>
        <w:trPr>
          <w:tblHeader/>
        </w:trPr>
        <w:tc>
          <w:tcPr>
            <w:tcW w:type="dxa" w:w="298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Factor (10 external drivers)</w:t>
            </w:r>
          </w:p>
        </w:tc>
        <w:tc>
          <w:tcPr>
            <w:tcW w:type="dxa" w:w="108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Type</w:t>
            </w:r>
          </w:p>
        </w:tc>
        <w:tc>
          <w:tcPr>
            <w:tcW w:type="dxa" w:w="13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3M drift / prob.</w:t>
            </w:r>
          </w:p>
        </w:tc>
        <w:tc>
          <w:tcPr>
            <w:tcW w:type="dxa" w:w="13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3M vol / impact</w:t>
            </w:r>
          </w:p>
        </w:tc>
        <w:tc>
          <w:tcPr>
            <w:tcW w:type="dxa" w:w="27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Channel</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  CBE policy rate path</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+2.0%</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discounting, softened by interest income on net cash</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  EGP/USD exchange rate</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FX translation; USD hotel revenue + KSA/Oman</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3  Inflation (CPI)</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real-asset hedge bid, construction costs</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  EGX30 &amp; foreign flows</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market beta, liquidity</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  Brent oil / Gulf liquidity</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continuous</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+0.5%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5%</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GCC buyer purchasing power; North Coast + KSA</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6  Geopolitical / regional security</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30%</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−12% (±5%)</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risk-premium shock</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  Cross-border JV inflows (KSA/Oman/Iraq)</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30%</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+6% (±4%)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Banan/Oman/Baghdad funding &amp; sentiment</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  Project launch &amp; sales execution</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55%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 (±4%)</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SouthMED / The Spine / Noor — the catalyst</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  Tourism &amp; hospitality demand</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45%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+4% (±6%)</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nine owned hotels — a material lever for TMGH</w:t>
            </w:r>
          </w:p>
        </w:tc>
      </w:tr>
      <w:tr>
        <w:trPr>
          <w:tblHeader w:val="false"/>
        </w:trPr>
        <w:tc>
          <w:tcPr>
            <w:tcW w:type="dxa" w:w="29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  Mortgage finance &amp; credit</w:t>
            </w:r>
          </w:p>
        </w:tc>
        <w:tc>
          <w:tcPr>
            <w:tcW w:type="dxa" w:w="108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event</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 = 35%</w:t>
            </w:r>
          </w:p>
        </w:tc>
        <w:tc>
          <w:tcPr>
            <w:tcW w:type="dxa" w:w="13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 (±5%)</w:t>
            </w:r>
          </w:p>
        </w:tc>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affordability, velocity</w:t>
            </w:r>
          </w:p>
        </w:tc>
      </w:tr>
    </w:tbl>
    <w:p>
      <w:pPr>
        <w:pStyle w:val="Heading2"/>
        <w:spacing w:after="100" w:before="200"/>
      </w:pPr>
      <w:r>
        <w:rPr>
          <w:rFonts w:ascii="Arial" w:cs="Arial" w:eastAsia="Arial" w:hAnsi="Arial"/>
          <w:b/>
          <w:bCs/>
          <w:color w:val="2A8F8F"/>
          <w:sz w:val="21"/>
          <w:szCs w:val="21"/>
        </w:rPr>
        <w:t xml:space="preserve">3.2  Percentile estimates (anchor 95.68, 50,000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Horizon — 10-factor model</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5%</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25%</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Median</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75%</w:t>
            </w:r>
          </w:p>
        </w:tc>
        <w:tc>
          <w:tcPr>
            <w:tcW w:type="dxa" w:w="132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95%</w:t>
            </w:r>
          </w:p>
        </w:tc>
      </w:tr>
      <w:tr>
        <w:trPr>
          <w:tblHeader w:val="false"/>
        </w:trPr>
        <w:tc>
          <w:tcPr>
            <w:tcW w:type="dxa" w:w="27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T+20  (~1 month)</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81.42</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91.17</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98.31</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106.10</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119.24</w:t>
            </w:r>
          </w:p>
        </w:tc>
      </w:tr>
      <w:tr>
        <w:trPr>
          <w:tblHeader w:val="false"/>
        </w:trPr>
        <w:tc>
          <w:tcPr>
            <w:tcW w:type="dxa" w:w="276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T+60  (~3 months)</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75.58</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91.20</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103.93</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118.41</w:t>
            </w:r>
          </w:p>
        </w:tc>
        <w:tc>
          <w:tcPr>
            <w:tcW w:type="dxa" w:w="1320"/>
            <w:tcBorders>
              <w:top w:val="single" w:color="BFD4D4" w:sz="1"/>
              <w:left w:val="single" w:color="BFD4D4" w:sz="1"/>
              <w:bottom w:val="single" w:color="BFD4D4" w:sz="1"/>
              <w:right w:val="single" w:color="BFD4D4" w:sz="1"/>
            </w:tcBorders>
            <w:shd w:fill="E6F0F0"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142.75</w:t>
            </w:r>
          </w:p>
        </w:tc>
      </w:tr>
    </w:tbl>
    <w:p>
      <w:pPr>
        <w:spacing w:after="120" w:before="70"/>
      </w:pPr>
      <w:r>
        <w:rPr>
          <w:rFonts w:ascii="Arial" w:cs="Arial" w:eastAsia="Arial" w:hAnsi="Arial"/>
        </w:rPr>
        <w:t xml:space="preserve">The five continuous factors compound daily; the five event factors arrive as discrete jumps on a random session within the window. Net expected 3M factor contribution is ~+8% before idiosyncratic noise; annualized path volatility is ~39% (vs ~36% realized over the attached sample — kept deliberately wide into the launch window). The T+60 distribution is right-skewed: median 103.9, with the launch and cross-border events carrying the upside shoulder and the geopolitical jump the left tail.</w:t>
      </w:r>
    </w:p>
    <w:p>
      <w:pPr>
        <w:pStyle w:val="Heading2"/>
        <w:spacing w:after="100" w:before="200"/>
      </w:pPr>
      <w:r>
        <w:rPr>
          <w:rFonts w:ascii="Arial" w:cs="Arial" w:eastAsia="Arial" w:hAnsi="Arial"/>
          <w:b/>
          <w:bCs/>
          <w:color w:val="2A8F8F"/>
          <w:sz w:val="21"/>
          <w:szCs w:val="21"/>
        </w:rPr>
        <w:t xml:space="preserve">3.3  Forward cone — percentile cone to T+60</w:t>
      </w:r>
    </w:p>
    <w:p>
      <w:pPr>
        <w:spacing w:after="50" w:before="120"/>
        <w:jc w:val="center"/>
      </w:pPr>
      <w:r>
        <w:drawing>
          <wp:inline distT="0" distB="0" distL="0" distR="0">
            <wp:extent cx="5715000" cy="2781300"/>
            <wp:effectExtent t="0" r="0" b="0" l="0"/>
            <wp:docPr id="1" name="chart" descr="Figure 2. Forward cone (median, 25–75%, 10–90%) from the 10-factor macro model. The median drifts to ~98 by T+20 and ~104 by T+60; the 10–90% band spans ~88–112 at one month and ~81–133 at three. Dashed reference levels: 100 (R2 cluster, green), 126 (analyst-target area, teal), 88 (structure-break, red); dotted: spot 95.68; vertical mark at T+20."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8130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2. Forward cone (median, 25–75%, 10–90%) from the 10-factor macro model. The median drifts to ~98 by T+20 and ~104 by T+60; the 10–90% band spans ~88–112 at one month and ~81–133 at three. Dashed reference levels: 100 (R2 cluster, green), 126 (analyst-target area, teal), 88 (structure-break, red); dotted: spot 95.68; vertical mark at T+20.</w:t>
      </w:r>
    </w:p>
    <w:p>
      <w:pPr>
        <w:pStyle w:val="Heading2"/>
        <w:spacing w:after="100" w:before="200"/>
      </w:pPr>
      <w:r>
        <w:rPr>
          <w:rFonts w:ascii="Arial" w:cs="Arial" w:eastAsia="Arial" w:hAnsi="Arial"/>
          <w:b/>
          <w:bCs/>
          <w:color w:val="2A8F8F"/>
          <w:sz w:val="21"/>
          <w:szCs w:val="21"/>
        </w:rPr>
        <w:t xml:space="preserve">3.4  Probability bell curves at T+20 and T+60</w:t>
      </w:r>
    </w:p>
    <w:p>
      <w:pPr>
        <w:spacing w:after="50" w:before="120"/>
        <w:jc w:val="center"/>
      </w:pPr>
      <w:r>
        <w:drawing>
          <wp:inline distT="0" distB="0" distL="0" distR="0">
            <wp:extent cx="5715000" cy="2705100"/>
            <wp:effectExtent t="0" r="0" b="0" l="0"/>
            <wp:docPr id="1" name="chart" descr="Figure 3. T+20 distribution (10-factor model): 28% below the 92 support, 28% in 92–100, 42% in 100–126, 2% ≥ 126. The body sits right at spot; the upside targets are out of reach on a one-month horizon."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3. T+20 distribution (10-factor model): 28% below the 92 support, 28% in 92–100, 42% in 100–126, 2% ≥ 126. The body sits right at spot; the upside targets are out of reach on a one-month horizon.</w:t>
      </w:r>
    </w:p>
    <w:p>
      <w:pPr>
        <w:spacing w:after="50" w:before="120"/>
        <w:jc w:val="center"/>
      </w:pPr>
      <w:r>
        <w:drawing>
          <wp:inline distT="0" distB="0" distL="0" distR="0">
            <wp:extent cx="5715000" cy="2705100"/>
            <wp:effectExtent t="0" r="0" b="0" l="0"/>
            <wp:docPr id="1" name="chart" descr="Figure 4. T+60 distribution (10-factor model). The three-month view fans out and skews right — median 103.9, with 16% of paths above the 126 analyst-target level while 26% still finish below the 92 support. This is where the catalyst factors pay; the geopolitical jump keeps the left tail hones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4. T+60 distribution (10-factor model). The three-month view fans out and skews right — median 103.9, with 16% of paths above the 126 analyst-target level while 26% still finish below the 92 support. This is where the catalyst factors pay; the geopolitical jump keeps the left tail honest.</w:t>
      </w:r>
    </w:p>
    <w:p>
      <w:pPr>
        <w:pStyle w:val="Heading2"/>
        <w:spacing w:after="100" w:before="200"/>
      </w:pPr>
      <w:r>
        <w:rPr>
          <w:rFonts w:ascii="Arial" w:cs="Arial" w:eastAsia="Arial" w:hAnsi="Arial"/>
          <w:b/>
          <w:bCs/>
          <w:color w:val="2A8F8F"/>
          <w:sz w:val="21"/>
          <w:szCs w:val="21"/>
        </w:rPr>
        <w:t xml:space="preserve">3.5  Level-touch probabilities</w:t>
      </w:r>
    </w:p>
    <w:p>
      <w:pPr>
        <w:spacing w:after="50" w:before="120"/>
        <w:jc w:val="center"/>
      </w:pPr>
      <w:r>
        <w:drawing>
          <wp:inline distT="0" distB="0" distL="0" distR="0">
            <wp:extent cx="5524500" cy="2762250"/>
            <wp:effectExtent t="0" r="0" b="0" l="0"/>
            <wp:docPr id="1" name="chart" descr="Figure 5. Level-touch probabilities (10-factor model) — probability of the price touching each level within each horizon (T+20 / T+60): upside 100 = 66%/85%, 110 = 24%/58%, 118 = 8%/39%, 126 = 2%/24%, 137 = 0%/12%; downside 88 = 29%/48%, 83 = 11%/29%. A descriptive output of the simulation: how often paths reach each level, nothing more."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150"/>
        <w:jc w:val="center"/>
      </w:pPr>
      <w:r>
        <w:rPr>
          <w:rFonts w:ascii="Arial" w:cs="Arial" w:eastAsia="Arial" w:hAnsi="Arial"/>
          <w:i/>
          <w:iCs/>
          <w:color w:val="6B6B6B"/>
          <w:sz w:val="14"/>
          <w:szCs w:val="14"/>
        </w:rPr>
        <w:t xml:space="preserve">Figure 5. Level-touch probabilities (10-factor model) — probability of the price touching each level within each horizon (T+20 / T+60): upside 100 = 66%/85%, 110 = 24%/58%, 118 = 8%/39%, 126 = 2%/24%, 137 = 0%/12%; downside 88 = 29%/48%, 83 = 11%/29%. A descriptive output of the simulation: how often paths reach each level, nothing more.</w:t>
      </w:r>
    </w:p>
    <w:p>
      <w:pPr>
        <w:pStyle w:val="Heading1"/>
        <w:pBdr>
          <w:bottom w:val="single" w:color="1B5E5E" w:sz="8" w:space="4"/>
        </w:pBdr>
        <w:spacing w:after="150" w:before="300"/>
      </w:pPr>
      <w:r>
        <w:rPr>
          <w:rFonts w:ascii="Arial" w:cs="Arial" w:eastAsia="Arial" w:hAnsi="Arial"/>
          <w:b/>
          <w:bCs/>
          <w:color w:val="1B5E5E"/>
          <w:sz w:val="26"/>
          <w:szCs w:val="26"/>
        </w:rPr>
        <w:t xml:space="preserve">4.  Comparison — fundamental vs technical vs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100"/>
        <w:gridCol w:w="2260"/>
      </w:tblGrid>
      <w:tr>
        <w:trPr>
          <w:tblHeader/>
        </w:trPr>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Lens</w:t>
            </w:r>
          </w:p>
        </w:tc>
        <w:tc>
          <w:tcPr>
            <w:tcW w:type="dxa" w:w="2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Core output</w:t>
            </w:r>
          </w:p>
        </w:tc>
        <w:tc>
          <w:tcPr>
            <w:tcW w:type="dxa" w:w="31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What it says</w:t>
            </w:r>
          </w:p>
        </w:tc>
        <w:tc>
          <w:tcPr>
            <w:tcW w:type="dxa" w:w="22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Analytical implication</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Fundamental</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Base EGP 147.1 risk-adjusted; 189.6 full execution; ~83.6 bear</w:t>
            </w:r>
          </w:p>
        </w:tc>
        <w:tc>
          <w:tcPr>
            <w:tcW w:type="dxa" w:w="31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Fair value ~54% above market before any holding-company discount. Contracted backlog + the two segments + net cash (90% parent), net of minority, are ~EGP 83.6/sh; everything above is execution of SouthMED, The Spine, Noor and the cross-border JVs</w:t>
            </w:r>
          </w:p>
        </w:tc>
        <w:tc>
          <w:tcPr>
            <w:tcW w:type="dxa" w:w="22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Modelled value sits well above price; below ~83.6 the market would pay less than the no-pipeline construction</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Technical</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Pullback held the rising SMA50 and bounced on rising volume; RSI recovering, MACD hist narrowing</w:t>
            </w:r>
          </w:p>
        </w:tc>
        <w:tc>
          <w:tcPr>
            <w:tcW w:type="dxa" w:w="31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A mature uptrend that has digested its first −9% correction; price back above the 50-day and on the 20-day</w:t>
            </w:r>
          </w:p>
        </w:tc>
        <w:tc>
          <w:tcPr>
            <w:tcW w:type="dxa" w:w="22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bounce has volume confirmation; the first dense resistance is the 96.1–100 cluster, then 101.4</w:t>
            </w:r>
          </w:p>
        </w:tc>
      </w:tr>
      <w:tr>
        <w:trPr>
          <w:tblHeader w:val="false"/>
        </w:trPr>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Monte Carlo (10-factor)</w:t>
            </w:r>
          </w:p>
        </w:tc>
        <w:tc>
          <w:tcPr>
            <w:tcW w:type="dxa" w:w="2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T+20 median 98.3 (28% below 92); T+60 median 103.9 (16% ≥ 126)</w:t>
            </w:r>
          </w:p>
        </w:tc>
        <w:tc>
          <w:tcPr>
            <w:tcW w:type="dxa" w:w="31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One month is two-sided with a slight upward tilt; three months skew right as the launch and tourism events pay</w:t>
            </w:r>
          </w:p>
        </w:tc>
        <w:tc>
          <w:tcPr>
            <w:tcW w:type="dxa" w:w="22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Time favours the right tail; the launch window is where the distribution widens</w:t>
            </w:r>
          </w:p>
        </w:tc>
      </w:tr>
    </w:tbl>
    <w:p>
      <w:pPr>
        <w:spacing w:after="120" w:line="264"/>
      </w:pPr>
      <w:r>
        <w:rPr>
          <w:rFonts w:ascii="Arial" w:cs="Arial" w:eastAsia="Arial" w:hAnsi="Arial"/>
          <w:b/>
          <w:bCs/>
        </w:rPr>
        <w:t xml:space="preserve">Verdict: </w:t>
      </w:r>
      <w:r>
        <w:rPr>
          <w:rFonts w:ascii="Arial" w:cs="Arial" w:eastAsia="Arial" w:hAnsi="Arial"/>
        </w:rPr>
        <w:t xml:space="preserve">the three lenses tell one story on different clocks — the near-term tape has turned back up with volume confirmation, the three-month distribution skews right on launch execution and tourism, and the fundamental value sits ~54% above price with a floor only ~13% below it. That ~54% is the undiscounted, execution-weighted asset value: the gap to the EGP 130 Analyst Target Price and to the market is essentially the holding-company/NAV discount each chooses to apply (the analyst 40%, the market more), not a disagreement on the assets. Below ~83.6 the market would be pricing less than even the contracted-plus-cash construction. The fundamental upside and the technical recovery are aligned; the Monte Carlo simply says the next month is two-sided while the quarter pays. What, if anything, follows for any individual depends on circumstances this study does not know and does not address.</w:t>
      </w:r>
    </w:p>
    <w:p>
      <w:pPr>
        <w:pStyle w:val="Heading1"/>
        <w:pBdr>
          <w:bottom w:val="single" w:color="1B5E5E" w:sz="8" w:space="4"/>
        </w:pBdr>
        <w:spacing w:after="150" w:before="300"/>
      </w:pPr>
      <w:r>
        <w:rPr>
          <w:rFonts w:ascii="Arial" w:cs="Arial" w:eastAsia="Arial" w:hAnsi="Arial"/>
          <w:b/>
          <w:bCs/>
          <w:color w:val="1B5E5E"/>
          <w:sz w:val="26"/>
          <w:szCs w:val="26"/>
        </w:rPr>
        <w:t xml:space="preserve">5.  Catalyst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60"/>
      </w:tblGrid>
      <w:tr>
        <w:trPr>
          <w:tblHeader/>
        </w:trPr>
        <w:tc>
          <w:tcPr>
            <w:tcW w:type="dxa" w:w="27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Catalyst</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Date</w:t>
            </w:r>
          </w:p>
        </w:tc>
        <w:tc>
          <w:tcPr>
            <w:tcW w:type="dxa" w:w="150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In window</w:t>
            </w:r>
          </w:p>
        </w:tc>
        <w:tc>
          <w:tcPr>
            <w:tcW w:type="dxa" w:w="3660"/>
            <w:tcBorders>
              <w:top w:val="single" w:color="BFD4D4" w:sz="1"/>
              <w:left w:val="single" w:color="BFD4D4" w:sz="1"/>
              <w:bottom w:val="single" w:color="BFD4D4" w:sz="1"/>
              <w:right w:val="single" w:color="BFD4D4" w:sz="1"/>
            </w:tcBorders>
            <w:shd w:fill="1B5E5E" w:val="clear"/>
            <w:tcMar>
              <w:top w:type="dxa" w:w="55"/>
              <w:left w:type="dxa" w:w="100"/>
              <w:bottom w:type="dxa" w:w="55"/>
              <w:right w:type="dxa" w:w="100"/>
            </w:tcMar>
            <w:vAlign w:val="center"/>
          </w:tcPr>
          <w:p>
            <w:pPr>
              <w:jc w:val="left"/>
            </w:pPr>
            <w:r>
              <w:rPr>
                <w:rFonts w:ascii="Arial" w:cs="Arial" w:eastAsia="Arial" w:hAnsi="Arial"/>
                <w:b/>
                <w:bCs/>
                <w:color w:val="FFFFFF"/>
                <w:sz w:val="16"/>
                <w:szCs w:val="16"/>
              </w:rPr>
              <w:t xml:space="preserve">Read</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May CPI</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~10 Jun</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done</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Disinflation supports the multiple; a re-acceleration would pressure it — neutral as printed</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Spine / SouthMED launches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Summer 2026</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in window</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The pivotal event — the largest single upside factor in the simulation (p = 55%)</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CBE MPC</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9 Jul</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T+20 edge</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Cuts help sentiment, but net-cash TMGH is far less rate-sensitive than levered peers</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Q2 results (backlog→rev)</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~mid-Aug</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T+60</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Revenue-recognition story as backlog converts; a 3-month, not near-term, driver</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Noor City first deliveries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H2-2026</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out</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Execution proof-point on a 21m m² project; de-risks a major pipeline block</w:t>
            </w:r>
          </w:p>
        </w:tc>
      </w:tr>
      <w:tr>
        <w:trPr>
          <w:tblHeader w:val="false"/>
        </w:trPr>
        <w:tc>
          <w:tcPr>
            <w:tcW w:type="dxa" w:w="27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KSA / Oman / Iraq milestones</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2026–2028</w:t>
            </w:r>
          </w:p>
        </w:tc>
        <w:tc>
          <w:tcPr>
            <w:tcW w:type="dxa" w:w="150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out</w:t>
            </w:r>
          </w:p>
        </w:tc>
        <w:tc>
          <w:tcPr>
            <w:tcW w:type="dxa" w:w="3660"/>
            <w:tcBorders>
              <w:top w:val="single" w:color="BFD4D4" w:sz="1"/>
              <w:left w:val="single" w:color="BFD4D4" w:sz="1"/>
              <w:bottom w:val="single" w:color="BFD4D4" w:sz="1"/>
              <w:right w:val="single" w:color="BFD4D4" w:sz="1"/>
            </w:tcBorders>
            <w:shd w:fill="FFFFFF" w:val="clear"/>
            <w:tcMar>
              <w:top w:type="dxa" w:w="55"/>
              <w:left w:type="dxa" w:w="100"/>
              <w:bottom w:type="dxa" w:w="55"/>
              <w:right w:type="dxa" w:w="100"/>
            </w:tcMar>
            <w:vAlign w:val="center"/>
          </w:tcPr>
          <w:p>
            <w:pPr>
              <w:jc w:val="left"/>
            </w:pPr>
            <w:r>
              <w:rPr>
                <w:rFonts w:ascii="Arial" w:cs="Arial" w:eastAsia="Arial" w:hAnsi="Arial"/>
                <w:b w:val="false"/>
                <w:bCs w:val="false"/>
                <w:color w:val="222222"/>
                <w:sz w:val="16"/>
                <w:szCs w:val="16"/>
              </w:rPr>
              <w:t xml:space="preserve">Cross-border optionality (Banan, Yamal+Joud, Baghdad); long-dated, heavily risk-weighted</w:t>
            </w:r>
          </w:p>
        </w:tc>
      </w:tr>
    </w:tbl>
    <w:p>
      <w:pPr>
        <w:pStyle w:val="Heading1"/>
        <w:pBdr>
          <w:bottom w:val="single" w:color="1B5E5E" w:sz="8" w:space="4"/>
        </w:pBdr>
        <w:spacing w:after="150" w:before="300"/>
      </w:pPr>
      <w:r>
        <w:rPr>
          <w:rFonts w:ascii="Arial" w:cs="Arial" w:eastAsia="Arial" w:hAnsi="Arial"/>
          <w:b/>
          <w:bCs/>
          <w:color w:val="1B5E5E"/>
          <w:sz w:val="26"/>
          <w:szCs w:val="26"/>
        </w:rPr>
        <w:t xml:space="preserve">6.  Reading the probabilities — significant zones (analysis, not guidance)</w:t>
      </w:r>
    </w:p>
    <w:p>
      <w:pPr>
        <w:spacing w:after="120" w:line="264"/>
      </w:pPr>
      <w:r>
        <w:rPr>
          <w:rFonts w:ascii="Arial" w:cs="Arial" w:eastAsia="Arial" w:hAnsi="Arial"/>
        </w:rPr>
        <w:t xml:space="preserve">This section translates the simulation into the price zones where the three lenses say something analytically distinct. It is a map of the distribution — not a plan, not guidance, and not calibrated to any reader’s circumstances.</w:t>
      </w:r>
    </w:p>
    <w:p>
      <w:pPr>
        <w:pStyle w:val="ListParagraph"/>
        <w:numPr>
          <w:ilvl w:val="0"/>
          <w:numId w:val="2"/>
        </w:numPr>
        <w:spacing w:after="90" w:line="258"/>
      </w:pPr>
      <w:r>
        <w:rPr>
          <w:rFonts w:ascii="Arial" w:cs="Arial" w:eastAsia="Arial" w:hAnsi="Arial"/>
          <w:b/>
          <w:bCs/>
        </w:rPr>
        <w:t xml:space="preserve">96.10–101.40 — the overhead test. </w:t>
      </w:r>
      <w:r>
        <w:rPr>
          <w:rFonts w:ascii="Arial" w:cs="Arial" w:eastAsia="Arial" w:hAnsi="Arial"/>
        </w:rPr>
        <w:t xml:space="preserve">The SMA20 (96.1), the Bollinger upper / round 100, and the 101.40 period high sit just above spot; 66% of simulated paths touch 100 within one month (85% within three).</w:t>
      </w:r>
    </w:p>
    <w:p>
      <w:pPr>
        <w:pStyle w:val="ListParagraph"/>
        <w:numPr>
          <w:ilvl w:val="0"/>
          <w:numId w:val="2"/>
        </w:numPr>
        <w:spacing w:after="90" w:line="258"/>
      </w:pPr>
      <w:r>
        <w:rPr>
          <w:rFonts w:ascii="Arial" w:cs="Arial" w:eastAsia="Arial" w:hAnsi="Arial"/>
          <w:b/>
          <w:bCs/>
        </w:rPr>
        <w:t xml:space="preserve">101–126 — the re-rating zone. </w:t>
      </w:r>
      <w:r>
        <w:rPr>
          <w:rFonts w:ascii="Arial" w:cs="Arial" w:eastAsia="Arial" w:hAnsi="Arial"/>
        </w:rPr>
        <w:t xml:space="preserve">The discrete event factors (launch p = 55%, cross-border p = 30%) place most of the right tail here; 24%/58% of paths touch 110 and 8%/39% touch 118 (T+20/T+60), with 2%/24% reaching the 126 level — around the EGP 130 Analyst Target Price and near the top of where the three-month cone realistically reaches.</w:t>
      </w:r>
    </w:p>
    <w:p>
      <w:pPr>
        <w:pStyle w:val="ListParagraph"/>
        <w:numPr>
          <w:ilvl w:val="0"/>
          <w:numId w:val="2"/>
        </w:numPr>
        <w:spacing w:after="90" w:line="258"/>
      </w:pPr>
      <w:r>
        <w:rPr>
          <w:rFonts w:ascii="Arial" w:cs="Arial" w:eastAsia="Arial" w:hAnsi="Arial"/>
          <w:b/>
          <w:bCs/>
        </w:rPr>
        <w:t xml:space="preserve">128–137 — Analyst-target / cone-ceiling zone. </w:t>
      </w:r>
      <w:r>
        <w:rPr>
          <w:rFonts w:ascii="Arial" w:cs="Arial" w:eastAsia="Arial" w:hAnsi="Arial"/>
        </w:rPr>
        <w:t xml:space="preserve">The Analyst Target Price of EGP 130 sits here, as does the 137 level that only 0%/12% of paths touch (T+20/T+60) — effectively the ceiling of the three-month distribution. This study's risk-adjusted base, EGP 147.1, sits above this band entirely: it is an undiscounted, execution-weighted NAV, and the cone reaches it only beyond three months and only on strong execution together with a narrowing of the holding-company discount the market currently applies.</w:t>
      </w:r>
    </w:p>
    <w:p>
      <w:pPr>
        <w:pStyle w:val="ListParagraph"/>
        <w:numPr>
          <w:ilvl w:val="0"/>
          <w:numId w:val="2"/>
        </w:numPr>
        <w:spacing w:after="90" w:line="258"/>
      </w:pPr>
      <w:r>
        <w:rPr>
          <w:rFonts w:ascii="Arial" w:cs="Arial" w:eastAsia="Arial" w:hAnsi="Arial"/>
          <w:b/>
          <w:bCs/>
        </w:rPr>
        <w:t xml:space="preserve">92 / 88 / 83 — the structural-floor zone. </w:t>
      </w:r>
      <w:r>
        <w:rPr>
          <w:rFonts w:ascii="Arial" w:cs="Arial" w:eastAsia="Arial" w:hAnsi="Arial"/>
        </w:rPr>
        <w:t xml:space="preserve">Below the 92 support (SMA50 / bounce low) the recovery is in question (downside touch of 88 ≈ 29% by T+20, 48% by T+60); below ~83–84 (the no-pipeline construction ≈ 84; SMA150 ≈ 83) the market would price the company beneath even the bear construction — the level at which this study’s base framing would itself need rebuilding (touch of 83 ≈ 11%/29%).</w:t>
      </w:r>
    </w:p>
    <w:p>
      <w:pPr>
        <w:pStyle w:val="Heading1"/>
        <w:pBdr>
          <w:bottom w:val="single" w:color="1B5E5E" w:sz="8" w:space="4"/>
        </w:pBdr>
        <w:spacing w:after="150" w:before="300"/>
      </w:pPr>
      <w:r>
        <w:rPr>
          <w:rFonts w:ascii="Arial" w:cs="Arial" w:eastAsia="Arial" w:hAnsi="Arial"/>
          <w:b/>
          <w:bCs/>
          <w:color w:val="1B5E5E"/>
          <w:sz w:val="26"/>
          <w:szCs w:val="26"/>
        </w:rPr>
        <w:t xml:space="preserve">7.  Caveats</w:t>
      </w:r>
    </w:p>
    <w:p>
      <w:pPr>
        <w:pStyle w:val="ListParagraph"/>
        <w:numPr>
          <w:ilvl w:val="0"/>
          <w:numId w:val="2"/>
        </w:numPr>
        <w:spacing w:after="90" w:line="258"/>
      </w:pPr>
      <w:r>
        <w:rPr>
          <w:rFonts w:ascii="Arial" w:cs="Arial" w:eastAsia="Arial" w:hAnsi="Arial"/>
          <w:b/>
          <w:bCs/>
        </w:rPr>
        <w:t xml:space="preserve">Minority interest and the holding-company discount are the two assumptions that move this number most. </w:t>
      </w:r>
      <w:r>
        <w:rPr>
          <w:rFonts w:ascii="Arial" w:cs="Arial" w:eastAsia="Arial" w:hAnsi="Arial"/>
        </w:rPr>
        <w:t xml:space="preserve">Minority is deducted segment-by-segment from actual ownership: 40.5% on the hotels (the ADQ/ADNEC stake in ICON — the only large, hard number), a contribution-weighted ~10% on the consolidated backlog (each JV at its actual partner share — Banan 49%, Oman 40%, Iraq 50% — weighted by its share of the book), and nil on the ~99.99%-owned Egyptian development and recurring and on the cross-border JV projects, which are already carried at TMG's economic share, so re-deducting would double-count. On the backlog the partner shares are known; the only soft input is the EGP split of the EGP 457.9bn book (Banan ≈79bn, Oman ≈16bn, Iraq ~nil), and a wide ±10pp swing in it moves the base by only ~±EGP 1.5/share. The larger judgment is that this study applies no blanket holding-company/NAV discount, so the EGP 147.1 base is a clean execution-weighted NAV; the analyst layers a 40% discount to reach 130 and the market prices more. A 15–40% holding-company discount on this study's base gives ~EGP 88–125, bracketing the Analyst Target Price and the market — so the +54% is the undiscounted asset value, not an entry signal. The audited FY2025 segment notes (ownership of each development entity and the backlog split) would tighten both the minority and the discount.</w:t>
      </w:r>
    </w:p>
    <w:p>
      <w:pPr>
        <w:pStyle w:val="ListParagraph"/>
        <w:numPr>
          <w:ilvl w:val="0"/>
          <w:numId w:val="2"/>
        </w:numPr>
        <w:spacing w:after="90" w:line="258"/>
      </w:pPr>
      <w:r>
        <w:rPr>
          <w:rFonts w:ascii="Arial" w:cs="Arial" w:eastAsia="Arial" w:hAnsi="Arial"/>
          <w:b/>
          <w:bCs/>
        </w:rPr>
        <w:t xml:space="preserve">Net cash is credited at 90%, not 100%. </w:t>
      </w:r>
      <w:r>
        <w:rPr>
          <w:rFonts w:ascii="Arial" w:cs="Arial" w:eastAsia="Arial" w:hAnsi="Arial"/>
        </w:rPr>
        <w:t xml:space="preserve">Subsidiary research indicates ~90% of the ~EGP 72bn net cash is parent-attributable (range 85–95%): it sits overwhelmingly in the ~wholly-owned development core, with only ~EGP 2.6bn in the 59.5%-owned hotels at Sep-2025. Crediting 100% (the earlier draft) overstated value; a 5-point move in the parent share is worth ~±EGP 1.7/share.</w:t>
      </w:r>
    </w:p>
    <w:p>
      <w:pPr>
        <w:pStyle w:val="ListParagraph"/>
        <w:numPr>
          <w:ilvl w:val="0"/>
          <w:numId w:val="2"/>
        </w:numPr>
        <w:spacing w:after="90" w:line="258"/>
      </w:pPr>
      <w:r>
        <w:rPr>
          <w:rFonts w:ascii="Arial" w:cs="Arial" w:eastAsia="Arial" w:hAnsi="Arial"/>
          <w:b/>
          <w:bCs/>
        </w:rPr>
        <w:t xml:space="preserve">Bottom-up valuation is assumption-driven </w:t>
      </w:r>
      <w:r>
        <w:rPr>
          <w:rFonts w:ascii="Arial" w:cs="Arial" w:eastAsia="Arial" w:hAnsi="Arial"/>
        </w:rPr>
        <w:t xml:space="preserve">(WACC 18%, each project’s sold/unsold split, the JV partner-land charge, ~14% escalation, the normalized terminal FCFF, and the hotel/recurring EBITDA and exit multiples) — calibrated to disclosed totals, not audited project-level data. Illustrative ranges, not precision; NAV and multiples remain useful external cross-checks.</w:t>
      </w:r>
    </w:p>
    <w:p>
      <w:pPr>
        <w:pStyle w:val="ListParagraph"/>
        <w:numPr>
          <w:ilvl w:val="0"/>
          <w:numId w:val="2"/>
        </w:numPr>
        <w:spacing w:after="90" w:line="258"/>
      </w:pPr>
      <w:r>
        <w:rPr>
          <w:rFonts w:ascii="Arial" w:cs="Arial" w:eastAsia="Arial" w:hAnsi="Arial"/>
          <w:b/>
          <w:bCs/>
        </w:rPr>
        <w:t xml:space="preserve">Execution risk compounds over 10+ years </w:t>
      </w:r>
      <w:r>
        <w:rPr>
          <w:rFonts w:ascii="Arial" w:cs="Arial" w:eastAsia="Arial" w:hAnsi="Arial"/>
        </w:rPr>
        <w:t xml:space="preserve">— much of the upside (SouthMED, The Spine, Noor, and especially the KSA/Oman/Iraq JVs) is long-dated and carries FX, partner, permitting and political risk; Baghdad in particular is very early and heavily discounted here for good reason.</w:t>
      </w:r>
    </w:p>
    <w:p>
      <w:pPr>
        <w:pStyle w:val="ListParagraph"/>
        <w:numPr>
          <w:ilvl w:val="0"/>
          <w:numId w:val="2"/>
        </w:numPr>
        <w:spacing w:after="90" w:line="258"/>
      </w:pPr>
      <w:r>
        <w:rPr>
          <w:rFonts w:ascii="Arial" w:cs="Arial" w:eastAsia="Arial" w:hAnsi="Arial"/>
          <w:b/>
          <w:bCs/>
        </w:rPr>
        <w:t xml:space="preserve">Monte Carlo factors are independent </w:t>
      </w:r>
      <w:r>
        <w:rPr>
          <w:rFonts w:ascii="Arial" w:cs="Arial" w:eastAsia="Arial" w:hAnsi="Arial"/>
        </w:rPr>
        <w:t xml:space="preserve">(no cross-correlation matrix or volatility clustering yet — rate cuts and FX moves are in reality linked); each factor’s drift, probability and impact is judgment, not estimation; event timing within the window is uniform-random. Technical inputs and the idiosyncratic volatility are computed from the attached vendor price history and not reconciled to exchange tick data.</w:t>
      </w:r>
    </w:p>
    <w:p>
      <w:pPr>
        <w:pStyle w:val="ListParagraph"/>
        <w:numPr>
          <w:ilvl w:val="0"/>
          <w:numId w:val="2"/>
        </w:numPr>
        <w:spacing w:after="90" w:line="258"/>
      </w:pPr>
      <w:r>
        <w:rPr>
          <w:rFonts w:ascii="Arial" w:cs="Arial" w:eastAsia="Arial" w:hAnsi="Arial"/>
          <w:b/>
          <w:bCs/>
        </w:rPr>
        <w:t xml:space="preserve">No exact launch/delivery dates </w:t>
      </w:r>
      <w:r>
        <w:rPr>
          <w:rFonts w:ascii="Arial" w:cs="Arial" w:eastAsia="Arial" w:hAnsi="Arial"/>
        </w:rPr>
        <w:t xml:space="preserve">(“summer 2026”, “H2-2026”); an EGX sales-start or delivery disclosure would sharpen the catalyst-window timing.</w:t>
      </w:r>
    </w:p>
    <w:p>
      <w:pPr>
        <w:spacing w:after="120" w:before="90"/>
      </w:pPr>
      <w:r>
        <w:rPr>
          <w:rFonts w:ascii="Arial" w:cs="Arial" w:eastAsia="Arial" w:hAnsi="Arial"/>
          <w:b/>
          <w:bCs/>
        </w:rPr>
        <w:t xml:space="preserve">Momentum-reading note (educational). </w:t>
      </w:r>
      <w:r>
        <w:rPr>
          <w:rFonts w:ascii="Arial" w:cs="Arial" w:eastAsia="Arial" w:hAnsi="Arial"/>
        </w:rPr>
        <w:t xml:space="preserve">A standard divergence read: price rising while RSI stalls or falls under its moving average is the classic bearish-divergence configuration — momentum fading into strength. Price and RSI rising together marks a healthy trend (the current daily condition: price bounced to 95.68 while RSI recovered from ~44 to 52 — momentum confirming the turn, not diverging). On the downside, price falling while RSI rises flags seller exhaustion; both falling together marks an intact downtrend. These are descriptive patterns for reading momentum, not signals to act on.</w:t>
      </w:r>
    </w:p>
    <w:p>
      <w:r>
        <w:br w:type="page"/>
      </w:r>
    </w:p>
    <w:p>
      <w:pPr>
        <w:pStyle w:val="Heading1"/>
        <w:pBdr>
          <w:bottom w:val="single" w:color="1B5E5E" w:sz="8" w:space="4"/>
        </w:pBdr>
        <w:spacing w:after="150" w:before="300"/>
      </w:pPr>
      <w:r>
        <w:rPr>
          <w:rFonts w:ascii="Arial" w:cs="Arial" w:eastAsia="Arial" w:hAnsi="Arial"/>
          <w:b/>
          <w:bCs/>
          <w:color w:val="1B5E5E"/>
          <w:sz w:val="26"/>
          <w:szCs w:val="26"/>
        </w:rPr>
        <w:t xml:space="preserve">Appendix — About this series: the standing format</w:t>
      </w:r>
    </w:p>
    <w:p>
      <w:pPr>
        <w:spacing w:after="120" w:line="264"/>
      </w:pPr>
      <w:r>
        <w:rPr>
          <w:rFonts w:ascii="Arial" w:cs="Arial" w:eastAsia="Arial" w:hAnsi="Arial"/>
        </w:rPr>
        <w:t xml:space="preserve">Every instrument (equity or metal) analysed in this educational series follows the same standing format, in order:</w:t>
      </w:r>
    </w:p>
    <w:p>
      <w:pPr>
        <w:pStyle w:val="ListParagraph"/>
        <w:numPr>
          <w:ilvl w:val="0"/>
          <w:numId w:val="2"/>
        </w:numPr>
        <w:spacing w:after="90" w:line="258"/>
      </w:pPr>
      <w:r>
        <w:rPr>
          <w:rFonts w:ascii="Arial" w:cs="Arial" w:eastAsia="Arial" w:hAnsi="Arial"/>
          <w:b/>
          <w:bCs/>
        </w:rPr>
        <w:t xml:space="preserve">Headline </w:t>
      </w:r>
      <w:r>
        <w:rPr>
          <w:rFonts w:ascii="Arial" w:cs="Arial" w:eastAsia="Arial" w:hAnsi="Arial"/>
        </w:rPr>
        <w:t xml:space="preserve">— the analytical read, timeframe and key numbers, one paragraph.</w:t>
      </w:r>
    </w:p>
    <w:p>
      <w:pPr>
        <w:pStyle w:val="ListParagraph"/>
        <w:numPr>
          <w:ilvl w:val="0"/>
          <w:numId w:val="2"/>
        </w:numPr>
        <w:spacing w:after="90" w:line="258"/>
      </w:pPr>
      <w:r>
        <w:rPr>
          <w:rFonts w:ascii="Arial" w:cs="Arial" w:eastAsia="Arial" w:hAnsi="Arial"/>
          <w:b/>
          <w:bCs/>
        </w:rPr>
        <w:t xml:space="preserve">1. Fundamental analysis </w:t>
      </w:r>
      <w:r>
        <w:rPr>
          <w:rFonts w:ascii="Arial" w:cs="Arial" w:eastAsia="Arial" w:hAnsi="Arial"/>
        </w:rPr>
        <w:t xml:space="preserve">— DCF (or cost-curve/real-rate model for metals) + multiples + NAV/SOTP (per-project for developers; EBITDA-multiple segments where diversified) → football field → fair-value range. For metals: real US 10Y, DXY, central-bank buying, inventories, COT.</w:t>
      </w:r>
    </w:p>
    <w:p>
      <w:pPr>
        <w:pStyle w:val="ListParagraph"/>
        <w:numPr>
          <w:ilvl w:val="0"/>
          <w:numId w:val="2"/>
        </w:numPr>
        <w:spacing w:after="90" w:line="258"/>
      </w:pPr>
      <w:r>
        <w:rPr>
          <w:rFonts w:ascii="Arial" w:cs="Arial" w:eastAsia="Arial" w:hAnsi="Arial"/>
          <w:b/>
          <w:bCs/>
        </w:rPr>
        <w:t xml:space="preserve">2. Technical analysis </w:t>
      </w:r>
      <w:r>
        <w:rPr>
          <w:rFonts w:ascii="Arial" w:cs="Arial" w:eastAsia="Arial" w:hAnsi="Arial"/>
        </w:rPr>
        <w:t xml:space="preserve">— weekly/daily/hourly trend, levels table, ATR/vol, the volume tell.</w:t>
      </w:r>
    </w:p>
    <w:p>
      <w:pPr>
        <w:pStyle w:val="ListParagraph"/>
        <w:numPr>
          <w:ilvl w:val="0"/>
          <w:numId w:val="2"/>
        </w:numPr>
        <w:spacing w:after="90" w:line="258"/>
      </w:pPr>
      <w:r>
        <w:rPr>
          <w:rFonts w:ascii="Arial" w:cs="Arial" w:eastAsia="Arial" w:hAnsi="Arial"/>
          <w:b/>
          <w:bCs/>
        </w:rPr>
        <w:t xml:space="preserve">3. Monte Carlo simulation </w:t>
      </w:r>
      <w:r>
        <w:rPr>
          <w:rFonts w:ascii="Arial" w:cs="Arial" w:eastAsia="Arial" w:hAnsi="Arial"/>
        </w:rPr>
        <w:t xml:space="preserve">— ONE model: ten external macro factors (policy rate, FX, inflation, market/flows, oil/Gulf liquidity, geopolitics, sovereign/JV inflows, launch execution, tourism/demand, credit), 50,000 paths; factor table + percentile table + forward cone + bell curves (T+20/T+60) + level-touch probabilities.</w:t>
      </w:r>
    </w:p>
    <w:p>
      <w:pPr>
        <w:pStyle w:val="ListParagraph"/>
        <w:numPr>
          <w:ilvl w:val="0"/>
          <w:numId w:val="2"/>
        </w:numPr>
        <w:spacing w:after="90" w:line="258"/>
      </w:pPr>
      <w:r>
        <w:rPr>
          <w:rFonts w:ascii="Arial" w:cs="Arial" w:eastAsia="Arial" w:hAnsi="Arial"/>
          <w:b/>
          <w:bCs/>
        </w:rPr>
        <w:t xml:space="preserve">4. Comparison — fundamental vs technical vs Monte Carlo </w:t>
      </w:r>
      <w:r>
        <w:rPr>
          <w:rFonts w:ascii="Arial" w:cs="Arial" w:eastAsia="Arial" w:hAnsi="Arial"/>
        </w:rPr>
        <w:t xml:space="preserve">— one table reconciling the three lenses + a verdict: where they agree, where they differ, and on what clock.</w:t>
      </w:r>
    </w:p>
    <w:p>
      <w:pPr>
        <w:pStyle w:val="ListParagraph"/>
        <w:numPr>
          <w:ilvl w:val="0"/>
          <w:numId w:val="2"/>
        </w:numPr>
        <w:spacing w:after="90" w:line="258"/>
      </w:pPr>
      <w:r>
        <w:rPr>
          <w:rFonts w:ascii="Arial" w:cs="Arial" w:eastAsia="Arial" w:hAnsi="Arial"/>
          <w:b/>
          <w:bCs/>
        </w:rPr>
        <w:t xml:space="preserve">5. Catalyst calendar · 6. Probability map · 7. Caveats + momentum note · closing Disclosure &amp; Disclaimer.</w:t>
      </w:r>
    </w:p>
    <w:p>
      <w:pPr>
        <w:pStyle w:val="Heading1"/>
        <w:pBdr>
          <w:bottom w:val="single" w:color="1B5E5E" w:sz="8" w:space="4"/>
        </w:pBdr>
        <w:spacing w:after="150" w:before="300"/>
      </w:pPr>
      <w:r>
        <w:rPr>
          <w:rFonts w:ascii="Arial" w:cs="Arial" w:eastAsia="Arial" w:hAnsi="Arial"/>
          <w:b/>
          <w:bCs/>
          <w:color w:val="1B5E5E"/>
          <w:sz w:val="26"/>
          <w:szCs w:val="26"/>
        </w:rPr>
        <w:t xml:space="preserve">Disclosure &amp; Disclaimer — read in full</w:t>
      </w:r>
    </w:p>
    <w:p>
      <w:pPr>
        <w:spacing w:after="120" w:line="264"/>
      </w:pPr>
      <w:r>
        <w:rPr>
          <w:rFonts w:ascii="Arial" w:cs="Arial" w:eastAsia="Arial" w:hAnsi="Arial"/>
          <w:b/>
          <w:bCs/>
        </w:rPr>
        <w:t xml:space="preserve">Nature of this document. </w:t>
      </w:r>
      <w:r>
        <w:rPr>
          <w:rFonts w:ascii="Arial" w:cs="Arial" w:eastAsia="Arial" w:hAnsi="Arial"/>
        </w:rPr>
        <w:t xml:space="preserve">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 </w:t>
      </w:r>
      <w:r>
        <w:rPr>
          <w:rFonts w:ascii="Arial" w:cs="Arial" w:eastAsia="Arial" w:hAnsi="Arial"/>
          <w:b/>
          <w:bCs/>
        </w:rPr>
        <w:t xml:space="preserve">No advice, no recommendation, no solicitation. </w:t>
      </w:r>
      <w:r>
        <w:rPr>
          <w:rFonts w:ascii="Arial" w:cs="Arial" w:eastAsia="Arial" w:hAnsi="Arial"/>
        </w:rPr>
        <w:t xml:space="preserve">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 </w:t>
      </w:r>
      <w:r>
        <w:rPr>
          <w:rFonts w:ascii="Arial" w:cs="Arial" w:eastAsia="Arial" w:hAnsi="Arial"/>
          <w:b/>
          <w:bCs/>
        </w:rPr>
        <w:t xml:space="preserve">No licensed activity. </w:t>
      </w:r>
      <w:r>
        <w:rPr>
          <w:rFonts w:ascii="Arial" w:cs="Arial" w:eastAsia="Arial" w:hAnsi="Arial"/>
        </w:rPr>
        <w:t xml:space="preserve">The preparer is not licensed or registered with the Egyptian Financial Regulatory Authority (FRA) or any other securities regulator; does not carry on financial consultancy, securities evaluation or analysis services, portfolio management, brokerage, promotion or any other regulated activity; does not manage money; and does not accept clients, fees, subscriptions or funds of any kind. </w:t>
      </w:r>
      <w:r>
        <w:rPr>
          <w:rFonts w:ascii="Arial" w:cs="Arial" w:eastAsia="Arial" w:hAnsi="Arial"/>
          <w:b/>
          <w:bCs/>
        </w:rPr>
        <w:t xml:space="preserve">Publication independence. </w:t>
      </w:r>
      <w:r>
        <w:rPr>
          <w:rFonts w:ascii="Arial" w:cs="Arial" w:eastAsia="Arial" w:hAnsi="Arial"/>
        </w:rPr>
        <w:t xml:space="preserve">This study was prepared and published independently, on a pre-set schedule, and is not intended to — and must not be used to — influence the market price of any security. </w:t>
      </w:r>
      <w:r>
        <w:rPr>
          <w:rFonts w:ascii="Arial" w:cs="Arial" w:eastAsia="Arial" w:hAnsi="Arial"/>
          <w:b/>
          <w:bCs/>
        </w:rPr>
        <w:t xml:space="preserve">Estimates and uncertainty. </w:t>
      </w:r>
      <w:r>
        <w:rPr>
          <w:rFonts w:ascii="Arial" w:cs="Arial" w:eastAsia="Arial" w:hAnsi="Arial"/>
        </w:rPr>
        <w:t xml:space="preserve">All valuations, scenarios, probabilities and levels are model outputs resting on explicit, subjective assumptions; they are illustrative, highly uncertain, and likely to prove wrong in material respects. They are deliberately presented as ranges and distributions because no single number should be relied on. Public and vendor-sourced data are believed reliable but are not guaranteed; vendor-derived figures are flagged as such where used. </w:t>
      </w:r>
      <w:r>
        <w:rPr>
          <w:rFonts w:ascii="Arial" w:cs="Arial" w:eastAsia="Arial" w:hAnsi="Arial"/>
          <w:b/>
          <w:bCs/>
        </w:rPr>
        <w:t xml:space="preserve">No liability. </w:t>
      </w:r>
      <w:r>
        <w:rPr>
          <w:rFonts w:ascii="Arial" w:cs="Arial" w:eastAsia="Arial" w:hAnsi="Arial"/>
        </w:rPr>
        <w:t xml:space="preserve">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 </w:t>
      </w:r>
      <w:r>
        <w:rPr>
          <w:rFonts w:ascii="Arial" w:cs="Arial" w:eastAsia="Arial" w:hAnsi="Arial"/>
          <w:b/>
          <w:bCs/>
        </w:rPr>
        <w:t xml:space="preserve">Reader’s responsibility. </w:t>
      </w:r>
      <w:r>
        <w:rPr>
          <w:rFonts w:ascii="Arial" w:cs="Arial" w:eastAsia="Arial" w:hAnsi="Arial"/>
        </w:rPr>
        <w:t xml:space="preserve">Any person considering an investment decision should conduct their own independent assessment and consult a financial advisor licensed in their jurisdiction. If the publication of material of this kind is restricted where you are reading it, do not rely on it.</w:t>
      </w:r>
    </w:p>
    <w:p>
      <w:pPr>
        <w:spacing w:before="120"/>
      </w:pPr>
      <w:r>
        <w:rPr>
          <w:rFonts w:ascii="Arial" w:cs="Arial" w:eastAsia="Arial" w:hAnsi="Arial"/>
          <w:color w:val="6B6B6B"/>
          <w:sz w:val="14"/>
          <w:szCs w:val="14"/>
        </w:rPr>
        <w:t xml:space="preserve">15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3"/>
        <w:szCs w:val="13"/>
      </w:rPr>
      <w:t xml:space="preserve">Educational valuation study · not a recommendation · 15 June 2026 · page </w:t>
    </w:r>
    <w:r>
      <w:rPr>
        <w:rFonts w:ascii="Arial" w:cs="Arial" w:eastAsia="Arial" w:hAnsi="Arial"/>
        <w:color w:val="6B6B6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8F8F" w:sz="4" w:space="4"/>
      </w:pBdr>
      <w:tabs>
        <w:tab w:val="right" w:pos="9360"/>
      </w:tabs>
    </w:pPr>
    <w:r>
      <w:rPr>
        <w:rFonts w:ascii="Arial" w:cs="Arial" w:eastAsia="Arial" w:hAnsi="Arial"/>
        <w:b/>
        <w:bCs/>
        <w:color w:val="1B5E5E"/>
        <w:sz w:val="13"/>
        <w:szCs w:val="13"/>
      </w:rPr>
      <w:t xml:space="preserve">TMGH Valuation Study — Educational Analysis</w:t>
    </w:r>
    <w:r>
      <w:rPr>
        <w:rFonts w:ascii="Arial" w:cs="Arial" w:eastAsia="Arial" w:hAnsi="Arial"/>
        <w:color w:val="6B6B6B"/>
        <w:sz w:val="13"/>
        <w:szCs w:val="13"/>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5E5E"/>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A8F8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4c8cc03f8c0bddce0ce3ff1fadb7a630c9773f.png"/><Relationship Id="rId10" Type="http://schemas.openxmlformats.org/officeDocument/2006/relationships/image" Target="media/8d242aacc1d2d1c844fb2c49a952d301f56fe576.png"/><Relationship Id="rId11" Type="http://schemas.openxmlformats.org/officeDocument/2006/relationships/image" Target="media/5959e55b415e4d4517a3acc4f3c4eade8366ba83.png"/><Relationship Id="rId12" Type="http://schemas.openxmlformats.org/officeDocument/2006/relationships/image" Target="media/e349ac19b7f464913e19e150471ee203126273d4.png"/><Relationship Id="rId13" Type="http://schemas.openxmlformats.org/officeDocument/2006/relationships/image" Target="media/1d3e423c3e7d69d12f630b7828d98893acfc10b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2026-06-16T09:35:39.417Z</dcterms:created>
  <dcterms:modified xsi:type="dcterms:W3CDTF">2026-06-16T09:35:39.417Z</dcterms:modified>
</cp:coreProperties>
</file>

<file path=docProps/custom.xml><?xml version="1.0" encoding="utf-8"?>
<Properties xmlns="http://schemas.openxmlformats.org/officeDocument/2006/custom-properties" xmlns:vt="http://schemas.openxmlformats.org/officeDocument/2006/docPropsVTypes"/>
</file>