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38"/>
        </w:rPr>
        <w:t>Alexandria Mineral Oils Company S.A.E.</w:t>
      </w:r>
    </w:p>
    <w:p>
      <w:pPr>
        <w:spacing w:after="200" w:before="0"/>
      </w:pPr>
      <w:r>
        <w:rPr>
          <w:b w:val="0"/>
          <w:i w:val="0"/>
          <w:color w:val="6E7B77"/>
          <w:sz w:val="20"/>
        </w:rPr>
        <w:t>EGX: AMOC  ·  Egyptian Exchange  ·  EGP  ·  Valuation study as of 3 September 2026, issued 10 September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educational valuation study, not investment advice, and it makes no recommendation to buy, sell or hold. What it publishes is a fair-value RANGE and a probability distribution for the price — never a target. Three things are worth knowing before the numbers: the estimate sits well ABOVE the market price, which means the burden of proof is on this study and Section 1.14 states exactly what a buyer at the market price would have to believe; the forecasting method behind it has been tested against this company’s own past and did NOT beat a simple no-change rule, which is why the range is wide and why Section 7 leads with that rather than burying it; and the second half of the base year is reviewed rather than fully audited. Everything here is reproducible from the companion workbook, which recalculates the whole study live.</w:t>
            </w:r>
          </w:p>
        </w:tc>
      </w:tr>
    </w:tbl>
    <w:p>
      <w:pPr>
        <w:spacing w:after="40"/>
      </w:pPr>
    </w:p>
    <w:p>
      <w:pPr>
        <w:spacing w:after="120" w:before="280"/>
      </w:pPr>
      <w:r>
        <w:rPr>
          <w:b/>
          <w:i w:val="0"/>
          <w:color w:val="1C3A36"/>
          <w:sz w:val="30"/>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CLAIM, STATED EXACTLY.  </w:t>
            </w:r>
            <w:r>
              <w:rPr>
                <w:color w:val="1C3A36"/>
                <w:sz w:val="19"/>
              </w:rPr>
              <w:t>Fair value EGP 20.05 a share against a market price of EGP 13.50. Fair value sits 48.5% ABOVE the price; equivalently the price stands 32.7% BELOW fair value. The range across the lenses is EGP 1.66 to 27.52 and the price is inside it. Three of the four lenses land below the price.</w:t>
            </w:r>
          </w:p>
          <w:p>
            <w:pPr>
              <w:spacing w:after="100"/>
            </w:pPr>
            <w:r>
              <w:rPr>
                <w:b/>
                <w:color w:val="1C3A36"/>
                <w:sz w:val="19"/>
              </w:rPr>
              <w:t xml:space="preserve">WHAT WOULD CHANGE OUR MIND.  </w:t>
            </w:r>
            <w:r>
              <w:rPr>
                <w:color w:val="1C3A36"/>
                <w:sz w:val="19"/>
              </w:rPr>
              <w:t>Surrender every contested judgement in this study simultaneously — the tax provision settles for nothing, the declared dividend never leaves, the employees’ profit share is free, the terminal rate reverts to the softer inflation target, operating profit is taxed at the flattered effective rate — and the central still reaches only EGP 21.65, 60.4% against the price. Section 1.13 walks the whole stack, one full model re-run per row.</w:t>
            </w:r>
          </w:p>
          <w:p>
            <w:pPr>
              <w:spacing w:after="100"/>
            </w:pPr>
            <w:r>
              <w:rPr>
                <w:b/>
                <w:color w:val="1C3A36"/>
                <w:sz w:val="19"/>
              </w:rPr>
              <w:t xml:space="preserve">WHAT A BUYER AT THE PRICE MUST BELIEVE.  </w:t>
            </w:r>
            <w:r>
              <w:rPr>
                <w:color w:val="1C3A36"/>
                <w:sz w:val="19"/>
              </w:rPr>
              <w:t>Solving the model at the market price rather than asserting a number: EGP 13.50 is fair if AMOC sustains a gross margin of 9.90% in every forecast year and in perpetuity. The twelve months just filed ran 9.65% and the six months to June 2026 ran 12.43%. The market price therefore requires a margin BELOW what this company has just reported and well inside the range it has printed since 2021. A buyer at EGP 13.50 is not making a heroic assumption; the burden of proof sits with the seller. Section 1.14 derives it.</w:t>
            </w:r>
          </w:p>
          <w:p>
            <w:pPr>
              <w:spacing w:after="100"/>
            </w:pPr>
            <w:r>
              <w:rPr>
                <w:b/>
                <w:color w:val="1C3A36"/>
                <w:sz w:val="19"/>
              </w:rPr>
              <w:t xml:space="preserve">AND THE HONEST WEAKNESS.  </w:t>
            </w:r>
            <w:r>
              <w:rPr>
                <w:color w:val="1C3A36"/>
                <w:sz w:val="19"/>
              </w:rPr>
              <w:t>The far years carry a wide range and the terminal block is 62% of enterprise value, which is high. The forecasting method behind Section 1 was tested against this company’s own history and did NOT beat a simple no-change rule — Section 7 leads with that. Two exchange disclosures that would move the answer in opposite directions could not be opened.</w:t>
            </w:r>
          </w:p>
        </w:tc>
      </w:tr>
    </w:tbl>
    <w:p>
      <w:pPr>
        <w:spacing w:after="40"/>
      </w:pP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880"/>
        <w:gridCol w:w="1037"/>
        <w:gridCol w:w="1037"/>
        <w:gridCol w:w="1037"/>
        <w:gridCol w:w="1037"/>
      </w:tblGrid>
      <w:tr>
        <w:tc>
          <w:tcPr>
            <w:tcW w:type="dxa" w:w="2520"/>
            <w:shd w:val="clear" w:color="auto" w:fill="EAF0EE"/>
          </w:tcPr>
          <w:p>
            <w:pPr>
              <w:spacing w:after="20"/>
            </w:pPr>
            <w:r>
              <w:rPr>
                <w:b/>
                <w:color w:val="1C3A36"/>
                <w:sz w:val="18"/>
              </w:rPr>
              <w:t>Lens</w:t>
            </w:r>
          </w:p>
        </w:tc>
        <w:tc>
          <w:tcPr>
            <w:tcW w:type="dxa" w:w="2880"/>
            <w:shd w:val="clear" w:color="auto" w:fill="EAF0EE"/>
          </w:tcPr>
          <w:p>
            <w:pPr>
              <w:spacing w:after="20"/>
            </w:pPr>
            <w:r>
              <w:rPr>
                <w:b/>
                <w:color w:val="1C3A36"/>
                <w:sz w:val="18"/>
              </w:rPr>
              <w:t>What it measures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1037"/>
            <w:shd w:val="clear" w:color="auto" w:fill="EAF0EE"/>
          </w:tcPr>
          <w:p>
            <w:pPr>
              <w:spacing w:after="20"/>
            </w:pPr>
            <w:r>
              <w:rPr>
                <w:b/>
                <w:color w:val="1C3A36"/>
                <w:sz w:val="18"/>
              </w:rPr>
              <w:t>vs price</w:t>
            </w:r>
          </w:p>
        </w:tc>
      </w:tr>
      <w:tr>
        <w:tc>
          <w:tcPr>
            <w:tcW w:type="dxa" w:w="2520"/>
          </w:tcPr>
          <w:p>
            <w:pPr>
              <w:spacing w:after="20"/>
            </w:pPr>
            <w:r>
              <w:rPr>
                <w:color w:val="1C3A36"/>
                <w:sz w:val="18"/>
              </w:rPr>
              <w:t>Discounted cash flow — THE ANSWER</w:t>
            </w:r>
          </w:p>
        </w:tc>
        <w:tc>
          <w:tcPr>
            <w:tcW w:type="dxa" w:w="2880"/>
          </w:tcPr>
          <w:p>
            <w:pPr>
              <w:spacing w:after="20"/>
            </w:pPr>
            <w:r>
              <w:rPr>
                <w:color w:val="1C3A36"/>
                <w:sz w:val="18"/>
              </w:rPr>
              <w:t>unlevered cash, discounted on a glide</w:t>
            </w:r>
          </w:p>
        </w:tc>
        <w:tc>
          <w:tcPr>
            <w:tcW w:type="dxa" w:w="1037"/>
          </w:tcPr>
          <w:p>
            <w:pPr>
              <w:spacing w:after="20"/>
              <w:jc w:val="right"/>
            </w:pPr>
            <w:r>
              <w:rPr>
                <w:color w:val="1C3A36"/>
                <w:sz w:val="18"/>
              </w:rPr>
              <w:t>1.66</w:t>
            </w:r>
          </w:p>
        </w:tc>
        <w:tc>
          <w:tcPr>
            <w:tcW w:type="dxa" w:w="1037"/>
          </w:tcPr>
          <w:p>
            <w:pPr>
              <w:spacing w:after="20"/>
              <w:jc w:val="right"/>
            </w:pPr>
            <w:r>
              <w:rPr>
                <w:color w:val="1C3A36"/>
                <w:sz w:val="18"/>
              </w:rPr>
              <w:t>20.05</w:t>
            </w:r>
          </w:p>
        </w:tc>
        <w:tc>
          <w:tcPr>
            <w:tcW w:type="dxa" w:w="1037"/>
          </w:tcPr>
          <w:p>
            <w:pPr>
              <w:spacing w:after="20"/>
              <w:jc w:val="right"/>
            </w:pPr>
            <w:r>
              <w:rPr>
                <w:color w:val="1C3A36"/>
                <w:sz w:val="18"/>
              </w:rPr>
              <w:t>27.52</w:t>
            </w:r>
          </w:p>
        </w:tc>
        <w:tc>
          <w:tcPr>
            <w:tcW w:type="dxa" w:w="1037"/>
          </w:tcPr>
          <w:p>
            <w:pPr>
              <w:spacing w:after="20"/>
              <w:jc w:val="right"/>
            </w:pPr>
            <w:r>
              <w:rPr>
                <w:color w:val="1C3A36"/>
                <w:sz w:val="18"/>
              </w:rPr>
              <w:t>48.5%</w:t>
            </w:r>
          </w:p>
        </w:tc>
      </w:tr>
      <w:tr>
        <w:tc>
          <w:tcPr>
            <w:tcW w:type="dxa" w:w="2520"/>
          </w:tcPr>
          <w:p>
            <w:pPr>
              <w:spacing w:after="20"/>
            </w:pPr>
            <w:r>
              <w:rPr>
                <w:color w:val="1C3A36"/>
                <w:sz w:val="18"/>
              </w:rPr>
              <w:t>Relative multiples — WITHDRAWN</w:t>
            </w:r>
          </w:p>
        </w:tc>
        <w:tc>
          <w:tcPr>
            <w:tcW w:type="dxa" w:w="2880"/>
          </w:tcPr>
          <w:p>
            <w:pPr>
              <w:spacing w:after="20"/>
            </w:pPr>
            <w:r>
              <w:rPr>
                <w:color w:val="1C3A36"/>
                <w:sz w:val="18"/>
              </w:rPr>
              <w:t>its multiple WAS the traded one; a diagnostic of what the market pays, not a valuation</w:t>
            </w:r>
          </w:p>
        </w:tc>
        <w:tc>
          <w:tcPr>
            <w:tcW w:type="dxa" w:w="1037"/>
          </w:tcPr>
          <w:p>
            <w:pPr>
              <w:spacing w:after="20"/>
              <w:jc w:val="right"/>
            </w:pPr>
            <w:r>
              <w:rPr>
                <w:color w:val="1C3A36"/>
                <w:sz w:val="18"/>
              </w:rPr>
              <w:t>—</w:t>
            </w:r>
          </w:p>
        </w:tc>
        <w:tc>
          <w:tcPr>
            <w:tcW w:type="dxa" w:w="1037"/>
          </w:tcPr>
          <w:p>
            <w:pPr>
              <w:spacing w:after="20"/>
              <w:jc w:val="right"/>
            </w:pPr>
            <w:r>
              <w:rPr>
                <w:color w:val="1C3A36"/>
                <w:sz w:val="18"/>
              </w:rPr>
              <w:t>12.59</w:t>
            </w:r>
          </w:p>
        </w:tc>
        <w:tc>
          <w:tcPr>
            <w:tcW w:type="dxa" w:w="1037"/>
          </w:tcPr>
          <w:p>
            <w:pPr>
              <w:spacing w:after="20"/>
              <w:jc w:val="right"/>
            </w:pPr>
            <w:r>
              <w:rPr>
                <w:color w:val="1C3A36"/>
                <w:sz w:val="18"/>
              </w:rPr>
              <w:t>—</w:t>
            </w:r>
          </w:p>
        </w:tc>
        <w:tc>
          <w:tcPr>
            <w:tcW w:type="dxa" w:w="1037"/>
          </w:tcPr>
          <w:p>
            <w:pPr>
              <w:spacing w:after="20"/>
              <w:jc w:val="right"/>
            </w:pPr>
            <w:r>
              <w:rPr>
                <w:color w:val="1C3A36"/>
                <w:sz w:val="18"/>
              </w:rPr>
              <w:t>-6.8%</w:t>
            </w:r>
          </w:p>
        </w:tc>
      </w:tr>
      <w:tr>
        <w:tc>
          <w:tcPr>
            <w:tcW w:type="dxa" w:w="2520"/>
          </w:tcPr>
          <w:p>
            <w:pPr>
              <w:spacing w:after="20"/>
            </w:pPr>
            <w:r>
              <w:rPr>
                <w:color w:val="1C3A36"/>
                <w:sz w:val="18"/>
              </w:rPr>
              <w:t>Normalised earnings — a cross-check</w:t>
            </w:r>
          </w:p>
        </w:tc>
        <w:tc>
          <w:tcPr>
            <w:tcW w:type="dxa" w:w="2880"/>
          </w:tcPr>
          <w:p>
            <w:pPr>
              <w:spacing w:after="20"/>
            </w:pPr>
            <w:r>
              <w:rPr>
                <w:color w:val="1C3A36"/>
                <w:sz w:val="18"/>
              </w:rPr>
              <w:t>mid-cycle operating EPS, discounted</w:t>
            </w:r>
          </w:p>
        </w:tc>
        <w:tc>
          <w:tcPr>
            <w:tcW w:type="dxa" w:w="1037"/>
          </w:tcPr>
          <w:p>
            <w:pPr>
              <w:spacing w:after="20"/>
              <w:jc w:val="right"/>
            </w:pPr>
            <w:r>
              <w:rPr>
                <w:color w:val="1C3A36"/>
                <w:sz w:val="18"/>
              </w:rPr>
              <w:t>9.88</w:t>
            </w:r>
          </w:p>
        </w:tc>
        <w:tc>
          <w:tcPr>
            <w:tcW w:type="dxa" w:w="1037"/>
          </w:tcPr>
          <w:p>
            <w:pPr>
              <w:spacing w:after="20"/>
              <w:jc w:val="right"/>
            </w:pPr>
            <w:r>
              <w:rPr>
                <w:color w:val="1C3A36"/>
                <w:sz w:val="18"/>
              </w:rPr>
              <w:t>12.98</w:t>
            </w:r>
          </w:p>
        </w:tc>
        <w:tc>
          <w:tcPr>
            <w:tcW w:type="dxa" w:w="1037"/>
          </w:tcPr>
          <w:p>
            <w:pPr>
              <w:spacing w:after="20"/>
              <w:jc w:val="right"/>
            </w:pPr>
            <w:r>
              <w:rPr>
                <w:color w:val="1C3A36"/>
                <w:sz w:val="18"/>
              </w:rPr>
              <w:t>16.09</w:t>
            </w:r>
          </w:p>
        </w:tc>
        <w:tc>
          <w:tcPr>
            <w:tcW w:type="dxa" w:w="1037"/>
          </w:tcPr>
          <w:p>
            <w:pPr>
              <w:spacing w:after="20"/>
              <w:jc w:val="right"/>
            </w:pPr>
            <w:r>
              <w:rPr>
                <w:color w:val="1C3A36"/>
                <w:sz w:val="18"/>
              </w:rPr>
              <w:t>-3.8%</w:t>
            </w:r>
          </w:p>
        </w:tc>
      </w:tr>
      <w:tr>
        <w:tc>
          <w:tcPr>
            <w:tcW w:type="dxa" w:w="2520"/>
          </w:tcPr>
          <w:p>
            <w:pPr>
              <w:spacing w:after="20"/>
            </w:pPr>
            <w:r>
              <w:rPr>
                <w:color w:val="1C3A36"/>
                <w:sz w:val="18"/>
              </w:rPr>
              <w:t>Book value — a disclosed floor</w:t>
            </w:r>
          </w:p>
        </w:tc>
        <w:tc>
          <w:tcPr>
            <w:tcW w:type="dxa" w:w="2880"/>
          </w:tcPr>
          <w:p>
            <w:pPr>
              <w:spacing w:after="20"/>
            </w:pPr>
            <w:r>
              <w:rPr>
                <w:color w:val="1C3A36"/>
                <w:sz w:val="18"/>
              </w:rPr>
              <w:t>justified price-to-book</w:t>
            </w:r>
          </w:p>
        </w:tc>
        <w:tc>
          <w:tcPr>
            <w:tcW w:type="dxa" w:w="1037"/>
          </w:tcPr>
          <w:p>
            <w:pPr>
              <w:spacing w:after="20"/>
              <w:jc w:val="right"/>
            </w:pPr>
            <w:r>
              <w:rPr>
                <w:color w:val="1C3A36"/>
                <w:sz w:val="18"/>
              </w:rPr>
              <w:t>5.03</w:t>
            </w:r>
          </w:p>
        </w:tc>
        <w:tc>
          <w:tcPr>
            <w:tcW w:type="dxa" w:w="1037"/>
          </w:tcPr>
          <w:p>
            <w:pPr>
              <w:spacing w:after="20"/>
              <w:jc w:val="right"/>
            </w:pPr>
            <w:r>
              <w:rPr>
                <w:color w:val="1C3A36"/>
                <w:sz w:val="18"/>
              </w:rPr>
              <w:t>6.71</w:t>
            </w:r>
          </w:p>
        </w:tc>
        <w:tc>
          <w:tcPr>
            <w:tcW w:type="dxa" w:w="1037"/>
          </w:tcPr>
          <w:p>
            <w:pPr>
              <w:spacing w:after="20"/>
              <w:jc w:val="right"/>
            </w:pPr>
            <w:r>
              <w:rPr>
                <w:color w:val="1C3A36"/>
                <w:sz w:val="18"/>
              </w:rPr>
              <w:t>7.67</w:t>
            </w:r>
          </w:p>
        </w:tc>
        <w:tc>
          <w:tcPr>
            <w:tcW w:type="dxa" w:w="1037"/>
          </w:tcPr>
          <w:p>
            <w:pPr>
              <w:spacing w:after="20"/>
              <w:jc w:val="right"/>
            </w:pPr>
            <w:r>
              <w:rPr>
                <w:color w:val="1C3A36"/>
                <w:sz w:val="18"/>
              </w:rPr>
              <w:t>-50.3%</w:t>
            </w:r>
          </w:p>
        </w:tc>
      </w:tr>
      <w:tr>
        <w:tc>
          <w:tcPr>
            <w:tcW w:type="dxa" w:w="2520"/>
            <w:shd w:val="clear" w:color="auto" w:fill="F6F1E6"/>
          </w:tcPr>
          <w:p>
            <w:pPr>
              <w:spacing w:after="20"/>
            </w:pPr>
            <w:r>
              <w:rPr>
                <w:b/>
                <w:color w:val="1C3A36"/>
                <w:sz w:val="18"/>
              </w:rPr>
              <w:t>CENTRAL</w:t>
            </w:r>
          </w:p>
        </w:tc>
        <w:tc>
          <w:tcPr>
            <w:tcW w:type="dxa" w:w="2880"/>
            <w:shd w:val="clear" w:color="auto" w:fill="F6F1E6"/>
          </w:tcPr>
          <w:p>
            <w:pPr>
              <w:spacing w:after="20"/>
            </w:pPr>
            <w:r>
              <w:rPr>
                <w:b/>
                <w:color w:val="1C3A36"/>
                <w:sz w:val="18"/>
              </w:rPr>
              <w:t>the cash-flow lens, alone</w:t>
            </w:r>
          </w:p>
        </w:tc>
        <w:tc>
          <w:tcPr>
            <w:tcW w:type="dxa" w:w="1037"/>
            <w:shd w:val="clear" w:color="auto" w:fill="F6F1E6"/>
          </w:tcPr>
          <w:p>
            <w:pPr>
              <w:spacing w:after="20"/>
              <w:jc w:val="right"/>
            </w:pPr>
            <w:r>
              <w:rPr>
                <w:b/>
                <w:color w:val="1C3A36"/>
                <w:sz w:val="18"/>
              </w:rPr>
              <w:t>1.66</w:t>
            </w:r>
          </w:p>
        </w:tc>
        <w:tc>
          <w:tcPr>
            <w:tcW w:type="dxa" w:w="1037"/>
            <w:shd w:val="clear" w:color="auto" w:fill="F6F1E6"/>
          </w:tcPr>
          <w:p>
            <w:pPr>
              <w:spacing w:after="20"/>
              <w:jc w:val="right"/>
            </w:pPr>
            <w:r>
              <w:rPr>
                <w:b/>
                <w:color w:val="1C3A36"/>
                <w:sz w:val="18"/>
              </w:rPr>
              <w:t>20.05</w:t>
            </w:r>
          </w:p>
        </w:tc>
        <w:tc>
          <w:tcPr>
            <w:tcW w:type="dxa" w:w="1037"/>
            <w:shd w:val="clear" w:color="auto" w:fill="F6F1E6"/>
          </w:tcPr>
          <w:p>
            <w:pPr>
              <w:spacing w:after="20"/>
              <w:jc w:val="right"/>
            </w:pPr>
            <w:r>
              <w:rPr>
                <w:b/>
                <w:color w:val="1C3A36"/>
                <w:sz w:val="18"/>
              </w:rPr>
              <w:t>27.52</w:t>
            </w:r>
          </w:p>
        </w:tc>
        <w:tc>
          <w:tcPr>
            <w:tcW w:type="dxa" w:w="1037"/>
            <w:shd w:val="clear" w:color="auto" w:fill="F6F1E6"/>
          </w:tcPr>
          <w:p>
            <w:pPr>
              <w:spacing w:after="20"/>
              <w:jc w:val="right"/>
            </w:pPr>
            <w:r>
              <w:rPr>
                <w:b/>
                <w:color w:val="1C3A36"/>
                <w:sz w:val="18"/>
              </w:rPr>
              <w:t>48.5%</w:t>
            </w:r>
          </w:p>
        </w:tc>
      </w:tr>
    </w:tbl>
    <w:p>
      <w:pPr>
        <w:spacing w:after="40"/>
      </w:pPr>
    </w:p>
    <w:p>
      <w:pPr>
        <w:spacing w:after="200" w:before="0"/>
      </w:pPr>
      <w:r>
        <w:rPr>
          <w:b w:val="0"/>
          <w:i/>
          <w:color w:val="6E7B77"/>
          <w:sz w:val="17"/>
        </w:rPr>
        <w:t>Table 1 — the lenses. ONE CLASS PRIMARY IS THE CENTRAL: the cash-flow lens is the answer and the other three are cross-checks, published beside it and carrying no weight. The bear and bull columns of the central row are that same lens’s own downside and upside, not a weighted combination. The widest single lens spans EGP 1.66–27.52; that is reported as an ENVELOPE. The retired 45/20/20/15 blend of these four would read EGP 15.14 and is shown in the workbook beside the answer, unused: three of the four value a refiner on reported earnings and historical-cost book, and averaging them imports every weakness of the weakest at a weight nobody tested out of sample.</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answer and the reads held beside it. The cash-flow lens is the answer and carries its own bear-to-bull span; the relative multiple is drawn as a point because it is withdrawn, book value as a disclosed floor, and normalised earnings as a diagnostic this class does not value on. The vertical line is the traded price.</w:t>
      </w:r>
    </w:p>
    <w:p>
      <w:pPr>
        <w:spacing w:after="120" w:before="280"/>
      </w:pPr>
      <w:r>
        <w:rPr>
          <w:b/>
          <w:i w:val="0"/>
          <w:color w:val="1C3A36"/>
          <w:sz w:val="30"/>
        </w:rPr>
        <w:t>Company overview</w:t>
      </w:r>
    </w:p>
    <w:p>
      <w:pPr>
        <w:spacing w:after="120" w:before="0"/>
      </w:pPr>
      <w:r>
        <w:rPr>
          <w:b w:val="0"/>
          <w:i w:val="0"/>
          <w:color w:val="1C3A36"/>
          <w:sz w:val="21"/>
        </w:rPr>
        <w:t>Alexandria Mineral Oils Company is the only refinery listed on the Egyptian Exchange. It takes atmospheric residue and distils it into base and special oils, paraffin wax, gas oil, naphtha, liquefied petroleum gas and fuel oil. Alexandria Petroleum Company holds 20.77% — the previous edition of this study misattributed that stake to the Egyptian General Petroleum Corporation — and AMOC owns 86.45% of Alexandria Wax Products, whose minority is the non-controlling interest carried through this valuation.</w:t>
      </w:r>
    </w:p>
    <w:p>
      <w:pPr>
        <w:spacing w:after="120" w:before="0"/>
      </w:pPr>
      <w:r>
        <w:rPr>
          <w:b w:val="0"/>
          <w:i w:val="0"/>
          <w:color w:val="1C3A36"/>
          <w:sz w:val="21"/>
        </w:rPr>
        <w:t>The financial year moved from 30 June to 31 December, so the filed record is a six-month transition period (July to December 2025, AUDITED by Crowe — Dr A. M. Hegazy &amp; Co, unqualified opinion signed at Giza on 18 February 2026) followed by a reviewed first quarter. That is why the base year in section 1.2 has to be constructed rather than lifted off one filing.</w:t>
      </w:r>
    </w:p>
    <w:p>
      <w:pPr>
        <w:spacing w:after="80" w:before="200"/>
      </w:pPr>
      <w:r>
        <w:rPr>
          <w:b/>
          <w:i w:val="0"/>
          <w:color w:val="1C3A36"/>
          <w:sz w:val="24"/>
        </w:rPr>
        <w:t>What it actually sells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40"/>
        <w:gridCol w:w="1584"/>
        <w:gridCol w:w="1656"/>
        <w:gridCol w:w="1512"/>
        <w:gridCol w:w="1440"/>
      </w:tblGrid>
      <w:tr>
        <w:tc>
          <w:tcPr>
            <w:tcW w:type="dxa" w:w="2520"/>
            <w:shd w:val="clear" w:color="auto" w:fill="EAF0EE"/>
          </w:tcPr>
          <w:p>
            <w:pPr>
              <w:spacing w:after="20"/>
            </w:pPr>
            <w:r>
              <w:rPr>
                <w:b/>
                <w:color w:val="1C3A36"/>
                <w:sz w:val="18"/>
              </w:rPr>
              <w:t>Product line</w:t>
            </w:r>
          </w:p>
        </w:tc>
        <w:tc>
          <w:tcPr>
            <w:tcW w:type="dxa" w:w="1440"/>
            <w:shd w:val="clear" w:color="auto" w:fill="EAF0EE"/>
          </w:tcPr>
          <w:p>
            <w:pPr>
              <w:spacing w:after="20"/>
            </w:pPr>
            <w:r>
              <w:rPr>
                <w:b/>
                <w:color w:val="1C3A36"/>
                <w:sz w:val="18"/>
              </w:rPr>
              <w:t>Tonnes, 6M</w:t>
            </w:r>
          </w:p>
        </w:tc>
        <w:tc>
          <w:tcPr>
            <w:tcW w:type="dxa" w:w="1584"/>
            <w:shd w:val="clear" w:color="auto" w:fill="EAF0EE"/>
          </w:tcPr>
          <w:p>
            <w:pPr>
              <w:spacing w:after="20"/>
            </w:pPr>
            <w:r>
              <w:rPr>
                <w:b/>
                <w:color w:val="1C3A36"/>
                <w:sz w:val="18"/>
              </w:rPr>
              <w:t>Value, EGP mn</w:t>
            </w:r>
          </w:p>
        </w:tc>
        <w:tc>
          <w:tcPr>
            <w:tcW w:type="dxa" w:w="1656"/>
            <w:shd w:val="clear" w:color="auto" w:fill="EAF0EE"/>
          </w:tcPr>
          <w:p>
            <w:pPr>
              <w:spacing w:after="20"/>
            </w:pPr>
            <w:r>
              <w:rPr>
                <w:b/>
                <w:color w:val="1C3A36"/>
                <w:sz w:val="18"/>
              </w:rPr>
              <w:t>Realisation EGP/t</w:t>
            </w:r>
          </w:p>
        </w:tc>
        <w:tc>
          <w:tcPr>
            <w:tcW w:type="dxa" w:w="1512"/>
            <w:shd w:val="clear" w:color="auto" w:fill="EAF0EE"/>
          </w:tcPr>
          <w:p>
            <w:pPr>
              <w:spacing w:after="20"/>
            </w:pPr>
            <w:r>
              <w:rPr>
                <w:b/>
                <w:color w:val="1C3A36"/>
                <w:sz w:val="18"/>
              </w:rPr>
              <w:t>Share of tonnage</w:t>
            </w:r>
          </w:p>
        </w:tc>
        <w:tc>
          <w:tcPr>
            <w:tcW w:type="dxa" w:w="1440"/>
            <w:shd w:val="clear" w:color="auto" w:fill="EAF0EE"/>
          </w:tcPr>
          <w:p>
            <w:pPr>
              <w:spacing w:after="20"/>
            </w:pPr>
            <w:r>
              <w:rPr>
                <w:b/>
                <w:color w:val="1C3A36"/>
                <w:sz w:val="18"/>
              </w:rPr>
              <w:t>Share of value</w:t>
            </w:r>
          </w:p>
        </w:tc>
      </w:tr>
      <w:tr>
        <w:tc>
          <w:tcPr>
            <w:tcW w:type="dxa" w:w="2520"/>
          </w:tcPr>
          <w:p>
            <w:pPr>
              <w:spacing w:after="20"/>
            </w:pPr>
            <w:r>
              <w:rPr>
                <w:color w:val="1C3A36"/>
                <w:sz w:val="18"/>
              </w:rPr>
              <w:t>Base and special oils</w:t>
            </w:r>
          </w:p>
        </w:tc>
        <w:tc>
          <w:tcPr>
            <w:tcW w:type="dxa" w:w="1440"/>
          </w:tcPr>
          <w:p>
            <w:pPr>
              <w:spacing w:after="20"/>
              <w:jc w:val="right"/>
            </w:pPr>
            <w:r>
              <w:rPr>
                <w:color w:val="1C3A36"/>
                <w:sz w:val="18"/>
              </w:rPr>
              <w:t>118,475.6</w:t>
            </w:r>
          </w:p>
        </w:tc>
        <w:tc>
          <w:tcPr>
            <w:tcW w:type="dxa" w:w="1584"/>
          </w:tcPr>
          <w:p>
            <w:pPr>
              <w:spacing w:after="20"/>
              <w:jc w:val="right"/>
            </w:pPr>
            <w:r>
              <w:rPr>
                <w:color w:val="1C3A36"/>
                <w:sz w:val="18"/>
              </w:rPr>
              <w:t>6,910</w:t>
            </w:r>
          </w:p>
        </w:tc>
        <w:tc>
          <w:tcPr>
            <w:tcW w:type="dxa" w:w="1656"/>
          </w:tcPr>
          <w:p>
            <w:pPr>
              <w:spacing w:after="20"/>
              <w:jc w:val="right"/>
            </w:pPr>
            <w:r>
              <w:rPr>
                <w:color w:val="1C3A36"/>
                <w:sz w:val="18"/>
              </w:rPr>
              <w:t>58,327</w:t>
            </w:r>
          </w:p>
        </w:tc>
        <w:tc>
          <w:tcPr>
            <w:tcW w:type="dxa" w:w="1512"/>
          </w:tcPr>
          <w:p>
            <w:pPr>
              <w:spacing w:after="20"/>
              <w:jc w:val="right"/>
            </w:pPr>
            <w:r>
              <w:rPr>
                <w:color w:val="1C3A36"/>
                <w:sz w:val="18"/>
              </w:rPr>
              <w:t>7.89%</w:t>
            </w:r>
          </w:p>
        </w:tc>
        <w:tc>
          <w:tcPr>
            <w:tcW w:type="dxa" w:w="1440"/>
          </w:tcPr>
          <w:p>
            <w:pPr>
              <w:spacing w:after="20"/>
              <w:jc w:val="right"/>
            </w:pPr>
            <w:r>
              <w:rPr>
                <w:color w:val="1C3A36"/>
                <w:sz w:val="18"/>
              </w:rPr>
              <w:t>14.72%</w:t>
            </w:r>
          </w:p>
        </w:tc>
      </w:tr>
      <w:tr>
        <w:tc>
          <w:tcPr>
            <w:tcW w:type="dxa" w:w="2520"/>
          </w:tcPr>
          <w:p>
            <w:pPr>
              <w:spacing w:after="20"/>
            </w:pPr>
            <w:r>
              <w:rPr>
                <w:color w:val="1C3A36"/>
                <w:sz w:val="18"/>
              </w:rPr>
              <w:t>Paraffin wax</w:t>
            </w:r>
          </w:p>
        </w:tc>
        <w:tc>
          <w:tcPr>
            <w:tcW w:type="dxa" w:w="1440"/>
          </w:tcPr>
          <w:p>
            <w:pPr>
              <w:spacing w:after="20"/>
              <w:jc w:val="right"/>
            </w:pPr>
            <w:r>
              <w:rPr>
                <w:color w:val="1C3A36"/>
                <w:sz w:val="18"/>
              </w:rPr>
              <w:t>82,805.7</w:t>
            </w:r>
          </w:p>
        </w:tc>
        <w:tc>
          <w:tcPr>
            <w:tcW w:type="dxa" w:w="1584"/>
          </w:tcPr>
          <w:p>
            <w:pPr>
              <w:spacing w:after="20"/>
              <w:jc w:val="right"/>
            </w:pPr>
            <w:r>
              <w:rPr>
                <w:color w:val="1C3A36"/>
                <w:sz w:val="18"/>
              </w:rPr>
              <w:t>4,653</w:t>
            </w:r>
          </w:p>
        </w:tc>
        <w:tc>
          <w:tcPr>
            <w:tcW w:type="dxa" w:w="1656"/>
          </w:tcPr>
          <w:p>
            <w:pPr>
              <w:spacing w:after="20"/>
              <w:jc w:val="right"/>
            </w:pPr>
            <w:r>
              <w:rPr>
                <w:color w:val="1C3A36"/>
                <w:sz w:val="18"/>
              </w:rPr>
              <w:t>56,190</w:t>
            </w:r>
          </w:p>
        </w:tc>
        <w:tc>
          <w:tcPr>
            <w:tcW w:type="dxa" w:w="1512"/>
          </w:tcPr>
          <w:p>
            <w:pPr>
              <w:spacing w:after="20"/>
              <w:jc w:val="right"/>
            </w:pPr>
            <w:r>
              <w:rPr>
                <w:color w:val="1C3A36"/>
                <w:sz w:val="18"/>
              </w:rPr>
              <w:t>5.51%</w:t>
            </w:r>
          </w:p>
        </w:tc>
        <w:tc>
          <w:tcPr>
            <w:tcW w:type="dxa" w:w="1440"/>
          </w:tcPr>
          <w:p>
            <w:pPr>
              <w:spacing w:after="20"/>
              <w:jc w:val="right"/>
            </w:pPr>
            <w:r>
              <w:rPr>
                <w:color w:val="1C3A36"/>
                <w:sz w:val="18"/>
              </w:rPr>
              <w:t>9.91%</w:t>
            </w:r>
          </w:p>
        </w:tc>
      </w:tr>
      <w:tr>
        <w:tc>
          <w:tcPr>
            <w:tcW w:type="dxa" w:w="2520"/>
          </w:tcPr>
          <w:p>
            <w:pPr>
              <w:spacing w:after="20"/>
            </w:pPr>
            <w:r>
              <w:rPr>
                <w:color w:val="1C3A36"/>
                <w:sz w:val="18"/>
              </w:rPr>
              <w:t>Gas oil</w:t>
            </w:r>
          </w:p>
        </w:tc>
        <w:tc>
          <w:tcPr>
            <w:tcW w:type="dxa" w:w="1440"/>
          </w:tcPr>
          <w:p>
            <w:pPr>
              <w:spacing w:after="20"/>
              <w:jc w:val="right"/>
            </w:pPr>
            <w:r>
              <w:rPr>
                <w:color w:val="1C3A36"/>
                <w:sz w:val="18"/>
              </w:rPr>
              <w:t>346,720.8</w:t>
            </w:r>
          </w:p>
        </w:tc>
        <w:tc>
          <w:tcPr>
            <w:tcW w:type="dxa" w:w="1584"/>
          </w:tcPr>
          <w:p>
            <w:pPr>
              <w:spacing w:after="20"/>
              <w:jc w:val="right"/>
            </w:pPr>
            <w:r>
              <w:rPr>
                <w:color w:val="1C3A36"/>
                <w:sz w:val="18"/>
              </w:rPr>
              <w:t>13,033</w:t>
            </w:r>
          </w:p>
        </w:tc>
        <w:tc>
          <w:tcPr>
            <w:tcW w:type="dxa" w:w="1656"/>
          </w:tcPr>
          <w:p>
            <w:pPr>
              <w:spacing w:after="20"/>
              <w:jc w:val="right"/>
            </w:pPr>
            <w:r>
              <w:rPr>
                <w:color w:val="1C3A36"/>
                <w:sz w:val="18"/>
              </w:rPr>
              <w:t>37,589</w:t>
            </w:r>
          </w:p>
        </w:tc>
        <w:tc>
          <w:tcPr>
            <w:tcW w:type="dxa" w:w="1512"/>
          </w:tcPr>
          <w:p>
            <w:pPr>
              <w:spacing w:after="20"/>
              <w:jc w:val="right"/>
            </w:pPr>
            <w:r>
              <w:rPr>
                <w:color w:val="1C3A36"/>
                <w:sz w:val="18"/>
              </w:rPr>
              <w:t>23.08%</w:t>
            </w:r>
          </w:p>
        </w:tc>
        <w:tc>
          <w:tcPr>
            <w:tcW w:type="dxa" w:w="1440"/>
          </w:tcPr>
          <w:p>
            <w:pPr>
              <w:spacing w:after="20"/>
              <w:jc w:val="right"/>
            </w:pPr>
            <w:r>
              <w:rPr>
                <w:color w:val="1C3A36"/>
                <w:sz w:val="18"/>
              </w:rPr>
              <w:t>27.75%</w:t>
            </w:r>
          </w:p>
        </w:tc>
      </w:tr>
      <w:tr>
        <w:tc>
          <w:tcPr>
            <w:tcW w:type="dxa" w:w="2520"/>
          </w:tcPr>
          <w:p>
            <w:pPr>
              <w:spacing w:after="20"/>
            </w:pPr>
            <w:r>
              <w:rPr>
                <w:color w:val="1C3A36"/>
                <w:sz w:val="18"/>
              </w:rPr>
              <w:t>Naphtha</w:t>
            </w:r>
          </w:p>
        </w:tc>
        <w:tc>
          <w:tcPr>
            <w:tcW w:type="dxa" w:w="1440"/>
          </w:tcPr>
          <w:p>
            <w:pPr>
              <w:spacing w:after="20"/>
              <w:jc w:val="right"/>
            </w:pPr>
            <w:r>
              <w:rPr>
                <w:color w:val="1C3A36"/>
                <w:sz w:val="18"/>
              </w:rPr>
              <w:t>80,543.1</w:t>
            </w:r>
          </w:p>
        </w:tc>
        <w:tc>
          <w:tcPr>
            <w:tcW w:type="dxa" w:w="1584"/>
          </w:tcPr>
          <w:p>
            <w:pPr>
              <w:spacing w:after="20"/>
              <w:jc w:val="right"/>
            </w:pPr>
            <w:r>
              <w:rPr>
                <w:color w:val="1C3A36"/>
                <w:sz w:val="18"/>
              </w:rPr>
              <w:t>2,238</w:t>
            </w:r>
          </w:p>
        </w:tc>
        <w:tc>
          <w:tcPr>
            <w:tcW w:type="dxa" w:w="1656"/>
          </w:tcPr>
          <w:p>
            <w:pPr>
              <w:spacing w:after="20"/>
              <w:jc w:val="right"/>
            </w:pPr>
            <w:r>
              <w:rPr>
                <w:color w:val="1C3A36"/>
                <w:sz w:val="18"/>
              </w:rPr>
              <w:t>27,782</w:t>
            </w:r>
          </w:p>
        </w:tc>
        <w:tc>
          <w:tcPr>
            <w:tcW w:type="dxa" w:w="1512"/>
          </w:tcPr>
          <w:p>
            <w:pPr>
              <w:spacing w:after="20"/>
              <w:jc w:val="right"/>
            </w:pPr>
            <w:r>
              <w:rPr>
                <w:color w:val="1C3A36"/>
                <w:sz w:val="18"/>
              </w:rPr>
              <w:t>5.36%</w:t>
            </w:r>
          </w:p>
        </w:tc>
        <w:tc>
          <w:tcPr>
            <w:tcW w:type="dxa" w:w="1440"/>
          </w:tcPr>
          <w:p>
            <w:pPr>
              <w:spacing w:after="20"/>
              <w:jc w:val="right"/>
            </w:pPr>
            <w:r>
              <w:rPr>
                <w:color w:val="1C3A36"/>
                <w:sz w:val="18"/>
              </w:rPr>
              <w:t>4.77%</w:t>
            </w:r>
          </w:p>
        </w:tc>
      </w:tr>
      <w:tr>
        <w:tc>
          <w:tcPr>
            <w:tcW w:type="dxa" w:w="2520"/>
          </w:tcPr>
          <w:p>
            <w:pPr>
              <w:spacing w:after="20"/>
            </w:pPr>
            <w:r>
              <w:rPr>
                <w:color w:val="1C3A36"/>
                <w:sz w:val="18"/>
              </w:rPr>
              <w:t>Liquefied petroleum gas</w:t>
            </w:r>
          </w:p>
        </w:tc>
        <w:tc>
          <w:tcPr>
            <w:tcW w:type="dxa" w:w="1440"/>
          </w:tcPr>
          <w:p>
            <w:pPr>
              <w:spacing w:after="20"/>
              <w:jc w:val="right"/>
            </w:pPr>
            <w:r>
              <w:rPr>
                <w:color w:val="1C3A36"/>
                <w:sz w:val="18"/>
              </w:rPr>
              <w:t>47,938.8</w:t>
            </w:r>
          </w:p>
        </w:tc>
        <w:tc>
          <w:tcPr>
            <w:tcW w:type="dxa" w:w="1584"/>
          </w:tcPr>
          <w:p>
            <w:pPr>
              <w:spacing w:after="20"/>
              <w:jc w:val="right"/>
            </w:pPr>
            <w:r>
              <w:rPr>
                <w:color w:val="1C3A36"/>
                <w:sz w:val="18"/>
              </w:rPr>
              <w:t>2,070</w:t>
            </w:r>
          </w:p>
        </w:tc>
        <w:tc>
          <w:tcPr>
            <w:tcW w:type="dxa" w:w="1656"/>
          </w:tcPr>
          <w:p>
            <w:pPr>
              <w:spacing w:after="20"/>
              <w:jc w:val="right"/>
            </w:pPr>
            <w:r>
              <w:rPr>
                <w:color w:val="1C3A36"/>
                <w:sz w:val="18"/>
              </w:rPr>
              <w:t>43,190</w:t>
            </w:r>
          </w:p>
        </w:tc>
        <w:tc>
          <w:tcPr>
            <w:tcW w:type="dxa" w:w="1512"/>
          </w:tcPr>
          <w:p>
            <w:pPr>
              <w:spacing w:after="20"/>
              <w:jc w:val="right"/>
            </w:pPr>
            <w:r>
              <w:rPr>
                <w:color w:val="1C3A36"/>
                <w:sz w:val="18"/>
              </w:rPr>
              <w:t>3.19%</w:t>
            </w:r>
          </w:p>
        </w:tc>
        <w:tc>
          <w:tcPr>
            <w:tcW w:type="dxa" w:w="1440"/>
          </w:tcPr>
          <w:p>
            <w:pPr>
              <w:spacing w:after="20"/>
              <w:jc w:val="right"/>
            </w:pPr>
            <w:r>
              <w:rPr>
                <w:color w:val="1C3A36"/>
                <w:sz w:val="18"/>
              </w:rPr>
              <w:t>4.41%</w:t>
            </w:r>
          </w:p>
        </w:tc>
      </w:tr>
      <w:tr>
        <w:tc>
          <w:tcPr>
            <w:tcW w:type="dxa" w:w="2520"/>
          </w:tcPr>
          <w:p>
            <w:pPr>
              <w:spacing w:after="20"/>
            </w:pPr>
            <w:r>
              <w:rPr>
                <w:color w:val="1C3A36"/>
                <w:sz w:val="18"/>
              </w:rPr>
              <w:t>Fuel oil (mix)</w:t>
            </w:r>
          </w:p>
        </w:tc>
        <w:tc>
          <w:tcPr>
            <w:tcW w:type="dxa" w:w="1440"/>
          </w:tcPr>
          <w:p>
            <w:pPr>
              <w:spacing w:after="20"/>
              <w:jc w:val="right"/>
            </w:pPr>
            <w:r>
              <w:rPr>
                <w:color w:val="1C3A36"/>
                <w:sz w:val="18"/>
              </w:rPr>
              <w:t>799,642.3</w:t>
            </w:r>
          </w:p>
        </w:tc>
        <w:tc>
          <w:tcPr>
            <w:tcW w:type="dxa" w:w="1584"/>
          </w:tcPr>
          <w:p>
            <w:pPr>
              <w:spacing w:after="20"/>
              <w:jc w:val="right"/>
            </w:pPr>
            <w:r>
              <w:rPr>
                <w:color w:val="1C3A36"/>
                <w:sz w:val="18"/>
              </w:rPr>
              <w:t>17,640</w:t>
            </w:r>
          </w:p>
        </w:tc>
        <w:tc>
          <w:tcPr>
            <w:tcW w:type="dxa" w:w="1656"/>
          </w:tcPr>
          <w:p>
            <w:pPr>
              <w:spacing w:after="20"/>
              <w:jc w:val="right"/>
            </w:pPr>
            <w:r>
              <w:rPr>
                <w:color w:val="1C3A36"/>
                <w:sz w:val="18"/>
              </w:rPr>
              <w:t>22,059</w:t>
            </w:r>
          </w:p>
        </w:tc>
        <w:tc>
          <w:tcPr>
            <w:tcW w:type="dxa" w:w="1512"/>
          </w:tcPr>
          <w:p>
            <w:pPr>
              <w:spacing w:after="20"/>
              <w:jc w:val="right"/>
            </w:pPr>
            <w:r>
              <w:rPr>
                <w:color w:val="1C3A36"/>
                <w:sz w:val="18"/>
              </w:rPr>
              <w:t>53.23%</w:t>
            </w:r>
          </w:p>
        </w:tc>
        <w:tc>
          <w:tcPr>
            <w:tcW w:type="dxa" w:w="1440"/>
          </w:tcPr>
          <w:p>
            <w:pPr>
              <w:spacing w:after="20"/>
              <w:jc w:val="right"/>
            </w:pPr>
            <w:r>
              <w:rPr>
                <w:color w:val="1C3A36"/>
                <w:sz w:val="18"/>
              </w:rPr>
              <w:t>37.56%</w:t>
            </w:r>
          </w:p>
        </w:tc>
      </w:tr>
      <w:tr>
        <w:tc>
          <w:tcPr>
            <w:tcW w:type="dxa" w:w="2520"/>
          </w:tcPr>
          <w:p>
            <w:pPr>
              <w:spacing w:after="20"/>
            </w:pPr>
            <w:r>
              <w:rPr>
                <w:color w:val="1C3A36"/>
                <w:sz w:val="18"/>
              </w:rPr>
              <w:t>Heavy fuel oil</w:t>
            </w:r>
          </w:p>
        </w:tc>
        <w:tc>
          <w:tcPr>
            <w:tcW w:type="dxa" w:w="1440"/>
          </w:tcPr>
          <w:p>
            <w:pPr>
              <w:spacing w:after="20"/>
              <w:jc w:val="right"/>
            </w:pPr>
            <w:r>
              <w:rPr>
                <w:color w:val="1C3A36"/>
                <w:sz w:val="18"/>
              </w:rPr>
              <w:t>26,181.6</w:t>
            </w:r>
          </w:p>
        </w:tc>
        <w:tc>
          <w:tcPr>
            <w:tcW w:type="dxa" w:w="1584"/>
          </w:tcPr>
          <w:p>
            <w:pPr>
              <w:spacing w:after="20"/>
              <w:jc w:val="right"/>
            </w:pPr>
            <w:r>
              <w:rPr>
                <w:color w:val="1C3A36"/>
                <w:sz w:val="18"/>
              </w:rPr>
              <w:t>415</w:t>
            </w:r>
          </w:p>
        </w:tc>
        <w:tc>
          <w:tcPr>
            <w:tcW w:type="dxa" w:w="1656"/>
          </w:tcPr>
          <w:p>
            <w:pPr>
              <w:spacing w:after="20"/>
              <w:jc w:val="right"/>
            </w:pPr>
            <w:r>
              <w:rPr>
                <w:color w:val="1C3A36"/>
                <w:sz w:val="18"/>
              </w:rPr>
              <w:t>15,843</w:t>
            </w:r>
          </w:p>
        </w:tc>
        <w:tc>
          <w:tcPr>
            <w:tcW w:type="dxa" w:w="1512"/>
          </w:tcPr>
          <w:p>
            <w:pPr>
              <w:spacing w:after="20"/>
              <w:jc w:val="right"/>
            </w:pPr>
            <w:r>
              <w:rPr>
                <w:color w:val="1C3A36"/>
                <w:sz w:val="18"/>
              </w:rPr>
              <w:t>1.74%</w:t>
            </w:r>
          </w:p>
        </w:tc>
        <w:tc>
          <w:tcPr>
            <w:tcW w:type="dxa" w:w="1440"/>
          </w:tcPr>
          <w:p>
            <w:pPr>
              <w:spacing w:after="20"/>
              <w:jc w:val="right"/>
            </w:pPr>
            <w:r>
              <w:rPr>
                <w:color w:val="1C3A36"/>
                <w:sz w:val="18"/>
              </w:rPr>
              <w:t>0.88%</w:t>
            </w:r>
          </w:p>
        </w:tc>
      </w:tr>
      <w:tr>
        <w:tc>
          <w:tcPr>
            <w:tcW w:type="dxa" w:w="2520"/>
          </w:tcPr>
          <w:p>
            <w:pPr>
              <w:spacing w:after="20"/>
            </w:pPr>
            <w:r>
              <w:rPr>
                <w:color w:val="1C3A36"/>
                <w:sz w:val="18"/>
              </w:rPr>
              <w:t>Waste</w:t>
            </w:r>
          </w:p>
        </w:tc>
        <w:tc>
          <w:tcPr>
            <w:tcW w:type="dxa" w:w="1440"/>
          </w:tcPr>
          <w:p>
            <w:pPr>
              <w:spacing w:after="20"/>
              <w:jc w:val="right"/>
            </w:pPr>
            <w:r>
              <w:rPr>
                <w:color w:val="1C3A36"/>
                <w:sz w:val="18"/>
              </w:rPr>
              <w:t>16.7</w:t>
            </w:r>
          </w:p>
        </w:tc>
        <w:tc>
          <w:tcPr>
            <w:tcW w:type="dxa" w:w="1584"/>
          </w:tcPr>
          <w:p>
            <w:pPr>
              <w:spacing w:after="20"/>
              <w:jc w:val="right"/>
            </w:pPr>
            <w:r>
              <w:rPr>
                <w:color w:val="1C3A36"/>
                <w:sz w:val="18"/>
              </w:rPr>
              <w:t>0</w:t>
            </w:r>
          </w:p>
        </w:tc>
        <w:tc>
          <w:tcPr>
            <w:tcW w:type="dxa" w:w="1656"/>
          </w:tcPr>
          <w:p>
            <w:pPr>
              <w:spacing w:after="20"/>
              <w:jc w:val="right"/>
            </w:pPr>
            <w:r>
              <w:rPr>
                <w:color w:val="1C3A36"/>
                <w:sz w:val="18"/>
              </w:rPr>
              <w:t>11,537</w:t>
            </w:r>
          </w:p>
        </w:tc>
        <w:tc>
          <w:tcPr>
            <w:tcW w:type="dxa" w:w="1512"/>
          </w:tcPr>
          <w:p>
            <w:pPr>
              <w:spacing w:after="20"/>
              <w:jc w:val="right"/>
            </w:pPr>
            <w:r>
              <w:rPr>
                <w:color w:val="1C3A36"/>
                <w:sz w:val="18"/>
              </w:rPr>
              <w:t>0.00%</w:t>
            </w:r>
          </w:p>
        </w:tc>
        <w:tc>
          <w:tcPr>
            <w:tcW w:type="dxa" w:w="1440"/>
          </w:tcPr>
          <w:p>
            <w:pPr>
              <w:spacing w:after="20"/>
              <w:jc w:val="right"/>
            </w:pPr>
            <w:r>
              <w:rPr>
                <w:color w:val="1C3A36"/>
                <w:sz w:val="18"/>
              </w:rPr>
              <w:t>0.00%</w:t>
            </w:r>
          </w:p>
        </w:tc>
      </w:tr>
      <w:tr>
        <w:tc>
          <w:tcPr>
            <w:tcW w:type="dxa" w:w="2520"/>
            <w:shd w:val="clear" w:color="auto" w:fill="F6F1E6"/>
          </w:tcPr>
          <w:p>
            <w:pPr>
              <w:spacing w:after="20"/>
            </w:pPr>
            <w:r>
              <w:rPr>
                <w:b/>
                <w:color w:val="1C3A36"/>
                <w:sz w:val="18"/>
              </w:rPr>
              <w:t>TOTAL</w:t>
            </w:r>
          </w:p>
        </w:tc>
        <w:tc>
          <w:tcPr>
            <w:tcW w:type="dxa" w:w="1440"/>
            <w:shd w:val="clear" w:color="auto" w:fill="F6F1E6"/>
          </w:tcPr>
          <w:p>
            <w:pPr>
              <w:spacing w:after="20"/>
              <w:jc w:val="right"/>
            </w:pPr>
            <w:r>
              <w:rPr>
                <w:b/>
                <w:color w:val="1C3A36"/>
                <w:sz w:val="18"/>
              </w:rPr>
              <w:t>1,502,324.6</w:t>
            </w:r>
          </w:p>
        </w:tc>
        <w:tc>
          <w:tcPr>
            <w:tcW w:type="dxa" w:w="1584"/>
            <w:shd w:val="clear" w:color="auto" w:fill="F6F1E6"/>
          </w:tcPr>
          <w:p>
            <w:pPr>
              <w:spacing w:after="20"/>
              <w:jc w:val="right"/>
            </w:pPr>
            <w:r>
              <w:rPr>
                <w:b/>
                <w:color w:val="1C3A36"/>
                <w:sz w:val="18"/>
              </w:rPr>
              <w:t>46,959</w:t>
            </w:r>
          </w:p>
        </w:tc>
        <w:tc>
          <w:tcPr>
            <w:tcW w:type="dxa" w:w="1656"/>
            <w:shd w:val="clear" w:color="auto" w:fill="F6F1E6"/>
          </w:tcPr>
          <w:p>
            <w:pPr>
              <w:spacing w:after="20"/>
              <w:jc w:val="right"/>
            </w:pPr>
            <w:r>
              <w:rPr>
                <w:b/>
                <w:color w:val="1C3A36"/>
                <w:sz w:val="18"/>
              </w:rPr>
              <w:t>31,257</w:t>
            </w:r>
          </w:p>
        </w:tc>
        <w:tc>
          <w:tcPr>
            <w:tcW w:type="dxa" w:w="1512"/>
            <w:shd w:val="clear" w:color="auto" w:fill="F6F1E6"/>
          </w:tcPr>
          <w:p>
            <w:pPr>
              <w:spacing w:after="20"/>
              <w:jc w:val="right"/>
            </w:pPr>
            <w:r>
              <w:rPr>
                <w:b/>
                <w:color w:val="1C3A36"/>
                <w:sz w:val="18"/>
              </w:rPr>
              <w:t>100.00%</w:t>
            </w:r>
          </w:p>
        </w:tc>
        <w:tc>
          <w:tcPr>
            <w:tcW w:type="dxa" w:w="1440"/>
            <w:shd w:val="clear" w:color="auto" w:fill="F6F1E6"/>
          </w:tcPr>
          <w:p>
            <w:pPr>
              <w:spacing w:after="20"/>
              <w:jc w:val="right"/>
            </w:pPr>
            <w:r>
              <w:rPr>
                <w:b/>
                <w:color w:val="1C3A36"/>
                <w:sz w:val="18"/>
              </w:rPr>
              <w:t>100.00%</w:t>
            </w:r>
          </w:p>
        </w:tc>
      </w:tr>
    </w:tbl>
    <w:p>
      <w:pPr>
        <w:spacing w:after="40"/>
      </w:pPr>
    </w:p>
    <w:p>
      <w:pPr>
        <w:spacing w:after="200" w:before="0"/>
      </w:pPr>
      <w:r>
        <w:rPr>
          <w:b w:val="0"/>
          <w:i/>
          <w:color w:val="6E7B77"/>
          <w:sz w:val="17"/>
        </w:rPr>
        <w:t>Table 2 — note 14-A of the audited transition-period statements. Eight lines, tonnes AND value both disclosed, so the realisation per tonne is disclosed arithmetic rather than an estimate. The specialty slate — base and special oils plus paraffin wax — is 13.4% of the tonnage and 24.6% of the value. That asymmetry is the company.</w:t>
      </w:r>
    </w:p>
    <w:p>
      <w:pPr>
        <w:spacing w:after="120" w:before="0"/>
      </w:pPr>
      <w:r>
        <w:rPr>
          <w:b w:val="0"/>
          <w:i w:val="0"/>
          <w:color w:val="1C3A36"/>
          <w:sz w:val="21"/>
        </w:rPr>
        <w:t>Raw materials are 91.2% of cost of sales (note 15-A) and 82.4% of revenue. A business whose single largest line is that big, and whose gross margin is 9.7%, is a PASS-THROUGH PROCESSOR. The value is not in the revenue line and it is not in cost control either — it is in the spread between what the feedstock costs and what the slate fetches, earned on tonnage.</w:t>
      </w:r>
    </w:p>
    <w:p>
      <w:pPr>
        <w:spacing w:after="80" w:before="200"/>
      </w:pPr>
      <w:r>
        <w:rPr>
          <w:b/>
          <w:i w:val="0"/>
          <w:color w:val="1C3A36"/>
          <w:sz w:val="24"/>
        </w:rPr>
        <w:t>The balance sheet is the unusual part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224"/>
        <w:gridCol w:w="1080"/>
        <w:gridCol w:w="4464"/>
      </w:tblGrid>
      <w:tr>
        <w:tc>
          <w:tcPr>
            <w:tcW w:type="dxa" w:w="3240"/>
            <w:shd w:val="clear" w:color="auto" w:fill="EAF0EE"/>
          </w:tcPr>
          <w:p>
            <w:pPr>
              <w:spacing w:after="20"/>
            </w:pPr>
            <w:r>
              <w:rPr>
                <w:b/>
                <w:color w:val="1C3A36"/>
                <w:sz w:val="17"/>
              </w:rPr>
              <w:t>Item</w:t>
            </w:r>
          </w:p>
        </w:tc>
        <w:tc>
          <w:tcPr>
            <w:tcW w:type="dxa" w:w="1224"/>
            <w:shd w:val="clear" w:color="auto" w:fill="EAF0EE"/>
          </w:tcPr>
          <w:p>
            <w:pPr>
              <w:spacing w:after="20"/>
            </w:pPr>
            <w:r>
              <w:rPr>
                <w:b/>
                <w:color w:val="1C3A36"/>
                <w:sz w:val="17"/>
              </w:rPr>
              <w:t>EGP mn</w:t>
            </w:r>
          </w:p>
        </w:tc>
        <w:tc>
          <w:tcPr>
            <w:tcW w:type="dxa" w:w="1080"/>
            <w:shd w:val="clear" w:color="auto" w:fill="EAF0EE"/>
          </w:tcPr>
          <w:p>
            <w:pPr>
              <w:spacing w:after="20"/>
            </w:pPr>
            <w:r>
              <w:rPr>
                <w:b/>
                <w:color w:val="1C3A36"/>
                <w:sz w:val="17"/>
              </w:rPr>
              <w:t>Per share</w:t>
            </w:r>
          </w:p>
        </w:tc>
        <w:tc>
          <w:tcPr>
            <w:tcW w:type="dxa" w:w="4464"/>
            <w:shd w:val="clear" w:color="auto" w:fill="EAF0EE"/>
          </w:tcPr>
          <w:p>
            <w:pPr>
              <w:spacing w:after="20"/>
            </w:pPr>
            <w:r>
              <w:rPr>
                <w:b/>
                <w:color w:val="1C3A36"/>
                <w:sz w:val="17"/>
              </w:rPr>
              <w:t>Treatment in this study</w:t>
            </w:r>
          </w:p>
        </w:tc>
      </w:tr>
      <w:tr>
        <w:tc>
          <w:tcPr>
            <w:tcW w:type="dxa" w:w="3240"/>
          </w:tcPr>
          <w:p>
            <w:pPr>
              <w:spacing w:after="20"/>
            </w:pPr>
            <w:r>
              <w:rPr>
                <w:color w:val="1C3A36"/>
                <w:sz w:val="17"/>
              </w:rPr>
              <w:t>Cash at banks and on hand, free</w:t>
            </w:r>
          </w:p>
        </w:tc>
        <w:tc>
          <w:tcPr>
            <w:tcW w:type="dxa" w:w="1224"/>
          </w:tcPr>
          <w:p>
            <w:pPr>
              <w:spacing w:after="20"/>
              <w:jc w:val="right"/>
            </w:pPr>
            <w:r>
              <w:rPr>
                <w:color w:val="1C3A36"/>
                <w:sz w:val="17"/>
              </w:rPr>
              <w:t>3,018</w:t>
            </w:r>
          </w:p>
        </w:tc>
        <w:tc>
          <w:tcPr>
            <w:tcW w:type="dxa" w:w="1080"/>
          </w:tcPr>
          <w:p>
            <w:pPr>
              <w:spacing w:after="20"/>
              <w:jc w:val="right"/>
            </w:pPr>
            <w:r>
              <w:rPr>
                <w:color w:val="1C3A36"/>
                <w:sz w:val="17"/>
              </w:rPr>
              <w:t>2.34</w:t>
            </w:r>
          </w:p>
        </w:tc>
        <w:tc>
          <w:tcPr>
            <w:tcW w:type="dxa" w:w="4464"/>
          </w:tcPr>
          <w:p>
            <w:pPr>
              <w:spacing w:after="20"/>
            </w:pPr>
            <w:r>
              <w:rPr>
                <w:color w:val="1C3A36"/>
                <w:sz w:val="17"/>
              </w:rPr>
              <w:t>added in the bridge — note 9-E, pledged deposits already excluded</w:t>
            </w:r>
          </w:p>
        </w:tc>
      </w:tr>
      <w:tr>
        <w:tc>
          <w:tcPr>
            <w:tcW w:type="dxa" w:w="3240"/>
          </w:tcPr>
          <w:p>
            <w:pPr>
              <w:spacing w:after="20"/>
            </w:pPr>
            <w:r>
              <w:rPr>
                <w:color w:val="1C3A36"/>
                <w:sz w:val="17"/>
              </w:rPr>
              <w:t>Deposits PLEDGED against facilities</w:t>
            </w:r>
          </w:p>
        </w:tc>
        <w:tc>
          <w:tcPr>
            <w:tcW w:type="dxa" w:w="1224"/>
          </w:tcPr>
          <w:p>
            <w:pPr>
              <w:spacing w:after="20"/>
              <w:jc w:val="right"/>
            </w:pPr>
            <w:r>
              <w:rPr>
                <w:color w:val="1C3A36"/>
                <w:sz w:val="17"/>
              </w:rPr>
              <w:t>525</w:t>
            </w:r>
          </w:p>
        </w:tc>
        <w:tc>
          <w:tcPr>
            <w:tcW w:type="dxa" w:w="1080"/>
          </w:tcPr>
          <w:p>
            <w:pPr>
              <w:spacing w:after="20"/>
              <w:jc w:val="right"/>
            </w:pPr>
            <w:r>
              <w:rPr>
                <w:color w:val="1C3A36"/>
                <w:sz w:val="17"/>
              </w:rPr>
              <w:t>0.41</w:t>
            </w:r>
          </w:p>
        </w:tc>
        <w:tc>
          <w:tcPr>
            <w:tcW w:type="dxa" w:w="4464"/>
          </w:tcPr>
          <w:p>
            <w:pPr>
              <w:spacing w:after="20"/>
            </w:pPr>
            <w:r>
              <w:rPr>
                <w:color w:val="1C3A36"/>
                <w:sz w:val="17"/>
              </w:rPr>
              <w:t>NOT free cash; added separately as a non-operating asset</w:t>
            </w:r>
          </w:p>
        </w:tc>
      </w:tr>
      <w:tr>
        <w:tc>
          <w:tcPr>
            <w:tcW w:type="dxa" w:w="3240"/>
          </w:tcPr>
          <w:p>
            <w:pPr>
              <w:spacing w:after="20"/>
            </w:pPr>
            <w:r>
              <w:rPr>
                <w:color w:val="1C3A36"/>
                <w:sz w:val="17"/>
              </w:rPr>
              <w:t>Gross borrowings</w:t>
            </w:r>
          </w:p>
        </w:tc>
        <w:tc>
          <w:tcPr>
            <w:tcW w:type="dxa" w:w="1224"/>
          </w:tcPr>
          <w:p>
            <w:pPr>
              <w:spacing w:after="20"/>
              <w:jc w:val="right"/>
            </w:pPr>
            <w:r>
              <w:rPr>
                <w:color w:val="1C3A36"/>
                <w:sz w:val="17"/>
              </w:rPr>
              <w:t>17</w:t>
            </w:r>
          </w:p>
        </w:tc>
        <w:tc>
          <w:tcPr>
            <w:tcW w:type="dxa" w:w="1080"/>
          </w:tcPr>
          <w:p>
            <w:pPr>
              <w:spacing w:after="20"/>
              <w:jc w:val="right"/>
            </w:pPr>
            <w:r>
              <w:rPr>
                <w:color w:val="1C3A36"/>
                <w:sz w:val="17"/>
              </w:rPr>
              <w:t>0.01</w:t>
            </w:r>
          </w:p>
        </w:tc>
        <w:tc>
          <w:tcPr>
            <w:tcW w:type="dxa" w:w="4464"/>
          </w:tcPr>
          <w:p>
            <w:pPr>
              <w:spacing w:after="20"/>
            </w:pPr>
            <w:r>
              <w:rPr>
                <w:color w:val="1C3A36"/>
                <w:sz w:val="17"/>
              </w:rPr>
              <w:t>deducted</w:t>
            </w:r>
          </w:p>
        </w:tc>
      </w:tr>
      <w:tr>
        <w:tc>
          <w:tcPr>
            <w:tcW w:type="dxa" w:w="3240"/>
            <w:shd w:val="clear" w:color="auto" w:fill="F6F1E6"/>
          </w:tcPr>
          <w:p>
            <w:pPr>
              <w:spacing w:after="20"/>
            </w:pPr>
            <w:r>
              <w:rPr>
                <w:b/>
                <w:color w:val="1C3A36"/>
                <w:sz w:val="17"/>
              </w:rPr>
              <w:t>NET CASH</w:t>
            </w:r>
          </w:p>
        </w:tc>
        <w:tc>
          <w:tcPr>
            <w:tcW w:type="dxa" w:w="1224"/>
            <w:shd w:val="clear" w:color="auto" w:fill="F6F1E6"/>
          </w:tcPr>
          <w:p>
            <w:pPr>
              <w:spacing w:after="20"/>
              <w:jc w:val="right"/>
            </w:pPr>
            <w:r>
              <w:rPr>
                <w:b/>
                <w:color w:val="1C3A36"/>
                <w:sz w:val="17"/>
              </w:rPr>
              <w:t>3,002</w:t>
            </w:r>
          </w:p>
        </w:tc>
        <w:tc>
          <w:tcPr>
            <w:tcW w:type="dxa" w:w="1080"/>
            <w:shd w:val="clear" w:color="auto" w:fill="F6F1E6"/>
          </w:tcPr>
          <w:p>
            <w:pPr>
              <w:spacing w:after="20"/>
              <w:jc w:val="right"/>
            </w:pPr>
            <w:r>
              <w:rPr>
                <w:b/>
                <w:color w:val="1C3A36"/>
                <w:sz w:val="17"/>
              </w:rPr>
              <w:t>2.32</w:t>
            </w:r>
          </w:p>
        </w:tc>
        <w:tc>
          <w:tcPr>
            <w:tcW w:type="dxa" w:w="4464"/>
            <w:shd w:val="clear" w:color="auto" w:fill="F6F1E6"/>
          </w:tcPr>
          <w:p>
            <w:pPr>
              <w:spacing w:after="20"/>
            </w:pPr>
            <w:r>
              <w:rPr>
                <w:b/>
                <w:color w:val="1C3A36"/>
                <w:sz w:val="17"/>
              </w:rPr>
              <w:t>17.2% of market capitalisation</w:t>
            </w:r>
          </w:p>
        </w:tc>
      </w:tr>
      <w:tr>
        <w:tc>
          <w:tcPr>
            <w:tcW w:type="dxa" w:w="3240"/>
          </w:tcPr>
          <w:p>
            <w:pPr>
              <w:spacing w:after="20"/>
            </w:pPr>
            <w:r>
              <w:rPr>
                <w:color w:val="1C3A36"/>
                <w:sz w:val="17"/>
              </w:rPr>
              <w:t>Provision for tax disputes and claims</w:t>
            </w:r>
          </w:p>
        </w:tc>
        <w:tc>
          <w:tcPr>
            <w:tcW w:type="dxa" w:w="1224"/>
          </w:tcPr>
          <w:p>
            <w:pPr>
              <w:spacing w:after="20"/>
              <w:jc w:val="right"/>
            </w:pPr>
            <w:r>
              <w:rPr>
                <w:color w:val="1C3A36"/>
                <w:sz w:val="17"/>
              </w:rPr>
              <w:t>997</w:t>
            </w:r>
          </w:p>
        </w:tc>
        <w:tc>
          <w:tcPr>
            <w:tcW w:type="dxa" w:w="1080"/>
          </w:tcPr>
          <w:p>
            <w:pPr>
              <w:spacing w:after="20"/>
              <w:jc w:val="right"/>
            </w:pPr>
            <w:r>
              <w:rPr>
                <w:color w:val="1C3A36"/>
                <w:sz w:val="17"/>
              </w:rPr>
              <w:t>0.77</w:t>
            </w:r>
          </w:p>
        </w:tc>
        <w:tc>
          <w:tcPr>
            <w:tcW w:type="dxa" w:w="4464"/>
          </w:tcPr>
          <w:p>
            <w:pPr>
              <w:spacing w:after="20"/>
            </w:pPr>
            <w:r>
              <w:rPr>
                <w:color w:val="1C3A36"/>
                <w:sz w:val="17"/>
              </w:rPr>
              <w:t>note 10-1 — DEDUCTED in the bridge; the previous edition never carried it</w:t>
            </w:r>
          </w:p>
        </w:tc>
      </w:tr>
      <w:tr>
        <w:tc>
          <w:tcPr>
            <w:tcW w:type="dxa" w:w="3240"/>
          </w:tcPr>
          <w:p>
            <w:pPr>
              <w:spacing w:after="20"/>
            </w:pPr>
            <w:r>
              <w:rPr>
                <w:color w:val="1C3A36"/>
                <w:sz w:val="17"/>
              </w:rPr>
              <w:t>Dividends payable, declared</w:t>
            </w:r>
          </w:p>
        </w:tc>
        <w:tc>
          <w:tcPr>
            <w:tcW w:type="dxa" w:w="1224"/>
          </w:tcPr>
          <w:p>
            <w:pPr>
              <w:spacing w:after="20"/>
              <w:jc w:val="right"/>
            </w:pPr>
            <w:r>
              <w:rPr>
                <w:color w:val="1C3A36"/>
                <w:sz w:val="17"/>
              </w:rPr>
              <w:t>258</w:t>
            </w:r>
          </w:p>
        </w:tc>
        <w:tc>
          <w:tcPr>
            <w:tcW w:type="dxa" w:w="1080"/>
          </w:tcPr>
          <w:p>
            <w:pPr>
              <w:spacing w:after="20"/>
              <w:jc w:val="right"/>
            </w:pPr>
            <w:r>
              <w:rPr>
                <w:color w:val="1C3A36"/>
                <w:sz w:val="17"/>
              </w:rPr>
              <w:t>0.20</w:t>
            </w:r>
          </w:p>
        </w:tc>
        <w:tc>
          <w:tcPr>
            <w:tcW w:type="dxa" w:w="4464"/>
          </w:tcPr>
          <w:p>
            <w:pPr>
              <w:spacing w:after="20"/>
            </w:pPr>
            <w:r>
              <w:rPr>
                <w:color w:val="1C3A36"/>
                <w:sz w:val="17"/>
              </w:rPr>
              <w:t>note 11 — removed from working capital, deducted in the bridge</w:t>
            </w:r>
          </w:p>
        </w:tc>
      </w:tr>
      <w:tr>
        <w:tc>
          <w:tcPr>
            <w:tcW w:type="dxa" w:w="3240"/>
          </w:tcPr>
          <w:p>
            <w:pPr>
              <w:spacing w:after="20"/>
            </w:pPr>
            <w:r>
              <w:rPr>
                <w:color w:val="1C3A36"/>
                <w:sz w:val="17"/>
              </w:rPr>
              <w:t>Equity investment at fair value through OCI</w:t>
            </w:r>
          </w:p>
        </w:tc>
        <w:tc>
          <w:tcPr>
            <w:tcW w:type="dxa" w:w="1224"/>
          </w:tcPr>
          <w:p>
            <w:pPr>
              <w:spacing w:after="20"/>
              <w:jc w:val="right"/>
            </w:pPr>
            <w:r>
              <w:rPr>
                <w:color w:val="1C3A36"/>
                <w:sz w:val="17"/>
              </w:rPr>
              <w:t>70</w:t>
            </w:r>
          </w:p>
        </w:tc>
        <w:tc>
          <w:tcPr>
            <w:tcW w:type="dxa" w:w="1080"/>
          </w:tcPr>
          <w:p>
            <w:pPr>
              <w:spacing w:after="20"/>
              <w:jc w:val="right"/>
            </w:pPr>
            <w:r>
              <w:rPr>
                <w:color w:val="1C3A36"/>
                <w:sz w:val="17"/>
              </w:rPr>
              <w:t>0.05</w:t>
            </w:r>
          </w:p>
        </w:tc>
        <w:tc>
          <w:tcPr>
            <w:tcW w:type="dxa" w:w="4464"/>
          </w:tcPr>
          <w:p>
            <w:pPr>
              <w:spacing w:after="20"/>
            </w:pPr>
            <w:r>
              <w:rPr>
                <w:color w:val="1C3A36"/>
                <w:sz w:val="17"/>
              </w:rPr>
              <w:t>added as a non-operating asset</w:t>
            </w:r>
          </w:p>
        </w:tc>
      </w:tr>
      <w:tr>
        <w:tc>
          <w:tcPr>
            <w:tcW w:type="dxa" w:w="3240"/>
          </w:tcPr>
          <w:p>
            <w:pPr>
              <w:spacing w:after="20"/>
            </w:pPr>
            <w:r>
              <w:rPr>
                <w:color w:val="1C3A36"/>
                <w:sz w:val="17"/>
              </w:rPr>
              <w:t>Parent equity</w:t>
            </w:r>
          </w:p>
        </w:tc>
        <w:tc>
          <w:tcPr>
            <w:tcW w:type="dxa" w:w="1224"/>
          </w:tcPr>
          <w:p>
            <w:pPr>
              <w:spacing w:after="20"/>
              <w:jc w:val="right"/>
            </w:pPr>
            <w:r>
              <w:rPr>
                <w:color w:val="1C3A36"/>
                <w:sz w:val="17"/>
              </w:rPr>
              <w:t>6,070</w:t>
            </w:r>
          </w:p>
        </w:tc>
        <w:tc>
          <w:tcPr>
            <w:tcW w:type="dxa" w:w="1080"/>
          </w:tcPr>
          <w:p>
            <w:pPr>
              <w:spacing w:after="20"/>
              <w:jc w:val="right"/>
            </w:pPr>
            <w:r>
              <w:rPr>
                <w:color w:val="1C3A36"/>
                <w:sz w:val="17"/>
              </w:rPr>
              <w:t>4.70</w:t>
            </w:r>
          </w:p>
        </w:tc>
        <w:tc>
          <w:tcPr>
            <w:tcW w:type="dxa" w:w="4464"/>
          </w:tcPr>
          <w:p>
            <w:pPr>
              <w:spacing w:after="20"/>
            </w:pPr>
            <w:r>
              <w:rPr>
                <w:color w:val="1C3A36"/>
                <w:sz w:val="17"/>
              </w:rPr>
              <w:t>the book lens base</w:t>
            </w:r>
          </w:p>
        </w:tc>
      </w:tr>
    </w:tbl>
    <w:p>
      <w:pPr>
        <w:spacing w:after="40"/>
      </w:pPr>
    </w:p>
    <w:p>
      <w:pPr>
        <w:spacing w:after="200" w:before="0"/>
      </w:pPr>
      <w:r>
        <w:rPr>
          <w:b w:val="0"/>
          <w:i/>
          <w:color w:val="6E7B77"/>
          <w:sz w:val="17"/>
        </w:rPr>
        <w:t>Table 3 — the balance sheet at 31 December 2025, as filed. The company holds more than a fifth of its market capitalisation in net cash, which is why the cost-of-capital construction in section 1.6 RAISES the operating discount rate above the cost of equity rather than lowering it. Against that cash sit two disclosed claims — the provision and the declared dividend — that the previous edition of this study quoted in its text and never carried into its arithmetic.</w:t>
      </w:r>
    </w:p>
    <w:p>
      <w:pPr>
        <w:spacing w:after="120" w:before="280"/>
      </w:pPr>
      <w:r>
        <w:rPr>
          <w:b/>
          <w:i w:val="0"/>
          <w:color w:val="1C3A36"/>
          <w:sz w:val="30"/>
        </w:rPr>
        <w:t>1  Fundamental valuation</w:t>
      </w:r>
    </w:p>
    <w:p>
      <w:pPr>
        <w:spacing w:after="80" w:before="200"/>
      </w:pPr>
      <w:r>
        <w:rPr>
          <w:b/>
          <w:i w:val="0"/>
          <w:color w:val="1C3A36"/>
          <w:sz w:val="24"/>
        </w:rPr>
        <w:t>1.1  Why this company is valued as an operating company and not as anything else</w:t>
      </w:r>
    </w:p>
    <w:p>
      <w:pPr>
        <w:spacing w:after="120" w:before="0"/>
      </w:pPr>
      <w:r>
        <w:rPr>
          <w:b w:val="0"/>
          <w:i w:val="0"/>
          <w:color w:val="1C3A36"/>
          <w:sz w:val="21"/>
        </w:rPr>
        <w:t>Three tests decide the class, and all three point the same way. Revenue is 100% own-production petroleum product — there is no trading book, no rental stream and no portfolio of stakes to sum. The balance sheet is working capital and plant, not investments: property, plant and equipment plus projects under construction of EGP 1,288mn and net working capital of EGP 3,389mn against a single equity stake of EGP 70mn. And consolidated profit is dominated by one plant, with the minority in the wax subsidiary running at 2.96% of operating profit.</w:t>
      </w:r>
    </w:p>
    <w:p>
      <w:pPr>
        <w:spacing w:after="120" w:before="0"/>
      </w:pPr>
      <w:r>
        <w:rPr>
          <w:b w:val="0"/>
          <w:i w:val="0"/>
          <w:color w:val="1C3A36"/>
          <w:sz w:val="21"/>
        </w:rPr>
        <w:t>So the primary lens is free cash flow to the FIRM, discounted, with the three cross-checks of section 1.12 weighted behind it. A sum-of-the-parts framework is inapplicable: AMOC has no listed subsidiaries. One reviewer was asked to run an SOTP verification against three unrelated foreign companies and correctly rejected the premise; it is recorded here so no reader wonders whether it was considered.</w:t>
      </w:r>
    </w:p>
    <w:p>
      <w:pPr>
        <w:spacing w:after="80" w:before="200"/>
      </w:pPr>
      <w:r>
        <w:rPr>
          <w:b/>
          <w:i w:val="0"/>
          <w:color w:val="1C3A36"/>
          <w:sz w:val="24"/>
        </w:rPr>
        <w:t>1.2  The base year is constructed, and here is the construction</w:t>
      </w:r>
    </w:p>
    <w:p>
      <w:pPr>
        <w:spacing w:after="120" w:before="0"/>
      </w:pPr>
      <w:r>
        <w:rPr>
          <w:b w:val="0"/>
          <w:i w:val="0"/>
          <w:color w:val="1C3A36"/>
          <w:sz w:val="21"/>
        </w:rPr>
        <w:t>The base year is the TWELVE contiguous months to 30 June 2026: the audited transition half (July to December 2025) plus the REVIEWED half to 30 June 2026. No annualisation scalar is applied to either half and no period is estimated. BOTH HALVES ARE FILED — an earlier edition of this study treated the second as a press release and solved its gross profit from the profit line; the reviewed statements settle it, and the released figure was right to within a fraction of a per cent.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944"/>
        <w:gridCol w:w="1944"/>
        <w:gridCol w:w="1512"/>
        <w:gridCol w:w="2520"/>
      </w:tblGrid>
      <w:tr>
        <w:tc>
          <w:tcPr>
            <w:tcW w:type="dxa" w:w="2664"/>
            <w:shd w:val="clear" w:color="auto" w:fill="EAF0EE"/>
          </w:tcPr>
          <w:p>
            <w:pPr>
              <w:spacing w:after="20"/>
            </w:pPr>
            <w:r>
              <w:rPr>
                <w:b/>
                <w:color w:val="1C3A36"/>
                <w:sz w:val="17"/>
              </w:rPr>
              <w:t>Line</w:t>
            </w:r>
          </w:p>
        </w:tc>
        <w:tc>
          <w:tcPr>
            <w:tcW w:type="dxa" w:w="1944"/>
            <w:shd w:val="clear" w:color="auto" w:fill="EAF0EE"/>
          </w:tcPr>
          <w:p>
            <w:pPr>
              <w:spacing w:after="20"/>
            </w:pPr>
            <w:r>
              <w:rPr>
                <w:b/>
                <w:color w:val="1C3A36"/>
                <w:sz w:val="17"/>
              </w:rPr>
              <w:t>Audited 6M to Dec-2025</w:t>
            </w:r>
          </w:p>
        </w:tc>
        <w:tc>
          <w:tcPr>
            <w:tcW w:type="dxa" w:w="1944"/>
            <w:shd w:val="clear" w:color="auto" w:fill="EAF0EE"/>
          </w:tcPr>
          <w:p>
            <w:pPr>
              <w:spacing w:after="20"/>
            </w:pPr>
            <w:r>
              <w:rPr>
                <w:b/>
                <w:color w:val="1C3A36"/>
                <w:sz w:val="17"/>
              </w:rPr>
              <w:t>Reported 6M to Jun-2026</w:t>
            </w:r>
          </w:p>
        </w:tc>
        <w:tc>
          <w:tcPr>
            <w:tcW w:type="dxa" w:w="1512"/>
            <w:shd w:val="clear" w:color="auto" w:fill="EAF0EE"/>
          </w:tcPr>
          <w:p>
            <w:pPr>
              <w:spacing w:after="20"/>
            </w:pPr>
            <w:r>
              <w:rPr>
                <w:b/>
                <w:color w:val="1C3A36"/>
                <w:sz w:val="17"/>
              </w:rPr>
              <w:t>Base year</w:t>
            </w:r>
          </w:p>
        </w:tc>
        <w:tc>
          <w:tcPr>
            <w:tcW w:type="dxa" w:w="2520"/>
            <w:shd w:val="clear" w:color="auto" w:fill="EAF0EE"/>
          </w:tcPr>
          <w:p>
            <w:pPr>
              <w:spacing w:after="20"/>
            </w:pPr>
            <w:r>
              <w:rPr>
                <w:b/>
                <w:color w:val="1C3A36"/>
                <w:sz w:val="17"/>
              </w:rPr>
              <w:t>Basis</w:t>
            </w:r>
          </w:p>
        </w:tc>
      </w:tr>
      <w:tr>
        <w:tc>
          <w:tcPr>
            <w:tcW w:type="dxa" w:w="2664"/>
          </w:tcPr>
          <w:p>
            <w:pPr>
              <w:spacing w:after="20"/>
            </w:pPr>
            <w:r>
              <w:rPr>
                <w:color w:val="1C3A36"/>
                <w:sz w:val="17"/>
              </w:rPr>
              <w:t>Net sales</w:t>
            </w:r>
          </w:p>
        </w:tc>
        <w:tc>
          <w:tcPr>
            <w:tcW w:type="dxa" w:w="1944"/>
          </w:tcPr>
          <w:p>
            <w:pPr>
              <w:spacing w:after="20"/>
              <w:jc w:val="right"/>
            </w:pPr>
            <w:r>
              <w:rPr>
                <w:color w:val="1C3A36"/>
                <w:sz w:val="17"/>
              </w:rPr>
              <w:t>20,736</w:t>
            </w:r>
          </w:p>
        </w:tc>
        <w:tc>
          <w:tcPr>
            <w:tcW w:type="dxa" w:w="1944"/>
          </w:tcPr>
          <w:p>
            <w:pPr>
              <w:spacing w:after="20"/>
              <w:jc w:val="right"/>
            </w:pPr>
            <w:r>
              <w:rPr>
                <w:color w:val="1C3A36"/>
                <w:sz w:val="17"/>
              </w:rPr>
              <w:t>26,223</w:t>
            </w:r>
          </w:p>
        </w:tc>
        <w:tc>
          <w:tcPr>
            <w:tcW w:type="dxa" w:w="1512"/>
          </w:tcPr>
          <w:p>
            <w:pPr>
              <w:spacing w:after="20"/>
              <w:jc w:val="right"/>
            </w:pPr>
            <w:r>
              <w:rPr>
                <w:color w:val="1C3A36"/>
                <w:sz w:val="17"/>
              </w:rPr>
              <w:t>46,959</w:t>
            </w:r>
          </w:p>
        </w:tc>
        <w:tc>
          <w:tcPr>
            <w:tcW w:type="dxa" w:w="2520"/>
          </w:tcPr>
          <w:p>
            <w:pPr>
              <w:spacing w:after="20"/>
            </w:pPr>
            <w:r>
              <w:rPr>
                <w:color w:val="1C3A36"/>
                <w:sz w:val="17"/>
              </w:rPr>
              <w:t>both halves as disclosed</w:t>
            </w:r>
          </w:p>
        </w:tc>
      </w:tr>
      <w:tr>
        <w:tc>
          <w:tcPr>
            <w:tcW w:type="dxa" w:w="2664"/>
          </w:tcPr>
          <w:p>
            <w:pPr>
              <w:spacing w:after="20"/>
            </w:pPr>
            <w:r>
              <w:rPr>
                <w:color w:val="1C3A36"/>
                <w:sz w:val="17"/>
              </w:rPr>
              <w:t>Gross profit</w:t>
            </w:r>
          </w:p>
        </w:tc>
        <w:tc>
          <w:tcPr>
            <w:tcW w:type="dxa" w:w="1944"/>
          </w:tcPr>
          <w:p>
            <w:pPr>
              <w:spacing w:after="20"/>
              <w:jc w:val="right"/>
            </w:pPr>
            <w:r>
              <w:rPr>
                <w:color w:val="1C3A36"/>
                <w:sz w:val="17"/>
              </w:rPr>
              <w:t>1,274</w:t>
            </w:r>
          </w:p>
        </w:tc>
        <w:tc>
          <w:tcPr>
            <w:tcW w:type="dxa" w:w="1944"/>
          </w:tcPr>
          <w:p>
            <w:pPr>
              <w:spacing w:after="20"/>
              <w:jc w:val="right"/>
            </w:pPr>
            <w:r>
              <w:rPr>
                <w:color w:val="1C3A36"/>
                <w:sz w:val="17"/>
              </w:rPr>
              <w:t>3,259</w:t>
            </w:r>
          </w:p>
        </w:tc>
        <w:tc>
          <w:tcPr>
            <w:tcW w:type="dxa" w:w="1512"/>
          </w:tcPr>
          <w:p>
            <w:pPr>
              <w:spacing w:after="20"/>
              <w:jc w:val="right"/>
            </w:pPr>
            <w:r>
              <w:rPr>
                <w:color w:val="1C3A36"/>
                <w:sz w:val="17"/>
              </w:rPr>
              <w:t>4,533</w:t>
            </w:r>
          </w:p>
        </w:tc>
        <w:tc>
          <w:tcPr>
            <w:tcW w:type="dxa" w:w="2520"/>
          </w:tcPr>
          <w:p>
            <w:pPr>
              <w:spacing w:after="20"/>
            </w:pPr>
            <w:r>
              <w:rPr>
                <w:color w:val="1C3A36"/>
                <w:sz w:val="17"/>
              </w:rPr>
              <w:t>both halves FILED</w:t>
            </w:r>
          </w:p>
        </w:tc>
      </w:tr>
      <w:tr>
        <w:tc>
          <w:tcPr>
            <w:tcW w:type="dxa" w:w="2664"/>
          </w:tcPr>
          <w:p>
            <w:pPr>
              <w:spacing w:after="20"/>
            </w:pPr>
            <w:r>
              <w:rPr>
                <w:color w:val="1C3A36"/>
                <w:sz w:val="17"/>
              </w:rPr>
              <w:t>Gross margin</w:t>
            </w:r>
          </w:p>
        </w:tc>
        <w:tc>
          <w:tcPr>
            <w:tcW w:type="dxa" w:w="1944"/>
          </w:tcPr>
          <w:p>
            <w:pPr>
              <w:spacing w:after="20"/>
              <w:jc w:val="right"/>
            </w:pPr>
            <w:r>
              <w:rPr>
                <w:color w:val="1C3A36"/>
                <w:sz w:val="17"/>
              </w:rPr>
              <w:t>6.14%</w:t>
            </w:r>
          </w:p>
        </w:tc>
        <w:tc>
          <w:tcPr>
            <w:tcW w:type="dxa" w:w="1944"/>
          </w:tcPr>
          <w:p>
            <w:pPr>
              <w:spacing w:after="20"/>
              <w:jc w:val="right"/>
            </w:pPr>
            <w:r>
              <w:rPr>
                <w:color w:val="1C3A36"/>
                <w:sz w:val="17"/>
              </w:rPr>
              <w:t>12.43%</w:t>
            </w:r>
          </w:p>
        </w:tc>
        <w:tc>
          <w:tcPr>
            <w:tcW w:type="dxa" w:w="1512"/>
          </w:tcPr>
          <w:p>
            <w:pPr>
              <w:spacing w:after="20"/>
              <w:jc w:val="right"/>
            </w:pPr>
            <w:r>
              <w:rPr>
                <w:color w:val="1C3A36"/>
                <w:sz w:val="17"/>
              </w:rPr>
              <w:t>9.65%</w:t>
            </w:r>
          </w:p>
        </w:tc>
        <w:tc>
          <w:tcPr>
            <w:tcW w:type="dxa" w:w="2520"/>
          </w:tcPr>
          <w:p>
            <w:pPr>
              <w:spacing w:after="20"/>
            </w:pPr>
            <w:r>
              <w:rPr>
                <w:color w:val="1C3A36"/>
                <w:sz w:val="17"/>
              </w:rPr>
              <w:t>output</w:t>
            </w:r>
          </w:p>
        </w:tc>
      </w:tr>
      <w:tr>
        <w:tc>
          <w:tcPr>
            <w:tcW w:type="dxa" w:w="2664"/>
          </w:tcPr>
          <w:p>
            <w:pPr>
              <w:spacing w:after="20"/>
            </w:pPr>
            <w:r>
              <w:rPr>
                <w:color w:val="1C3A36"/>
                <w:sz w:val="17"/>
              </w:rPr>
              <w:t>Operating expense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1,739</w:t>
            </w:r>
          </w:p>
        </w:tc>
        <w:tc>
          <w:tcPr>
            <w:tcW w:type="dxa" w:w="2520"/>
          </w:tcPr>
          <w:p>
            <w:pPr>
              <w:spacing w:after="20"/>
            </w:pPr>
            <w:r>
              <w:rPr>
                <w:color w:val="1C3A36"/>
                <w:sz w:val="17"/>
              </w:rPr>
              <w:t>administrative + selling + other + provisions</w:t>
            </w:r>
          </w:p>
        </w:tc>
      </w:tr>
      <w:tr>
        <w:tc>
          <w:tcPr>
            <w:tcW w:type="dxa" w:w="2664"/>
          </w:tcPr>
          <w:p>
            <w:pPr>
              <w:spacing w:after="20"/>
            </w:pPr>
            <w:r>
              <w:rPr>
                <w:color w:val="1C3A36"/>
                <w:sz w:val="17"/>
              </w:rPr>
              <w:t>Depreciation</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157</w:t>
            </w:r>
          </w:p>
        </w:tc>
        <w:tc>
          <w:tcPr>
            <w:tcW w:type="dxa" w:w="2520"/>
          </w:tcPr>
          <w:p>
            <w:pPr>
              <w:spacing w:after="20"/>
            </w:pPr>
            <w:r>
              <w:rPr>
                <w:color w:val="1C3A36"/>
                <w:sz w:val="17"/>
              </w:rPr>
              <w:t>as filed</w:t>
            </w:r>
          </w:p>
        </w:tc>
      </w:tr>
      <w:tr>
        <w:tc>
          <w:tcPr>
            <w:tcW w:type="dxa" w:w="2664"/>
          </w:tcPr>
          <w:p>
            <w:pPr>
              <w:spacing w:after="20"/>
            </w:pPr>
            <w:r>
              <w:rPr>
                <w:color w:val="1C3A36"/>
                <w:sz w:val="17"/>
              </w:rPr>
              <w:t>Cash capital expenditure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169</w:t>
            </w:r>
          </w:p>
        </w:tc>
        <w:tc>
          <w:tcPr>
            <w:tcW w:type="dxa" w:w="2520"/>
          </w:tcPr>
          <w:p>
            <w:pPr>
              <w:spacing w:after="20"/>
            </w:pPr>
            <w:r>
              <w:rPr>
                <w:color w:val="1C3A36"/>
                <w:sz w:val="17"/>
              </w:rPr>
              <w:t>as paid</w:t>
            </w:r>
          </w:p>
        </w:tc>
      </w:tr>
      <w:tr>
        <w:tc>
          <w:tcPr>
            <w:tcW w:type="dxa" w:w="2664"/>
          </w:tcPr>
          <w:p>
            <w:pPr>
              <w:spacing w:after="20"/>
            </w:pPr>
            <w:r>
              <w:rPr>
                <w:color w:val="1C3A36"/>
                <w:sz w:val="17"/>
              </w:rPr>
              <w:t>Credit interest</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308</w:t>
            </w:r>
          </w:p>
        </w:tc>
        <w:tc>
          <w:tcPr>
            <w:tcW w:type="dxa" w:w="2520"/>
          </w:tcPr>
          <w:p>
            <w:pPr>
              <w:spacing w:after="20"/>
            </w:pPr>
            <w:r>
              <w:rPr>
                <w:color w:val="1C3A36"/>
                <w:sz w:val="17"/>
              </w:rPr>
              <w:t>note 14-B</w:t>
            </w:r>
          </w:p>
        </w:tc>
      </w:tr>
      <w:tr>
        <w:tc>
          <w:tcPr>
            <w:tcW w:type="dxa" w:w="2664"/>
          </w:tcPr>
          <w:p>
            <w:pPr>
              <w:spacing w:after="20"/>
            </w:pPr>
            <w:r>
              <w:rPr>
                <w:color w:val="1C3A36"/>
                <w:sz w:val="17"/>
              </w:rPr>
              <w:t>Employees’ profit share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135</w:t>
            </w:r>
          </w:p>
        </w:tc>
        <w:tc>
          <w:tcPr>
            <w:tcW w:type="dxa" w:w="2520"/>
          </w:tcPr>
          <w:p>
            <w:pPr>
              <w:spacing w:after="20"/>
            </w:pPr>
            <w:r>
              <w:rPr>
                <w:color w:val="1C3A36"/>
                <w:sz w:val="17"/>
              </w:rPr>
              <w:t>note 16</w:t>
            </w:r>
          </w:p>
        </w:tc>
      </w:tr>
    </w:tbl>
    <w:p>
      <w:pPr>
        <w:spacing w:after="40"/>
      </w:pPr>
    </w:p>
    <w:p>
      <w:pPr>
        <w:spacing w:after="200" w:before="0"/>
      </w:pPr>
      <w:r>
        <w:rPr>
          <w:b w:val="0"/>
          <w:i/>
          <w:color w:val="6E7B77"/>
          <w:sz w:val="17"/>
        </w:rPr>
        <w:t>Table 4 — the base year. Every operating line is struck on the SAME twelve months as revenue and gross profit. The previous edition built revenue from the six-month product table doubled while annualising cost of sales from nine months by four thirds, so its base-year gross margin of 7.081% corresponded to no filed period at all. One period, both sides, or the margin is an artefact of the scalars.</w:t>
      </w:r>
    </w:p>
    <w:p>
      <w:pPr>
        <w:spacing w:after="120" w:before="0"/>
      </w:pPr>
      <w:r>
        <w:rPr>
          <w:b w:val="0"/>
          <w:i w:val="0"/>
          <w:color w:val="1C3A36"/>
          <w:sz w:val="21"/>
        </w:rPr>
        <w:t>THE HALF IS FILED, AND THE RELEASED GROSS PROFIT WAS RIGHT. The reviewed consolidated statements for the six months to 30 June 2026 report net sales of EGP 26,223mn, gross profit of EGP 3,259mn — a margin of 12.43% — and profit attributable to shareholders of EGP 1,882mn. That is MORE IN SIX MONTHS than the whole financial year to June 2025 earned. The previous edition of this study did not have these statements, believed the half existed only as a press release, rejected the released gross-profit line on a coherence test and solved gross profit from the profit line instead. The filing settles it in the release's favour: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1944"/>
        <w:gridCol w:w="2304"/>
      </w:tblGrid>
      <w:tr>
        <w:tc>
          <w:tcPr>
            <w:tcW w:type="dxa" w:w="4320"/>
            <w:shd w:val="clear" w:color="auto" w:fill="EAF0EE"/>
          </w:tcPr>
          <w:p>
            <w:pPr>
              <w:spacing w:after="20"/>
            </w:pPr>
            <w:r>
              <w:rPr>
                <w:b/>
                <w:color w:val="1C3A36"/>
                <w:sz w:val="17"/>
              </w:rPr>
              <w:t>Line, six months to 30 June 2026</w:t>
            </w:r>
          </w:p>
        </w:tc>
        <w:tc>
          <w:tcPr>
            <w:tcW w:type="dxa" w:w="1944"/>
            <w:shd w:val="clear" w:color="auto" w:fill="EAF0EE"/>
          </w:tcPr>
          <w:p>
            <w:pPr>
              <w:spacing w:after="20"/>
            </w:pPr>
            <w:r>
              <w:rPr>
                <w:b/>
                <w:color w:val="1C3A36"/>
                <w:sz w:val="17"/>
              </w:rPr>
              <w:t>As released</w:t>
            </w:r>
          </w:p>
        </w:tc>
        <w:tc>
          <w:tcPr>
            <w:tcW w:type="dxa" w:w="1944"/>
            <w:shd w:val="clear" w:color="auto" w:fill="EAF0EE"/>
          </w:tcPr>
          <w:p>
            <w:pPr>
              <w:spacing w:after="20"/>
            </w:pPr>
            <w:r>
              <w:rPr>
                <w:b/>
                <w:color w:val="1C3A36"/>
                <w:sz w:val="17"/>
              </w:rPr>
              <w:t>As filed</w:t>
            </w:r>
          </w:p>
        </w:tc>
        <w:tc>
          <w:tcPr>
            <w:tcW w:type="dxa" w:w="2304"/>
            <w:shd w:val="clear" w:color="auto" w:fill="EAF0EE"/>
          </w:tcPr>
          <w:p>
            <w:pPr>
              <w:spacing w:after="20"/>
            </w:pPr>
            <w:r>
              <w:rPr>
                <w:b/>
                <w:color w:val="1C3A36"/>
                <w:sz w:val="17"/>
              </w:rPr>
              <w:t>Difference</w:t>
            </w:r>
          </w:p>
        </w:tc>
      </w:tr>
      <w:tr>
        <w:tc>
          <w:tcPr>
            <w:tcW w:type="dxa" w:w="4320"/>
          </w:tcPr>
          <w:p>
            <w:pPr>
              <w:spacing w:after="20"/>
            </w:pPr>
            <w:r>
              <w:rPr>
                <w:color w:val="1C3A36"/>
                <w:sz w:val="17"/>
              </w:rPr>
              <w:t>Net sales</w:t>
            </w:r>
          </w:p>
        </w:tc>
        <w:tc>
          <w:tcPr>
            <w:tcW w:type="dxa" w:w="1944"/>
          </w:tcPr>
          <w:p>
            <w:pPr>
              <w:spacing w:after="20"/>
            </w:pPr>
            <w:r>
              <w:rPr>
                <w:color w:val="1C3A36"/>
                <w:sz w:val="17"/>
              </w:rPr>
              <w:t>26,223</w:t>
            </w:r>
          </w:p>
        </w:tc>
        <w:tc>
          <w:tcPr>
            <w:tcW w:type="dxa" w:w="1944"/>
          </w:tcPr>
          <w:p>
            <w:pPr>
              <w:spacing w:after="20"/>
              <w:jc w:val="right"/>
            </w:pPr>
            <w:r>
              <w:rPr>
                <w:color w:val="1C3A36"/>
                <w:sz w:val="17"/>
              </w:rPr>
              <w:t>26,223</w:t>
            </w:r>
          </w:p>
        </w:tc>
        <w:tc>
          <w:tcPr>
            <w:tcW w:type="dxa" w:w="2304"/>
          </w:tcPr>
          <w:p>
            <w:pPr>
              <w:spacing w:after="20"/>
              <w:jc w:val="right"/>
            </w:pPr>
            <w:r>
              <w:rPr>
                <w:color w:val="1C3A36"/>
                <w:sz w:val="17"/>
              </w:rPr>
              <w:t>-0.00%</w:t>
            </w:r>
          </w:p>
        </w:tc>
      </w:tr>
      <w:tr>
        <w:tc>
          <w:tcPr>
            <w:tcW w:type="dxa" w:w="4320"/>
          </w:tcPr>
          <w:p>
            <w:pPr>
              <w:spacing w:after="20"/>
            </w:pPr>
            <w:r>
              <w:rPr>
                <w:color w:val="1C3A36"/>
                <w:sz w:val="17"/>
              </w:rPr>
              <w:t>Gross profit</w:t>
            </w:r>
          </w:p>
        </w:tc>
        <w:tc>
          <w:tcPr>
            <w:tcW w:type="dxa" w:w="1944"/>
          </w:tcPr>
          <w:p>
            <w:pPr>
              <w:spacing w:after="20"/>
            </w:pPr>
            <w:r>
              <w:rPr>
                <w:color w:val="1C3A36"/>
                <w:sz w:val="17"/>
              </w:rPr>
              <w:t>3,258</w:t>
            </w:r>
          </w:p>
        </w:tc>
        <w:tc>
          <w:tcPr>
            <w:tcW w:type="dxa" w:w="1944"/>
          </w:tcPr>
          <w:p>
            <w:pPr>
              <w:spacing w:after="20"/>
              <w:jc w:val="right"/>
            </w:pPr>
            <w:r>
              <w:rPr>
                <w:color w:val="1C3A36"/>
                <w:sz w:val="17"/>
              </w:rPr>
              <w:t>3,259</w:t>
            </w:r>
          </w:p>
        </w:tc>
        <w:tc>
          <w:tcPr>
            <w:tcW w:type="dxa" w:w="2304"/>
          </w:tcPr>
          <w:p>
            <w:pPr>
              <w:spacing w:after="20"/>
              <w:jc w:val="right"/>
            </w:pPr>
            <w:r>
              <w:rPr>
                <w:color w:val="1C3A36"/>
                <w:sz w:val="17"/>
              </w:rPr>
              <w:t>-0.03%</w:t>
            </w:r>
          </w:p>
        </w:tc>
      </w:tr>
      <w:tr>
        <w:tc>
          <w:tcPr>
            <w:tcW w:type="dxa" w:w="4320"/>
          </w:tcPr>
          <w:p>
            <w:pPr>
              <w:spacing w:after="20"/>
            </w:pPr>
            <w:r>
              <w:rPr>
                <w:color w:val="1C3A36"/>
                <w:sz w:val="17"/>
              </w:rPr>
              <w:t>Profit after tax</w:t>
            </w:r>
          </w:p>
        </w:tc>
        <w:tc>
          <w:tcPr>
            <w:tcW w:type="dxa" w:w="1944"/>
          </w:tcPr>
          <w:p>
            <w:pPr>
              <w:spacing w:after="20"/>
            </w:pPr>
            <w:r>
              <w:rPr>
                <w:color w:val="1C3A36"/>
                <w:sz w:val="17"/>
              </w:rPr>
              <w:t>1,903</w:t>
            </w:r>
          </w:p>
        </w:tc>
        <w:tc>
          <w:tcPr>
            <w:tcW w:type="dxa" w:w="1944"/>
          </w:tcPr>
          <w:p>
            <w:pPr>
              <w:spacing w:after="20"/>
              <w:jc w:val="right"/>
            </w:pPr>
            <w:r>
              <w:rPr>
                <w:color w:val="1C3A36"/>
                <w:sz w:val="17"/>
              </w:rPr>
              <w:t>1,921</w:t>
            </w:r>
          </w:p>
        </w:tc>
        <w:tc>
          <w:tcPr>
            <w:tcW w:type="dxa" w:w="2304"/>
          </w:tcPr>
          <w:p>
            <w:pPr>
              <w:spacing w:after="20"/>
              <w:jc w:val="right"/>
            </w:pPr>
            <w:r>
              <w:rPr>
                <w:color w:val="1C3A36"/>
                <w:sz w:val="17"/>
              </w:rPr>
              <w:t>-0.92%</w:t>
            </w:r>
          </w:p>
        </w:tc>
      </w:tr>
    </w:tbl>
    <w:p>
      <w:pPr>
        <w:spacing w:after="40"/>
      </w:pPr>
    </w:p>
    <w:p>
      <w:pPr>
        <w:spacing w:after="200" w:before="0"/>
      </w:pPr>
      <w:r>
        <w:rPr>
          <w:b w:val="0"/>
          <w:i/>
          <w:color w:val="6E7B77"/>
          <w:sz w:val="17"/>
        </w:rPr>
        <w:t>Table 5 — the press release against the filing. All three lines tie. The coherence test that rejected the gross-profit line estimated the half's other income by DOUBLING the first quarter's, which put EGP 451mn where the filing shows EGP 197mn — other income is the most volatile line in this income statement and the least suited to being doubled. A test built on an extrapolated volatile line refuted a correct disclosure, and the study then carried a gross margin roughly two-thirds of a point too low into every lens. The lesson is kept rather than the conclusion: a coherence test is only as good as the estimate inside it.</w:t>
      </w:r>
    </w:p>
    <w:p>
      <w:pPr>
        <w:spacing w:after="120" w:before="0"/>
      </w:pPr>
      <w:r>
        <w:rPr>
          <w:b w:val="0"/>
          <w:i w:val="0"/>
          <w:color w:val="1C3A36"/>
          <w:sz w:val="21"/>
        </w:rPr>
        <w:t>The fully-audited alternative is published beside the headline rather than discarded: the nine audited-and-reviewed months to 31 March 2026, annualised by four thirds, give revenue of EGP 41,662mn at a 7.51% margin. The gap to the headline base is +12.7% on revenue and +2.15% on margin. That gap is a real uncertainty about this company and it is disclosed, not averaged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800"/>
        <w:gridCol w:w="1800"/>
        <w:gridCol w:w="1656"/>
        <w:gridCol w:w="1944"/>
      </w:tblGrid>
      <w:tr>
        <w:tc>
          <w:tcPr>
            <w:tcW w:type="dxa" w:w="2448"/>
            <w:shd w:val="clear" w:color="auto" w:fill="EAF0EE"/>
          </w:tcPr>
          <w:p>
            <w:pPr>
              <w:spacing w:after="20"/>
            </w:pPr>
            <w:r>
              <w:rPr>
                <w:b/>
                <w:color w:val="1C3A36"/>
                <w:sz w:val="18"/>
              </w:rPr>
              <w:t>Period</w:t>
            </w:r>
          </w:p>
        </w:tc>
        <w:tc>
          <w:tcPr>
            <w:tcW w:type="dxa" w:w="1800"/>
            <w:shd w:val="clear" w:color="auto" w:fill="EAF0EE"/>
          </w:tcPr>
          <w:p>
            <w:pPr>
              <w:spacing w:after="20"/>
            </w:pPr>
            <w:r>
              <w:rPr>
                <w:b/>
                <w:color w:val="1C3A36"/>
                <w:sz w:val="18"/>
              </w:rPr>
              <w:t>Net sales</w:t>
            </w:r>
          </w:p>
        </w:tc>
        <w:tc>
          <w:tcPr>
            <w:tcW w:type="dxa" w:w="1800"/>
            <w:shd w:val="clear" w:color="auto" w:fill="EAF0EE"/>
          </w:tcPr>
          <w:p>
            <w:pPr>
              <w:spacing w:after="20"/>
            </w:pPr>
            <w:r>
              <w:rPr>
                <w:b/>
                <w:color w:val="1C3A36"/>
                <w:sz w:val="18"/>
              </w:rPr>
              <w:t>Gross profit</w:t>
            </w:r>
          </w:p>
        </w:tc>
        <w:tc>
          <w:tcPr>
            <w:tcW w:type="dxa" w:w="1656"/>
            <w:shd w:val="clear" w:color="auto" w:fill="EAF0EE"/>
          </w:tcPr>
          <w:p>
            <w:pPr>
              <w:spacing w:after="20"/>
            </w:pPr>
            <w:r>
              <w:rPr>
                <w:b/>
                <w:color w:val="1C3A36"/>
                <w:sz w:val="18"/>
              </w:rPr>
              <w:t>Gross margin</w:t>
            </w:r>
          </w:p>
        </w:tc>
        <w:tc>
          <w:tcPr>
            <w:tcW w:type="dxa" w:w="1944"/>
            <w:shd w:val="clear" w:color="auto" w:fill="EAF0EE"/>
          </w:tcPr>
          <w:p>
            <w:pPr>
              <w:spacing w:after="20"/>
            </w:pPr>
            <w:r>
              <w:rPr>
                <w:b/>
                <w:color w:val="1C3A36"/>
                <w:sz w:val="18"/>
              </w:rPr>
              <w:t>Operating profit</w:t>
            </w:r>
          </w:p>
        </w:tc>
      </w:tr>
      <w:tr>
        <w:tc>
          <w:tcPr>
            <w:tcW w:type="dxa" w:w="2448"/>
          </w:tcPr>
          <w:p>
            <w:pPr>
              <w:spacing w:after="20"/>
            </w:pPr>
            <w:r>
              <w:rPr>
                <w:color w:val="1C3A36"/>
                <w:sz w:val="18"/>
              </w:rPr>
              <w:t>6M Dec-2024</w:t>
            </w:r>
          </w:p>
        </w:tc>
        <w:tc>
          <w:tcPr>
            <w:tcW w:type="dxa" w:w="1800"/>
          </w:tcPr>
          <w:p>
            <w:pPr>
              <w:spacing w:after="20"/>
              <w:jc w:val="right"/>
            </w:pPr>
            <w:r>
              <w:rPr>
                <w:color w:val="1C3A36"/>
                <w:sz w:val="18"/>
              </w:rPr>
              <w:t>18,246</w:t>
            </w:r>
          </w:p>
        </w:tc>
        <w:tc>
          <w:tcPr>
            <w:tcW w:type="dxa" w:w="1800"/>
          </w:tcPr>
          <w:p>
            <w:pPr>
              <w:spacing w:after="20"/>
              <w:jc w:val="right"/>
            </w:pPr>
            <w:r>
              <w:rPr>
                <w:color w:val="1C3A36"/>
                <w:sz w:val="18"/>
              </w:rPr>
              <w:t>1,251</w:t>
            </w:r>
          </w:p>
        </w:tc>
        <w:tc>
          <w:tcPr>
            <w:tcW w:type="dxa" w:w="1656"/>
          </w:tcPr>
          <w:p>
            <w:pPr>
              <w:spacing w:after="20"/>
              <w:jc w:val="right"/>
            </w:pPr>
            <w:r>
              <w:rPr>
                <w:color w:val="1C3A36"/>
                <w:sz w:val="18"/>
              </w:rPr>
              <w:t>6.85%</w:t>
            </w:r>
          </w:p>
        </w:tc>
        <w:tc>
          <w:tcPr>
            <w:tcW w:type="dxa" w:w="1944"/>
          </w:tcPr>
          <w:p>
            <w:pPr>
              <w:spacing w:after="20"/>
              <w:jc w:val="right"/>
            </w:pPr>
            <w:r>
              <w:rPr>
                <w:color w:val="1C3A36"/>
                <w:sz w:val="18"/>
              </w:rPr>
              <w:t>744</w:t>
            </w:r>
          </w:p>
        </w:tc>
      </w:tr>
      <w:tr>
        <w:tc>
          <w:tcPr>
            <w:tcW w:type="dxa" w:w="2448"/>
          </w:tcPr>
          <w:p>
            <w:pPr>
              <w:spacing w:after="20"/>
            </w:pPr>
            <w:r>
              <w:rPr>
                <w:color w:val="1C3A36"/>
                <w:sz w:val="18"/>
              </w:rPr>
              <w:t>3M Mar-2025</w:t>
            </w:r>
          </w:p>
        </w:tc>
        <w:tc>
          <w:tcPr>
            <w:tcW w:type="dxa" w:w="1800"/>
          </w:tcPr>
          <w:p>
            <w:pPr>
              <w:spacing w:after="20"/>
              <w:jc w:val="right"/>
            </w:pPr>
            <w:r>
              <w:rPr>
                <w:color w:val="1C3A36"/>
                <w:sz w:val="18"/>
              </w:rPr>
              <w:t>10,068</w:t>
            </w:r>
          </w:p>
        </w:tc>
        <w:tc>
          <w:tcPr>
            <w:tcW w:type="dxa" w:w="1800"/>
          </w:tcPr>
          <w:p>
            <w:pPr>
              <w:spacing w:after="20"/>
              <w:jc w:val="right"/>
            </w:pPr>
            <w:r>
              <w:rPr>
                <w:color w:val="1C3A36"/>
                <w:sz w:val="18"/>
              </w:rPr>
              <w:t>509</w:t>
            </w:r>
          </w:p>
        </w:tc>
        <w:tc>
          <w:tcPr>
            <w:tcW w:type="dxa" w:w="1656"/>
          </w:tcPr>
          <w:p>
            <w:pPr>
              <w:spacing w:after="20"/>
              <w:jc w:val="right"/>
            </w:pPr>
            <w:r>
              <w:rPr>
                <w:color w:val="1C3A36"/>
                <w:sz w:val="18"/>
              </w:rPr>
              <w:t>5.05%</w:t>
            </w:r>
          </w:p>
        </w:tc>
        <w:tc>
          <w:tcPr>
            <w:tcW w:type="dxa" w:w="1944"/>
          </w:tcPr>
          <w:p>
            <w:pPr>
              <w:spacing w:after="20"/>
              <w:jc w:val="right"/>
            </w:pPr>
            <w:r>
              <w:rPr>
                <w:color w:val="1C3A36"/>
                <w:sz w:val="18"/>
              </w:rPr>
              <w:t>247</w:t>
            </w:r>
          </w:p>
        </w:tc>
      </w:tr>
      <w:tr>
        <w:tc>
          <w:tcPr>
            <w:tcW w:type="dxa" w:w="2448"/>
          </w:tcPr>
          <w:p>
            <w:pPr>
              <w:spacing w:after="20"/>
            </w:pPr>
            <w:r>
              <w:rPr>
                <w:color w:val="1C3A36"/>
                <w:sz w:val="18"/>
              </w:rPr>
              <w:t>6M Dec-2025</w:t>
            </w:r>
          </w:p>
        </w:tc>
        <w:tc>
          <w:tcPr>
            <w:tcW w:type="dxa" w:w="1800"/>
          </w:tcPr>
          <w:p>
            <w:pPr>
              <w:spacing w:after="20"/>
              <w:jc w:val="right"/>
            </w:pPr>
            <w:r>
              <w:rPr>
                <w:color w:val="1C3A36"/>
                <w:sz w:val="18"/>
              </w:rPr>
              <w:t>20,736</w:t>
            </w:r>
          </w:p>
        </w:tc>
        <w:tc>
          <w:tcPr>
            <w:tcW w:type="dxa" w:w="1800"/>
          </w:tcPr>
          <w:p>
            <w:pPr>
              <w:spacing w:after="20"/>
              <w:jc w:val="right"/>
            </w:pPr>
            <w:r>
              <w:rPr>
                <w:color w:val="1C3A36"/>
                <w:sz w:val="18"/>
              </w:rPr>
              <w:t>1,274</w:t>
            </w:r>
          </w:p>
        </w:tc>
        <w:tc>
          <w:tcPr>
            <w:tcW w:type="dxa" w:w="1656"/>
          </w:tcPr>
          <w:p>
            <w:pPr>
              <w:spacing w:after="20"/>
              <w:jc w:val="right"/>
            </w:pPr>
            <w:r>
              <w:rPr>
                <w:color w:val="1C3A36"/>
                <w:sz w:val="18"/>
              </w:rPr>
              <w:t>6.14%</w:t>
            </w:r>
          </w:p>
        </w:tc>
        <w:tc>
          <w:tcPr>
            <w:tcW w:type="dxa" w:w="1944"/>
          </w:tcPr>
          <w:p>
            <w:pPr>
              <w:spacing w:after="20"/>
              <w:jc w:val="right"/>
            </w:pPr>
            <w:r>
              <w:rPr>
                <w:color w:val="1C3A36"/>
                <w:sz w:val="18"/>
              </w:rPr>
              <w:t>486</w:t>
            </w:r>
          </w:p>
        </w:tc>
      </w:tr>
      <w:tr>
        <w:tc>
          <w:tcPr>
            <w:tcW w:type="dxa" w:w="2448"/>
          </w:tcPr>
          <w:p>
            <w:pPr>
              <w:spacing w:after="20"/>
            </w:pPr>
            <w:r>
              <w:rPr>
                <w:color w:val="1C3A36"/>
                <w:sz w:val="18"/>
              </w:rPr>
              <w:t>3M Mar-2026</w:t>
            </w:r>
          </w:p>
        </w:tc>
        <w:tc>
          <w:tcPr>
            <w:tcW w:type="dxa" w:w="1800"/>
          </w:tcPr>
          <w:p>
            <w:pPr>
              <w:spacing w:after="20"/>
              <w:jc w:val="right"/>
            </w:pPr>
            <w:r>
              <w:rPr>
                <w:color w:val="1C3A36"/>
                <w:sz w:val="18"/>
              </w:rPr>
              <w:t>10,511</w:t>
            </w:r>
          </w:p>
        </w:tc>
        <w:tc>
          <w:tcPr>
            <w:tcW w:type="dxa" w:w="1800"/>
          </w:tcPr>
          <w:p>
            <w:pPr>
              <w:spacing w:after="20"/>
              <w:jc w:val="right"/>
            </w:pPr>
            <w:r>
              <w:rPr>
                <w:color w:val="1C3A36"/>
                <w:sz w:val="18"/>
              </w:rPr>
              <w:t>1,071</w:t>
            </w:r>
          </w:p>
        </w:tc>
        <w:tc>
          <w:tcPr>
            <w:tcW w:type="dxa" w:w="1656"/>
          </w:tcPr>
          <w:p>
            <w:pPr>
              <w:spacing w:after="20"/>
              <w:jc w:val="right"/>
            </w:pPr>
            <w:r>
              <w:rPr>
                <w:color w:val="1C3A36"/>
                <w:sz w:val="18"/>
              </w:rPr>
              <w:t>10.19%</w:t>
            </w:r>
          </w:p>
        </w:tc>
        <w:tc>
          <w:tcPr>
            <w:tcW w:type="dxa" w:w="1944"/>
          </w:tcPr>
          <w:p>
            <w:pPr>
              <w:spacing w:after="20"/>
              <w:jc w:val="right"/>
            </w:pPr>
            <w:r>
              <w:rPr>
                <w:color w:val="1C3A36"/>
                <w:sz w:val="18"/>
              </w:rPr>
              <w:t>643</w:t>
            </w:r>
          </w:p>
        </w:tc>
      </w:tr>
      <w:tr>
        <w:tc>
          <w:tcPr>
            <w:tcW w:type="dxa" w:w="2448"/>
          </w:tcPr>
          <w:p>
            <w:pPr>
              <w:spacing w:after="20"/>
            </w:pPr>
            <w:r>
              <w:rPr>
                <w:color w:val="1C3A36"/>
                <w:sz w:val="18"/>
              </w:rPr>
              <w:t>6M Jun-2026</w:t>
            </w:r>
          </w:p>
        </w:tc>
        <w:tc>
          <w:tcPr>
            <w:tcW w:type="dxa" w:w="1800"/>
          </w:tcPr>
          <w:p>
            <w:pPr>
              <w:spacing w:after="20"/>
              <w:jc w:val="right"/>
            </w:pPr>
            <w:r>
              <w:rPr>
                <w:color w:val="1C3A36"/>
                <w:sz w:val="18"/>
              </w:rPr>
              <w:t>26,223</w:t>
            </w:r>
          </w:p>
        </w:tc>
        <w:tc>
          <w:tcPr>
            <w:tcW w:type="dxa" w:w="1800"/>
          </w:tcPr>
          <w:p>
            <w:pPr>
              <w:spacing w:after="20"/>
              <w:jc w:val="right"/>
            </w:pPr>
            <w:r>
              <w:rPr>
                <w:color w:val="1C3A36"/>
                <w:sz w:val="18"/>
              </w:rPr>
              <w:t>3,259</w:t>
            </w:r>
          </w:p>
        </w:tc>
        <w:tc>
          <w:tcPr>
            <w:tcW w:type="dxa" w:w="1656"/>
          </w:tcPr>
          <w:p>
            <w:pPr>
              <w:spacing w:after="20"/>
              <w:jc w:val="right"/>
            </w:pPr>
            <w:r>
              <w:rPr>
                <w:color w:val="1C3A36"/>
                <w:sz w:val="18"/>
              </w:rPr>
              <w:t>12.43%</w:t>
            </w:r>
          </w:p>
        </w:tc>
        <w:tc>
          <w:tcPr>
            <w:tcW w:type="dxa" w:w="1944"/>
          </w:tcPr>
          <w:p>
            <w:pPr>
              <w:spacing w:after="20"/>
              <w:jc w:val="right"/>
            </w:pPr>
            <w:r>
              <w:rPr>
                <w:color w:val="1C3A36"/>
                <w:sz w:val="18"/>
              </w:rPr>
              <w:t>2,456</w:t>
            </w:r>
          </w:p>
        </w:tc>
      </w:tr>
    </w:tbl>
    <w:p>
      <w:pPr>
        <w:spacing w:after="40"/>
      </w:pPr>
    </w:p>
    <w:p>
      <w:pPr>
        <w:spacing w:after="200" w:before="0"/>
      </w:pPr>
      <w:r>
        <w:rPr>
          <w:b w:val="0"/>
          <w:i/>
          <w:color w:val="6E7B77"/>
          <w:sz w:val="17"/>
        </w:rPr>
        <w:t>Table 6 — the filed margin record. Five consecutively filed periods; the margin ranges 5.05% to 12.43%, a spread of 737 basis points. Nothing here is modelled. The margin is administered, not competed: read this as a policy record.</w:t>
      </w:r>
    </w:p>
    <w:p>
      <w:pPr>
        <w:spacing w:after="80" w:before="200"/>
      </w:pPr>
      <w:r>
        <w:rPr>
          <w:b/>
          <w:i w:val="0"/>
          <w:color w:val="1C3A36"/>
          <w:sz w:val="24"/>
        </w:rPr>
        <w:t>1.3  Three charges the reported profit hides — and which this study takes</w:t>
      </w:r>
    </w:p>
    <w:p>
      <w:pPr>
        <w:spacing w:after="120" w:before="0"/>
      </w:pPr>
      <w:r>
        <w:rPr>
          <w:b w:val="0"/>
          <w:i w:val="0"/>
          <w:color w:val="1C3A36"/>
          <w:sz w:val="21"/>
        </w:rPr>
        <w:t>Each of the following is disclosed in the filings, was registered as an input by the previous edition of this study, and was then read by no formula in it. All three are charged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160"/>
        <w:gridCol w:w="1584"/>
        <w:gridCol w:w="3384"/>
        <w:gridCol w:w="1800"/>
      </w:tblGrid>
      <w:tr>
        <w:tc>
          <w:tcPr>
            <w:tcW w:type="dxa" w:w="2304"/>
            <w:shd w:val="clear" w:color="auto" w:fill="EAF0EE"/>
          </w:tcPr>
          <w:p>
            <w:pPr>
              <w:spacing w:after="20"/>
            </w:pPr>
            <w:r>
              <w:rPr>
                <w:b/>
                <w:color w:val="1C3A36"/>
                <w:sz w:val="17"/>
              </w:rPr>
              <w:t>Charge</w:t>
            </w:r>
          </w:p>
        </w:tc>
        <w:tc>
          <w:tcPr>
            <w:tcW w:type="dxa" w:w="2160"/>
            <w:shd w:val="clear" w:color="auto" w:fill="EAF0EE"/>
          </w:tcPr>
          <w:p>
            <w:pPr>
              <w:spacing w:after="20"/>
            </w:pPr>
            <w:r>
              <w:rPr>
                <w:b/>
                <w:color w:val="1C3A36"/>
                <w:sz w:val="17"/>
              </w:rPr>
              <w:t>Disclosed</w:t>
            </w:r>
          </w:p>
        </w:tc>
        <w:tc>
          <w:tcPr>
            <w:tcW w:type="dxa" w:w="1584"/>
            <w:shd w:val="clear" w:color="auto" w:fill="EAF0EE"/>
          </w:tcPr>
          <w:p>
            <w:pPr>
              <w:spacing w:after="20"/>
            </w:pPr>
            <w:r>
              <w:rPr>
                <w:b/>
                <w:color w:val="1C3A36"/>
                <w:sz w:val="17"/>
              </w:rPr>
              <w:t>Annualised</w:t>
            </w:r>
          </w:p>
        </w:tc>
        <w:tc>
          <w:tcPr>
            <w:tcW w:type="dxa" w:w="3384"/>
            <w:shd w:val="clear" w:color="auto" w:fill="EAF0EE"/>
          </w:tcPr>
          <w:p>
            <w:pPr>
              <w:spacing w:after="20"/>
            </w:pPr>
            <w:r>
              <w:rPr>
                <w:b/>
                <w:color w:val="1C3A36"/>
                <w:sz w:val="17"/>
              </w:rPr>
              <w:t>Where it belongs</w:t>
            </w:r>
          </w:p>
        </w:tc>
        <w:tc>
          <w:tcPr>
            <w:tcW w:type="dxa" w:w="1800"/>
            <w:shd w:val="clear" w:color="auto" w:fill="EAF0EE"/>
          </w:tcPr>
          <w:p>
            <w:pPr>
              <w:spacing w:after="20"/>
            </w:pPr>
            <w:r>
              <w:rPr>
                <w:b/>
                <w:color w:val="1C3A36"/>
                <w:sz w:val="17"/>
              </w:rPr>
              <w:t>Central WITHOUT it</w:t>
            </w:r>
          </w:p>
        </w:tc>
      </w:tr>
      <w:tr>
        <w:tc>
          <w:tcPr>
            <w:tcW w:type="dxa" w:w="2304"/>
          </w:tcPr>
          <w:p>
            <w:pPr>
              <w:spacing w:after="20"/>
            </w:pPr>
            <w:r>
              <w:rPr>
                <w:color w:val="1C3A36"/>
                <w:sz w:val="17"/>
              </w:rPr>
              <w:t>Employees’ profit share and board bonuses</w:t>
            </w:r>
          </w:p>
        </w:tc>
        <w:tc>
          <w:tcPr>
            <w:tcW w:type="dxa" w:w="2160"/>
          </w:tcPr>
          <w:p>
            <w:pPr>
              <w:spacing w:after="20"/>
            </w:pPr>
            <w:r>
              <w:rPr>
                <w:color w:val="1C3A36"/>
                <w:sz w:val="17"/>
              </w:rPr>
              <w:t>EGP 67mn in the audited half (note 16)</w:t>
            </w:r>
          </w:p>
        </w:tc>
        <w:tc>
          <w:tcPr>
            <w:tcW w:type="dxa" w:w="1584"/>
          </w:tcPr>
          <w:p>
            <w:pPr>
              <w:spacing w:after="20"/>
            </w:pPr>
            <w:r>
              <w:rPr>
                <w:color w:val="1C3A36"/>
                <w:sz w:val="17"/>
              </w:rPr>
              <w:t>5.24% of profit after tax</w:t>
            </w:r>
          </w:p>
        </w:tc>
        <w:tc>
          <w:tcPr>
            <w:tcW w:type="dxa" w:w="3384"/>
          </w:tcPr>
          <w:p>
            <w:pPr>
              <w:spacing w:after="20"/>
            </w:pPr>
            <w:r>
              <w:rPr>
                <w:color w:val="1C3A36"/>
                <w:sz w:val="17"/>
              </w:rPr>
              <w:t>charged in the waterfall and in normalised earnings — a contractual appropriation that reaches neither the shareholder nor the tax line</w:t>
            </w:r>
          </w:p>
        </w:tc>
        <w:tc>
          <w:tcPr>
            <w:tcW w:type="dxa" w:w="1800"/>
          </w:tcPr>
          <w:p>
            <w:pPr>
              <w:spacing w:after="20"/>
              <w:jc w:val="right"/>
            </w:pPr>
            <w:r>
              <w:rPr>
                <w:color w:val="1C3A36"/>
                <w:sz w:val="17"/>
              </w:rPr>
              <w:t>20.38  (+1.7%)</w:t>
            </w:r>
          </w:p>
        </w:tc>
      </w:tr>
      <w:tr>
        <w:tc>
          <w:tcPr>
            <w:tcW w:type="dxa" w:w="2304"/>
          </w:tcPr>
          <w:p>
            <w:pPr>
              <w:spacing w:after="20"/>
            </w:pPr>
            <w:r>
              <w:rPr>
                <w:color w:val="1C3A36"/>
                <w:sz w:val="17"/>
              </w:rPr>
              <w:t>Provision for tax disputes and claims</w:t>
            </w:r>
          </w:p>
        </w:tc>
        <w:tc>
          <w:tcPr>
            <w:tcW w:type="dxa" w:w="2160"/>
          </w:tcPr>
          <w:p>
            <w:pPr>
              <w:spacing w:after="20"/>
            </w:pPr>
            <w:r>
              <w:rPr>
                <w:color w:val="1C3A36"/>
                <w:sz w:val="17"/>
              </w:rPr>
              <w:t>EGP 997mn at 31-Dec-2025 (note 10-1)</w:t>
            </w:r>
          </w:p>
        </w:tc>
        <w:tc>
          <w:tcPr>
            <w:tcW w:type="dxa" w:w="1584"/>
          </w:tcPr>
          <w:p>
            <w:pPr>
              <w:spacing w:after="20"/>
            </w:pPr>
            <w:r>
              <w:rPr>
                <w:color w:val="1C3A36"/>
                <w:sz w:val="17"/>
              </w:rPr>
              <w:t>one-off, at face</w:t>
            </w:r>
          </w:p>
        </w:tc>
        <w:tc>
          <w:tcPr>
            <w:tcW w:type="dxa" w:w="3384"/>
          </w:tcPr>
          <w:p>
            <w:pPr>
              <w:spacing w:after="20"/>
            </w:pPr>
            <w:r>
              <w:rPr>
                <w:color w:val="1C3A36"/>
                <w:sz w:val="17"/>
              </w:rPr>
              <w:t>deducted in the equity bridge as a senior claim on the cash</w:t>
            </w:r>
          </w:p>
        </w:tc>
        <w:tc>
          <w:tcPr>
            <w:tcW w:type="dxa" w:w="1800"/>
          </w:tcPr>
          <w:p>
            <w:pPr>
              <w:spacing w:after="20"/>
              <w:jc w:val="right"/>
            </w:pPr>
            <w:r>
              <w:rPr>
                <w:color w:val="1C3A36"/>
                <w:sz w:val="17"/>
              </w:rPr>
              <w:t>20.82  (+3.8%)</w:t>
            </w:r>
          </w:p>
        </w:tc>
      </w:tr>
      <w:tr>
        <w:tc>
          <w:tcPr>
            <w:tcW w:type="dxa" w:w="2304"/>
          </w:tcPr>
          <w:p>
            <w:pPr>
              <w:spacing w:after="20"/>
            </w:pPr>
            <w:r>
              <w:rPr>
                <w:color w:val="1C3A36"/>
                <w:sz w:val="17"/>
              </w:rPr>
              <w:t>Dividends payable, declared and unpaid</w:t>
            </w:r>
          </w:p>
        </w:tc>
        <w:tc>
          <w:tcPr>
            <w:tcW w:type="dxa" w:w="2160"/>
          </w:tcPr>
          <w:p>
            <w:pPr>
              <w:spacing w:after="20"/>
            </w:pPr>
            <w:r>
              <w:rPr>
                <w:color w:val="1C3A36"/>
                <w:sz w:val="17"/>
              </w:rPr>
              <w:t>EGP 258mn at 31-Dec-2025 (note 11)</w:t>
            </w:r>
          </w:p>
        </w:tc>
        <w:tc>
          <w:tcPr>
            <w:tcW w:type="dxa" w:w="1584"/>
          </w:tcPr>
          <w:p>
            <w:pPr>
              <w:spacing w:after="20"/>
            </w:pPr>
            <w:r>
              <w:rPr>
                <w:color w:val="1C3A36"/>
                <w:sz w:val="17"/>
              </w:rPr>
              <w:t>one-off, at face</w:t>
            </w:r>
          </w:p>
        </w:tc>
        <w:tc>
          <w:tcPr>
            <w:tcW w:type="dxa" w:w="3384"/>
          </w:tcPr>
          <w:p>
            <w:pPr>
              <w:spacing w:after="20"/>
            </w:pPr>
            <w:r>
              <w:rPr>
                <w:color w:val="1C3A36"/>
                <w:sz w:val="17"/>
              </w:rPr>
              <w:t>removed from operating working capital and deducted in the bridge</w:t>
            </w:r>
          </w:p>
        </w:tc>
        <w:tc>
          <w:tcPr>
            <w:tcW w:type="dxa" w:w="1800"/>
          </w:tcPr>
          <w:p>
            <w:pPr>
              <w:spacing w:after="20"/>
              <w:jc w:val="right"/>
            </w:pPr>
            <w:r>
              <w:rPr>
                <w:color w:val="1C3A36"/>
                <w:sz w:val="17"/>
              </w:rPr>
              <w:t>20.25  (+1.0%)</w:t>
            </w:r>
          </w:p>
        </w:tc>
      </w:tr>
    </w:tbl>
    <w:p>
      <w:pPr>
        <w:spacing w:after="40"/>
      </w:pPr>
    </w:p>
    <w:p>
      <w:pPr>
        <w:spacing w:after="200" w:before="0"/>
      </w:pPr>
      <w:r>
        <w:rPr>
          <w:b w:val="0"/>
          <w:i/>
          <w:color w:val="6E7B77"/>
          <w:sz w:val="17"/>
        </w:rPr>
        <w:t>Table 7 — the three charges. The rightmost column is the central this study would print if the charge were NOT taken, from a full model re-run — so a positive figure is how much each charge costs the valuation. Setting the provision to zero in the previous edition moved its valuation by nothing at all, to four decimal places, because no formula read the cell. A rewritten reachability gate now FAILS the build if any input carrying a balance-sheet or profit-statement claim is registered without being used; it found sixteen such inputs where the old gate reported zero.</w:t>
      </w:r>
    </w:p>
    <w:p>
      <w:pPr>
        <w:spacing w:after="80" w:before="200"/>
      </w:pPr>
      <w:r>
        <w:rPr>
          <w:b/>
          <w:i w:val="0"/>
          <w:color w:val="1C3A36"/>
          <w:sz w:val="24"/>
        </w:rPr>
        <w:t>1.4  How revenue is built</w:t>
      </w:r>
    </w:p>
    <w:p>
      <w:pPr>
        <w:spacing w:after="120" w:before="0"/>
      </w:pPr>
      <w:r>
        <w:rPr>
          <w:b w:val="0"/>
          <w:i w:val="0"/>
          <w:color w:val="1C3A36"/>
          <w:sz w:val="21"/>
        </w:rPr>
        <w:t>Revenue is the eight disclosed product lines, tonnes times realisation, rolled forward on a volume path per line and one realisation path. Tonnage comes from note 14-A annualised; realisations are note 14-A value divided by note 14-A tonnes, lifted by ONE solved index so the base year foots to the twelve-month revenue. That index is 1.000 and it is the only free scalar on the revenue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656"/>
        <w:gridCol w:w="1195"/>
        <w:gridCol w:w="1195"/>
        <w:gridCol w:w="1195"/>
        <w:gridCol w:w="1195"/>
        <w:gridCol w:w="1195"/>
      </w:tblGrid>
      <w:tr>
        <w:tc>
          <w:tcPr>
            <w:tcW w:type="dxa" w:w="1944"/>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Base tonnes mn</w:t>
            </w:r>
          </w:p>
        </w:tc>
        <w:tc>
          <w:tcPr>
            <w:tcW w:type="dxa" w:w="1656"/>
            <w:shd w:val="clear" w:color="auto" w:fill="EAF0EE"/>
          </w:tcPr>
          <w:p>
            <w:pPr>
              <w:spacing w:after="20"/>
            </w:pPr>
            <w:r>
              <w:rPr>
                <w:b/>
                <w:color w:val="1C3A36"/>
                <w:sz w:val="16"/>
              </w:rPr>
              <w:t>Base realisation EGP/t</w:t>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1944"/>
          </w:tcPr>
          <w:p>
            <w:pPr>
              <w:spacing w:after="20"/>
            </w:pPr>
            <w:r>
              <w:rPr>
                <w:color w:val="1C3A36"/>
                <w:sz w:val="16"/>
              </w:rPr>
              <w:t>Base and special oils</w:t>
            </w:r>
          </w:p>
        </w:tc>
        <w:tc>
          <w:tcPr>
            <w:tcW w:type="dxa" w:w="1368"/>
          </w:tcPr>
          <w:p>
            <w:pPr>
              <w:spacing w:after="20"/>
              <w:jc w:val="right"/>
            </w:pPr>
            <w:r>
              <w:rPr>
                <w:color w:val="1C3A36"/>
                <w:sz w:val="16"/>
              </w:rPr>
              <w:t>0.118</w:t>
            </w:r>
          </w:p>
        </w:tc>
        <w:tc>
          <w:tcPr>
            <w:tcW w:type="dxa" w:w="1656"/>
          </w:tcPr>
          <w:p>
            <w:pPr>
              <w:spacing w:after="20"/>
              <w:jc w:val="right"/>
            </w:pPr>
            <w:r>
              <w:rPr>
                <w:color w:val="1C3A36"/>
                <w:sz w:val="16"/>
              </w:rPr>
              <w:t>58,327</w:t>
            </w:r>
          </w:p>
        </w:tc>
        <w:tc>
          <w:tcPr>
            <w:tcW w:type="dxa" w:w="1195"/>
          </w:tcPr>
          <w:p>
            <w:pPr>
              <w:spacing w:after="20"/>
              <w:jc w:val="right"/>
            </w:pPr>
            <w:r>
              <w:rPr>
                <w:color w:val="1C3A36"/>
                <w:sz w:val="16"/>
              </w:rPr>
              <w:t>7,820</w:t>
            </w:r>
          </w:p>
        </w:tc>
        <w:tc>
          <w:tcPr>
            <w:tcW w:type="dxa" w:w="1195"/>
          </w:tcPr>
          <w:p>
            <w:pPr>
              <w:spacing w:after="20"/>
              <w:jc w:val="right"/>
            </w:pPr>
            <w:r>
              <w:rPr>
                <w:color w:val="1C3A36"/>
                <w:sz w:val="16"/>
              </w:rPr>
              <w:t>8,545</w:t>
            </w:r>
          </w:p>
        </w:tc>
        <w:tc>
          <w:tcPr>
            <w:tcW w:type="dxa" w:w="1195"/>
          </w:tcPr>
          <w:p>
            <w:pPr>
              <w:spacing w:after="20"/>
              <w:jc w:val="right"/>
            </w:pPr>
            <w:r>
              <w:rPr>
                <w:color w:val="1C3A36"/>
                <w:sz w:val="16"/>
              </w:rPr>
              <w:t>9,087</w:t>
            </w:r>
          </w:p>
        </w:tc>
        <w:tc>
          <w:tcPr>
            <w:tcW w:type="dxa" w:w="1195"/>
          </w:tcPr>
          <w:p>
            <w:pPr>
              <w:spacing w:after="20"/>
              <w:jc w:val="right"/>
            </w:pPr>
            <w:r>
              <w:rPr>
                <w:color w:val="1C3A36"/>
                <w:sz w:val="16"/>
              </w:rPr>
              <w:t>9,530</w:t>
            </w:r>
          </w:p>
        </w:tc>
        <w:tc>
          <w:tcPr>
            <w:tcW w:type="dxa" w:w="1195"/>
          </w:tcPr>
          <w:p>
            <w:pPr>
              <w:spacing w:after="20"/>
              <w:jc w:val="right"/>
            </w:pPr>
            <w:r>
              <w:rPr>
                <w:color w:val="1C3A36"/>
                <w:sz w:val="16"/>
              </w:rPr>
              <w:t>9,949</w:t>
            </w:r>
          </w:p>
        </w:tc>
      </w:tr>
      <w:tr>
        <w:tc>
          <w:tcPr>
            <w:tcW w:type="dxa" w:w="1944"/>
          </w:tcPr>
          <w:p>
            <w:pPr>
              <w:spacing w:after="20"/>
            </w:pPr>
            <w:r>
              <w:rPr>
                <w:color w:val="1C3A36"/>
                <w:sz w:val="16"/>
              </w:rPr>
              <w:t>Paraffin wax</w:t>
            </w:r>
          </w:p>
        </w:tc>
        <w:tc>
          <w:tcPr>
            <w:tcW w:type="dxa" w:w="1368"/>
          </w:tcPr>
          <w:p>
            <w:pPr>
              <w:spacing w:after="20"/>
              <w:jc w:val="right"/>
            </w:pPr>
            <w:r>
              <w:rPr>
                <w:color w:val="1C3A36"/>
                <w:sz w:val="16"/>
              </w:rPr>
              <w:t>0.083</w:t>
            </w:r>
          </w:p>
        </w:tc>
        <w:tc>
          <w:tcPr>
            <w:tcW w:type="dxa" w:w="1656"/>
          </w:tcPr>
          <w:p>
            <w:pPr>
              <w:spacing w:after="20"/>
              <w:jc w:val="right"/>
            </w:pPr>
            <w:r>
              <w:rPr>
                <w:color w:val="1C3A36"/>
                <w:sz w:val="16"/>
              </w:rPr>
              <w:t>56,190</w:t>
            </w:r>
          </w:p>
        </w:tc>
        <w:tc>
          <w:tcPr>
            <w:tcW w:type="dxa" w:w="1195"/>
          </w:tcPr>
          <w:p>
            <w:pPr>
              <w:spacing w:after="20"/>
              <w:jc w:val="right"/>
            </w:pPr>
            <w:r>
              <w:rPr>
                <w:color w:val="1C3A36"/>
                <w:sz w:val="16"/>
              </w:rPr>
              <w:t>5,266</w:t>
            </w:r>
          </w:p>
        </w:tc>
        <w:tc>
          <w:tcPr>
            <w:tcW w:type="dxa" w:w="1195"/>
          </w:tcPr>
          <w:p>
            <w:pPr>
              <w:spacing w:after="20"/>
              <w:jc w:val="right"/>
            </w:pPr>
            <w:r>
              <w:rPr>
                <w:color w:val="1C3A36"/>
                <w:sz w:val="16"/>
              </w:rPr>
              <w:t>5,754</w:t>
            </w:r>
          </w:p>
        </w:tc>
        <w:tc>
          <w:tcPr>
            <w:tcW w:type="dxa" w:w="1195"/>
          </w:tcPr>
          <w:p>
            <w:pPr>
              <w:spacing w:after="20"/>
              <w:jc w:val="right"/>
            </w:pPr>
            <w:r>
              <w:rPr>
                <w:color w:val="1C3A36"/>
                <w:sz w:val="16"/>
              </w:rPr>
              <w:t>6,119</w:t>
            </w:r>
          </w:p>
        </w:tc>
        <w:tc>
          <w:tcPr>
            <w:tcW w:type="dxa" w:w="1195"/>
          </w:tcPr>
          <w:p>
            <w:pPr>
              <w:spacing w:after="20"/>
              <w:jc w:val="right"/>
            </w:pPr>
            <w:r>
              <w:rPr>
                <w:color w:val="1C3A36"/>
                <w:sz w:val="16"/>
              </w:rPr>
              <w:t>6,417</w:t>
            </w:r>
          </w:p>
        </w:tc>
        <w:tc>
          <w:tcPr>
            <w:tcW w:type="dxa" w:w="1195"/>
          </w:tcPr>
          <w:p>
            <w:pPr>
              <w:spacing w:after="20"/>
              <w:jc w:val="right"/>
            </w:pPr>
            <w:r>
              <w:rPr>
                <w:color w:val="1C3A36"/>
                <w:sz w:val="16"/>
              </w:rPr>
              <w:t>6,699</w:t>
            </w:r>
          </w:p>
        </w:tc>
      </w:tr>
      <w:tr>
        <w:tc>
          <w:tcPr>
            <w:tcW w:type="dxa" w:w="1944"/>
          </w:tcPr>
          <w:p>
            <w:pPr>
              <w:spacing w:after="20"/>
            </w:pPr>
            <w:r>
              <w:rPr>
                <w:color w:val="1C3A36"/>
                <w:sz w:val="16"/>
              </w:rPr>
              <w:t>Gas oil</w:t>
            </w:r>
          </w:p>
        </w:tc>
        <w:tc>
          <w:tcPr>
            <w:tcW w:type="dxa" w:w="1368"/>
          </w:tcPr>
          <w:p>
            <w:pPr>
              <w:spacing w:after="20"/>
              <w:jc w:val="right"/>
            </w:pPr>
            <w:r>
              <w:rPr>
                <w:color w:val="1C3A36"/>
                <w:sz w:val="16"/>
              </w:rPr>
              <w:t>0.347</w:t>
            </w:r>
          </w:p>
        </w:tc>
        <w:tc>
          <w:tcPr>
            <w:tcW w:type="dxa" w:w="1656"/>
          </w:tcPr>
          <w:p>
            <w:pPr>
              <w:spacing w:after="20"/>
              <w:jc w:val="right"/>
            </w:pPr>
            <w:r>
              <w:rPr>
                <w:color w:val="1C3A36"/>
                <w:sz w:val="16"/>
              </w:rPr>
              <w:t>37,589</w:t>
            </w:r>
          </w:p>
        </w:tc>
        <w:tc>
          <w:tcPr>
            <w:tcW w:type="dxa" w:w="1195"/>
          </w:tcPr>
          <w:p>
            <w:pPr>
              <w:spacing w:after="20"/>
              <w:jc w:val="right"/>
            </w:pPr>
            <w:r>
              <w:rPr>
                <w:color w:val="1C3A36"/>
                <w:sz w:val="16"/>
              </w:rPr>
              <w:t>14,749</w:t>
            </w:r>
          </w:p>
        </w:tc>
        <w:tc>
          <w:tcPr>
            <w:tcW w:type="dxa" w:w="1195"/>
          </w:tcPr>
          <w:p>
            <w:pPr>
              <w:spacing w:after="20"/>
              <w:jc w:val="right"/>
            </w:pPr>
            <w:r>
              <w:rPr>
                <w:color w:val="1C3A36"/>
                <w:sz w:val="16"/>
              </w:rPr>
              <w:t>16,117</w:t>
            </w:r>
          </w:p>
        </w:tc>
        <w:tc>
          <w:tcPr>
            <w:tcW w:type="dxa" w:w="1195"/>
          </w:tcPr>
          <w:p>
            <w:pPr>
              <w:spacing w:after="20"/>
              <w:jc w:val="right"/>
            </w:pPr>
            <w:r>
              <w:rPr>
                <w:color w:val="1C3A36"/>
                <w:sz w:val="16"/>
              </w:rPr>
              <w:t>17,139</w:t>
            </w:r>
          </w:p>
        </w:tc>
        <w:tc>
          <w:tcPr>
            <w:tcW w:type="dxa" w:w="1195"/>
          </w:tcPr>
          <w:p>
            <w:pPr>
              <w:spacing w:after="20"/>
              <w:jc w:val="right"/>
            </w:pPr>
            <w:r>
              <w:rPr>
                <w:color w:val="1C3A36"/>
                <w:sz w:val="16"/>
              </w:rPr>
              <w:t>17,975</w:t>
            </w:r>
          </w:p>
        </w:tc>
        <w:tc>
          <w:tcPr>
            <w:tcW w:type="dxa" w:w="1195"/>
          </w:tcPr>
          <w:p>
            <w:pPr>
              <w:spacing w:after="20"/>
              <w:jc w:val="right"/>
            </w:pPr>
            <w:r>
              <w:rPr>
                <w:color w:val="1C3A36"/>
                <w:sz w:val="16"/>
              </w:rPr>
              <w:t>18,764</w:t>
            </w:r>
          </w:p>
        </w:tc>
      </w:tr>
      <w:tr>
        <w:tc>
          <w:tcPr>
            <w:tcW w:type="dxa" w:w="1944"/>
          </w:tcPr>
          <w:p>
            <w:pPr>
              <w:spacing w:after="20"/>
            </w:pPr>
            <w:r>
              <w:rPr>
                <w:color w:val="1C3A36"/>
                <w:sz w:val="16"/>
              </w:rPr>
              <w:t>Naphtha</w:t>
            </w:r>
          </w:p>
        </w:tc>
        <w:tc>
          <w:tcPr>
            <w:tcW w:type="dxa" w:w="1368"/>
          </w:tcPr>
          <w:p>
            <w:pPr>
              <w:spacing w:after="20"/>
              <w:jc w:val="right"/>
            </w:pPr>
            <w:r>
              <w:rPr>
                <w:color w:val="1C3A36"/>
                <w:sz w:val="16"/>
              </w:rPr>
              <w:t>0.081</w:t>
            </w:r>
          </w:p>
        </w:tc>
        <w:tc>
          <w:tcPr>
            <w:tcW w:type="dxa" w:w="1656"/>
          </w:tcPr>
          <w:p>
            <w:pPr>
              <w:spacing w:after="20"/>
              <w:jc w:val="right"/>
            </w:pPr>
            <w:r>
              <w:rPr>
                <w:color w:val="1C3A36"/>
                <w:sz w:val="16"/>
              </w:rPr>
              <w:t>27,782</w:t>
            </w:r>
          </w:p>
        </w:tc>
        <w:tc>
          <w:tcPr>
            <w:tcW w:type="dxa" w:w="1195"/>
          </w:tcPr>
          <w:p>
            <w:pPr>
              <w:spacing w:after="20"/>
              <w:jc w:val="right"/>
            </w:pPr>
            <w:r>
              <w:rPr>
                <w:color w:val="1C3A36"/>
                <w:sz w:val="16"/>
              </w:rPr>
              <w:t>2,532</w:t>
            </w:r>
          </w:p>
        </w:tc>
        <w:tc>
          <w:tcPr>
            <w:tcW w:type="dxa" w:w="1195"/>
          </w:tcPr>
          <w:p>
            <w:pPr>
              <w:spacing w:after="20"/>
              <w:jc w:val="right"/>
            </w:pPr>
            <w:r>
              <w:rPr>
                <w:color w:val="1C3A36"/>
                <w:sz w:val="16"/>
              </w:rPr>
              <w:t>2,767</w:t>
            </w:r>
          </w:p>
        </w:tc>
        <w:tc>
          <w:tcPr>
            <w:tcW w:type="dxa" w:w="1195"/>
          </w:tcPr>
          <w:p>
            <w:pPr>
              <w:spacing w:after="20"/>
              <w:jc w:val="right"/>
            </w:pPr>
            <w:r>
              <w:rPr>
                <w:color w:val="1C3A36"/>
                <w:sz w:val="16"/>
              </w:rPr>
              <w:t>2,943</w:t>
            </w:r>
          </w:p>
        </w:tc>
        <w:tc>
          <w:tcPr>
            <w:tcW w:type="dxa" w:w="1195"/>
          </w:tcPr>
          <w:p>
            <w:pPr>
              <w:spacing w:after="20"/>
              <w:jc w:val="right"/>
            </w:pPr>
            <w:r>
              <w:rPr>
                <w:color w:val="1C3A36"/>
                <w:sz w:val="16"/>
              </w:rPr>
              <w:t>3,086</w:t>
            </w:r>
          </w:p>
        </w:tc>
        <w:tc>
          <w:tcPr>
            <w:tcW w:type="dxa" w:w="1195"/>
          </w:tcPr>
          <w:p>
            <w:pPr>
              <w:spacing w:after="20"/>
              <w:jc w:val="right"/>
            </w:pPr>
            <w:r>
              <w:rPr>
                <w:color w:val="1C3A36"/>
                <w:sz w:val="16"/>
              </w:rPr>
              <w:t>3,222</w:t>
            </w:r>
          </w:p>
        </w:tc>
      </w:tr>
      <w:tr>
        <w:tc>
          <w:tcPr>
            <w:tcW w:type="dxa" w:w="1944"/>
          </w:tcPr>
          <w:p>
            <w:pPr>
              <w:spacing w:after="20"/>
            </w:pPr>
            <w:r>
              <w:rPr>
                <w:color w:val="1C3A36"/>
                <w:sz w:val="16"/>
              </w:rPr>
              <w:t>Liquefied petroleum gas</w:t>
            </w:r>
          </w:p>
        </w:tc>
        <w:tc>
          <w:tcPr>
            <w:tcW w:type="dxa" w:w="1368"/>
          </w:tcPr>
          <w:p>
            <w:pPr>
              <w:spacing w:after="20"/>
              <w:jc w:val="right"/>
            </w:pPr>
            <w:r>
              <w:rPr>
                <w:color w:val="1C3A36"/>
                <w:sz w:val="16"/>
              </w:rPr>
              <w:t>0.048</w:t>
            </w:r>
          </w:p>
        </w:tc>
        <w:tc>
          <w:tcPr>
            <w:tcW w:type="dxa" w:w="1656"/>
          </w:tcPr>
          <w:p>
            <w:pPr>
              <w:spacing w:after="20"/>
              <w:jc w:val="right"/>
            </w:pPr>
            <w:r>
              <w:rPr>
                <w:color w:val="1C3A36"/>
                <w:sz w:val="16"/>
              </w:rPr>
              <w:t>43,190</w:t>
            </w:r>
          </w:p>
        </w:tc>
        <w:tc>
          <w:tcPr>
            <w:tcW w:type="dxa" w:w="1195"/>
          </w:tcPr>
          <w:p>
            <w:pPr>
              <w:spacing w:after="20"/>
              <w:jc w:val="right"/>
            </w:pPr>
            <w:r>
              <w:rPr>
                <w:color w:val="1C3A36"/>
                <w:sz w:val="16"/>
              </w:rPr>
              <w:t>2,343</w:t>
            </w:r>
          </w:p>
        </w:tc>
        <w:tc>
          <w:tcPr>
            <w:tcW w:type="dxa" w:w="1195"/>
          </w:tcPr>
          <w:p>
            <w:pPr>
              <w:spacing w:after="20"/>
              <w:jc w:val="right"/>
            </w:pPr>
            <w:r>
              <w:rPr>
                <w:color w:val="1C3A36"/>
                <w:sz w:val="16"/>
              </w:rPr>
              <w:t>2,560</w:t>
            </w:r>
          </w:p>
        </w:tc>
        <w:tc>
          <w:tcPr>
            <w:tcW w:type="dxa" w:w="1195"/>
          </w:tcPr>
          <w:p>
            <w:pPr>
              <w:spacing w:after="20"/>
              <w:jc w:val="right"/>
            </w:pPr>
            <w:r>
              <w:rPr>
                <w:color w:val="1C3A36"/>
                <w:sz w:val="16"/>
              </w:rPr>
              <w:t>2,723</w:t>
            </w:r>
          </w:p>
        </w:tc>
        <w:tc>
          <w:tcPr>
            <w:tcW w:type="dxa" w:w="1195"/>
          </w:tcPr>
          <w:p>
            <w:pPr>
              <w:spacing w:after="20"/>
              <w:jc w:val="right"/>
            </w:pPr>
            <w:r>
              <w:rPr>
                <w:color w:val="1C3A36"/>
                <w:sz w:val="16"/>
              </w:rPr>
              <w:t>2,856</w:t>
            </w:r>
          </w:p>
        </w:tc>
        <w:tc>
          <w:tcPr>
            <w:tcW w:type="dxa" w:w="1195"/>
          </w:tcPr>
          <w:p>
            <w:pPr>
              <w:spacing w:after="20"/>
              <w:jc w:val="right"/>
            </w:pPr>
            <w:r>
              <w:rPr>
                <w:color w:val="1C3A36"/>
                <w:sz w:val="16"/>
              </w:rPr>
              <w:t>2,981</w:t>
            </w:r>
          </w:p>
        </w:tc>
      </w:tr>
      <w:tr>
        <w:tc>
          <w:tcPr>
            <w:tcW w:type="dxa" w:w="1944"/>
          </w:tcPr>
          <w:p>
            <w:pPr>
              <w:spacing w:after="20"/>
            </w:pPr>
            <w:r>
              <w:rPr>
                <w:color w:val="1C3A36"/>
                <w:sz w:val="16"/>
              </w:rPr>
              <w:t>Fuel oil (mix)</w:t>
            </w:r>
          </w:p>
        </w:tc>
        <w:tc>
          <w:tcPr>
            <w:tcW w:type="dxa" w:w="1368"/>
          </w:tcPr>
          <w:p>
            <w:pPr>
              <w:spacing w:after="20"/>
              <w:jc w:val="right"/>
            </w:pPr>
            <w:r>
              <w:rPr>
                <w:color w:val="1C3A36"/>
                <w:sz w:val="16"/>
              </w:rPr>
              <w:t>0.800</w:t>
            </w:r>
          </w:p>
        </w:tc>
        <w:tc>
          <w:tcPr>
            <w:tcW w:type="dxa" w:w="1656"/>
          </w:tcPr>
          <w:p>
            <w:pPr>
              <w:spacing w:after="20"/>
              <w:jc w:val="right"/>
            </w:pPr>
            <w:r>
              <w:rPr>
                <w:color w:val="1C3A36"/>
                <w:sz w:val="16"/>
              </w:rPr>
              <w:t>22,059</w:t>
            </w:r>
          </w:p>
        </w:tc>
        <w:tc>
          <w:tcPr>
            <w:tcW w:type="dxa" w:w="1195"/>
          </w:tcPr>
          <w:p>
            <w:pPr>
              <w:spacing w:after="20"/>
              <w:jc w:val="right"/>
            </w:pPr>
            <w:r>
              <w:rPr>
                <w:color w:val="1C3A36"/>
                <w:sz w:val="16"/>
              </w:rPr>
              <w:t>19,963</w:t>
            </w:r>
          </w:p>
        </w:tc>
        <w:tc>
          <w:tcPr>
            <w:tcW w:type="dxa" w:w="1195"/>
          </w:tcPr>
          <w:p>
            <w:pPr>
              <w:spacing w:after="20"/>
              <w:jc w:val="right"/>
            </w:pPr>
            <w:r>
              <w:rPr>
                <w:color w:val="1C3A36"/>
                <w:sz w:val="16"/>
              </w:rPr>
              <w:t>21,813</w:t>
            </w:r>
          </w:p>
        </w:tc>
        <w:tc>
          <w:tcPr>
            <w:tcW w:type="dxa" w:w="1195"/>
          </w:tcPr>
          <w:p>
            <w:pPr>
              <w:spacing w:after="20"/>
              <w:jc w:val="right"/>
            </w:pPr>
            <w:r>
              <w:rPr>
                <w:color w:val="1C3A36"/>
                <w:sz w:val="16"/>
              </w:rPr>
              <w:t>23,196</w:t>
            </w:r>
          </w:p>
        </w:tc>
        <w:tc>
          <w:tcPr>
            <w:tcW w:type="dxa" w:w="1195"/>
          </w:tcPr>
          <w:p>
            <w:pPr>
              <w:spacing w:after="20"/>
              <w:jc w:val="right"/>
            </w:pPr>
            <w:r>
              <w:rPr>
                <w:color w:val="1C3A36"/>
                <w:sz w:val="16"/>
              </w:rPr>
              <w:t>24,328</w:t>
            </w:r>
          </w:p>
        </w:tc>
        <w:tc>
          <w:tcPr>
            <w:tcW w:type="dxa" w:w="1195"/>
          </w:tcPr>
          <w:p>
            <w:pPr>
              <w:spacing w:after="20"/>
              <w:jc w:val="right"/>
            </w:pPr>
            <w:r>
              <w:rPr>
                <w:color w:val="1C3A36"/>
                <w:sz w:val="16"/>
              </w:rPr>
              <w:t>25,396</w:t>
            </w:r>
          </w:p>
        </w:tc>
      </w:tr>
      <w:tr>
        <w:tc>
          <w:tcPr>
            <w:tcW w:type="dxa" w:w="1944"/>
          </w:tcPr>
          <w:p>
            <w:pPr>
              <w:spacing w:after="20"/>
            </w:pPr>
            <w:r>
              <w:rPr>
                <w:color w:val="1C3A36"/>
                <w:sz w:val="16"/>
              </w:rPr>
              <w:t>Heavy fuel oil</w:t>
            </w:r>
          </w:p>
        </w:tc>
        <w:tc>
          <w:tcPr>
            <w:tcW w:type="dxa" w:w="1368"/>
          </w:tcPr>
          <w:p>
            <w:pPr>
              <w:spacing w:after="20"/>
              <w:jc w:val="right"/>
            </w:pPr>
            <w:r>
              <w:rPr>
                <w:color w:val="1C3A36"/>
                <w:sz w:val="16"/>
              </w:rPr>
              <w:t>0.026</w:t>
            </w:r>
          </w:p>
        </w:tc>
        <w:tc>
          <w:tcPr>
            <w:tcW w:type="dxa" w:w="1656"/>
          </w:tcPr>
          <w:p>
            <w:pPr>
              <w:spacing w:after="20"/>
              <w:jc w:val="right"/>
            </w:pPr>
            <w:r>
              <w:rPr>
                <w:color w:val="1C3A36"/>
                <w:sz w:val="16"/>
              </w:rPr>
              <w:t>15,843</w:t>
            </w:r>
          </w:p>
        </w:tc>
        <w:tc>
          <w:tcPr>
            <w:tcW w:type="dxa" w:w="1195"/>
          </w:tcPr>
          <w:p>
            <w:pPr>
              <w:spacing w:after="20"/>
              <w:jc w:val="right"/>
            </w:pPr>
            <w:r>
              <w:rPr>
                <w:color w:val="1C3A36"/>
                <w:sz w:val="16"/>
              </w:rPr>
              <w:t>469</w:t>
            </w:r>
          </w:p>
        </w:tc>
        <w:tc>
          <w:tcPr>
            <w:tcW w:type="dxa" w:w="1195"/>
          </w:tcPr>
          <w:p>
            <w:pPr>
              <w:spacing w:after="20"/>
              <w:jc w:val="right"/>
            </w:pPr>
            <w:r>
              <w:rPr>
                <w:color w:val="1C3A36"/>
                <w:sz w:val="16"/>
              </w:rPr>
              <w:t>513</w:t>
            </w:r>
          </w:p>
        </w:tc>
        <w:tc>
          <w:tcPr>
            <w:tcW w:type="dxa" w:w="1195"/>
          </w:tcPr>
          <w:p>
            <w:pPr>
              <w:spacing w:after="20"/>
              <w:jc w:val="right"/>
            </w:pPr>
            <w:r>
              <w:rPr>
                <w:color w:val="1C3A36"/>
                <w:sz w:val="16"/>
              </w:rPr>
              <w:t>545</w:t>
            </w:r>
          </w:p>
        </w:tc>
        <w:tc>
          <w:tcPr>
            <w:tcW w:type="dxa" w:w="1195"/>
          </w:tcPr>
          <w:p>
            <w:pPr>
              <w:spacing w:after="20"/>
              <w:jc w:val="right"/>
            </w:pPr>
            <w:r>
              <w:rPr>
                <w:color w:val="1C3A36"/>
                <w:sz w:val="16"/>
              </w:rPr>
              <w:t>572</w:t>
            </w:r>
          </w:p>
        </w:tc>
        <w:tc>
          <w:tcPr>
            <w:tcW w:type="dxa" w:w="1195"/>
          </w:tcPr>
          <w:p>
            <w:pPr>
              <w:spacing w:after="20"/>
              <w:jc w:val="right"/>
            </w:pPr>
            <w:r>
              <w:rPr>
                <w:color w:val="1C3A36"/>
                <w:sz w:val="16"/>
              </w:rPr>
              <w:t>597</w:t>
            </w:r>
          </w:p>
        </w:tc>
      </w:tr>
      <w:tr>
        <w:tc>
          <w:tcPr>
            <w:tcW w:type="dxa" w:w="1944"/>
            <w:shd w:val="clear" w:color="auto" w:fill="F6F1E6"/>
          </w:tcPr>
          <w:p>
            <w:pPr>
              <w:spacing w:after="20"/>
            </w:pPr>
            <w:r>
              <w:rPr>
                <w:b/>
                <w:color w:val="1C3A36"/>
                <w:sz w:val="16"/>
              </w:rPr>
              <w:t>TOTAL REVENUE</w:t>
            </w:r>
          </w:p>
        </w:tc>
        <w:tc>
          <w:tcPr>
            <w:tcW w:type="dxa" w:w="1368"/>
            <w:shd w:val="clear" w:color="auto" w:fill="F6F1E6"/>
          </w:tcPr>
          <w:p>
            <w:pPr>
              <w:spacing w:after="20"/>
              <w:jc w:val="right"/>
            </w:pPr>
            <w:r>
              <w:rPr>
                <w:b/>
                <w:color w:val="1C3A36"/>
                <w:sz w:val="16"/>
              </w:rPr>
              <w:t>1.502</w:t>
            </w:r>
          </w:p>
        </w:tc>
        <w:tc>
          <w:tcPr>
            <w:tcW w:type="dxa" w:w="1656"/>
            <w:shd w:val="clear" w:color="auto" w:fill="F6F1E6"/>
          </w:tcPr>
          <w:p>
            <w:pPr>
              <w:spacing w:after="20"/>
              <w:jc w:val="right"/>
            </w:pPr>
            <w:r>
              <w:rPr>
                <w:b/>
                <w:color w:val="1C3A36"/>
                <w:sz w:val="16"/>
              </w:rPr>
              <w:t>31,257</w:t>
            </w:r>
          </w:p>
        </w:tc>
        <w:tc>
          <w:tcPr>
            <w:tcW w:type="dxa" w:w="1195"/>
            <w:shd w:val="clear" w:color="auto" w:fill="F6F1E6"/>
          </w:tcPr>
          <w:p>
            <w:pPr>
              <w:spacing w:after="20"/>
              <w:jc w:val="right"/>
            </w:pPr>
            <w:r>
              <w:rPr>
                <w:b/>
                <w:color w:val="1C3A36"/>
                <w:sz w:val="16"/>
              </w:rPr>
              <w:t>53,144</w:t>
            </w:r>
          </w:p>
        </w:tc>
        <w:tc>
          <w:tcPr>
            <w:tcW w:type="dxa" w:w="1195"/>
            <w:shd w:val="clear" w:color="auto" w:fill="F6F1E6"/>
          </w:tcPr>
          <w:p>
            <w:pPr>
              <w:spacing w:after="20"/>
              <w:jc w:val="right"/>
            </w:pPr>
            <w:r>
              <w:rPr>
                <w:b/>
                <w:color w:val="1C3A36"/>
                <w:sz w:val="16"/>
              </w:rPr>
              <w:t>58,069</w:t>
            </w:r>
          </w:p>
        </w:tc>
        <w:tc>
          <w:tcPr>
            <w:tcW w:type="dxa" w:w="1195"/>
            <w:shd w:val="clear" w:color="auto" w:fill="F6F1E6"/>
          </w:tcPr>
          <w:p>
            <w:pPr>
              <w:spacing w:after="20"/>
              <w:jc w:val="right"/>
            </w:pPr>
            <w:r>
              <w:rPr>
                <w:b/>
                <w:color w:val="1C3A36"/>
                <w:sz w:val="16"/>
              </w:rPr>
              <w:t>61,752</w:t>
            </w:r>
          </w:p>
        </w:tc>
        <w:tc>
          <w:tcPr>
            <w:tcW w:type="dxa" w:w="1195"/>
            <w:shd w:val="clear" w:color="auto" w:fill="F6F1E6"/>
          </w:tcPr>
          <w:p>
            <w:pPr>
              <w:spacing w:after="20"/>
              <w:jc w:val="right"/>
            </w:pPr>
            <w:r>
              <w:rPr>
                <w:b/>
                <w:color w:val="1C3A36"/>
                <w:sz w:val="16"/>
              </w:rPr>
              <w:t>64,764</w:t>
            </w:r>
          </w:p>
        </w:tc>
        <w:tc>
          <w:tcPr>
            <w:tcW w:type="dxa" w:w="1195"/>
            <w:shd w:val="clear" w:color="auto" w:fill="F6F1E6"/>
          </w:tcPr>
          <w:p>
            <w:pPr>
              <w:spacing w:after="20"/>
              <w:jc w:val="right"/>
            </w:pPr>
            <w:r>
              <w:rPr>
                <w:b/>
                <w:color w:val="1C3A36"/>
                <w:sz w:val="16"/>
              </w:rPr>
              <w:t>67,607</w:t>
            </w:r>
          </w:p>
        </w:tc>
      </w:tr>
    </w:tbl>
    <w:p>
      <w:pPr>
        <w:spacing w:after="40"/>
      </w:pPr>
    </w:p>
    <w:p>
      <w:pPr>
        <w:spacing w:after="200" w:before="0"/>
      </w:pPr>
      <w:r>
        <w:rPr>
          <w:b w:val="0"/>
          <w:i/>
          <w:color w:val="6E7B77"/>
          <w:sz w:val="17"/>
        </w:rPr>
        <w:t>Table 8 — revenue by line, EGP mn. Volume growth is set per line from the measured half-on-half record; realisation grows on one path for all lines. The waste line is omitted from the table for space and is immaterial, but it is carried in the model.</w:t>
      </w:r>
    </w:p>
    <w:p>
      <w:pPr>
        <w:spacing w:after="80" w:before="200"/>
      </w:pPr>
      <w:r>
        <w:rPr>
          <w:b/>
          <w:i w:val="0"/>
          <w:color w:val="1C3A36"/>
          <w:sz w:val="24"/>
        </w:rPr>
        <w:t>1.5  The cost side, built per line — and what it says about the slate</w:t>
      </w:r>
    </w:p>
    <w:p>
      <w:pPr>
        <w:spacing w:after="120" w:before="0"/>
      </w:pPr>
      <w:r>
        <w:rPr>
          <w:b w:val="0"/>
          <w:i w:val="0"/>
          <w:color w:val="1C3A36"/>
          <w:sz w:val="21"/>
        </w:rPr>
        <w:t>This is where the previous edition was weakest and where the rebuild is deepest. Cost of sales is 90.3% of revenue on this name, so a cost side expressed as a percentage of revenue means the margin assumption IS the valuation. Cost is now built per line, in two legs.</w:t>
      </w:r>
    </w:p>
    <w:p>
      <w:pPr>
        <w:spacing w:after="120" w:before="0"/>
      </w:pPr>
      <w:r>
        <w:rPr>
          <w:b w:val="0"/>
          <w:i w:val="0"/>
          <w:color w:val="1C3A36"/>
          <w:sz w:val="21"/>
        </w:rPr>
        <w:t>CONVERSION — salaries, supporting materials, other operating costs and depreciation, the 8.8% of note 15-A that is not feedstock — is allocated across the eight lines on registered processing-intensity weights: base oils 1.00 as the reference through the full lube train (vacuum distillation, solvent extraction, dewaxing, hydrofinishing), paraffin wax 1.15 for the additional deoiling and sweating, the light ends 0.15 to 0.25, the residue fuel oils 0.05.</w:t>
      </w:r>
    </w:p>
    <w:p>
      <w:pPr>
        <w:spacing w:after="120" w:before="0"/>
      </w:pPr>
      <w:r>
        <w:rPr>
          <w:b w:val="0"/>
          <w:i w:val="0"/>
          <w:color w:val="1C3A36"/>
          <w:sz w:val="21"/>
        </w:rPr>
        <w:t>FEEDSTOCK is then allocated on NET REALISABLE VALUE — each line’s realisation less its own conversion cost. This is the standard joint-product convention and it is the only one of three bases tested that survives a sanity check. Allocating feedstock flat per tonne says fuel oil sells below the cost of its own feed, which is an artefact of the basis rather than a fact about the business. Allocating it on relative sales value makes base oils and paraffin wax — the products this plant exists for — run at negative margins once their conversion cost is stacked on top. Net realisable value is the only basis that leaves every disclosed line with a positive spread, and the workbook documents all three.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1512"/>
        <w:gridCol w:w="1469"/>
        <w:gridCol w:w="1469"/>
        <w:gridCol w:w="1469"/>
        <w:gridCol w:w="1368"/>
        <w:gridCol w:w="1008"/>
      </w:tblGrid>
      <w:tr>
        <w:tc>
          <w:tcPr>
            <w:tcW w:type="dxa" w:w="2016"/>
            <w:shd w:val="clear" w:color="auto" w:fill="EAF0EE"/>
          </w:tcPr>
          <w:p>
            <w:pPr>
              <w:spacing w:after="20"/>
            </w:pPr>
            <w:r>
              <w:rPr>
                <w:b/>
                <w:color w:val="1C3A36"/>
                <w:sz w:val="17"/>
              </w:rPr>
              <w:t>Line</w:t>
            </w:r>
          </w:p>
        </w:tc>
        <w:tc>
          <w:tcPr>
            <w:tcW w:type="dxa" w:w="1512"/>
            <w:shd w:val="clear" w:color="auto" w:fill="EAF0EE"/>
          </w:tcPr>
          <w:p>
            <w:pPr>
              <w:spacing w:after="20"/>
            </w:pPr>
            <w:r>
              <w:rPr>
                <w:b/>
                <w:color w:val="1C3A36"/>
                <w:sz w:val="17"/>
              </w:rPr>
              <w:t>Realisation EGP/t</w:t>
            </w:r>
          </w:p>
        </w:tc>
        <w:tc>
          <w:tcPr>
            <w:tcW w:type="dxa" w:w="1469"/>
            <w:shd w:val="clear" w:color="auto" w:fill="EAF0EE"/>
          </w:tcPr>
          <w:p>
            <w:pPr>
              <w:spacing w:after="20"/>
            </w:pPr>
            <w:r>
              <w:rPr>
                <w:b/>
                <w:color w:val="1C3A36"/>
                <w:sz w:val="17"/>
              </w:rPr>
              <w:t>Conversion EGP/t</w:t>
            </w:r>
          </w:p>
        </w:tc>
        <w:tc>
          <w:tcPr>
            <w:tcW w:type="dxa" w:w="1469"/>
            <w:shd w:val="clear" w:color="auto" w:fill="EAF0EE"/>
          </w:tcPr>
          <w:p>
            <w:pPr>
              <w:spacing w:after="20"/>
            </w:pPr>
            <w:r>
              <w:rPr>
                <w:b/>
                <w:color w:val="1C3A36"/>
                <w:sz w:val="17"/>
              </w:rPr>
              <w:t>Feedstock EGP/t</w:t>
            </w:r>
          </w:p>
        </w:tc>
        <w:tc>
          <w:tcPr>
            <w:tcW w:type="dxa" w:w="1469"/>
            <w:shd w:val="clear" w:color="auto" w:fill="EAF0EE"/>
          </w:tcPr>
          <w:p>
            <w:pPr>
              <w:spacing w:after="20"/>
            </w:pPr>
            <w:r>
              <w:rPr>
                <w:b/>
                <w:color w:val="1C3A36"/>
                <w:sz w:val="17"/>
              </w:rPr>
              <w:t>Total cost EGP/t</w:t>
            </w:r>
          </w:p>
        </w:tc>
        <w:tc>
          <w:tcPr>
            <w:tcW w:type="dxa" w:w="1368"/>
            <w:shd w:val="clear" w:color="auto" w:fill="EAF0EE"/>
          </w:tcPr>
          <w:p>
            <w:pPr>
              <w:spacing w:after="20"/>
            </w:pPr>
            <w:r>
              <w:rPr>
                <w:b/>
                <w:color w:val="1C3A36"/>
                <w:sz w:val="17"/>
              </w:rPr>
              <w:t>SPREAD EGP/t</w:t>
            </w:r>
          </w:p>
        </w:tc>
        <w:tc>
          <w:tcPr>
            <w:tcW w:type="dxa" w:w="1008"/>
            <w:shd w:val="clear" w:color="auto" w:fill="EAF0EE"/>
          </w:tcPr>
          <w:p>
            <w:pPr>
              <w:spacing w:after="20"/>
            </w:pPr>
            <w:r>
              <w:rPr>
                <w:b/>
                <w:color w:val="1C3A36"/>
                <w:sz w:val="17"/>
              </w:rPr>
              <w:t>Margin</w:t>
            </w:r>
          </w:p>
        </w:tc>
      </w:tr>
      <w:tr>
        <w:tc>
          <w:tcPr>
            <w:tcW w:type="dxa" w:w="2016"/>
          </w:tcPr>
          <w:p>
            <w:pPr>
              <w:spacing w:after="20"/>
            </w:pPr>
            <w:r>
              <w:rPr>
                <w:color w:val="1C3A36"/>
                <w:sz w:val="17"/>
              </w:rPr>
              <w:t>Base and special oils</w:t>
            </w:r>
          </w:p>
        </w:tc>
        <w:tc>
          <w:tcPr>
            <w:tcW w:type="dxa" w:w="1512"/>
          </w:tcPr>
          <w:p>
            <w:pPr>
              <w:spacing w:after="20"/>
              <w:jc w:val="right"/>
            </w:pPr>
            <w:r>
              <w:rPr>
                <w:color w:val="1C3A36"/>
                <w:sz w:val="17"/>
              </w:rPr>
              <w:t>58,327</w:t>
            </w:r>
          </w:p>
        </w:tc>
        <w:tc>
          <w:tcPr>
            <w:tcW w:type="dxa" w:w="1469"/>
          </w:tcPr>
          <w:p>
            <w:pPr>
              <w:spacing w:after="20"/>
              <w:jc w:val="right"/>
            </w:pPr>
            <w:r>
              <w:rPr>
                <w:color w:val="1C3A36"/>
                <w:sz w:val="17"/>
              </w:rPr>
              <w:t>10,279</w:t>
            </w:r>
          </w:p>
        </w:tc>
        <w:tc>
          <w:tcPr>
            <w:tcW w:type="dxa" w:w="1469"/>
          </w:tcPr>
          <w:p>
            <w:pPr>
              <w:spacing w:after="20"/>
              <w:jc w:val="right"/>
            </w:pPr>
            <w:r>
              <w:rPr>
                <w:color w:val="1C3A36"/>
                <w:sz w:val="17"/>
              </w:rPr>
              <w:t>43,007</w:t>
            </w:r>
          </w:p>
        </w:tc>
        <w:tc>
          <w:tcPr>
            <w:tcW w:type="dxa" w:w="1469"/>
          </w:tcPr>
          <w:p>
            <w:pPr>
              <w:spacing w:after="20"/>
              <w:jc w:val="right"/>
            </w:pPr>
            <w:r>
              <w:rPr>
                <w:color w:val="1C3A36"/>
                <w:sz w:val="17"/>
              </w:rPr>
              <w:t>53,286</w:t>
            </w:r>
          </w:p>
        </w:tc>
        <w:tc>
          <w:tcPr>
            <w:tcW w:type="dxa" w:w="1368"/>
          </w:tcPr>
          <w:p>
            <w:pPr>
              <w:spacing w:after="20"/>
              <w:jc w:val="right"/>
            </w:pPr>
            <w:r>
              <w:rPr>
                <w:color w:val="1C3A36"/>
                <w:sz w:val="17"/>
              </w:rPr>
              <w:t>5,041</w:t>
            </w:r>
          </w:p>
        </w:tc>
        <w:tc>
          <w:tcPr>
            <w:tcW w:type="dxa" w:w="1008"/>
          </w:tcPr>
          <w:p>
            <w:pPr>
              <w:spacing w:after="20"/>
              <w:jc w:val="right"/>
            </w:pPr>
            <w:r>
              <w:rPr>
                <w:color w:val="1C3A36"/>
                <w:sz w:val="17"/>
              </w:rPr>
              <w:t>8.6%</w:t>
            </w:r>
          </w:p>
        </w:tc>
      </w:tr>
      <w:tr>
        <w:tc>
          <w:tcPr>
            <w:tcW w:type="dxa" w:w="2016"/>
          </w:tcPr>
          <w:p>
            <w:pPr>
              <w:spacing w:after="20"/>
            </w:pPr>
            <w:r>
              <w:rPr>
                <w:color w:val="1C3A36"/>
                <w:sz w:val="17"/>
              </w:rPr>
              <w:t>Paraffin wax</w:t>
            </w:r>
          </w:p>
        </w:tc>
        <w:tc>
          <w:tcPr>
            <w:tcW w:type="dxa" w:w="1512"/>
          </w:tcPr>
          <w:p>
            <w:pPr>
              <w:spacing w:after="20"/>
              <w:jc w:val="right"/>
            </w:pPr>
            <w:r>
              <w:rPr>
                <w:color w:val="1C3A36"/>
                <w:sz w:val="17"/>
              </w:rPr>
              <w:t>56,190</w:t>
            </w:r>
          </w:p>
        </w:tc>
        <w:tc>
          <w:tcPr>
            <w:tcW w:type="dxa" w:w="1469"/>
          </w:tcPr>
          <w:p>
            <w:pPr>
              <w:spacing w:after="20"/>
              <w:jc w:val="right"/>
            </w:pPr>
            <w:r>
              <w:rPr>
                <w:color w:val="1C3A36"/>
                <w:sz w:val="17"/>
              </w:rPr>
              <w:t>11,821</w:t>
            </w:r>
          </w:p>
        </w:tc>
        <w:tc>
          <w:tcPr>
            <w:tcW w:type="dxa" w:w="1469"/>
          </w:tcPr>
          <w:p>
            <w:pPr>
              <w:spacing w:after="20"/>
              <w:jc w:val="right"/>
            </w:pPr>
            <w:r>
              <w:rPr>
                <w:color w:val="1C3A36"/>
                <w:sz w:val="17"/>
              </w:rPr>
              <w:t>39,714</w:t>
            </w:r>
          </w:p>
        </w:tc>
        <w:tc>
          <w:tcPr>
            <w:tcW w:type="dxa" w:w="1469"/>
          </w:tcPr>
          <w:p>
            <w:pPr>
              <w:spacing w:after="20"/>
              <w:jc w:val="right"/>
            </w:pPr>
            <w:r>
              <w:rPr>
                <w:color w:val="1C3A36"/>
                <w:sz w:val="17"/>
              </w:rPr>
              <w:t>51,535</w:t>
            </w:r>
          </w:p>
        </w:tc>
        <w:tc>
          <w:tcPr>
            <w:tcW w:type="dxa" w:w="1368"/>
          </w:tcPr>
          <w:p>
            <w:pPr>
              <w:spacing w:after="20"/>
              <w:jc w:val="right"/>
            </w:pPr>
            <w:r>
              <w:rPr>
                <w:color w:val="1C3A36"/>
                <w:sz w:val="17"/>
              </w:rPr>
              <w:t>4,655</w:t>
            </w:r>
          </w:p>
        </w:tc>
        <w:tc>
          <w:tcPr>
            <w:tcW w:type="dxa" w:w="1008"/>
          </w:tcPr>
          <w:p>
            <w:pPr>
              <w:spacing w:after="20"/>
              <w:jc w:val="right"/>
            </w:pPr>
            <w:r>
              <w:rPr>
                <w:color w:val="1C3A36"/>
                <w:sz w:val="17"/>
              </w:rPr>
              <w:t>8.3%</w:t>
            </w:r>
          </w:p>
        </w:tc>
      </w:tr>
      <w:tr>
        <w:tc>
          <w:tcPr>
            <w:tcW w:type="dxa" w:w="2016"/>
          </w:tcPr>
          <w:p>
            <w:pPr>
              <w:spacing w:after="20"/>
            </w:pPr>
            <w:r>
              <w:rPr>
                <w:color w:val="1C3A36"/>
                <w:sz w:val="17"/>
              </w:rPr>
              <w:t>Gas oil</w:t>
            </w:r>
          </w:p>
        </w:tc>
        <w:tc>
          <w:tcPr>
            <w:tcW w:type="dxa" w:w="1512"/>
          </w:tcPr>
          <w:p>
            <w:pPr>
              <w:spacing w:after="20"/>
              <w:jc w:val="right"/>
            </w:pPr>
            <w:r>
              <w:rPr>
                <w:color w:val="1C3A36"/>
                <w:sz w:val="17"/>
              </w:rPr>
              <w:t>37,589</w:t>
            </w:r>
          </w:p>
        </w:tc>
        <w:tc>
          <w:tcPr>
            <w:tcW w:type="dxa" w:w="1469"/>
          </w:tcPr>
          <w:p>
            <w:pPr>
              <w:spacing w:after="20"/>
              <w:jc w:val="right"/>
            </w:pPr>
            <w:r>
              <w:rPr>
                <w:color w:val="1C3A36"/>
                <w:sz w:val="17"/>
              </w:rPr>
              <w:t>2,570</w:t>
            </w:r>
          </w:p>
        </w:tc>
        <w:tc>
          <w:tcPr>
            <w:tcW w:type="dxa" w:w="1469"/>
          </w:tcPr>
          <w:p>
            <w:pPr>
              <w:spacing w:after="20"/>
              <w:jc w:val="right"/>
            </w:pPr>
            <w:r>
              <w:rPr>
                <w:color w:val="1C3A36"/>
                <w:sz w:val="17"/>
              </w:rPr>
              <w:t>31,345</w:t>
            </w:r>
          </w:p>
        </w:tc>
        <w:tc>
          <w:tcPr>
            <w:tcW w:type="dxa" w:w="1469"/>
          </w:tcPr>
          <w:p>
            <w:pPr>
              <w:spacing w:after="20"/>
              <w:jc w:val="right"/>
            </w:pPr>
            <w:r>
              <w:rPr>
                <w:color w:val="1C3A36"/>
                <w:sz w:val="17"/>
              </w:rPr>
              <w:t>33,915</w:t>
            </w:r>
          </w:p>
        </w:tc>
        <w:tc>
          <w:tcPr>
            <w:tcW w:type="dxa" w:w="1368"/>
          </w:tcPr>
          <w:p>
            <w:pPr>
              <w:spacing w:after="20"/>
              <w:jc w:val="right"/>
            </w:pPr>
            <w:r>
              <w:rPr>
                <w:color w:val="1C3A36"/>
                <w:sz w:val="17"/>
              </w:rPr>
              <w:t>3,674</w:t>
            </w:r>
          </w:p>
        </w:tc>
        <w:tc>
          <w:tcPr>
            <w:tcW w:type="dxa" w:w="1008"/>
          </w:tcPr>
          <w:p>
            <w:pPr>
              <w:spacing w:after="20"/>
              <w:jc w:val="right"/>
            </w:pPr>
            <w:r>
              <w:rPr>
                <w:color w:val="1C3A36"/>
                <w:sz w:val="17"/>
              </w:rPr>
              <w:t>9.8%</w:t>
            </w:r>
          </w:p>
        </w:tc>
      </w:tr>
      <w:tr>
        <w:tc>
          <w:tcPr>
            <w:tcW w:type="dxa" w:w="2016"/>
          </w:tcPr>
          <w:p>
            <w:pPr>
              <w:spacing w:after="20"/>
            </w:pPr>
            <w:r>
              <w:rPr>
                <w:color w:val="1C3A36"/>
                <w:sz w:val="17"/>
              </w:rPr>
              <w:t>Naphtha</w:t>
            </w:r>
          </w:p>
        </w:tc>
        <w:tc>
          <w:tcPr>
            <w:tcW w:type="dxa" w:w="1512"/>
          </w:tcPr>
          <w:p>
            <w:pPr>
              <w:spacing w:after="20"/>
              <w:jc w:val="right"/>
            </w:pPr>
            <w:r>
              <w:rPr>
                <w:color w:val="1C3A36"/>
                <w:sz w:val="17"/>
              </w:rPr>
              <w:t>27,782</w:t>
            </w:r>
          </w:p>
        </w:tc>
        <w:tc>
          <w:tcPr>
            <w:tcW w:type="dxa" w:w="1469"/>
          </w:tcPr>
          <w:p>
            <w:pPr>
              <w:spacing w:after="20"/>
              <w:jc w:val="right"/>
            </w:pPr>
            <w:r>
              <w:rPr>
                <w:color w:val="1C3A36"/>
                <w:sz w:val="17"/>
              </w:rPr>
              <w:t>2,056</w:t>
            </w:r>
          </w:p>
        </w:tc>
        <w:tc>
          <w:tcPr>
            <w:tcW w:type="dxa" w:w="1469"/>
          </w:tcPr>
          <w:p>
            <w:pPr>
              <w:spacing w:after="20"/>
              <w:jc w:val="right"/>
            </w:pPr>
            <w:r>
              <w:rPr>
                <w:color w:val="1C3A36"/>
                <w:sz w:val="17"/>
              </w:rPr>
              <w:t>23,027</w:t>
            </w:r>
          </w:p>
        </w:tc>
        <w:tc>
          <w:tcPr>
            <w:tcW w:type="dxa" w:w="1469"/>
          </w:tcPr>
          <w:p>
            <w:pPr>
              <w:spacing w:after="20"/>
              <w:jc w:val="right"/>
            </w:pPr>
            <w:r>
              <w:rPr>
                <w:color w:val="1C3A36"/>
                <w:sz w:val="17"/>
              </w:rPr>
              <w:t>25,083</w:t>
            </w:r>
          </w:p>
        </w:tc>
        <w:tc>
          <w:tcPr>
            <w:tcW w:type="dxa" w:w="1368"/>
          </w:tcPr>
          <w:p>
            <w:pPr>
              <w:spacing w:after="20"/>
              <w:jc w:val="right"/>
            </w:pPr>
            <w:r>
              <w:rPr>
                <w:color w:val="1C3A36"/>
                <w:sz w:val="17"/>
              </w:rPr>
              <w:t>2,699</w:t>
            </w:r>
          </w:p>
        </w:tc>
        <w:tc>
          <w:tcPr>
            <w:tcW w:type="dxa" w:w="1008"/>
          </w:tcPr>
          <w:p>
            <w:pPr>
              <w:spacing w:after="20"/>
              <w:jc w:val="right"/>
            </w:pPr>
            <w:r>
              <w:rPr>
                <w:color w:val="1C3A36"/>
                <w:sz w:val="17"/>
              </w:rPr>
              <w:t>9.7%</w:t>
            </w:r>
          </w:p>
        </w:tc>
      </w:tr>
      <w:tr>
        <w:tc>
          <w:tcPr>
            <w:tcW w:type="dxa" w:w="2016"/>
          </w:tcPr>
          <w:p>
            <w:pPr>
              <w:spacing w:after="20"/>
            </w:pPr>
            <w:r>
              <w:rPr>
                <w:color w:val="1C3A36"/>
                <w:sz w:val="17"/>
              </w:rPr>
              <w:t>Liquefied petroleum gas</w:t>
            </w:r>
          </w:p>
        </w:tc>
        <w:tc>
          <w:tcPr>
            <w:tcW w:type="dxa" w:w="1512"/>
          </w:tcPr>
          <w:p>
            <w:pPr>
              <w:spacing w:after="20"/>
              <w:jc w:val="right"/>
            </w:pPr>
            <w:r>
              <w:rPr>
                <w:color w:val="1C3A36"/>
                <w:sz w:val="17"/>
              </w:rPr>
              <w:t>43,190</w:t>
            </w:r>
          </w:p>
        </w:tc>
        <w:tc>
          <w:tcPr>
            <w:tcW w:type="dxa" w:w="1469"/>
          </w:tcPr>
          <w:p>
            <w:pPr>
              <w:spacing w:after="20"/>
              <w:jc w:val="right"/>
            </w:pPr>
            <w:r>
              <w:rPr>
                <w:color w:val="1C3A36"/>
                <w:sz w:val="17"/>
              </w:rPr>
              <w:t>1,542</w:t>
            </w:r>
          </w:p>
        </w:tc>
        <w:tc>
          <w:tcPr>
            <w:tcW w:type="dxa" w:w="1469"/>
          </w:tcPr>
          <w:p>
            <w:pPr>
              <w:spacing w:after="20"/>
              <w:jc w:val="right"/>
            </w:pPr>
            <w:r>
              <w:rPr>
                <w:color w:val="1C3A36"/>
                <w:sz w:val="17"/>
              </w:rPr>
              <w:t>37,279</w:t>
            </w:r>
          </w:p>
        </w:tc>
        <w:tc>
          <w:tcPr>
            <w:tcW w:type="dxa" w:w="1469"/>
          </w:tcPr>
          <w:p>
            <w:pPr>
              <w:spacing w:after="20"/>
              <w:jc w:val="right"/>
            </w:pPr>
            <w:r>
              <w:rPr>
                <w:color w:val="1C3A36"/>
                <w:sz w:val="17"/>
              </w:rPr>
              <w:t>38,820</w:t>
            </w:r>
          </w:p>
        </w:tc>
        <w:tc>
          <w:tcPr>
            <w:tcW w:type="dxa" w:w="1368"/>
          </w:tcPr>
          <w:p>
            <w:pPr>
              <w:spacing w:after="20"/>
              <w:jc w:val="right"/>
            </w:pPr>
            <w:r>
              <w:rPr>
                <w:color w:val="1C3A36"/>
                <w:sz w:val="17"/>
              </w:rPr>
              <w:t>4,370</w:t>
            </w:r>
          </w:p>
        </w:tc>
        <w:tc>
          <w:tcPr>
            <w:tcW w:type="dxa" w:w="1008"/>
          </w:tcPr>
          <w:p>
            <w:pPr>
              <w:spacing w:after="20"/>
              <w:jc w:val="right"/>
            </w:pPr>
            <w:r>
              <w:rPr>
                <w:color w:val="1C3A36"/>
                <w:sz w:val="17"/>
              </w:rPr>
              <w:t>10.1%</w:t>
            </w:r>
          </w:p>
        </w:tc>
      </w:tr>
      <w:tr>
        <w:tc>
          <w:tcPr>
            <w:tcW w:type="dxa" w:w="2016"/>
          </w:tcPr>
          <w:p>
            <w:pPr>
              <w:spacing w:after="20"/>
            </w:pPr>
            <w:r>
              <w:rPr>
                <w:color w:val="1C3A36"/>
                <w:sz w:val="17"/>
              </w:rPr>
              <w:t>Fuel oil (mix)</w:t>
            </w:r>
          </w:p>
        </w:tc>
        <w:tc>
          <w:tcPr>
            <w:tcW w:type="dxa" w:w="1512"/>
          </w:tcPr>
          <w:p>
            <w:pPr>
              <w:spacing w:after="20"/>
              <w:jc w:val="right"/>
            </w:pPr>
            <w:r>
              <w:rPr>
                <w:color w:val="1C3A36"/>
                <w:sz w:val="17"/>
              </w:rPr>
              <w:t>22,059</w:t>
            </w:r>
          </w:p>
        </w:tc>
        <w:tc>
          <w:tcPr>
            <w:tcW w:type="dxa" w:w="1469"/>
          </w:tcPr>
          <w:p>
            <w:pPr>
              <w:spacing w:after="20"/>
              <w:jc w:val="right"/>
            </w:pPr>
            <w:r>
              <w:rPr>
                <w:color w:val="1C3A36"/>
                <w:sz w:val="17"/>
              </w:rPr>
              <w:t>514</w:t>
            </w:r>
          </w:p>
        </w:tc>
        <w:tc>
          <w:tcPr>
            <w:tcW w:type="dxa" w:w="1469"/>
          </w:tcPr>
          <w:p>
            <w:pPr>
              <w:spacing w:after="20"/>
              <w:jc w:val="right"/>
            </w:pPr>
            <w:r>
              <w:rPr>
                <w:color w:val="1C3A36"/>
                <w:sz w:val="17"/>
              </w:rPr>
              <w:t>19,285</w:t>
            </w:r>
          </w:p>
        </w:tc>
        <w:tc>
          <w:tcPr>
            <w:tcW w:type="dxa" w:w="1469"/>
          </w:tcPr>
          <w:p>
            <w:pPr>
              <w:spacing w:after="20"/>
              <w:jc w:val="right"/>
            </w:pPr>
            <w:r>
              <w:rPr>
                <w:color w:val="1C3A36"/>
                <w:sz w:val="17"/>
              </w:rPr>
              <w:t>19,799</w:t>
            </w:r>
          </w:p>
        </w:tc>
        <w:tc>
          <w:tcPr>
            <w:tcW w:type="dxa" w:w="1368"/>
          </w:tcPr>
          <w:p>
            <w:pPr>
              <w:spacing w:after="20"/>
              <w:jc w:val="right"/>
            </w:pPr>
            <w:r>
              <w:rPr>
                <w:color w:val="1C3A36"/>
                <w:sz w:val="17"/>
              </w:rPr>
              <w:t>2,260</w:t>
            </w:r>
          </w:p>
        </w:tc>
        <w:tc>
          <w:tcPr>
            <w:tcW w:type="dxa" w:w="1008"/>
          </w:tcPr>
          <w:p>
            <w:pPr>
              <w:spacing w:after="20"/>
              <w:jc w:val="right"/>
            </w:pPr>
            <w:r>
              <w:rPr>
                <w:color w:val="1C3A36"/>
                <w:sz w:val="17"/>
              </w:rPr>
              <w:t>10.2%</w:t>
            </w:r>
          </w:p>
        </w:tc>
      </w:tr>
      <w:tr>
        <w:tc>
          <w:tcPr>
            <w:tcW w:type="dxa" w:w="2016"/>
          </w:tcPr>
          <w:p>
            <w:pPr>
              <w:spacing w:after="20"/>
            </w:pPr>
            <w:r>
              <w:rPr>
                <w:color w:val="1C3A36"/>
                <w:sz w:val="17"/>
              </w:rPr>
              <w:t>Heavy fuel oil</w:t>
            </w:r>
          </w:p>
        </w:tc>
        <w:tc>
          <w:tcPr>
            <w:tcW w:type="dxa" w:w="1512"/>
          </w:tcPr>
          <w:p>
            <w:pPr>
              <w:spacing w:after="20"/>
              <w:jc w:val="right"/>
            </w:pPr>
            <w:r>
              <w:rPr>
                <w:color w:val="1C3A36"/>
                <w:sz w:val="17"/>
              </w:rPr>
              <w:t>15,843</w:t>
            </w:r>
          </w:p>
        </w:tc>
        <w:tc>
          <w:tcPr>
            <w:tcW w:type="dxa" w:w="1469"/>
          </w:tcPr>
          <w:p>
            <w:pPr>
              <w:spacing w:after="20"/>
              <w:jc w:val="right"/>
            </w:pPr>
            <w:r>
              <w:rPr>
                <w:color w:val="1C3A36"/>
                <w:sz w:val="17"/>
              </w:rPr>
              <w:t>514</w:t>
            </w:r>
          </w:p>
        </w:tc>
        <w:tc>
          <w:tcPr>
            <w:tcW w:type="dxa" w:w="1469"/>
          </w:tcPr>
          <w:p>
            <w:pPr>
              <w:spacing w:after="20"/>
              <w:jc w:val="right"/>
            </w:pPr>
            <w:r>
              <w:rPr>
                <w:color w:val="1C3A36"/>
                <w:sz w:val="17"/>
              </w:rPr>
              <w:t>13,720</w:t>
            </w:r>
          </w:p>
        </w:tc>
        <w:tc>
          <w:tcPr>
            <w:tcW w:type="dxa" w:w="1469"/>
          </w:tcPr>
          <w:p>
            <w:pPr>
              <w:spacing w:after="20"/>
              <w:jc w:val="right"/>
            </w:pPr>
            <w:r>
              <w:rPr>
                <w:color w:val="1C3A36"/>
                <w:sz w:val="17"/>
              </w:rPr>
              <w:t>14,234</w:t>
            </w:r>
          </w:p>
        </w:tc>
        <w:tc>
          <w:tcPr>
            <w:tcW w:type="dxa" w:w="1368"/>
          </w:tcPr>
          <w:p>
            <w:pPr>
              <w:spacing w:after="20"/>
              <w:jc w:val="right"/>
            </w:pPr>
            <w:r>
              <w:rPr>
                <w:color w:val="1C3A36"/>
                <w:sz w:val="17"/>
              </w:rPr>
              <w:t>1,608</w:t>
            </w:r>
          </w:p>
        </w:tc>
        <w:tc>
          <w:tcPr>
            <w:tcW w:type="dxa" w:w="1008"/>
          </w:tcPr>
          <w:p>
            <w:pPr>
              <w:spacing w:after="20"/>
              <w:jc w:val="right"/>
            </w:pPr>
            <w:r>
              <w:rPr>
                <w:color w:val="1C3A36"/>
                <w:sz w:val="17"/>
              </w:rPr>
              <w:t>10.2%</w:t>
            </w:r>
          </w:p>
        </w:tc>
      </w:tr>
      <w:tr>
        <w:tc>
          <w:tcPr>
            <w:tcW w:type="dxa" w:w="2016"/>
            <w:shd w:val="clear" w:color="auto" w:fill="F6F1E6"/>
          </w:tcPr>
          <w:p>
            <w:pPr>
              <w:spacing w:after="20"/>
            </w:pPr>
            <w:r>
              <w:rPr>
                <w:b/>
                <w:color w:val="1C3A36"/>
                <w:sz w:val="17"/>
              </w:rPr>
              <w:t>Blended</w:t>
            </w:r>
          </w:p>
        </w:tc>
        <w:tc>
          <w:tcPr>
            <w:tcW w:type="dxa" w:w="1512"/>
            <w:shd w:val="clear" w:color="auto" w:fill="F6F1E6"/>
          </w:tcPr>
          <w:p>
            <w:pPr>
              <w:spacing w:after="20"/>
              <w:jc w:val="right"/>
            </w:pPr>
            <w:r>
              <w:rPr>
                <w:b/>
                <w:color w:val="1C3A36"/>
                <w:sz w:val="17"/>
              </w:rPr>
              <w:t>31,257</w:t>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t>28,240</w:t>
            </w:r>
          </w:p>
        </w:tc>
        <w:tc>
          <w:tcPr>
            <w:tcW w:type="dxa" w:w="1368"/>
            <w:shd w:val="clear" w:color="auto" w:fill="F6F1E6"/>
          </w:tcPr>
          <w:p>
            <w:pPr>
              <w:spacing w:after="20"/>
              <w:jc w:val="right"/>
            </w:pPr>
            <w:r>
              <w:rPr>
                <w:b/>
                <w:color w:val="1C3A36"/>
                <w:sz w:val="17"/>
              </w:rPr>
              <w:t>3,017</w:t>
            </w:r>
          </w:p>
        </w:tc>
        <w:tc>
          <w:tcPr>
            <w:tcW w:type="dxa" w:w="1008"/>
            <w:shd w:val="clear" w:color="auto" w:fill="F6F1E6"/>
          </w:tcPr>
          <w:p>
            <w:pPr>
              <w:spacing w:after="20"/>
              <w:jc w:val="right"/>
            </w:pPr>
            <w:r>
              <w:rPr>
                <w:b/>
                <w:color w:val="1C3A36"/>
                <w:sz w:val="17"/>
              </w:rPr>
              <w:t>9.7%</w:t>
            </w:r>
          </w:p>
        </w:tc>
      </w:tr>
    </w:tbl>
    <w:p>
      <w:pPr>
        <w:spacing w:after="40"/>
      </w:pPr>
    </w:p>
    <w:p>
      <w:pPr>
        <w:spacing w:after="200" w:before="0"/>
      </w:pPr>
      <w:r>
        <w:rPr>
          <w:b w:val="0"/>
          <w:i/>
          <w:color w:val="6E7B77"/>
          <w:sz w:val="17"/>
        </w:rPr>
        <w:t>Table 9 — per-line economics of the base year. The eight per-line costs rebuild the disclosed cost of sales exactly; that footing test is a live cell in the workbook. A tonne of base oil contributes 2.2 times the spread of a tonne of fuel oil, so the MIX now moves the margin. The previous edition applied one blended margin to all eight lines and described that as a bottom-up build; it was a single company-level number wearing eight labels, and it meant the mix could shift without the margin responding at all.</w:t>
      </w:r>
    </w:p>
    <w:p>
      <w:pPr>
        <w:spacing w:after="40"/>
        <w:jc w:val="center"/>
      </w:pPr>
      <w:r>
        <w:drawing>
          <wp:inline xmlns:a="http://schemas.openxmlformats.org/drawingml/2006/main" xmlns:pic="http://schemas.openxmlformats.org/drawingml/2006/picture">
            <wp:extent cx="6126480" cy="2318128"/>
            <wp:docPr id="2" name="Picture 2"/>
            <wp:cNvGraphicFramePr>
              <a:graphicFrameLocks noChangeAspect="1"/>
            </wp:cNvGraphicFramePr>
            <a:graphic>
              <a:graphicData uri="http://schemas.openxmlformats.org/drawingml/2006/picture">
                <pic:pic>
                  <pic:nvPicPr>
                    <pic:cNvPr id="0" name="fig5_spread.png"/>
                    <pic:cNvPicPr/>
                  </pic:nvPicPr>
                  <pic:blipFill>
                    <a:blip r:embed="rId10"/>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2 — gross spread per tonne by line; gold is the specialty slate. Note that the specialty lines show a LOWER margin percentage on a HIGHER spread per tonne, because their realisation per tonne is nearly three times fuel oil’s. On a joint-product slate the percentage margin is the wrong lens and the spread per tonne is the right one.</w:t>
      </w:r>
    </w:p>
    <w:p>
      <w:pPr>
        <w:spacing w:after="120" w:before="0"/>
      </w:pPr>
      <w:r>
        <w:rPr>
          <w:b w:val="0"/>
          <w:i w:val="0"/>
          <w:color w:val="1C3A36"/>
          <w:sz w:val="21"/>
        </w:rPr>
        <w:t>THE ONE OPERATING INPUT NOT READ OFF A FILING. Note 15-A discloses the cost stack for the company and NOT by line, and note 14-A carries only price and volume — so any weight derived from note 14-A alone is a function of price, and a price-derived weight returns an identical margin on every line, which is precisely the defect this build exists to remove. The processing-intensity vector is therefore an engineering judgement. It is registered, dated and sourced like every other input, its effect is bounded (it redistributes cost BETWEEN lines while the company total stays pinned to note 15-A), and section 7 carries it as a named weakness rather than burying it in a formula.</w:t>
      </w:r>
    </w:p>
    <w:p>
      <w:pPr>
        <w:spacing w:after="80" w:before="200"/>
      </w:pPr>
      <w:r>
        <w:rPr>
          <w:b/>
          <w:i w:val="0"/>
          <w:color w:val="1C3A36"/>
          <w:sz w:val="24"/>
        </w:rPr>
        <w:t>1.6  The cost of capital, built rather than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512"/>
        <w:gridCol w:w="1296"/>
        <w:gridCol w:w="4824"/>
      </w:tblGrid>
      <w:tr>
        <w:tc>
          <w:tcPr>
            <w:tcW w:type="dxa" w:w="2592"/>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Explicit window</w:t>
            </w:r>
          </w:p>
        </w:tc>
        <w:tc>
          <w:tcPr>
            <w:tcW w:type="dxa" w:w="1296"/>
            <w:shd w:val="clear" w:color="auto" w:fill="EAF0EE"/>
          </w:tcPr>
          <w:p>
            <w:pPr>
              <w:spacing w:after="20"/>
            </w:pPr>
            <w:r>
              <w:rPr>
                <w:b/>
                <w:color w:val="1C3A36"/>
                <w:sz w:val="17"/>
              </w:rPr>
              <w:t>Terminal</w:t>
            </w:r>
          </w:p>
        </w:tc>
        <w:tc>
          <w:tcPr>
            <w:tcW w:type="dxa" w:w="4824"/>
            <w:shd w:val="clear" w:color="auto" w:fill="EAF0EE"/>
          </w:tcPr>
          <w:p>
            <w:pPr>
              <w:spacing w:after="20"/>
            </w:pPr>
            <w:r>
              <w:rPr>
                <w:b/>
                <w:color w:val="1C3A36"/>
                <w:sz w:val="17"/>
              </w:rPr>
              <w:t>Construction</w:t>
            </w:r>
          </w:p>
        </w:tc>
      </w:tr>
      <w:tr>
        <w:tc>
          <w:tcPr>
            <w:tcW w:type="dxa" w:w="2592"/>
          </w:tcPr>
          <w:p>
            <w:pPr>
              <w:spacing w:after="20"/>
            </w:pPr>
            <w:r>
              <w:rPr>
                <w:color w:val="1C3A36"/>
                <w:sz w:val="17"/>
              </w:rPr>
              <w:t>Risk-free rate</w:t>
            </w:r>
          </w:p>
        </w:tc>
        <w:tc>
          <w:tcPr>
            <w:tcW w:type="dxa" w:w="1512"/>
          </w:tcPr>
          <w:p>
            <w:pPr>
              <w:spacing w:after="20"/>
              <w:jc w:val="right"/>
            </w:pPr>
            <w:r>
              <w:rPr>
                <w:color w:val="1C3A36"/>
                <w:sz w:val="17"/>
              </w:rPr>
              <w:t>22.31%</w:t>
            </w:r>
          </w:p>
        </w:tc>
        <w:tc>
          <w:tcPr>
            <w:tcW w:type="dxa" w:w="1296"/>
          </w:tcPr>
          <w:p>
            <w:pPr>
              <w:spacing w:after="20"/>
              <w:jc w:val="right"/>
            </w:pPr>
            <w:r>
              <w:rPr>
                <w:color w:val="1C3A36"/>
                <w:sz w:val="17"/>
              </w:rPr>
              <w:t>10.50%</w:t>
            </w:r>
          </w:p>
        </w:tc>
        <w:tc>
          <w:tcPr>
            <w:tcW w:type="dxa" w:w="4824"/>
          </w:tcPr>
          <w:p>
            <w:pPr>
              <w:spacing w:after="20"/>
            </w:pPr>
            <w:r>
              <w:rPr>
                <w:color w:val="1C3A36"/>
                <w:sz w:val="17"/>
              </w:rPr>
              <w:t>Egypt 10-year local currency. The TERMINAL rate is DERIVED, not typed: the central bank’s inflation target IN FORCE for the terminal horizon (7%) plus a 3.5% real convention, which is the 10.50% beside it</w:t>
            </w:r>
          </w:p>
        </w:tc>
      </w:tr>
      <w:tr>
        <w:tc>
          <w:tcPr>
            <w:tcW w:type="dxa" w:w="2592"/>
          </w:tcPr>
          <w:p>
            <w:pPr>
              <w:spacing w:after="20"/>
            </w:pPr>
            <w:r>
              <w:rPr>
                <w:color w:val="1C3A36"/>
                <w:sz w:val="17"/>
              </w:rPr>
              <w:t>less sovereign default spread</w:t>
            </w:r>
          </w:p>
        </w:tc>
        <w:tc>
          <w:tcPr>
            <w:tcW w:type="dxa" w:w="1512"/>
          </w:tcPr>
          <w:p>
            <w:pPr>
              <w:spacing w:after="20"/>
              <w:jc w:val="right"/>
            </w:pPr>
            <w:r>
              <w:rPr>
                <w:color w:val="1C3A36"/>
                <w:sz w:val="17"/>
              </w:rPr>
              <w:t>−3.40%</w:t>
            </w:r>
          </w:p>
        </w:tc>
        <w:tc>
          <w:tcPr>
            <w:tcW w:type="dxa" w:w="1296"/>
          </w:tcPr>
          <w:p>
            <w:pPr>
              <w:spacing w:after="20"/>
              <w:jc w:val="right"/>
            </w:pPr>
            <w:r>
              <w:rPr>
                <w:color w:val="1C3A36"/>
                <w:sz w:val="17"/>
              </w:rPr>
              <w:t>—</w:t>
            </w:r>
          </w:p>
        </w:tc>
        <w:tc>
          <w:tcPr>
            <w:tcW w:type="dxa" w:w="4824"/>
          </w:tcPr>
          <w:p>
            <w:pPr>
              <w:spacing w:after="20"/>
            </w:pPr>
            <w:r>
              <w:rPr>
                <w:color w:val="1C3A36"/>
                <w:sz w:val="17"/>
              </w:rPr>
              <w:t>netted out of the risk-free rate so country risk is not counted in both the rate and the equity premium</w:t>
            </w:r>
          </w:p>
        </w:tc>
      </w:tr>
      <w:tr>
        <w:tc>
          <w:tcPr>
            <w:tcW w:type="dxa" w:w="2592"/>
          </w:tcPr>
          <w:p>
            <w:pPr>
              <w:spacing w:after="20"/>
            </w:pPr>
            <w:r>
              <w:rPr>
                <w:color w:val="1C3A36"/>
                <w:sz w:val="17"/>
              </w:rPr>
              <w:t>Equity risk premium</w:t>
            </w:r>
          </w:p>
        </w:tc>
        <w:tc>
          <w:tcPr>
            <w:tcW w:type="dxa" w:w="1512"/>
          </w:tcPr>
          <w:p>
            <w:pPr>
              <w:spacing w:after="20"/>
              <w:jc w:val="right"/>
            </w:pPr>
            <w:r>
              <w:rPr>
                <w:color w:val="1C3A36"/>
                <w:sz w:val="17"/>
              </w:rPr>
              <w:t>9.41%</w:t>
            </w:r>
          </w:p>
        </w:tc>
        <w:tc>
          <w:tcPr>
            <w:tcW w:type="dxa" w:w="1296"/>
          </w:tcPr>
          <w:p>
            <w:pPr>
              <w:spacing w:after="20"/>
              <w:jc w:val="right"/>
            </w:pPr>
            <w:r>
              <w:rPr>
                <w:color w:val="1C3A36"/>
                <w:sz w:val="17"/>
              </w:rPr>
              <w:t>7.00%</w:t>
            </w:r>
          </w:p>
        </w:tc>
        <w:tc>
          <w:tcPr>
            <w:tcW w:type="dxa" w:w="4824"/>
          </w:tcPr>
          <w:p>
            <w:pPr>
              <w:spacing w:after="20"/>
            </w:pPr>
            <w:r>
              <w:rPr>
                <w:color w:val="1C3A36"/>
                <w:sz w:val="17"/>
              </w:rPr>
              <w:t>CDS basis, Damodaran country file. The rating-basis alternative is computed and published in section 1.13</w:t>
            </w:r>
          </w:p>
        </w:tc>
      </w:tr>
      <w:tr>
        <w:tc>
          <w:tcPr>
            <w:tcW w:type="dxa" w:w="2592"/>
          </w:tcPr>
          <w:p>
            <w:pPr>
              <w:spacing w:after="20"/>
            </w:pPr>
            <w:r>
              <w:rPr>
                <w:color w:val="1C3A36"/>
                <w:sz w:val="17"/>
              </w:rPr>
              <w:t>Beta</w:t>
            </w:r>
          </w:p>
        </w:tc>
        <w:tc>
          <w:tcPr>
            <w:tcW w:type="dxa" w:w="1512"/>
          </w:tcPr>
          <w:p>
            <w:pPr>
              <w:spacing w:after="20"/>
              <w:jc w:val="right"/>
            </w:pPr>
            <w:r>
              <w:rPr>
                <w:color w:val="1C3A36"/>
                <w:sz w:val="17"/>
              </w:rPr>
              <w:t>0.906</w:t>
            </w:r>
          </w:p>
        </w:tc>
        <w:tc>
          <w:tcPr>
            <w:tcW w:type="dxa" w:w="1296"/>
          </w:tcPr>
          <w:p>
            <w:pPr>
              <w:spacing w:after="20"/>
              <w:jc w:val="right"/>
            </w:pPr>
            <w:r>
              <w:rPr>
                <w:color w:val="1C3A36"/>
                <w:sz w:val="17"/>
              </w:rPr>
              <w:t>0.906</w:t>
            </w:r>
          </w:p>
        </w:tc>
        <w:tc>
          <w:tcPr>
            <w:tcW w:type="dxa" w:w="4824"/>
          </w:tcPr>
          <w:p>
            <w:pPr>
              <w:spacing w:after="20"/>
            </w:pPr>
            <w:r>
              <w:rPr>
                <w:color w:val="1C3A36"/>
                <w:sz w:val="17"/>
              </w:rPr>
              <w:t>own-stock regression, n=256, R² 23.6%, standard error 0.175, 90% interval [0.619, 1.193]</w:t>
            </w:r>
          </w:p>
        </w:tc>
      </w:tr>
      <w:tr>
        <w:tc>
          <w:tcPr>
            <w:tcW w:type="dxa" w:w="2592"/>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27.44%</w:t>
            </w:r>
          </w:p>
        </w:tc>
        <w:tc>
          <w:tcPr>
            <w:tcW w:type="dxa" w:w="1296"/>
            <w:shd w:val="clear" w:color="auto" w:fill="F6F1E6"/>
          </w:tcPr>
          <w:p>
            <w:pPr>
              <w:spacing w:after="20"/>
              <w:jc w:val="right"/>
            </w:pPr>
            <w:r>
              <w:rPr>
                <w:b/>
                <w:color w:val="1C3A36"/>
                <w:sz w:val="17"/>
              </w:rPr>
              <w:t>16.84%</w:t>
            </w:r>
          </w:p>
        </w:tc>
        <w:tc>
          <w:tcPr>
            <w:tcW w:type="dxa" w:w="4824"/>
            <w:shd w:val="clear" w:color="auto" w:fill="F6F1E6"/>
          </w:tcPr>
          <w:p>
            <w:pPr>
              <w:spacing w:after="20"/>
            </w:pPr>
            <w:r>
              <w:rPr>
                <w:b/>
                <w:color w:val="1C3A36"/>
                <w:sz w:val="17"/>
              </w:rPr>
            </w:r>
          </w:p>
        </w:tc>
      </w:tr>
      <w:tr>
        <w:tc>
          <w:tcPr>
            <w:tcW w:type="dxa" w:w="2592"/>
          </w:tcPr>
          <w:p>
            <w:pPr>
              <w:spacing w:after="20"/>
            </w:pPr>
            <w:r>
              <w:rPr>
                <w:color w:val="1C3A36"/>
                <w:sz w:val="17"/>
              </w:rPr>
              <w:t>Cost of debt, after tax</w:t>
            </w:r>
          </w:p>
        </w:tc>
        <w:tc>
          <w:tcPr>
            <w:tcW w:type="dxa" w:w="1512"/>
          </w:tcPr>
          <w:p>
            <w:pPr>
              <w:spacing w:after="20"/>
              <w:jc w:val="right"/>
            </w:pPr>
            <w:r>
              <w:rPr>
                <w:color w:val="1C3A36"/>
                <w:sz w:val="17"/>
              </w:rPr>
              <w:t>13.21%</w:t>
            </w:r>
          </w:p>
        </w:tc>
        <w:tc>
          <w:tcPr>
            <w:tcW w:type="dxa" w:w="1296"/>
          </w:tcPr>
          <w:p>
            <w:pPr>
              <w:spacing w:after="20"/>
              <w:jc w:val="right"/>
            </w:pPr>
            <w:r>
              <w:rPr>
                <w:color w:val="1C3A36"/>
                <w:sz w:val="17"/>
              </w:rPr>
              <w:t>11.68%</w:t>
            </w:r>
          </w:p>
        </w:tc>
        <w:tc>
          <w:tcPr>
            <w:tcW w:type="dxa" w:w="4824"/>
          </w:tcPr>
          <w:p>
            <w:pPr>
              <w:spacing w:after="20"/>
            </w:pPr>
            <w:r>
              <w:rPr>
                <w:color w:val="1C3A36"/>
                <w:sz w:val="17"/>
              </w:rPr>
              <w:t>on NET debt in the explicit window; the company is net cash</w:t>
            </w:r>
          </w:p>
        </w:tc>
      </w:tr>
      <w:tr>
        <w:tc>
          <w:tcPr>
            <w:tcW w:type="dxa" w:w="2592"/>
          </w:tcPr>
          <w:p>
            <w:pPr>
              <w:spacing w:after="20"/>
            </w:pPr>
            <w:r>
              <w:rPr>
                <w:color w:val="1C3A36"/>
                <w:sz w:val="17"/>
              </w:rPr>
              <w:t>Equity weight</w:t>
            </w:r>
          </w:p>
        </w:tc>
        <w:tc>
          <w:tcPr>
            <w:tcW w:type="dxa" w:w="1512"/>
          </w:tcPr>
          <w:p>
            <w:pPr>
              <w:spacing w:after="20"/>
              <w:jc w:val="right"/>
            </w:pPr>
            <w:r>
              <w:rPr>
                <w:color w:val="1C3A36"/>
                <w:sz w:val="17"/>
              </w:rPr>
              <w:t>99.90%</w:t>
            </w:r>
          </w:p>
        </w:tc>
        <w:tc>
          <w:tcPr>
            <w:tcW w:type="dxa" w:w="1296"/>
          </w:tcPr>
          <w:p>
            <w:pPr>
              <w:spacing w:after="20"/>
              <w:jc w:val="right"/>
            </w:pPr>
            <w:r>
              <w:rPr>
                <w:color w:val="1C3A36"/>
                <w:sz w:val="17"/>
              </w:rPr>
              <w:t>90.00%</w:t>
            </w:r>
          </w:p>
        </w:tc>
        <w:tc>
          <w:tcPr>
            <w:tcW w:type="dxa" w:w="4824"/>
          </w:tcPr>
          <w:p>
            <w:pPr>
              <w:spacing w:after="20"/>
            </w:pPr>
            <w:r>
              <w:rPr>
                <w:color w:val="1C3A36"/>
                <w:sz w:val="17"/>
              </w:rPr>
              <w:t>on GROSS borrowings: the operations are valued at the unlevered rate and the cash is added once, in the bridge</w:t>
            </w:r>
          </w:p>
        </w:tc>
      </w:tr>
      <w:tr>
        <w:tc>
          <w:tcPr>
            <w:tcW w:type="dxa" w:w="2592"/>
          </w:tcPr>
          <w:p>
            <w:pPr>
              <w:spacing w:after="20"/>
            </w:pPr>
            <w:r>
              <w:rPr>
                <w:color w:val="1C3A36"/>
                <w:sz w:val="17"/>
              </w:rPr>
              <w:t>Debt weight</w:t>
            </w:r>
          </w:p>
        </w:tc>
        <w:tc>
          <w:tcPr>
            <w:tcW w:type="dxa" w:w="1512"/>
          </w:tcPr>
          <w:p>
            <w:pPr>
              <w:spacing w:after="20"/>
              <w:jc w:val="right"/>
            </w:pPr>
            <w:r>
              <w:rPr>
                <w:color w:val="1C3A36"/>
                <w:sz w:val="17"/>
              </w:rPr>
              <w:t>0.10%</w:t>
            </w:r>
          </w:p>
        </w:tc>
        <w:tc>
          <w:tcPr>
            <w:tcW w:type="dxa" w:w="1296"/>
          </w:tcPr>
          <w:p>
            <w:pPr>
              <w:spacing w:after="20"/>
              <w:jc w:val="right"/>
            </w:pPr>
            <w:r>
              <w:rPr>
                <w:color w:val="1C3A36"/>
                <w:sz w:val="17"/>
              </w:rPr>
              <w:t>10.00%</w:t>
            </w:r>
          </w:p>
        </w:tc>
        <w:tc>
          <w:tcPr>
            <w:tcW w:type="dxa" w:w="4824"/>
          </w:tcPr>
          <w:p>
            <w:pPr>
              <w:spacing w:after="20"/>
            </w:pPr>
            <w:r>
              <w:rPr>
                <w:color w:val="1C3A36"/>
                <w:sz w:val="17"/>
              </w:rPr>
              <w:t>gross borrowings are a tenth of one per cent of capital at market value</w:t>
            </w:r>
          </w:p>
        </w:tc>
      </w:tr>
      <w:tr>
        <w:tc>
          <w:tcPr>
            <w:tcW w:type="dxa" w:w="2592"/>
            <w:shd w:val="clear" w:color="auto" w:fill="F6F1E6"/>
          </w:tcPr>
          <w:p>
            <w:pPr>
              <w:spacing w:after="20"/>
            </w:pPr>
            <w:r>
              <w:rPr>
                <w:b/>
                <w:color w:val="1C3A36"/>
                <w:sz w:val="17"/>
              </w:rPr>
              <w:t>WEIGHTED COST OF CAPITAL</w:t>
            </w:r>
          </w:p>
        </w:tc>
        <w:tc>
          <w:tcPr>
            <w:tcW w:type="dxa" w:w="1512"/>
            <w:shd w:val="clear" w:color="auto" w:fill="F6F1E6"/>
          </w:tcPr>
          <w:p>
            <w:pPr>
              <w:spacing w:after="20"/>
              <w:jc w:val="right"/>
            </w:pPr>
            <w:r>
              <w:rPr>
                <w:b/>
                <w:color w:val="1C3A36"/>
                <w:sz w:val="17"/>
              </w:rPr>
              <w:t>27.44%</w:t>
            </w:r>
          </w:p>
        </w:tc>
        <w:tc>
          <w:tcPr>
            <w:tcW w:type="dxa" w:w="1296"/>
            <w:shd w:val="clear" w:color="auto" w:fill="F6F1E6"/>
          </w:tcPr>
          <w:p>
            <w:pPr>
              <w:spacing w:after="20"/>
              <w:jc w:val="right"/>
            </w:pPr>
            <w:r>
              <w:rPr>
                <w:b/>
                <w:color w:val="1C3A36"/>
                <w:sz w:val="17"/>
              </w:rPr>
              <w:t>16.33%</w:t>
            </w:r>
          </w:p>
        </w:tc>
        <w:tc>
          <w:tcPr>
            <w:tcW w:type="dxa" w:w="4824"/>
            <w:shd w:val="clear" w:color="auto" w:fill="F6F1E6"/>
          </w:tcPr>
          <w:p>
            <w:pPr>
              <w:spacing w:after="20"/>
            </w:pPr>
            <w:r>
              <w:rPr>
                <w:b/>
                <w:color w:val="1C3A36"/>
                <w:sz w:val="17"/>
              </w:rPr>
              <w:t>the operating rate; at that debt weight it IS the cost of equity to three decimals</w:t>
            </w:r>
          </w:p>
        </w:tc>
      </w:tr>
      <w:tr>
        <w:tc>
          <w:tcPr>
            <w:tcW w:type="dxa" w:w="2592"/>
          </w:tcPr>
          <w:p>
            <w:pPr>
              <w:spacing w:after="20"/>
            </w:pPr>
            <w:r>
              <w:rPr>
                <w:color w:val="1C3A36"/>
                <w:sz w:val="17"/>
              </w:rPr>
              <w:t>— the retired net-debt construction</w:t>
            </w:r>
          </w:p>
        </w:tc>
        <w:tc>
          <w:tcPr>
            <w:tcW w:type="dxa" w:w="1512"/>
          </w:tcPr>
          <w:p>
            <w:pPr>
              <w:spacing w:after="20"/>
              <w:jc w:val="right"/>
            </w:pPr>
            <w:r>
              <w:rPr>
                <w:color w:val="1C3A36"/>
                <w:sz w:val="17"/>
              </w:rPr>
              <w:t>30.40%</w:t>
            </w:r>
          </w:p>
        </w:tc>
        <w:tc>
          <w:tcPr>
            <w:tcW w:type="dxa" w:w="1296"/>
          </w:tcPr>
          <w:p>
            <w:pPr>
              <w:spacing w:after="20"/>
              <w:jc w:val="right"/>
            </w:pPr>
            <w:r>
              <w:rPr>
                <w:color w:val="1C3A36"/>
                <w:sz w:val="17"/>
              </w:rPr>
              <w:t>—</w:t>
            </w:r>
          </w:p>
        </w:tc>
        <w:tc>
          <w:tcPr>
            <w:tcW w:type="dxa" w:w="4824"/>
          </w:tcPr>
          <w:p>
            <w:pPr>
              <w:spacing w:after="20"/>
            </w:pPr>
            <w:r>
              <w:rPr>
                <w:color w:val="1C3A36"/>
                <w:sz w:val="17"/>
              </w:rPr>
              <w:t>weights 120.80% equity and -20.80% debt, which is what a NET-cash weighting produces; it is shown because the previous edition used it AND added the cash back at face, charging for the same cash twice</w:t>
            </w:r>
          </w:p>
        </w:tc>
      </w:tr>
    </w:tbl>
    <w:p>
      <w:pPr>
        <w:spacing w:after="40"/>
      </w:pPr>
    </w:p>
    <w:p>
      <w:pPr>
        <w:spacing w:after="200" w:before="0"/>
      </w:pPr>
      <w:r>
        <w:rPr>
          <w:b w:val="0"/>
          <w:i/>
          <w:color w:val="6E7B77"/>
          <w:sz w:val="17"/>
        </w:rPr>
        <w:t>Table 10 — the discount-rate stack. The construction that matters most here is what the cash is doing. A naive model lets a cash pile drag the weighted rate DOWN; the previous edition went the other way, weighting on NET debt at -20.8% and reaching 30.4% — 296 basis points ABOVE the 27.4% cost of equity — and THEN added the same cash back at face in the bridge, which charges for it twice. This edition values the operations at the unlevered rate of 27.44% and adds the cash once, isolating and penalising the risk of the pure unlevered operating assets. The unlevering identity is asserted in the build to recombine exactly.</w:t>
      </w:r>
    </w:p>
    <w:p>
      <w:pPr>
        <w:spacing w:after="80" w:before="200"/>
      </w:pPr>
      <w:r>
        <w:rPr>
          <w:b/>
          <w:i w:val="0"/>
          <w:color w:val="1C3A36"/>
          <w:sz w:val="24"/>
        </w:rPr>
        <w:t>1.7  The discount-rate schedule, year by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195"/>
        <w:gridCol w:w="1195"/>
        <w:gridCol w:w="1195"/>
        <w:gridCol w:w="1195"/>
        <w:gridCol w:w="1195"/>
        <w:gridCol w:w="1224"/>
      </w:tblGrid>
      <w:tr>
        <w:tc>
          <w:tcPr>
            <w:tcW w:type="dxa" w:w="3024"/>
            <w:shd w:val="clear" w:color="auto" w:fill="EAF0EE"/>
          </w:tcPr>
          <w:p>
            <w:pPr>
              <w:spacing w:after="20"/>
            </w:pPr>
            <w:r>
              <w:rPr>
                <w:b/>
                <w:color w:val="1C3A36"/>
                <w:sz w:val="17"/>
              </w:rPr>
            </w:r>
          </w:p>
        </w:tc>
        <w:tc>
          <w:tcPr>
            <w:tcW w:type="dxa" w:w="1195"/>
            <w:shd w:val="clear" w:color="auto" w:fill="EAF0EE"/>
          </w:tcPr>
          <w:p>
            <w:pPr>
              <w:spacing w:after="20"/>
            </w:pPr>
            <w:r>
              <w:rPr>
                <w:b/>
                <w:color w:val="1C3A36"/>
                <w:sz w:val="17"/>
              </w:rPr>
              <w:t>2026E</w:t>
            </w:r>
          </w:p>
        </w:tc>
        <w:tc>
          <w:tcPr>
            <w:tcW w:type="dxa" w:w="1195"/>
            <w:shd w:val="clear" w:color="auto" w:fill="EAF0EE"/>
          </w:tcPr>
          <w:p>
            <w:pPr>
              <w:spacing w:after="20"/>
            </w:pPr>
            <w:r>
              <w:rPr>
                <w:b/>
                <w:color w:val="1C3A36"/>
                <w:sz w:val="17"/>
              </w:rPr>
              <w:t>2027E</w:t>
            </w:r>
          </w:p>
        </w:tc>
        <w:tc>
          <w:tcPr>
            <w:tcW w:type="dxa" w:w="1195"/>
            <w:shd w:val="clear" w:color="auto" w:fill="EAF0EE"/>
          </w:tcPr>
          <w:p>
            <w:pPr>
              <w:spacing w:after="20"/>
            </w:pPr>
            <w:r>
              <w:rPr>
                <w:b/>
                <w:color w:val="1C3A36"/>
                <w:sz w:val="17"/>
              </w:rPr>
              <w:t>2028E</w:t>
            </w:r>
          </w:p>
        </w:tc>
        <w:tc>
          <w:tcPr>
            <w:tcW w:type="dxa" w:w="1195"/>
            <w:shd w:val="clear" w:color="auto" w:fill="EAF0EE"/>
          </w:tcPr>
          <w:p>
            <w:pPr>
              <w:spacing w:after="20"/>
            </w:pPr>
            <w:r>
              <w:rPr>
                <w:b/>
                <w:color w:val="1C3A36"/>
                <w:sz w:val="17"/>
              </w:rPr>
              <w:t>2029E</w:t>
            </w:r>
          </w:p>
        </w:tc>
        <w:tc>
          <w:tcPr>
            <w:tcW w:type="dxa" w:w="1195"/>
            <w:shd w:val="clear" w:color="auto" w:fill="EAF0EE"/>
          </w:tcPr>
          <w:p>
            <w:pPr>
              <w:spacing w:after="20"/>
            </w:pPr>
            <w:r>
              <w:rPr>
                <w:b/>
                <w:color w:val="1C3A36"/>
                <w:sz w:val="17"/>
              </w:rPr>
              <w:t>2030E</w:t>
            </w:r>
          </w:p>
        </w:tc>
        <w:tc>
          <w:tcPr>
            <w:tcW w:type="dxa" w:w="1224"/>
            <w:shd w:val="clear" w:color="auto" w:fill="EAF0EE"/>
          </w:tcPr>
          <w:p>
            <w:pPr>
              <w:spacing w:after="20"/>
            </w:pPr>
            <w:r>
              <w:rPr>
                <w:b/>
                <w:color w:val="1C3A36"/>
                <w:sz w:val="17"/>
              </w:rPr>
              <w:t>Terminal</w:t>
            </w:r>
          </w:p>
        </w:tc>
      </w:tr>
      <w:tr>
        <w:tc>
          <w:tcPr>
            <w:tcW w:type="dxa" w:w="3024"/>
          </w:tcPr>
          <w:p>
            <w:pPr>
              <w:spacing w:after="20"/>
            </w:pPr>
            <w:r>
              <w:rPr>
                <w:color w:val="1C3A36"/>
                <w:sz w:val="17"/>
              </w:rPr>
              <w:t>Glide fraction</w:t>
            </w:r>
          </w:p>
        </w:tc>
        <w:tc>
          <w:tcPr>
            <w:tcW w:type="dxa" w:w="1195"/>
          </w:tcPr>
          <w:p>
            <w:pPr>
              <w:spacing w:after="20"/>
              <w:jc w:val="right"/>
            </w:pPr>
            <w:r>
              <w:rPr>
                <w:color w:val="1C3A36"/>
                <w:sz w:val="17"/>
              </w:rPr>
              <w:t>0.000</w:t>
            </w:r>
          </w:p>
        </w:tc>
        <w:tc>
          <w:tcPr>
            <w:tcW w:type="dxa" w:w="1195"/>
          </w:tcPr>
          <w:p>
            <w:pPr>
              <w:spacing w:after="20"/>
              <w:jc w:val="right"/>
            </w:pPr>
            <w:r>
              <w:rPr>
                <w:color w:val="1C3A36"/>
                <w:sz w:val="17"/>
              </w:rPr>
              <w:t>0.517</w:t>
            </w:r>
          </w:p>
        </w:tc>
        <w:tc>
          <w:tcPr>
            <w:tcW w:type="dxa" w:w="1195"/>
          </w:tcPr>
          <w:p>
            <w:pPr>
              <w:spacing w:after="20"/>
              <w:jc w:val="right"/>
            </w:pPr>
            <w:r>
              <w:rPr>
                <w:color w:val="1C3A36"/>
                <w:sz w:val="17"/>
              </w:rPr>
              <w:t>0.731</w:t>
            </w:r>
          </w:p>
        </w:tc>
        <w:tc>
          <w:tcPr>
            <w:tcW w:type="dxa" w:w="1195"/>
          </w:tcPr>
          <w:p>
            <w:pPr>
              <w:spacing w:after="20"/>
              <w:jc w:val="right"/>
            </w:pPr>
            <w:r>
              <w:rPr>
                <w:color w:val="1C3A36"/>
                <w:sz w:val="17"/>
              </w:rPr>
              <w:t>0.893</w:t>
            </w:r>
          </w:p>
        </w:tc>
        <w:tc>
          <w:tcPr>
            <w:tcW w:type="dxa" w:w="1195"/>
          </w:tcPr>
          <w:p>
            <w:pPr>
              <w:spacing w:after="20"/>
              <w:jc w:val="right"/>
            </w:pPr>
            <w:r>
              <w:rPr>
                <w:color w:val="1C3A36"/>
                <w:sz w:val="17"/>
              </w:rPr>
              <w:t>1.000</w:t>
            </w:r>
          </w:p>
        </w:tc>
        <w:tc>
          <w:tcPr>
            <w:tcW w:type="dxa" w:w="1224"/>
          </w:tcPr>
          <w:p>
            <w:pPr>
              <w:spacing w:after="20"/>
              <w:jc w:val="right"/>
            </w:pPr>
            <w:r>
              <w:rPr>
                <w:color w:val="1C3A36"/>
                <w:sz w:val="17"/>
              </w:rPr>
              <w:t>1.000</w:t>
            </w:r>
          </w:p>
        </w:tc>
      </w:tr>
      <w:tr>
        <w:tc>
          <w:tcPr>
            <w:tcW w:type="dxa" w:w="3024"/>
          </w:tcPr>
          <w:p>
            <w:pPr>
              <w:spacing w:after="20"/>
            </w:pPr>
            <w:r>
              <w:rPr>
                <w:color w:val="1C3A36"/>
                <w:sz w:val="17"/>
              </w:rPr>
              <w:t>Forward cost of capital</w:t>
            </w:r>
          </w:p>
        </w:tc>
        <w:tc>
          <w:tcPr>
            <w:tcW w:type="dxa" w:w="1195"/>
          </w:tcPr>
          <w:p>
            <w:pPr>
              <w:spacing w:after="20"/>
              <w:jc w:val="right"/>
            </w:pPr>
            <w:r>
              <w:rPr>
                <w:color w:val="1C3A36"/>
                <w:sz w:val="17"/>
              </w:rPr>
              <w:t>27.44%</w:t>
            </w:r>
          </w:p>
        </w:tc>
        <w:tc>
          <w:tcPr>
            <w:tcW w:type="dxa" w:w="1195"/>
          </w:tcPr>
          <w:p>
            <w:pPr>
              <w:spacing w:after="20"/>
              <w:jc w:val="right"/>
            </w:pPr>
            <w:r>
              <w:rPr>
                <w:color w:val="1C3A36"/>
                <w:sz w:val="17"/>
              </w:rPr>
              <w:t>21.70%</w:t>
            </w:r>
          </w:p>
        </w:tc>
        <w:tc>
          <w:tcPr>
            <w:tcW w:type="dxa" w:w="1195"/>
          </w:tcPr>
          <w:p>
            <w:pPr>
              <w:spacing w:after="20"/>
              <w:jc w:val="right"/>
            </w:pPr>
            <w:r>
              <w:rPr>
                <w:color w:val="1C3A36"/>
                <w:sz w:val="17"/>
              </w:rPr>
              <w:t>19.31%</w:t>
            </w:r>
          </w:p>
        </w:tc>
        <w:tc>
          <w:tcPr>
            <w:tcW w:type="dxa" w:w="1195"/>
          </w:tcPr>
          <w:p>
            <w:pPr>
              <w:spacing w:after="20"/>
              <w:jc w:val="right"/>
            </w:pPr>
            <w:r>
              <w:rPr>
                <w:color w:val="1C3A36"/>
                <w:sz w:val="17"/>
              </w:rPr>
              <w:t>17.52%</w:t>
            </w:r>
          </w:p>
        </w:tc>
        <w:tc>
          <w:tcPr>
            <w:tcW w:type="dxa" w:w="1195"/>
          </w:tcPr>
          <w:p>
            <w:pPr>
              <w:spacing w:after="20"/>
              <w:jc w:val="right"/>
            </w:pPr>
            <w:r>
              <w:rPr>
                <w:color w:val="1C3A36"/>
                <w:sz w:val="17"/>
              </w:rPr>
              <w:t>16.33%</w:t>
            </w:r>
          </w:p>
        </w:tc>
        <w:tc>
          <w:tcPr>
            <w:tcW w:type="dxa" w:w="1224"/>
          </w:tcPr>
          <w:p>
            <w:pPr>
              <w:spacing w:after="20"/>
              <w:jc w:val="right"/>
            </w:pPr>
            <w:r>
              <w:rPr>
                <w:color w:val="1C3A36"/>
                <w:sz w:val="17"/>
              </w:rPr>
              <w:t>16.33%</w:t>
            </w:r>
          </w:p>
        </w:tc>
      </w:tr>
      <w:tr>
        <w:tc>
          <w:tcPr>
            <w:tcW w:type="dxa" w:w="3024"/>
          </w:tcPr>
          <w:p>
            <w:pPr>
              <w:spacing w:after="20"/>
            </w:pPr>
            <w:r>
              <w:rPr>
                <w:color w:val="1C3A36"/>
                <w:sz w:val="17"/>
              </w:rPr>
              <w:t>Cumulative discount factor</w:t>
            </w:r>
          </w:p>
        </w:tc>
        <w:tc>
          <w:tcPr>
            <w:tcW w:type="dxa" w:w="1195"/>
          </w:tcPr>
          <w:p>
            <w:pPr>
              <w:spacing w:after="20"/>
              <w:jc w:val="right"/>
            </w:pPr>
            <w:r>
              <w:rPr>
                <w:color w:val="1C3A36"/>
                <w:sz w:val="17"/>
              </w:rPr>
              <w:t>0.78469</w:t>
            </w:r>
          </w:p>
        </w:tc>
        <w:tc>
          <w:tcPr>
            <w:tcW w:type="dxa" w:w="1195"/>
          </w:tcPr>
          <w:p>
            <w:pPr>
              <w:spacing w:after="20"/>
              <w:jc w:val="right"/>
            </w:pPr>
            <w:r>
              <w:rPr>
                <w:color w:val="1C3A36"/>
                <w:sz w:val="17"/>
              </w:rPr>
              <w:t>0.64478</w:t>
            </w:r>
          </w:p>
        </w:tc>
        <w:tc>
          <w:tcPr>
            <w:tcW w:type="dxa" w:w="1195"/>
          </w:tcPr>
          <w:p>
            <w:pPr>
              <w:spacing w:after="20"/>
              <w:jc w:val="right"/>
            </w:pPr>
            <w:r>
              <w:rPr>
                <w:color w:val="1C3A36"/>
                <w:sz w:val="17"/>
              </w:rPr>
              <w:t>0.54042</w:t>
            </w:r>
          </w:p>
        </w:tc>
        <w:tc>
          <w:tcPr>
            <w:tcW w:type="dxa" w:w="1195"/>
          </w:tcPr>
          <w:p>
            <w:pPr>
              <w:spacing w:after="20"/>
              <w:jc w:val="right"/>
            </w:pPr>
            <w:r>
              <w:rPr>
                <w:color w:val="1C3A36"/>
                <w:sz w:val="17"/>
              </w:rPr>
              <w:t>0.45985</w:t>
            </w:r>
          </w:p>
        </w:tc>
        <w:tc>
          <w:tcPr>
            <w:tcW w:type="dxa" w:w="1195"/>
          </w:tcPr>
          <w:p>
            <w:pPr>
              <w:spacing w:after="20"/>
              <w:jc w:val="right"/>
            </w:pPr>
            <w:r>
              <w:rPr>
                <w:color w:val="1C3A36"/>
                <w:sz w:val="17"/>
              </w:rPr>
              <w:t>0.39530</w:t>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Table 11 — one date, one price of time. Each year is discounted at its OWN forward rate, and the glide from the explicit anchor to the terminal anchor is inherited from the cost-of-debt path’s own cumulative progress rather than invented as a straight line. The terminal block is discounted at the year-5 cumulative factor.</w:t>
      </w:r>
    </w:p>
    <w:p>
      <w:pPr>
        <w:spacing w:after="80" w:before="200"/>
      </w:pPr>
      <w:r>
        <w:rPr>
          <w:b/>
          <w:i w:val="0"/>
          <w:color w:val="1C3A36"/>
          <w:sz w:val="24"/>
        </w:rPr>
        <w:t>1.8  The free-cash-flow waterfall and the enterprise-value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38"/>
        <w:gridCol w:w="1238"/>
        <w:gridCol w:w="1238"/>
        <w:gridCol w:w="1238"/>
        <w:gridCol w:w="1238"/>
      </w:tblGrid>
      <w:tr>
        <w:tc>
          <w:tcPr>
            <w:tcW w:type="dxa" w:w="3600"/>
            <w:shd w:val="clear" w:color="auto" w:fill="EAF0EE"/>
          </w:tcPr>
          <w:p>
            <w:pPr>
              <w:spacing w:after="20"/>
            </w:pPr>
            <w:r>
              <w:rPr>
                <w:b/>
                <w:color w:val="1C3A36"/>
                <w:sz w:val="17"/>
              </w:rPr>
            </w:r>
          </w:p>
        </w:tc>
        <w:tc>
          <w:tcPr>
            <w:tcW w:type="dxa" w:w="1238"/>
            <w:shd w:val="clear" w:color="auto" w:fill="EAF0EE"/>
          </w:tcPr>
          <w:p>
            <w:pPr>
              <w:spacing w:after="20"/>
            </w:pPr>
            <w:r>
              <w:rPr>
                <w:b/>
                <w:color w:val="1C3A36"/>
                <w:sz w:val="17"/>
              </w:rPr>
              <w:t>2026E</w:t>
            </w:r>
          </w:p>
        </w:tc>
        <w:tc>
          <w:tcPr>
            <w:tcW w:type="dxa" w:w="1238"/>
            <w:shd w:val="clear" w:color="auto" w:fill="EAF0EE"/>
          </w:tcPr>
          <w:p>
            <w:pPr>
              <w:spacing w:after="20"/>
            </w:pPr>
            <w:r>
              <w:rPr>
                <w:b/>
                <w:color w:val="1C3A36"/>
                <w:sz w:val="17"/>
              </w:rPr>
              <w:t>2027E</w:t>
            </w:r>
          </w:p>
        </w:tc>
        <w:tc>
          <w:tcPr>
            <w:tcW w:type="dxa" w:w="1238"/>
            <w:shd w:val="clear" w:color="auto" w:fill="EAF0EE"/>
          </w:tcPr>
          <w:p>
            <w:pPr>
              <w:spacing w:after="20"/>
            </w:pPr>
            <w:r>
              <w:rPr>
                <w:b/>
                <w:color w:val="1C3A36"/>
                <w:sz w:val="17"/>
              </w:rPr>
              <w:t>2028E</w:t>
            </w:r>
          </w:p>
        </w:tc>
        <w:tc>
          <w:tcPr>
            <w:tcW w:type="dxa" w:w="1238"/>
            <w:shd w:val="clear" w:color="auto" w:fill="EAF0EE"/>
          </w:tcPr>
          <w:p>
            <w:pPr>
              <w:spacing w:after="20"/>
            </w:pPr>
            <w:r>
              <w:rPr>
                <w:b/>
                <w:color w:val="1C3A36"/>
                <w:sz w:val="17"/>
              </w:rPr>
              <w:t>2029E</w:t>
            </w:r>
          </w:p>
        </w:tc>
        <w:tc>
          <w:tcPr>
            <w:tcW w:type="dxa" w:w="1238"/>
            <w:shd w:val="clear" w:color="auto" w:fill="EAF0EE"/>
          </w:tcPr>
          <w:p>
            <w:pPr>
              <w:spacing w:after="20"/>
            </w:pPr>
            <w:r>
              <w:rPr>
                <w:b/>
                <w:color w:val="1C3A36"/>
                <w:sz w:val="17"/>
              </w:rPr>
              <w:t>2030E</w:t>
            </w:r>
          </w:p>
        </w:tc>
      </w:tr>
      <w:tr>
        <w:tc>
          <w:tcPr>
            <w:tcW w:type="dxa" w:w="3600"/>
          </w:tcPr>
          <w:p>
            <w:pPr>
              <w:spacing w:after="20"/>
            </w:pPr>
            <w:r>
              <w:rPr>
                <w:color w:val="1C3A36"/>
                <w:sz w:val="17"/>
              </w:rPr>
              <w:t>Revenue</w:t>
            </w:r>
          </w:p>
        </w:tc>
        <w:tc>
          <w:tcPr>
            <w:tcW w:type="dxa" w:w="1238"/>
          </w:tcPr>
          <w:p>
            <w:pPr>
              <w:spacing w:after="20"/>
              <w:jc w:val="right"/>
            </w:pPr>
            <w:r>
              <w:rPr>
                <w:color w:val="1C3A36"/>
                <w:sz w:val="17"/>
              </w:rPr>
              <w:t>53,144</w:t>
            </w:r>
          </w:p>
        </w:tc>
        <w:tc>
          <w:tcPr>
            <w:tcW w:type="dxa" w:w="1238"/>
          </w:tcPr>
          <w:p>
            <w:pPr>
              <w:spacing w:after="20"/>
              <w:jc w:val="right"/>
            </w:pPr>
            <w:r>
              <w:rPr>
                <w:color w:val="1C3A36"/>
                <w:sz w:val="17"/>
              </w:rPr>
              <w:t>58,069</w:t>
            </w:r>
          </w:p>
        </w:tc>
        <w:tc>
          <w:tcPr>
            <w:tcW w:type="dxa" w:w="1238"/>
          </w:tcPr>
          <w:p>
            <w:pPr>
              <w:spacing w:after="20"/>
              <w:jc w:val="right"/>
            </w:pPr>
            <w:r>
              <w:rPr>
                <w:color w:val="1C3A36"/>
                <w:sz w:val="17"/>
              </w:rPr>
              <w:t>61,752</w:t>
            </w:r>
          </w:p>
        </w:tc>
        <w:tc>
          <w:tcPr>
            <w:tcW w:type="dxa" w:w="1238"/>
          </w:tcPr>
          <w:p>
            <w:pPr>
              <w:spacing w:after="20"/>
              <w:jc w:val="right"/>
            </w:pPr>
            <w:r>
              <w:rPr>
                <w:color w:val="1C3A36"/>
                <w:sz w:val="17"/>
              </w:rPr>
              <w:t>64,764</w:t>
            </w:r>
          </w:p>
        </w:tc>
        <w:tc>
          <w:tcPr>
            <w:tcW w:type="dxa" w:w="1238"/>
          </w:tcPr>
          <w:p>
            <w:pPr>
              <w:spacing w:after="20"/>
              <w:jc w:val="right"/>
            </w:pPr>
            <w:r>
              <w:rPr>
                <w:color w:val="1C3A36"/>
                <w:sz w:val="17"/>
              </w:rPr>
              <w:t>67,607</w:t>
            </w:r>
          </w:p>
        </w:tc>
      </w:tr>
      <w:tr>
        <w:tc>
          <w:tcPr>
            <w:tcW w:type="dxa" w:w="3600"/>
          </w:tcPr>
          <w:p>
            <w:pPr>
              <w:spacing w:after="20"/>
            </w:pPr>
            <w:r>
              <w:rPr>
                <w:color w:val="1C3A36"/>
                <w:sz w:val="17"/>
              </w:rPr>
              <w:t>Cost of sales</w:t>
            </w:r>
          </w:p>
        </w:tc>
        <w:tc>
          <w:tcPr>
            <w:tcW w:type="dxa" w:w="1238"/>
          </w:tcPr>
          <w:p>
            <w:pPr>
              <w:spacing w:after="20"/>
              <w:jc w:val="right"/>
            </w:pPr>
            <w:r>
              <w:rPr>
                <w:color w:val="1C3A36"/>
                <w:sz w:val="17"/>
              </w:rPr>
              <w:t>46,539</w:t>
            </w:r>
          </w:p>
        </w:tc>
        <w:tc>
          <w:tcPr>
            <w:tcW w:type="dxa" w:w="1238"/>
          </w:tcPr>
          <w:p>
            <w:pPr>
              <w:spacing w:after="20"/>
              <w:jc w:val="right"/>
            </w:pPr>
            <w:r>
              <w:rPr>
                <w:color w:val="1C3A36"/>
                <w:sz w:val="17"/>
              </w:rPr>
              <w:t>50,841</w:t>
            </w:r>
          </w:p>
        </w:tc>
        <w:tc>
          <w:tcPr>
            <w:tcW w:type="dxa" w:w="1238"/>
          </w:tcPr>
          <w:p>
            <w:pPr>
              <w:spacing w:after="20"/>
              <w:jc w:val="right"/>
            </w:pPr>
            <w:r>
              <w:rPr>
                <w:color w:val="1C3A36"/>
                <w:sz w:val="17"/>
              </w:rPr>
              <w:t>54,057</w:t>
            </w:r>
          </w:p>
        </w:tc>
        <w:tc>
          <w:tcPr>
            <w:tcW w:type="dxa" w:w="1238"/>
          </w:tcPr>
          <w:p>
            <w:pPr>
              <w:spacing w:after="20"/>
              <w:jc w:val="right"/>
            </w:pPr>
            <w:r>
              <w:rPr>
                <w:color w:val="1C3A36"/>
                <w:sz w:val="17"/>
              </w:rPr>
              <w:t>56,688</w:t>
            </w:r>
          </w:p>
        </w:tc>
        <w:tc>
          <w:tcPr>
            <w:tcW w:type="dxa" w:w="1238"/>
          </w:tcPr>
          <w:p>
            <w:pPr>
              <w:spacing w:after="20"/>
              <w:jc w:val="right"/>
            </w:pPr>
            <w:r>
              <w:rPr>
                <w:color w:val="1C3A36"/>
                <w:sz w:val="17"/>
              </w:rPr>
              <w:t>59,171</w:t>
            </w:r>
          </w:p>
        </w:tc>
      </w:tr>
      <w:tr>
        <w:tc>
          <w:tcPr>
            <w:tcW w:type="dxa" w:w="3600"/>
            <w:shd w:val="clear" w:color="auto" w:fill="F6F1E6"/>
          </w:tcPr>
          <w:p>
            <w:pPr>
              <w:spacing w:after="20"/>
            </w:pPr>
            <w:r>
              <w:rPr>
                <w:b/>
                <w:color w:val="1C3A36"/>
                <w:sz w:val="17"/>
              </w:rPr>
              <w:t>GROSS PROFIT</w:t>
            </w:r>
          </w:p>
        </w:tc>
        <w:tc>
          <w:tcPr>
            <w:tcW w:type="dxa" w:w="1238"/>
            <w:shd w:val="clear" w:color="auto" w:fill="F6F1E6"/>
          </w:tcPr>
          <w:p>
            <w:pPr>
              <w:spacing w:after="20"/>
              <w:jc w:val="right"/>
            </w:pPr>
            <w:r>
              <w:rPr>
                <w:b/>
                <w:color w:val="1C3A36"/>
                <w:sz w:val="17"/>
              </w:rPr>
              <w:t>6,605</w:t>
            </w:r>
          </w:p>
        </w:tc>
        <w:tc>
          <w:tcPr>
            <w:tcW w:type="dxa" w:w="1238"/>
            <w:shd w:val="clear" w:color="auto" w:fill="F6F1E6"/>
          </w:tcPr>
          <w:p>
            <w:pPr>
              <w:spacing w:after="20"/>
              <w:jc w:val="right"/>
            </w:pPr>
            <w:r>
              <w:rPr>
                <w:b/>
                <w:color w:val="1C3A36"/>
                <w:sz w:val="17"/>
              </w:rPr>
              <w:t>7,228</w:t>
            </w:r>
          </w:p>
        </w:tc>
        <w:tc>
          <w:tcPr>
            <w:tcW w:type="dxa" w:w="1238"/>
            <w:shd w:val="clear" w:color="auto" w:fill="F6F1E6"/>
          </w:tcPr>
          <w:p>
            <w:pPr>
              <w:spacing w:after="20"/>
              <w:jc w:val="right"/>
            </w:pPr>
            <w:r>
              <w:rPr>
                <w:b/>
                <w:color w:val="1C3A36"/>
                <w:sz w:val="17"/>
              </w:rPr>
              <w:t>7,694</w:t>
            </w:r>
          </w:p>
        </w:tc>
        <w:tc>
          <w:tcPr>
            <w:tcW w:type="dxa" w:w="1238"/>
            <w:shd w:val="clear" w:color="auto" w:fill="F6F1E6"/>
          </w:tcPr>
          <w:p>
            <w:pPr>
              <w:spacing w:after="20"/>
              <w:jc w:val="right"/>
            </w:pPr>
            <w:r>
              <w:rPr>
                <w:b/>
                <w:color w:val="1C3A36"/>
                <w:sz w:val="17"/>
              </w:rPr>
              <w:t>8,076</w:t>
            </w:r>
          </w:p>
        </w:tc>
        <w:tc>
          <w:tcPr>
            <w:tcW w:type="dxa" w:w="1238"/>
            <w:shd w:val="clear" w:color="auto" w:fill="F6F1E6"/>
          </w:tcPr>
          <w:p>
            <w:pPr>
              <w:spacing w:after="20"/>
              <w:jc w:val="right"/>
            </w:pPr>
            <w:r>
              <w:rPr>
                <w:b/>
                <w:color w:val="1C3A36"/>
                <w:sz w:val="17"/>
              </w:rPr>
              <w:t>8,436</w:t>
            </w:r>
          </w:p>
        </w:tc>
      </w:tr>
      <w:tr>
        <w:tc>
          <w:tcPr>
            <w:tcW w:type="dxa" w:w="3600"/>
          </w:tcPr>
          <w:p>
            <w:pPr>
              <w:spacing w:after="20"/>
            </w:pPr>
            <w:r>
              <w:rPr>
                <w:color w:val="1C3A36"/>
                <w:sz w:val="17"/>
              </w:rPr>
              <w:t>Gross margin</w:t>
            </w:r>
          </w:p>
        </w:tc>
        <w:tc>
          <w:tcPr>
            <w:tcW w:type="dxa" w:w="1238"/>
          </w:tcPr>
          <w:p>
            <w:pPr>
              <w:spacing w:after="20"/>
              <w:jc w:val="right"/>
            </w:pPr>
            <w:r>
              <w:rPr>
                <w:color w:val="1C3A36"/>
                <w:sz w:val="17"/>
              </w:rPr>
              <w:t>12.43%</w:t>
            </w:r>
          </w:p>
        </w:tc>
        <w:tc>
          <w:tcPr>
            <w:tcW w:type="dxa" w:w="1238"/>
          </w:tcPr>
          <w:p>
            <w:pPr>
              <w:spacing w:after="20"/>
              <w:jc w:val="right"/>
            </w:pPr>
            <w:r>
              <w:rPr>
                <w:color w:val="1C3A36"/>
                <w:sz w:val="17"/>
              </w:rPr>
              <w:t>12.45%</w:t>
            </w:r>
          </w:p>
        </w:tc>
        <w:tc>
          <w:tcPr>
            <w:tcW w:type="dxa" w:w="1238"/>
          </w:tcPr>
          <w:p>
            <w:pPr>
              <w:spacing w:after="20"/>
              <w:jc w:val="right"/>
            </w:pPr>
            <w:r>
              <w:rPr>
                <w:color w:val="1C3A36"/>
                <w:sz w:val="17"/>
              </w:rPr>
              <w:t>12.46%</w:t>
            </w:r>
          </w:p>
        </w:tc>
        <w:tc>
          <w:tcPr>
            <w:tcW w:type="dxa" w:w="1238"/>
          </w:tcPr>
          <w:p>
            <w:pPr>
              <w:spacing w:after="20"/>
              <w:jc w:val="right"/>
            </w:pPr>
            <w:r>
              <w:rPr>
                <w:color w:val="1C3A36"/>
                <w:sz w:val="17"/>
              </w:rPr>
              <w:t>12.47%</w:t>
            </w:r>
          </w:p>
        </w:tc>
        <w:tc>
          <w:tcPr>
            <w:tcW w:type="dxa" w:w="1238"/>
          </w:tcPr>
          <w:p>
            <w:pPr>
              <w:spacing w:after="20"/>
              <w:jc w:val="right"/>
            </w:pPr>
            <w:r>
              <w:rPr>
                <w:color w:val="1C3A36"/>
                <w:sz w:val="17"/>
              </w:rPr>
              <w:t>12.48%</w:t>
            </w:r>
          </w:p>
        </w:tc>
      </w:tr>
      <w:tr>
        <w:tc>
          <w:tcPr>
            <w:tcW w:type="dxa" w:w="3600"/>
          </w:tcPr>
          <w:p>
            <w:pPr>
              <w:spacing w:after="20"/>
            </w:pPr>
            <w:r>
              <w:rPr>
                <w:color w:val="1C3A36"/>
                <w:sz w:val="17"/>
              </w:rPr>
              <w:t>Operating expense</w:t>
            </w:r>
          </w:p>
        </w:tc>
        <w:tc>
          <w:tcPr>
            <w:tcW w:type="dxa" w:w="1238"/>
          </w:tcPr>
          <w:p>
            <w:pPr>
              <w:spacing w:after="20"/>
              <w:jc w:val="right"/>
            </w:pPr>
            <w:r>
              <w:rPr>
                <w:color w:val="1C3A36"/>
                <w:sz w:val="17"/>
              </w:rPr>
              <w:t>2,017</w:t>
            </w:r>
          </w:p>
        </w:tc>
        <w:tc>
          <w:tcPr>
            <w:tcW w:type="dxa" w:w="1238"/>
          </w:tcPr>
          <w:p>
            <w:pPr>
              <w:spacing w:after="20"/>
              <w:jc w:val="right"/>
            </w:pPr>
            <w:r>
              <w:rPr>
                <w:color w:val="1C3A36"/>
                <w:sz w:val="17"/>
              </w:rPr>
              <w:t>2,259</w:t>
            </w:r>
          </w:p>
        </w:tc>
        <w:tc>
          <w:tcPr>
            <w:tcW w:type="dxa" w:w="1238"/>
          </w:tcPr>
          <w:p>
            <w:pPr>
              <w:spacing w:after="20"/>
              <w:jc w:val="right"/>
            </w:pPr>
            <w:r>
              <w:rPr>
                <w:color w:val="1C3A36"/>
                <w:sz w:val="17"/>
              </w:rPr>
              <w:t>2,462</w:t>
            </w:r>
          </w:p>
        </w:tc>
        <w:tc>
          <w:tcPr>
            <w:tcW w:type="dxa" w:w="1238"/>
          </w:tcPr>
          <w:p>
            <w:pPr>
              <w:spacing w:after="20"/>
              <w:jc w:val="right"/>
            </w:pPr>
            <w:r>
              <w:rPr>
                <w:color w:val="1C3A36"/>
                <w:sz w:val="17"/>
              </w:rPr>
              <w:t>2,647</w:t>
            </w:r>
          </w:p>
        </w:tc>
        <w:tc>
          <w:tcPr>
            <w:tcW w:type="dxa" w:w="1238"/>
          </w:tcPr>
          <w:p>
            <w:pPr>
              <w:spacing w:after="20"/>
              <w:jc w:val="right"/>
            </w:pPr>
            <w:r>
              <w:rPr>
                <w:color w:val="1C3A36"/>
                <w:sz w:val="17"/>
              </w:rPr>
              <w:t>2,832</w:t>
            </w:r>
          </w:p>
        </w:tc>
      </w:tr>
      <w:tr>
        <w:tc>
          <w:tcPr>
            <w:tcW w:type="dxa" w:w="3600"/>
          </w:tcPr>
          <w:p>
            <w:pPr>
              <w:spacing w:after="20"/>
            </w:pPr>
            <w:r>
              <w:rPr>
                <w:color w:val="1C3A36"/>
                <w:sz w:val="17"/>
              </w:rPr>
              <w:t>EBITDA</w:t>
            </w:r>
          </w:p>
        </w:tc>
        <w:tc>
          <w:tcPr>
            <w:tcW w:type="dxa" w:w="1238"/>
          </w:tcPr>
          <w:p>
            <w:pPr>
              <w:spacing w:after="20"/>
              <w:jc w:val="right"/>
            </w:pPr>
            <w:r>
              <w:rPr>
                <w:color w:val="1C3A36"/>
                <w:sz w:val="17"/>
              </w:rPr>
              <w:t>4,588</w:t>
            </w:r>
          </w:p>
        </w:tc>
        <w:tc>
          <w:tcPr>
            <w:tcW w:type="dxa" w:w="1238"/>
          </w:tcPr>
          <w:p>
            <w:pPr>
              <w:spacing w:after="20"/>
              <w:jc w:val="right"/>
            </w:pPr>
            <w:r>
              <w:rPr>
                <w:color w:val="1C3A36"/>
                <w:sz w:val="17"/>
              </w:rPr>
              <w:t>4,969</w:t>
            </w:r>
          </w:p>
        </w:tc>
        <w:tc>
          <w:tcPr>
            <w:tcW w:type="dxa" w:w="1238"/>
          </w:tcPr>
          <w:p>
            <w:pPr>
              <w:spacing w:after="20"/>
              <w:jc w:val="right"/>
            </w:pPr>
            <w:r>
              <w:rPr>
                <w:color w:val="1C3A36"/>
                <w:sz w:val="17"/>
              </w:rPr>
              <w:t>5,232</w:t>
            </w:r>
          </w:p>
        </w:tc>
        <w:tc>
          <w:tcPr>
            <w:tcW w:type="dxa" w:w="1238"/>
          </w:tcPr>
          <w:p>
            <w:pPr>
              <w:spacing w:after="20"/>
              <w:jc w:val="right"/>
            </w:pPr>
            <w:r>
              <w:rPr>
                <w:color w:val="1C3A36"/>
                <w:sz w:val="17"/>
              </w:rPr>
              <w:t>5,429</w:t>
            </w:r>
          </w:p>
        </w:tc>
        <w:tc>
          <w:tcPr>
            <w:tcW w:type="dxa" w:w="1238"/>
          </w:tcPr>
          <w:p>
            <w:pPr>
              <w:spacing w:after="20"/>
              <w:jc w:val="right"/>
            </w:pPr>
            <w:r>
              <w:rPr>
                <w:color w:val="1C3A36"/>
                <w:sz w:val="17"/>
              </w:rPr>
              <w:t>5,603</w:t>
            </w:r>
          </w:p>
        </w:tc>
      </w:tr>
      <w:tr>
        <w:tc>
          <w:tcPr>
            <w:tcW w:type="dxa" w:w="3600"/>
          </w:tcPr>
          <w:p>
            <w:pPr>
              <w:spacing w:after="20"/>
            </w:pPr>
            <w:r>
              <w:rPr>
                <w:color w:val="1C3A36"/>
                <w:sz w:val="17"/>
              </w:rPr>
              <w:t>Depreciation</w:t>
            </w:r>
          </w:p>
        </w:tc>
        <w:tc>
          <w:tcPr>
            <w:tcW w:type="dxa" w:w="1238"/>
          </w:tcPr>
          <w:p>
            <w:pPr>
              <w:spacing w:after="20"/>
              <w:jc w:val="right"/>
            </w:pPr>
            <w:r>
              <w:rPr>
                <w:color w:val="1C3A36"/>
                <w:sz w:val="17"/>
              </w:rPr>
              <w:t>180</w:t>
            </w:r>
          </w:p>
        </w:tc>
        <w:tc>
          <w:tcPr>
            <w:tcW w:type="dxa" w:w="1238"/>
          </w:tcPr>
          <w:p>
            <w:pPr>
              <w:spacing w:after="20"/>
              <w:jc w:val="right"/>
            </w:pPr>
            <w:r>
              <w:rPr>
                <w:color w:val="1C3A36"/>
                <w:sz w:val="17"/>
              </w:rPr>
              <w:t>191</w:t>
            </w:r>
          </w:p>
        </w:tc>
        <w:tc>
          <w:tcPr>
            <w:tcW w:type="dxa" w:w="1238"/>
          </w:tcPr>
          <w:p>
            <w:pPr>
              <w:spacing w:after="20"/>
              <w:jc w:val="right"/>
            </w:pPr>
            <w:r>
              <w:rPr>
                <w:color w:val="1C3A36"/>
                <w:sz w:val="17"/>
              </w:rPr>
              <w:t>202</w:t>
            </w:r>
          </w:p>
        </w:tc>
        <w:tc>
          <w:tcPr>
            <w:tcW w:type="dxa" w:w="1238"/>
          </w:tcPr>
          <w:p>
            <w:pPr>
              <w:spacing w:after="20"/>
              <w:jc w:val="right"/>
            </w:pPr>
            <w:r>
              <w:rPr>
                <w:color w:val="1C3A36"/>
                <w:sz w:val="17"/>
              </w:rPr>
              <w:t>215</w:t>
            </w:r>
          </w:p>
        </w:tc>
        <w:tc>
          <w:tcPr>
            <w:tcW w:type="dxa" w:w="1238"/>
          </w:tcPr>
          <w:p>
            <w:pPr>
              <w:spacing w:after="20"/>
              <w:jc w:val="right"/>
            </w:pPr>
            <w:r>
              <w:rPr>
                <w:color w:val="1C3A36"/>
                <w:sz w:val="17"/>
              </w:rPr>
              <w:t>229</w:t>
            </w:r>
          </w:p>
        </w:tc>
      </w:tr>
      <w:tr>
        <w:tc>
          <w:tcPr>
            <w:tcW w:type="dxa" w:w="3600"/>
          </w:tcPr>
          <w:p>
            <w:pPr>
              <w:spacing w:after="20"/>
            </w:pPr>
            <w:r>
              <w:rPr>
                <w:color w:val="1C3A36"/>
                <w:sz w:val="17"/>
              </w:rPr>
              <w:t>EBIT</w:t>
            </w:r>
          </w:p>
        </w:tc>
        <w:tc>
          <w:tcPr>
            <w:tcW w:type="dxa" w:w="1238"/>
          </w:tcPr>
          <w:p>
            <w:pPr>
              <w:spacing w:after="20"/>
              <w:jc w:val="right"/>
            </w:pPr>
            <w:r>
              <w:rPr>
                <w:color w:val="1C3A36"/>
                <w:sz w:val="17"/>
              </w:rPr>
              <w:t>4,407</w:t>
            </w:r>
          </w:p>
        </w:tc>
        <w:tc>
          <w:tcPr>
            <w:tcW w:type="dxa" w:w="1238"/>
          </w:tcPr>
          <w:p>
            <w:pPr>
              <w:spacing w:after="20"/>
              <w:jc w:val="right"/>
            </w:pPr>
            <w:r>
              <w:rPr>
                <w:color w:val="1C3A36"/>
                <w:sz w:val="17"/>
              </w:rPr>
              <w:t>4,779</w:t>
            </w:r>
          </w:p>
        </w:tc>
        <w:tc>
          <w:tcPr>
            <w:tcW w:type="dxa" w:w="1238"/>
          </w:tcPr>
          <w:p>
            <w:pPr>
              <w:spacing w:after="20"/>
              <w:jc w:val="right"/>
            </w:pPr>
            <w:r>
              <w:rPr>
                <w:color w:val="1C3A36"/>
                <w:sz w:val="17"/>
              </w:rPr>
              <w:t>5,030</w:t>
            </w:r>
          </w:p>
        </w:tc>
        <w:tc>
          <w:tcPr>
            <w:tcW w:type="dxa" w:w="1238"/>
          </w:tcPr>
          <w:p>
            <w:pPr>
              <w:spacing w:after="20"/>
              <w:jc w:val="right"/>
            </w:pPr>
            <w:r>
              <w:rPr>
                <w:color w:val="1C3A36"/>
                <w:sz w:val="17"/>
              </w:rPr>
              <w:t>5,214</w:t>
            </w:r>
          </w:p>
        </w:tc>
        <w:tc>
          <w:tcPr>
            <w:tcW w:type="dxa" w:w="1238"/>
          </w:tcPr>
          <w:p>
            <w:pPr>
              <w:spacing w:after="20"/>
              <w:jc w:val="right"/>
            </w:pPr>
            <w:r>
              <w:rPr>
                <w:color w:val="1C3A36"/>
                <w:sz w:val="17"/>
              </w:rPr>
              <w:t>5,375</w:t>
            </w:r>
          </w:p>
        </w:tc>
      </w:tr>
      <w:tr>
        <w:tc>
          <w:tcPr>
            <w:tcW w:type="dxa" w:w="3600"/>
          </w:tcPr>
          <w:p>
            <w:pPr>
              <w:spacing w:after="20"/>
            </w:pPr>
            <w:r>
              <w:rPr>
                <w:color w:val="1C3A36"/>
                <w:sz w:val="17"/>
              </w:rPr>
              <w:t>NOPAT after profit share</w:t>
            </w:r>
          </w:p>
        </w:tc>
        <w:tc>
          <w:tcPr>
            <w:tcW w:type="dxa" w:w="1238"/>
          </w:tcPr>
          <w:p>
            <w:pPr>
              <w:spacing w:after="20"/>
              <w:jc w:val="right"/>
            </w:pPr>
            <w:r>
              <w:rPr>
                <w:color w:val="1C3A36"/>
                <w:sz w:val="17"/>
              </w:rPr>
              <w:t>3,237</w:t>
            </w:r>
          </w:p>
        </w:tc>
        <w:tc>
          <w:tcPr>
            <w:tcW w:type="dxa" w:w="1238"/>
          </w:tcPr>
          <w:p>
            <w:pPr>
              <w:spacing w:after="20"/>
              <w:jc w:val="right"/>
            </w:pPr>
            <w:r>
              <w:rPr>
                <w:color w:val="1C3A36"/>
                <w:sz w:val="17"/>
              </w:rPr>
              <w:t>3,509</w:t>
            </w:r>
          </w:p>
        </w:tc>
        <w:tc>
          <w:tcPr>
            <w:tcW w:type="dxa" w:w="1238"/>
          </w:tcPr>
          <w:p>
            <w:pPr>
              <w:spacing w:after="20"/>
              <w:jc w:val="right"/>
            </w:pPr>
            <w:r>
              <w:rPr>
                <w:color w:val="1C3A36"/>
                <w:sz w:val="17"/>
              </w:rPr>
              <w:t>3,694</w:t>
            </w:r>
          </w:p>
        </w:tc>
        <w:tc>
          <w:tcPr>
            <w:tcW w:type="dxa" w:w="1238"/>
          </w:tcPr>
          <w:p>
            <w:pPr>
              <w:spacing w:after="20"/>
              <w:jc w:val="right"/>
            </w:pPr>
            <w:r>
              <w:rPr>
                <w:color w:val="1C3A36"/>
                <w:sz w:val="17"/>
              </w:rPr>
              <w:t>3,829</w:t>
            </w:r>
          </w:p>
        </w:tc>
        <w:tc>
          <w:tcPr>
            <w:tcW w:type="dxa" w:w="1238"/>
          </w:tcPr>
          <w:p>
            <w:pPr>
              <w:spacing w:after="20"/>
              <w:jc w:val="right"/>
            </w:pPr>
            <w:r>
              <w:rPr>
                <w:color w:val="1C3A36"/>
                <w:sz w:val="17"/>
              </w:rPr>
              <w:t>3,947</w:t>
            </w:r>
          </w:p>
        </w:tc>
      </w:tr>
      <w:tr>
        <w:tc>
          <w:tcPr>
            <w:tcW w:type="dxa" w:w="3600"/>
          </w:tcPr>
          <w:p>
            <w:pPr>
              <w:spacing w:after="20"/>
            </w:pPr>
            <w:r>
              <w:rPr>
                <w:color w:val="1C3A36"/>
                <w:sz w:val="17"/>
              </w:rPr>
              <w:t>plus depreciation</w:t>
            </w:r>
          </w:p>
        </w:tc>
        <w:tc>
          <w:tcPr>
            <w:tcW w:type="dxa" w:w="1238"/>
          </w:tcPr>
          <w:p>
            <w:pPr>
              <w:spacing w:after="20"/>
              <w:jc w:val="right"/>
            </w:pPr>
            <w:r>
              <w:rPr>
                <w:color w:val="1C3A36"/>
                <w:sz w:val="17"/>
              </w:rPr>
              <w:t>180</w:t>
            </w:r>
          </w:p>
        </w:tc>
        <w:tc>
          <w:tcPr>
            <w:tcW w:type="dxa" w:w="1238"/>
          </w:tcPr>
          <w:p>
            <w:pPr>
              <w:spacing w:after="20"/>
              <w:jc w:val="right"/>
            </w:pPr>
            <w:r>
              <w:rPr>
                <w:color w:val="1C3A36"/>
                <w:sz w:val="17"/>
              </w:rPr>
              <w:t>191</w:t>
            </w:r>
          </w:p>
        </w:tc>
        <w:tc>
          <w:tcPr>
            <w:tcW w:type="dxa" w:w="1238"/>
          </w:tcPr>
          <w:p>
            <w:pPr>
              <w:spacing w:after="20"/>
              <w:jc w:val="right"/>
            </w:pPr>
            <w:r>
              <w:rPr>
                <w:color w:val="1C3A36"/>
                <w:sz w:val="17"/>
              </w:rPr>
              <w:t>202</w:t>
            </w:r>
          </w:p>
        </w:tc>
        <w:tc>
          <w:tcPr>
            <w:tcW w:type="dxa" w:w="1238"/>
          </w:tcPr>
          <w:p>
            <w:pPr>
              <w:spacing w:after="20"/>
              <w:jc w:val="right"/>
            </w:pPr>
            <w:r>
              <w:rPr>
                <w:color w:val="1C3A36"/>
                <w:sz w:val="17"/>
              </w:rPr>
              <w:t>215</w:t>
            </w:r>
          </w:p>
        </w:tc>
        <w:tc>
          <w:tcPr>
            <w:tcW w:type="dxa" w:w="1238"/>
          </w:tcPr>
          <w:p>
            <w:pPr>
              <w:spacing w:after="20"/>
              <w:jc w:val="right"/>
            </w:pPr>
            <w:r>
              <w:rPr>
                <w:color w:val="1C3A36"/>
                <w:sz w:val="17"/>
              </w:rPr>
              <w:t>229</w:t>
            </w:r>
          </w:p>
        </w:tc>
      </w:tr>
      <w:tr>
        <w:tc>
          <w:tcPr>
            <w:tcW w:type="dxa" w:w="3600"/>
          </w:tcPr>
          <w:p>
            <w:pPr>
              <w:spacing w:after="20"/>
            </w:pPr>
            <w:r>
              <w:rPr>
                <w:color w:val="1C3A36"/>
                <w:sz w:val="17"/>
              </w:rPr>
              <w:t>less capital expenditure</w:t>
            </w:r>
          </w:p>
        </w:tc>
        <w:tc>
          <w:tcPr>
            <w:tcW w:type="dxa" w:w="1238"/>
          </w:tcPr>
          <w:p>
            <w:pPr>
              <w:spacing w:after="20"/>
              <w:jc w:val="right"/>
            </w:pPr>
            <w:r>
              <w:rPr>
                <w:color w:val="1C3A36"/>
                <w:sz w:val="17"/>
              </w:rPr>
              <w:t>182</w:t>
            </w:r>
          </w:p>
        </w:tc>
        <w:tc>
          <w:tcPr>
            <w:tcW w:type="dxa" w:w="1238"/>
          </w:tcPr>
          <w:p>
            <w:pPr>
              <w:spacing w:after="20"/>
              <w:jc w:val="right"/>
            </w:pPr>
            <w:r>
              <w:rPr>
                <w:color w:val="1C3A36"/>
                <w:sz w:val="17"/>
              </w:rPr>
              <w:t>203</w:t>
            </w:r>
          </w:p>
        </w:tc>
        <w:tc>
          <w:tcPr>
            <w:tcW w:type="dxa" w:w="1238"/>
          </w:tcPr>
          <w:p>
            <w:pPr>
              <w:spacing w:after="20"/>
              <w:jc w:val="right"/>
            </w:pPr>
            <w:r>
              <w:rPr>
                <w:color w:val="1C3A36"/>
                <w:sz w:val="17"/>
              </w:rPr>
              <w:t>222</w:t>
            </w:r>
          </w:p>
        </w:tc>
        <w:tc>
          <w:tcPr>
            <w:tcW w:type="dxa" w:w="1238"/>
          </w:tcPr>
          <w:p>
            <w:pPr>
              <w:spacing w:after="20"/>
              <w:jc w:val="right"/>
            </w:pPr>
            <w:r>
              <w:rPr>
                <w:color w:val="1C3A36"/>
                <w:sz w:val="17"/>
              </w:rPr>
              <w:t>238</w:t>
            </w:r>
          </w:p>
        </w:tc>
        <w:tc>
          <w:tcPr>
            <w:tcW w:type="dxa" w:w="1238"/>
          </w:tcPr>
          <w:p>
            <w:pPr>
              <w:spacing w:after="20"/>
              <w:jc w:val="right"/>
            </w:pPr>
            <w:r>
              <w:rPr>
                <w:color w:val="1C3A36"/>
                <w:sz w:val="17"/>
              </w:rPr>
              <w:t>255</w:t>
            </w:r>
          </w:p>
        </w:tc>
      </w:tr>
      <w:tr>
        <w:tc>
          <w:tcPr>
            <w:tcW w:type="dxa" w:w="3600"/>
          </w:tcPr>
          <w:p>
            <w:pPr>
              <w:spacing w:after="20"/>
            </w:pPr>
            <w:r>
              <w:rPr>
                <w:color w:val="1C3A36"/>
                <w:sz w:val="17"/>
              </w:rPr>
              <w:t>less change in working capital</w:t>
            </w:r>
          </w:p>
        </w:tc>
        <w:tc>
          <w:tcPr>
            <w:tcW w:type="dxa" w:w="1238"/>
          </w:tcPr>
          <w:p>
            <w:pPr>
              <w:spacing w:after="20"/>
              <w:jc w:val="right"/>
            </w:pPr>
            <w:r>
              <w:rPr>
                <w:color w:val="1C3A36"/>
                <w:sz w:val="17"/>
              </w:rPr>
              <w:t>446</w:t>
            </w:r>
          </w:p>
        </w:tc>
        <w:tc>
          <w:tcPr>
            <w:tcW w:type="dxa" w:w="1238"/>
          </w:tcPr>
          <w:p>
            <w:pPr>
              <w:spacing w:after="20"/>
              <w:jc w:val="right"/>
            </w:pPr>
            <w:r>
              <w:rPr>
                <w:color w:val="1C3A36"/>
                <w:sz w:val="17"/>
              </w:rPr>
              <w:t>355</w:t>
            </w:r>
          </w:p>
        </w:tc>
        <w:tc>
          <w:tcPr>
            <w:tcW w:type="dxa" w:w="1238"/>
          </w:tcPr>
          <w:p>
            <w:pPr>
              <w:spacing w:after="20"/>
              <w:jc w:val="right"/>
            </w:pPr>
            <w:r>
              <w:rPr>
                <w:color w:val="1C3A36"/>
                <w:sz w:val="17"/>
              </w:rPr>
              <w:t>266</w:t>
            </w:r>
          </w:p>
        </w:tc>
        <w:tc>
          <w:tcPr>
            <w:tcW w:type="dxa" w:w="1238"/>
          </w:tcPr>
          <w:p>
            <w:pPr>
              <w:spacing w:after="20"/>
              <w:jc w:val="right"/>
            </w:pPr>
            <w:r>
              <w:rPr>
                <w:color w:val="1C3A36"/>
                <w:sz w:val="17"/>
              </w:rPr>
              <w:t>217</w:t>
            </w:r>
          </w:p>
        </w:tc>
        <w:tc>
          <w:tcPr>
            <w:tcW w:type="dxa" w:w="1238"/>
          </w:tcPr>
          <w:p>
            <w:pPr>
              <w:spacing w:after="20"/>
              <w:jc w:val="right"/>
            </w:pPr>
            <w:r>
              <w:rPr>
                <w:color w:val="1C3A36"/>
                <w:sz w:val="17"/>
              </w:rPr>
              <w:t>205</w:t>
            </w:r>
          </w:p>
        </w:tc>
      </w:tr>
      <w:tr>
        <w:tc>
          <w:tcPr>
            <w:tcW w:type="dxa" w:w="3600"/>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2,789</w:t>
            </w:r>
          </w:p>
        </w:tc>
        <w:tc>
          <w:tcPr>
            <w:tcW w:type="dxa" w:w="1238"/>
            <w:shd w:val="clear" w:color="auto" w:fill="F6F1E6"/>
          </w:tcPr>
          <w:p>
            <w:pPr>
              <w:spacing w:after="20"/>
              <w:jc w:val="right"/>
            </w:pPr>
            <w:r>
              <w:rPr>
                <w:b/>
                <w:color w:val="1C3A36"/>
                <w:sz w:val="17"/>
              </w:rPr>
              <w:t>3,141</w:t>
            </w:r>
          </w:p>
        </w:tc>
        <w:tc>
          <w:tcPr>
            <w:tcW w:type="dxa" w:w="1238"/>
            <w:shd w:val="clear" w:color="auto" w:fill="F6F1E6"/>
          </w:tcPr>
          <w:p>
            <w:pPr>
              <w:spacing w:after="20"/>
              <w:jc w:val="right"/>
            </w:pPr>
            <w:r>
              <w:rPr>
                <w:b/>
                <w:color w:val="1C3A36"/>
                <w:sz w:val="17"/>
              </w:rPr>
              <w:t>3,409</w:t>
            </w:r>
          </w:p>
        </w:tc>
        <w:tc>
          <w:tcPr>
            <w:tcW w:type="dxa" w:w="1238"/>
            <w:shd w:val="clear" w:color="auto" w:fill="F6F1E6"/>
          </w:tcPr>
          <w:p>
            <w:pPr>
              <w:spacing w:after="20"/>
              <w:jc w:val="right"/>
            </w:pPr>
            <w:r>
              <w:rPr>
                <w:b/>
                <w:color w:val="1C3A36"/>
                <w:sz w:val="17"/>
              </w:rPr>
              <w:t>3,588</w:t>
            </w:r>
          </w:p>
        </w:tc>
        <w:tc>
          <w:tcPr>
            <w:tcW w:type="dxa" w:w="1238"/>
            <w:shd w:val="clear" w:color="auto" w:fill="F6F1E6"/>
          </w:tcPr>
          <w:p>
            <w:pPr>
              <w:spacing w:after="20"/>
              <w:jc w:val="right"/>
            </w:pPr>
            <w:r>
              <w:rPr>
                <w:b/>
                <w:color w:val="1C3A36"/>
                <w:sz w:val="17"/>
              </w:rPr>
              <w:t>3,716</w:t>
            </w:r>
          </w:p>
        </w:tc>
      </w:tr>
      <w:tr>
        <w:tc>
          <w:tcPr>
            <w:tcW w:type="dxa" w:w="3600"/>
          </w:tcPr>
          <w:p>
            <w:pPr>
              <w:spacing w:after="20"/>
            </w:pPr>
            <w:r>
              <w:rPr>
                <w:color w:val="1C3A36"/>
                <w:sz w:val="17"/>
              </w:rPr>
              <w:t>times discount factor</w:t>
            </w:r>
          </w:p>
        </w:tc>
        <w:tc>
          <w:tcPr>
            <w:tcW w:type="dxa" w:w="1238"/>
          </w:tcPr>
          <w:p>
            <w:pPr>
              <w:spacing w:after="20"/>
              <w:jc w:val="right"/>
            </w:pPr>
            <w:r>
              <w:rPr>
                <w:color w:val="1C3A36"/>
                <w:sz w:val="17"/>
              </w:rPr>
              <w:t>0.78469</w:t>
            </w:r>
          </w:p>
        </w:tc>
        <w:tc>
          <w:tcPr>
            <w:tcW w:type="dxa" w:w="1238"/>
          </w:tcPr>
          <w:p>
            <w:pPr>
              <w:spacing w:after="20"/>
              <w:jc w:val="right"/>
            </w:pPr>
            <w:r>
              <w:rPr>
                <w:color w:val="1C3A36"/>
                <w:sz w:val="17"/>
              </w:rPr>
              <w:t>0.64478</w:t>
            </w:r>
          </w:p>
        </w:tc>
        <w:tc>
          <w:tcPr>
            <w:tcW w:type="dxa" w:w="1238"/>
          </w:tcPr>
          <w:p>
            <w:pPr>
              <w:spacing w:after="20"/>
              <w:jc w:val="right"/>
            </w:pPr>
            <w:r>
              <w:rPr>
                <w:color w:val="1C3A36"/>
                <w:sz w:val="17"/>
              </w:rPr>
              <w:t>0.54042</w:t>
            </w:r>
          </w:p>
        </w:tc>
        <w:tc>
          <w:tcPr>
            <w:tcW w:type="dxa" w:w="1238"/>
          </w:tcPr>
          <w:p>
            <w:pPr>
              <w:spacing w:after="20"/>
              <w:jc w:val="right"/>
            </w:pPr>
            <w:r>
              <w:rPr>
                <w:color w:val="1C3A36"/>
                <w:sz w:val="17"/>
              </w:rPr>
              <w:t>0.45985</w:t>
            </w:r>
          </w:p>
        </w:tc>
        <w:tc>
          <w:tcPr>
            <w:tcW w:type="dxa" w:w="1238"/>
          </w:tcPr>
          <w:p>
            <w:pPr>
              <w:spacing w:after="20"/>
              <w:jc w:val="right"/>
            </w:pPr>
            <w:r>
              <w:rPr>
                <w:color w:val="1C3A36"/>
                <w:sz w:val="17"/>
              </w:rPr>
              <w:t>0.39530</w:t>
            </w:r>
          </w:p>
        </w:tc>
      </w:tr>
      <w:tr>
        <w:tc>
          <w:tcPr>
            <w:tcW w:type="dxa" w:w="3600"/>
            <w:shd w:val="clear" w:color="auto" w:fill="F6F1E6"/>
          </w:tcPr>
          <w:p>
            <w:pPr>
              <w:spacing w:after="20"/>
            </w:pPr>
            <w:r>
              <w:rPr>
                <w:b/>
                <w:color w:val="1C3A36"/>
                <w:sz w:val="17"/>
              </w:rPr>
              <w:t>PRESENT VALUE</w:t>
            </w:r>
          </w:p>
        </w:tc>
        <w:tc>
          <w:tcPr>
            <w:tcW w:type="dxa" w:w="1238"/>
            <w:shd w:val="clear" w:color="auto" w:fill="F6F1E6"/>
          </w:tcPr>
          <w:p>
            <w:pPr>
              <w:spacing w:after="20"/>
              <w:jc w:val="right"/>
            </w:pPr>
            <w:r>
              <w:rPr>
                <w:b/>
                <w:color w:val="1C3A36"/>
                <w:sz w:val="17"/>
              </w:rPr>
              <w:t>2,189</w:t>
            </w:r>
          </w:p>
        </w:tc>
        <w:tc>
          <w:tcPr>
            <w:tcW w:type="dxa" w:w="1238"/>
            <w:shd w:val="clear" w:color="auto" w:fill="F6F1E6"/>
          </w:tcPr>
          <w:p>
            <w:pPr>
              <w:spacing w:after="20"/>
              <w:jc w:val="right"/>
            </w:pPr>
            <w:r>
              <w:rPr>
                <w:b/>
                <w:color w:val="1C3A36"/>
                <w:sz w:val="17"/>
              </w:rPr>
              <w:t>2,026</w:t>
            </w:r>
          </w:p>
        </w:tc>
        <w:tc>
          <w:tcPr>
            <w:tcW w:type="dxa" w:w="1238"/>
            <w:shd w:val="clear" w:color="auto" w:fill="F6F1E6"/>
          </w:tcPr>
          <w:p>
            <w:pPr>
              <w:spacing w:after="20"/>
              <w:jc w:val="right"/>
            </w:pPr>
            <w:r>
              <w:rPr>
                <w:b/>
                <w:color w:val="1C3A36"/>
                <w:sz w:val="17"/>
              </w:rPr>
              <w:t>1,842</w:t>
            </w:r>
          </w:p>
        </w:tc>
        <w:tc>
          <w:tcPr>
            <w:tcW w:type="dxa" w:w="1238"/>
            <w:shd w:val="clear" w:color="auto" w:fill="F6F1E6"/>
          </w:tcPr>
          <w:p>
            <w:pPr>
              <w:spacing w:after="20"/>
              <w:jc w:val="right"/>
            </w:pPr>
            <w:r>
              <w:rPr>
                <w:b/>
                <w:color w:val="1C3A36"/>
                <w:sz w:val="17"/>
              </w:rPr>
              <w:t>1,650</w:t>
            </w:r>
          </w:p>
        </w:tc>
        <w:tc>
          <w:tcPr>
            <w:tcW w:type="dxa" w:w="1238"/>
            <w:shd w:val="clear" w:color="auto" w:fill="F6F1E6"/>
          </w:tcPr>
          <w:p>
            <w:pPr>
              <w:spacing w:after="20"/>
              <w:jc w:val="right"/>
            </w:pPr>
            <w:r>
              <w:rPr>
                <w:b/>
                <w:color w:val="1C3A36"/>
                <w:sz w:val="17"/>
              </w:rPr>
              <w:t>1,469</w:t>
            </w:r>
          </w:p>
        </w:tc>
      </w:tr>
    </w:tbl>
    <w:p>
      <w:pPr>
        <w:spacing w:after="40"/>
      </w:pPr>
    </w:p>
    <w:p>
      <w:pPr>
        <w:spacing w:after="200" w:before="0"/>
      </w:pPr>
      <w:r>
        <w:rPr>
          <w:b w:val="0"/>
          <w:i/>
          <w:color w:val="6E7B77"/>
          <w:sz w:val="17"/>
        </w:rPr>
        <w:t>Table 12 — the waterfall, EGP mn. Operating expense charges the three disclosed lines on three different drivers — administrative on inflation, selling on inflation AND tonnage, other on inflation — plus the recurring provisions and expected credit losses the previous edition registered and never took. Capital expenditure is BUILT: maintenance at gross asset cost over the implied 17.5-year life, plus growth at the plant’s own EGP 2,100 per annual tonne of capital intensity, so incremental volume costs capital instead of arriving free. Depreciation ROLLS off the growing asset register rather than being held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440"/>
        <w:gridCol w:w="1296"/>
        <w:gridCol w:w="3600"/>
      </w:tblGrid>
      <w:tr>
        <w:tc>
          <w:tcPr>
            <w:tcW w:type="dxa" w:w="3744"/>
            <w:shd w:val="clear" w:color="auto" w:fill="EAF0EE"/>
          </w:tcPr>
          <w:p>
            <w:pPr>
              <w:spacing w:after="20"/>
            </w:pPr>
            <w:r>
              <w:rPr>
                <w:b/>
                <w:color w:val="1C3A36"/>
                <w:sz w:val="17"/>
              </w:rPr>
              <w:t>Bridge step</w:t>
            </w:r>
          </w:p>
        </w:tc>
        <w:tc>
          <w:tcPr>
            <w:tcW w:type="dxa" w:w="1440"/>
            <w:shd w:val="clear" w:color="auto" w:fill="EAF0EE"/>
          </w:tcPr>
          <w:p>
            <w:pPr>
              <w:spacing w:after="20"/>
            </w:pPr>
            <w:r>
              <w:rPr>
                <w:b/>
                <w:color w:val="1C3A36"/>
                <w:sz w:val="17"/>
              </w:rPr>
              <w:t>EGP mn</w:t>
            </w:r>
          </w:p>
        </w:tc>
        <w:tc>
          <w:tcPr>
            <w:tcW w:type="dxa" w:w="1296"/>
            <w:shd w:val="clear" w:color="auto" w:fill="EAF0EE"/>
          </w:tcPr>
          <w:p>
            <w:pPr>
              <w:spacing w:after="20"/>
            </w:pPr>
            <w:r>
              <w:rPr>
                <w:b/>
                <w:color w:val="1C3A36"/>
                <w:sz w:val="17"/>
              </w:rPr>
              <w:t>Per share</w:t>
            </w:r>
          </w:p>
        </w:tc>
        <w:tc>
          <w:tcPr>
            <w:tcW w:type="dxa" w:w="3600"/>
            <w:shd w:val="clear" w:color="auto" w:fill="EAF0EE"/>
          </w:tcPr>
          <w:p>
            <w:pPr>
              <w:spacing w:after="20"/>
            </w:pPr>
            <w:r>
              <w:rPr>
                <w:b/>
                <w:color w:val="1C3A36"/>
                <w:sz w:val="17"/>
              </w:rPr>
              <w:t>Source</w:t>
            </w:r>
          </w:p>
        </w:tc>
      </w:tr>
      <w:tr>
        <w:tc>
          <w:tcPr>
            <w:tcW w:type="dxa" w:w="3744"/>
          </w:tcPr>
          <w:p>
            <w:pPr>
              <w:spacing w:after="20"/>
            </w:pPr>
            <w:r>
              <w:rPr>
                <w:color w:val="1C3A36"/>
                <w:sz w:val="17"/>
              </w:rPr>
              <w:t>Present value of the explicit window</w:t>
            </w:r>
          </w:p>
        </w:tc>
        <w:tc>
          <w:tcPr>
            <w:tcW w:type="dxa" w:w="1440"/>
          </w:tcPr>
          <w:p>
            <w:pPr>
              <w:spacing w:after="20"/>
              <w:jc w:val="right"/>
            </w:pPr>
            <w:r>
              <w:rPr>
                <w:color w:val="1C3A36"/>
                <w:sz w:val="17"/>
              </w:rPr>
              <w:t>9,176</w:t>
            </w:r>
          </w:p>
        </w:tc>
        <w:tc>
          <w:tcPr>
            <w:tcW w:type="dxa" w:w="1296"/>
          </w:tcPr>
          <w:p>
            <w:pPr>
              <w:spacing w:after="20"/>
              <w:jc w:val="right"/>
            </w:pPr>
            <w:r>
              <w:rPr>
                <w:color w:val="1C3A36"/>
                <w:sz w:val="17"/>
              </w:rPr>
              <w:t>7.10</w:t>
            </w:r>
          </w:p>
        </w:tc>
        <w:tc>
          <w:tcPr>
            <w:tcW w:type="dxa" w:w="3600"/>
          </w:tcPr>
          <w:p>
            <w:pPr>
              <w:spacing w:after="20"/>
            </w:pPr>
            <w:r>
              <w:rPr>
                <w:color w:val="1C3A36"/>
                <w:sz w:val="17"/>
              </w:rPr>
              <w:t>Table 12</w:t>
            </w:r>
          </w:p>
        </w:tc>
      </w:tr>
      <w:tr>
        <w:tc>
          <w:tcPr>
            <w:tcW w:type="dxa" w:w="3744"/>
          </w:tcPr>
          <w:p>
            <w:pPr>
              <w:spacing w:after="20"/>
            </w:pPr>
            <w:r>
              <w:rPr>
                <w:color w:val="1C3A36"/>
                <w:sz w:val="17"/>
              </w:rPr>
              <w:t>Present value of the terminal block</w:t>
            </w:r>
          </w:p>
        </w:tc>
        <w:tc>
          <w:tcPr>
            <w:tcW w:type="dxa" w:w="1440"/>
          </w:tcPr>
          <w:p>
            <w:pPr>
              <w:spacing w:after="20"/>
              <w:jc w:val="right"/>
            </w:pPr>
            <w:r>
              <w:rPr>
                <w:color w:val="1C3A36"/>
                <w:sz w:val="17"/>
              </w:rPr>
              <w:t>15,189</w:t>
            </w:r>
          </w:p>
        </w:tc>
        <w:tc>
          <w:tcPr>
            <w:tcW w:type="dxa" w:w="1296"/>
          </w:tcPr>
          <w:p>
            <w:pPr>
              <w:spacing w:after="20"/>
              <w:jc w:val="right"/>
            </w:pPr>
            <w:r>
              <w:rPr>
                <w:color w:val="1C3A36"/>
                <w:sz w:val="17"/>
              </w:rPr>
              <w:t>11.76</w:t>
            </w:r>
          </w:p>
        </w:tc>
        <w:tc>
          <w:tcPr>
            <w:tcW w:type="dxa" w:w="3600"/>
          </w:tcPr>
          <w:p>
            <w:pPr>
              <w:spacing w:after="20"/>
            </w:pPr>
            <w:r>
              <w:rPr>
                <w:color w:val="1C3A36"/>
                <w:sz w:val="17"/>
              </w:rPr>
              <w:t>62.3% of enterprise value</w:t>
            </w:r>
          </w:p>
        </w:tc>
      </w:tr>
      <w:tr>
        <w:tc>
          <w:tcPr>
            <w:tcW w:type="dxa" w:w="3744"/>
            <w:shd w:val="clear" w:color="auto" w:fill="F6F1E6"/>
          </w:tcPr>
          <w:p>
            <w:pPr>
              <w:spacing w:after="20"/>
            </w:pPr>
            <w:r>
              <w:rPr>
                <w:b/>
                <w:color w:val="1C3A36"/>
                <w:sz w:val="17"/>
              </w:rPr>
              <w:t>ENTERPRISE VALUE</w:t>
            </w:r>
          </w:p>
        </w:tc>
        <w:tc>
          <w:tcPr>
            <w:tcW w:type="dxa" w:w="1440"/>
            <w:shd w:val="clear" w:color="auto" w:fill="F6F1E6"/>
          </w:tcPr>
          <w:p>
            <w:pPr>
              <w:spacing w:after="20"/>
              <w:jc w:val="right"/>
            </w:pPr>
            <w:r>
              <w:rPr>
                <w:b/>
                <w:color w:val="1C3A36"/>
                <w:sz w:val="17"/>
              </w:rPr>
              <w:t>24,365</w:t>
            </w:r>
          </w:p>
        </w:tc>
        <w:tc>
          <w:tcPr>
            <w:tcW w:type="dxa" w:w="1296"/>
            <w:shd w:val="clear" w:color="auto" w:fill="F6F1E6"/>
          </w:tcPr>
          <w:p>
            <w:pPr>
              <w:spacing w:after="20"/>
              <w:jc w:val="right"/>
            </w:pPr>
            <w:r>
              <w:rPr>
                <w:b/>
                <w:color w:val="1C3A36"/>
                <w:sz w:val="17"/>
              </w:rPr>
              <w:t>18.87</w:t>
            </w:r>
          </w:p>
        </w:tc>
        <w:tc>
          <w:tcPr>
            <w:tcW w:type="dxa" w:w="3600"/>
            <w:shd w:val="clear" w:color="auto" w:fill="F6F1E6"/>
          </w:tcPr>
          <w:p>
            <w:pPr>
              <w:spacing w:after="20"/>
            </w:pPr>
            <w:r>
              <w:rPr>
                <w:b/>
                <w:color w:val="1C3A36"/>
                <w:sz w:val="17"/>
              </w:rPr>
            </w:r>
          </w:p>
        </w:tc>
      </w:tr>
      <w:tr>
        <w:tc>
          <w:tcPr>
            <w:tcW w:type="dxa" w:w="3744"/>
          </w:tcPr>
          <w:p>
            <w:pPr>
              <w:spacing w:after="20"/>
            </w:pPr>
            <w:r>
              <w:rPr>
                <w:color w:val="1C3A36"/>
                <w:sz w:val="17"/>
              </w:rPr>
              <w:t>plus net cash</w:t>
            </w:r>
          </w:p>
        </w:tc>
        <w:tc>
          <w:tcPr>
            <w:tcW w:type="dxa" w:w="1440"/>
          </w:tcPr>
          <w:p>
            <w:pPr>
              <w:spacing w:after="20"/>
              <w:jc w:val="right"/>
            </w:pPr>
            <w:r>
              <w:rPr>
                <w:color w:val="1C3A36"/>
                <w:sz w:val="17"/>
              </w:rPr>
              <w:t>3,002</w:t>
            </w:r>
          </w:p>
        </w:tc>
        <w:tc>
          <w:tcPr>
            <w:tcW w:type="dxa" w:w="1296"/>
          </w:tcPr>
          <w:p>
            <w:pPr>
              <w:spacing w:after="20"/>
              <w:jc w:val="right"/>
            </w:pPr>
            <w:r>
              <w:rPr>
                <w:color w:val="1C3A36"/>
                <w:sz w:val="17"/>
              </w:rPr>
              <w:t>2.32</w:t>
            </w:r>
          </w:p>
        </w:tc>
        <w:tc>
          <w:tcPr>
            <w:tcW w:type="dxa" w:w="3600"/>
          </w:tcPr>
          <w:p>
            <w:pPr>
              <w:spacing w:after="20"/>
            </w:pPr>
            <w:r>
              <w:rPr>
                <w:color w:val="1C3A36"/>
                <w:sz w:val="17"/>
              </w:rPr>
              <w:t>note 9-E and note 20</w:t>
            </w:r>
          </w:p>
        </w:tc>
      </w:tr>
      <w:tr>
        <w:tc>
          <w:tcPr>
            <w:tcW w:type="dxa" w:w="3744"/>
          </w:tcPr>
          <w:p>
            <w:pPr>
              <w:spacing w:after="20"/>
            </w:pPr>
            <w:r>
              <w:rPr>
                <w:color w:val="1C3A36"/>
                <w:sz w:val="17"/>
              </w:rPr>
              <w:t>Enterprise value including cash</w:t>
            </w:r>
          </w:p>
        </w:tc>
        <w:tc>
          <w:tcPr>
            <w:tcW w:type="dxa" w:w="1440"/>
          </w:tcPr>
          <w:p>
            <w:pPr>
              <w:spacing w:after="20"/>
              <w:jc w:val="right"/>
            </w:pPr>
            <w:r>
              <w:rPr>
                <w:color w:val="1C3A36"/>
                <w:sz w:val="17"/>
              </w:rPr>
              <w:t>27,366</w:t>
            </w:r>
          </w:p>
        </w:tc>
        <w:tc>
          <w:tcPr>
            <w:tcW w:type="dxa" w:w="1296"/>
          </w:tcPr>
          <w:p>
            <w:pPr>
              <w:spacing w:after="20"/>
              <w:jc w:val="right"/>
            </w:pPr>
            <w:r>
              <w:rPr>
                <w:color w:val="1C3A36"/>
                <w:sz w:val="17"/>
              </w:rPr>
              <w:t>21.19</w:t>
            </w:r>
          </w:p>
        </w:tc>
        <w:tc>
          <w:tcPr>
            <w:tcW w:type="dxa" w:w="3600"/>
          </w:tcPr>
          <w:p>
            <w:pPr>
              <w:spacing w:after="20"/>
            </w:pPr>
            <w:r>
              <w:rPr>
                <w:color w:val="1C3A36"/>
                <w:sz w:val="17"/>
              </w:rPr>
            </w:r>
          </w:p>
        </w:tc>
      </w:tr>
      <w:tr>
        <w:tc>
          <w:tcPr>
            <w:tcW w:type="dxa" w:w="3744"/>
          </w:tcPr>
          <w:p>
            <w:pPr>
              <w:spacing w:after="20"/>
            </w:pPr>
            <w:r>
              <w:rPr>
                <w:color w:val="1C3A36"/>
                <w:sz w:val="17"/>
              </w:rPr>
              <w:t>less minority interest</w:t>
            </w:r>
          </w:p>
        </w:tc>
        <w:tc>
          <w:tcPr>
            <w:tcW w:type="dxa" w:w="1440"/>
          </w:tcPr>
          <w:p>
            <w:pPr>
              <w:spacing w:after="20"/>
              <w:jc w:val="right"/>
            </w:pPr>
            <w:r>
              <w:rPr>
                <w:color w:val="1C3A36"/>
                <w:sz w:val="17"/>
              </w:rPr>
              <w:t>(811)</w:t>
            </w:r>
          </w:p>
        </w:tc>
        <w:tc>
          <w:tcPr>
            <w:tcW w:type="dxa" w:w="1296"/>
          </w:tcPr>
          <w:p>
            <w:pPr>
              <w:spacing w:after="20"/>
              <w:jc w:val="right"/>
            </w:pPr>
            <w:r>
              <w:rPr>
                <w:color w:val="1C3A36"/>
                <w:sz w:val="17"/>
              </w:rPr>
              <w:t>(0.63)</w:t>
            </w:r>
          </w:p>
        </w:tc>
        <w:tc>
          <w:tcPr>
            <w:tcW w:type="dxa" w:w="3600"/>
          </w:tcPr>
          <w:p>
            <w:pPr>
              <w:spacing w:after="20"/>
            </w:pPr>
            <w:r>
              <w:rPr>
                <w:color w:val="1C3A36"/>
                <w:sz w:val="17"/>
              </w:rPr>
              <w:t>2.963% of the WHOLE enterprise, cash included</w:t>
            </w:r>
          </w:p>
        </w:tc>
      </w:tr>
      <w:tr>
        <w:tc>
          <w:tcPr>
            <w:tcW w:type="dxa" w:w="3744"/>
          </w:tcPr>
          <w:p>
            <w:pPr>
              <w:spacing w:after="20"/>
            </w:pPr>
            <w:r>
              <w:rPr>
                <w:color w:val="1C3A36"/>
                <w:sz w:val="17"/>
              </w:rPr>
              <w:t>less provision for tax disputes</w:t>
            </w:r>
          </w:p>
        </w:tc>
        <w:tc>
          <w:tcPr>
            <w:tcW w:type="dxa" w:w="1440"/>
          </w:tcPr>
          <w:p>
            <w:pPr>
              <w:spacing w:after="20"/>
              <w:jc w:val="right"/>
            </w:pPr>
            <w:r>
              <w:rPr>
                <w:color w:val="1C3A36"/>
                <w:sz w:val="17"/>
              </w:rPr>
              <w:t>(997)</w:t>
            </w:r>
          </w:p>
        </w:tc>
        <w:tc>
          <w:tcPr>
            <w:tcW w:type="dxa" w:w="1296"/>
          </w:tcPr>
          <w:p>
            <w:pPr>
              <w:spacing w:after="20"/>
              <w:jc w:val="right"/>
            </w:pPr>
            <w:r>
              <w:rPr>
                <w:color w:val="1C3A36"/>
                <w:sz w:val="17"/>
              </w:rPr>
              <w:t>(0.77)</w:t>
            </w:r>
          </w:p>
        </w:tc>
        <w:tc>
          <w:tcPr>
            <w:tcW w:type="dxa" w:w="3600"/>
          </w:tcPr>
          <w:p>
            <w:pPr>
              <w:spacing w:after="20"/>
            </w:pPr>
            <w:r>
              <w:rPr>
                <w:color w:val="1C3A36"/>
                <w:sz w:val="17"/>
              </w:rPr>
              <w:t>note 10-1</w:t>
            </w:r>
          </w:p>
        </w:tc>
      </w:tr>
      <w:tr>
        <w:tc>
          <w:tcPr>
            <w:tcW w:type="dxa" w:w="3744"/>
          </w:tcPr>
          <w:p>
            <w:pPr>
              <w:spacing w:after="20"/>
            </w:pPr>
            <w:r>
              <w:rPr>
                <w:color w:val="1C3A36"/>
                <w:sz w:val="17"/>
              </w:rPr>
              <w:t>less dividends payable</w:t>
            </w:r>
          </w:p>
        </w:tc>
        <w:tc>
          <w:tcPr>
            <w:tcW w:type="dxa" w:w="1440"/>
          </w:tcPr>
          <w:p>
            <w:pPr>
              <w:spacing w:after="20"/>
              <w:jc w:val="right"/>
            </w:pPr>
            <w:r>
              <w:rPr>
                <w:color w:val="1C3A36"/>
                <w:sz w:val="17"/>
              </w:rPr>
              <w:t>(258)</w:t>
            </w:r>
          </w:p>
        </w:tc>
        <w:tc>
          <w:tcPr>
            <w:tcW w:type="dxa" w:w="1296"/>
          </w:tcPr>
          <w:p>
            <w:pPr>
              <w:spacing w:after="20"/>
              <w:jc w:val="right"/>
            </w:pPr>
            <w:r>
              <w:rPr>
                <w:color w:val="1C3A36"/>
                <w:sz w:val="17"/>
              </w:rPr>
              <w:t>(0.20)</w:t>
            </w:r>
          </w:p>
        </w:tc>
        <w:tc>
          <w:tcPr>
            <w:tcW w:type="dxa" w:w="3600"/>
          </w:tcPr>
          <w:p>
            <w:pPr>
              <w:spacing w:after="20"/>
            </w:pPr>
            <w:r>
              <w:rPr>
                <w:color w:val="1C3A36"/>
                <w:sz w:val="17"/>
              </w:rPr>
              <w:t>note 11</w:t>
            </w:r>
          </w:p>
        </w:tc>
      </w:tr>
      <w:tr>
        <w:tc>
          <w:tcPr>
            <w:tcW w:type="dxa" w:w="3744"/>
          </w:tcPr>
          <w:p>
            <w:pPr>
              <w:spacing w:after="20"/>
            </w:pPr>
            <w:r>
              <w:rPr>
                <w:color w:val="1C3A36"/>
                <w:sz w:val="17"/>
              </w:rPr>
              <w:t>plus non-operating investments</w:t>
            </w:r>
          </w:p>
        </w:tc>
        <w:tc>
          <w:tcPr>
            <w:tcW w:type="dxa" w:w="1440"/>
          </w:tcPr>
          <w:p>
            <w:pPr>
              <w:spacing w:after="20"/>
              <w:jc w:val="right"/>
            </w:pPr>
            <w:r>
              <w:rPr>
                <w:color w:val="1C3A36"/>
                <w:sz w:val="17"/>
              </w:rPr>
              <w:t>595</w:t>
            </w:r>
          </w:p>
        </w:tc>
        <w:tc>
          <w:tcPr>
            <w:tcW w:type="dxa" w:w="1296"/>
          </w:tcPr>
          <w:p>
            <w:pPr>
              <w:spacing w:after="20"/>
              <w:jc w:val="right"/>
            </w:pPr>
            <w:r>
              <w:rPr>
                <w:color w:val="1C3A36"/>
                <w:sz w:val="17"/>
              </w:rPr>
              <w:t>0.46</w:t>
            </w:r>
          </w:p>
        </w:tc>
        <w:tc>
          <w:tcPr>
            <w:tcW w:type="dxa" w:w="3600"/>
          </w:tcPr>
          <w:p>
            <w:pPr>
              <w:spacing w:after="20"/>
            </w:pPr>
            <w:r>
              <w:rPr>
                <w:color w:val="1C3A36"/>
                <w:sz w:val="17"/>
              </w:rPr>
              <w:t>pledged deposits and the ASPPC stake</w:t>
            </w:r>
          </w:p>
        </w:tc>
      </w:tr>
      <w:tr>
        <w:tc>
          <w:tcPr>
            <w:tcW w:type="dxa" w:w="3744"/>
            <w:shd w:val="clear" w:color="auto" w:fill="F6F1E6"/>
          </w:tcPr>
          <w:p>
            <w:pPr>
              <w:spacing w:after="20"/>
            </w:pPr>
            <w:r>
              <w:rPr>
                <w:b/>
                <w:color w:val="1C3A36"/>
                <w:sz w:val="17"/>
              </w:rPr>
              <w:t>EQUITY ATTRIBUTABLE</w:t>
            </w:r>
          </w:p>
        </w:tc>
        <w:tc>
          <w:tcPr>
            <w:tcW w:type="dxa" w:w="1440"/>
            <w:shd w:val="clear" w:color="auto" w:fill="F6F1E6"/>
          </w:tcPr>
          <w:p>
            <w:pPr>
              <w:spacing w:after="20"/>
              <w:jc w:val="right"/>
            </w:pPr>
            <w:r>
              <w:rPr>
                <w:b/>
                <w:color w:val="1C3A36"/>
                <w:sz w:val="17"/>
              </w:rPr>
              <w:t>25,895</w:t>
            </w:r>
          </w:p>
        </w:tc>
        <w:tc>
          <w:tcPr>
            <w:tcW w:type="dxa" w:w="1296"/>
            <w:shd w:val="clear" w:color="auto" w:fill="F6F1E6"/>
          </w:tcPr>
          <w:p>
            <w:pPr>
              <w:spacing w:after="20"/>
              <w:jc w:val="right"/>
            </w:pPr>
            <w:r>
              <w:rPr>
                <w:b/>
                <w:color w:val="1C3A36"/>
                <w:sz w:val="17"/>
              </w:rPr>
              <w:t>20.05</w:t>
            </w:r>
          </w:p>
        </w:tc>
        <w:tc>
          <w:tcPr>
            <w:tcW w:type="dxa" w:w="3600"/>
            <w:shd w:val="clear" w:color="auto" w:fill="F6F1E6"/>
          </w:tcPr>
          <w:p>
            <w:pPr>
              <w:spacing w:after="20"/>
            </w:pPr>
            <w:r>
              <w:rPr>
                <w:b/>
                <w:color w:val="1C3A36"/>
                <w:sz w:val="17"/>
              </w:rPr>
              <w:t>against a price of 13.50</w:t>
            </w:r>
          </w:p>
        </w:tc>
      </w:tr>
    </w:tbl>
    <w:p>
      <w:pPr>
        <w:spacing w:after="40"/>
      </w:pPr>
    </w:p>
    <w:p>
      <w:pPr>
        <w:spacing w:after="200" w:before="0"/>
      </w:pPr>
      <w:r>
        <w:rPr>
          <w:b w:val="0"/>
          <w:i/>
          <w:color w:val="6E7B77"/>
          <w:sz w:val="17"/>
        </w:rPr>
        <w:t>Table 13 — the bridge, with every disclosed claim carried. The minority takes its share of the WHOLE enterprise including the cash: the previous construction charged the minority its share of the operating enterprise and then credited the parent with 100% of the consolidated cash, an inconsistency a reader can find in one line of arithmetic. The provision and the declared dividend are senior claims on that same cash and are deducted at face. The pledged deposits are excluded from free cash but are real assets, so they return here rather than vanishing from both sides.</w:t>
      </w:r>
    </w:p>
    <w:p>
      <w:pPr>
        <w:spacing w:after="40"/>
        <w:jc w:val="center"/>
      </w:pPr>
      <w:r>
        <w:drawing>
          <wp:inline xmlns:a="http://schemas.openxmlformats.org/drawingml/2006/main" xmlns:pic="http://schemas.openxmlformats.org/drawingml/2006/picture">
            <wp:extent cx="6309360" cy="2557849"/>
            <wp:docPr id="3" name="Picture 3"/>
            <wp:cNvGraphicFramePr>
              <a:graphicFrameLocks noChangeAspect="1"/>
            </wp:cNvGraphicFramePr>
            <a:graphic>
              <a:graphicData uri="http://schemas.openxmlformats.org/drawingml/2006/picture">
                <pic:pic>
                  <pic:nvPicPr>
                    <pic:cNvPr id="0" name="fig3_bridge.png"/>
                    <pic:cNvPicPr/>
                  </pic:nvPicPr>
                  <pic:blipFill>
                    <a:blip r:embed="rId11"/>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3 — the bridge drawn per share. The gap between the enterprise value including cash and the attributable equity is the three disclosed claims, worth EGP 1.14 a share between them.</w:t>
      </w:r>
    </w:p>
    <w:p>
      <w:pPr>
        <w:spacing w:after="80" w:before="200"/>
      </w:pPr>
      <w:r>
        <w:rPr>
          <w:b/>
          <w:i w:val="0"/>
          <w:color w:val="1C3A36"/>
          <w:sz w:val="24"/>
        </w:rPr>
        <w:t>1.9  The terminal block</w:t>
      </w:r>
    </w:p>
    <w:p>
      <w:pPr>
        <w:spacing w:after="120" w:before="0"/>
      </w:pPr>
      <w:r>
        <w:rPr>
          <w:b w:val="0"/>
          <w:i w:val="0"/>
          <w:color w:val="1C3A36"/>
          <w:sz w:val="21"/>
        </w:rPr>
        <w:t>The terminal return is struck on invested capital at REPLACEMENT cost — working capital plus the asset base at GROSS cost — giving 46.2%. On net book it would be about 26%. The plant is 67.4% written down, and the book lens in section 1.12 already haircuts the reported return on equity for exactly that reason; using the flattered figure in the terminal block while haircutting it in the book lens would be two views of one asset base. One view is now applied across the model.</w:t>
      </w:r>
    </w:p>
    <w:p>
      <w:pPr>
        <w:spacing w:after="120" w:before="0"/>
      </w:pPr>
      <w:r>
        <w:rPr>
          <w:b w:val="0"/>
          <w:i w:val="0"/>
          <w:color w:val="1C3A36"/>
          <w:sz w:val="21"/>
        </w:rPr>
        <w:t>Growth equals return times reinvestment is ENFORCED by assertion, not asserted in prose: at 7% terminal growth and a 46.2% return, the terminal block reinvests 15.1% of profit. That is ABOVE the final explicit year’s 5.9%, so the terminal block is funded rather than flattered — a step of +9.27%, disclosed here because it RAISES nothing and a reader is entitled to see it either way. Terminal value carries 62.3% of enterprise value, down from 58.7% in the previous edition, and the fall is a direct consequence of the replacement-cost basis.</w:t>
      </w:r>
    </w:p>
    <w:p>
      <w:pPr>
        <w:spacing w:after="80" w:before="200"/>
      </w:pPr>
      <w:r>
        <w:rPr>
          <w:b/>
          <w:i w:val="0"/>
          <w:color w:val="1C3A36"/>
          <w:sz w:val="24"/>
        </w:rPr>
        <w:t>1.10  Terminal growth, reconciled against the company’s own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520"/>
        <w:gridCol w:w="2016"/>
        <w:gridCol w:w="2664"/>
      </w:tblGrid>
      <w:tr>
        <w:tc>
          <w:tcPr>
            <w:tcW w:type="dxa" w:w="2736"/>
            <w:shd w:val="clear" w:color="auto" w:fill="EAF0EE"/>
          </w:tcPr>
          <w:p>
            <w:pPr>
              <w:spacing w:after="20"/>
            </w:pPr>
            <w:r>
              <w:rPr>
                <w:b/>
                <w:color w:val="1C3A36"/>
                <w:sz w:val="17"/>
              </w:rPr>
              <w:t>Period</w:t>
            </w:r>
          </w:p>
        </w:tc>
        <w:tc>
          <w:tcPr>
            <w:tcW w:type="dxa" w:w="2520"/>
            <w:shd w:val="clear" w:color="auto" w:fill="EAF0EE"/>
          </w:tcPr>
          <w:p>
            <w:pPr>
              <w:spacing w:after="20"/>
            </w:pPr>
            <w:r>
              <w:rPr>
                <w:b/>
                <w:color w:val="1C3A36"/>
                <w:sz w:val="17"/>
              </w:rPr>
              <w:t>Return on invested capital</w:t>
            </w:r>
          </w:p>
        </w:tc>
        <w:tc>
          <w:tcPr>
            <w:tcW w:type="dxa" w:w="2016"/>
            <w:shd w:val="clear" w:color="auto" w:fill="EAF0EE"/>
          </w:tcPr>
          <w:p>
            <w:pPr>
              <w:spacing w:after="20"/>
            </w:pPr>
            <w:r>
              <w:rPr>
                <w:b/>
                <w:color w:val="1C3A36"/>
                <w:sz w:val="17"/>
              </w:rPr>
              <w:t>Reinvestment rate</w:t>
            </w:r>
          </w:p>
        </w:tc>
        <w:tc>
          <w:tcPr>
            <w:tcW w:type="dxa" w:w="2664"/>
            <w:shd w:val="clear" w:color="auto" w:fill="EAF0EE"/>
          </w:tcPr>
          <w:p>
            <w:pPr>
              <w:spacing w:after="20"/>
            </w:pPr>
            <w:r>
              <w:rPr>
                <w:b/>
                <w:color w:val="1C3A36"/>
                <w:sz w:val="17"/>
              </w:rPr>
              <w:t>Implied steady-state growth</w:t>
            </w:r>
          </w:p>
        </w:tc>
      </w:tr>
      <w:tr>
        <w:tc>
          <w:tcPr>
            <w:tcW w:type="dxa" w:w="2736"/>
          </w:tcPr>
          <w:p>
            <w:pPr>
              <w:spacing w:after="20"/>
            </w:pPr>
            <w:r>
              <w:rPr>
                <w:color w:val="1C3A36"/>
                <w:sz w:val="17"/>
              </w:rPr>
              <w:t>6M Dec-2024</w:t>
            </w:r>
          </w:p>
        </w:tc>
        <w:tc>
          <w:tcPr>
            <w:tcW w:type="dxa" w:w="2520"/>
          </w:tcPr>
          <w:p>
            <w:pPr>
              <w:spacing w:after="20"/>
              <w:jc w:val="right"/>
            </w:pPr>
            <w:r>
              <w:rPr>
                <w:color w:val="1C3A36"/>
                <w:sz w:val="17"/>
              </w:rPr>
              <w:t>28.1%</w:t>
            </w:r>
          </w:p>
        </w:tc>
        <w:tc>
          <w:tcPr>
            <w:tcW w:type="dxa" w:w="2016"/>
          </w:tcPr>
          <w:p>
            <w:pPr>
              <w:spacing w:after="20"/>
              <w:jc w:val="right"/>
            </w:pPr>
            <w:r>
              <w:rPr>
                <w:color w:val="1C3A36"/>
                <w:sz w:val="17"/>
              </w:rPr>
              <w:t>-6.9%</w:t>
            </w:r>
          </w:p>
        </w:tc>
        <w:tc>
          <w:tcPr>
            <w:tcW w:type="dxa" w:w="2664"/>
          </w:tcPr>
          <w:p>
            <w:pPr>
              <w:spacing w:after="20"/>
              <w:jc w:val="right"/>
            </w:pPr>
            <w:r>
              <w:rPr>
                <w:color w:val="1C3A36"/>
                <w:sz w:val="17"/>
              </w:rPr>
              <w:t>-1.93%</w:t>
            </w:r>
          </w:p>
        </w:tc>
      </w:tr>
      <w:tr>
        <w:tc>
          <w:tcPr>
            <w:tcW w:type="dxa" w:w="2736"/>
          </w:tcPr>
          <w:p>
            <w:pPr>
              <w:spacing w:after="20"/>
            </w:pPr>
            <w:r>
              <w:rPr>
                <w:color w:val="1C3A36"/>
                <w:sz w:val="17"/>
              </w:rPr>
              <w:t>3M Mar-2025</w:t>
            </w:r>
          </w:p>
        </w:tc>
        <w:tc>
          <w:tcPr>
            <w:tcW w:type="dxa" w:w="2520"/>
          </w:tcPr>
          <w:p>
            <w:pPr>
              <w:spacing w:after="20"/>
              <w:jc w:val="right"/>
            </w:pPr>
            <w:r>
              <w:rPr>
                <w:color w:val="1C3A36"/>
                <w:sz w:val="17"/>
              </w:rPr>
              <w:t>22.2%</w:t>
            </w:r>
          </w:p>
        </w:tc>
        <w:tc>
          <w:tcPr>
            <w:tcW w:type="dxa" w:w="2016"/>
          </w:tcPr>
          <w:p>
            <w:pPr>
              <w:spacing w:after="20"/>
              <w:jc w:val="right"/>
            </w:pPr>
            <w:r>
              <w:rPr>
                <w:color w:val="1C3A36"/>
                <w:sz w:val="17"/>
              </w:rPr>
              <w:t>12.7%</w:t>
            </w:r>
          </w:p>
        </w:tc>
        <w:tc>
          <w:tcPr>
            <w:tcW w:type="dxa" w:w="2664"/>
          </w:tcPr>
          <w:p>
            <w:pPr>
              <w:spacing w:after="20"/>
              <w:jc w:val="right"/>
            </w:pPr>
            <w:r>
              <w:rPr>
                <w:color w:val="1C3A36"/>
                <w:sz w:val="17"/>
              </w:rPr>
              <w:t>2.82%</w:t>
            </w:r>
          </w:p>
        </w:tc>
      </w:tr>
      <w:tr>
        <w:tc>
          <w:tcPr>
            <w:tcW w:type="dxa" w:w="2736"/>
          </w:tcPr>
          <w:p>
            <w:pPr>
              <w:spacing w:after="20"/>
            </w:pPr>
            <w:r>
              <w:rPr>
                <w:color w:val="1C3A36"/>
                <w:sz w:val="17"/>
              </w:rPr>
              <w:t>6M Dec-2025</w:t>
            </w:r>
          </w:p>
        </w:tc>
        <w:tc>
          <w:tcPr>
            <w:tcW w:type="dxa" w:w="2520"/>
          </w:tcPr>
          <w:p>
            <w:pPr>
              <w:spacing w:after="20"/>
              <w:jc w:val="right"/>
            </w:pPr>
            <w:r>
              <w:rPr>
                <w:color w:val="1C3A36"/>
                <w:sz w:val="17"/>
              </w:rPr>
              <w:t>16.2%</w:t>
            </w:r>
          </w:p>
        </w:tc>
        <w:tc>
          <w:tcPr>
            <w:tcW w:type="dxa" w:w="2016"/>
          </w:tcPr>
          <w:p>
            <w:pPr>
              <w:spacing w:after="20"/>
              <w:jc w:val="right"/>
            </w:pPr>
            <w:r>
              <w:rPr>
                <w:color w:val="1C3A36"/>
                <w:sz w:val="17"/>
              </w:rPr>
              <w:t>-10.5%</w:t>
            </w:r>
          </w:p>
        </w:tc>
        <w:tc>
          <w:tcPr>
            <w:tcW w:type="dxa" w:w="2664"/>
          </w:tcPr>
          <w:p>
            <w:pPr>
              <w:spacing w:after="20"/>
              <w:jc w:val="right"/>
            </w:pPr>
            <w:r>
              <w:rPr>
                <w:color w:val="1C3A36"/>
                <w:sz w:val="17"/>
              </w:rPr>
              <w:t>-1.70%</w:t>
            </w:r>
          </w:p>
        </w:tc>
      </w:tr>
      <w:tr>
        <w:tc>
          <w:tcPr>
            <w:tcW w:type="dxa" w:w="2736"/>
          </w:tcPr>
          <w:p>
            <w:pPr>
              <w:spacing w:after="20"/>
            </w:pPr>
            <w:r>
              <w:rPr>
                <w:color w:val="1C3A36"/>
                <w:sz w:val="17"/>
              </w:rPr>
              <w:t>3M Mar-2026</w:t>
            </w:r>
          </w:p>
        </w:tc>
        <w:tc>
          <w:tcPr>
            <w:tcW w:type="dxa" w:w="2520"/>
          </w:tcPr>
          <w:p>
            <w:pPr>
              <w:spacing w:after="20"/>
              <w:jc w:val="right"/>
            </w:pPr>
            <w:r>
              <w:rPr>
                <w:color w:val="1C3A36"/>
                <w:sz w:val="17"/>
              </w:rPr>
              <w:t>42.8%</w:t>
            </w:r>
          </w:p>
        </w:tc>
        <w:tc>
          <w:tcPr>
            <w:tcW w:type="dxa" w:w="2016"/>
          </w:tcPr>
          <w:p>
            <w:pPr>
              <w:spacing w:after="20"/>
              <w:jc w:val="right"/>
            </w:pPr>
            <w:r>
              <w:rPr>
                <w:color w:val="1C3A36"/>
                <w:sz w:val="17"/>
              </w:rPr>
              <w:t>4.9%</w:t>
            </w:r>
          </w:p>
        </w:tc>
        <w:tc>
          <w:tcPr>
            <w:tcW w:type="dxa" w:w="2664"/>
          </w:tcPr>
          <w:p>
            <w:pPr>
              <w:spacing w:after="20"/>
              <w:jc w:val="right"/>
            </w:pPr>
            <w:r>
              <w:rPr>
                <w:color w:val="1C3A36"/>
                <w:sz w:val="17"/>
              </w:rPr>
              <w:t>2.09%</w:t>
            </w:r>
          </w:p>
        </w:tc>
      </w:tr>
      <w:tr>
        <w:tc>
          <w:tcPr>
            <w:tcW w:type="dxa" w:w="2736"/>
          </w:tcPr>
          <w:p>
            <w:pPr>
              <w:spacing w:after="20"/>
            </w:pPr>
            <w:r>
              <w:rPr>
                <w:color w:val="1C3A36"/>
                <w:sz w:val="17"/>
              </w:rPr>
              <w:t>6M Jun-2026</w:t>
            </w:r>
          </w:p>
        </w:tc>
        <w:tc>
          <w:tcPr>
            <w:tcW w:type="dxa" w:w="2520"/>
          </w:tcPr>
          <w:p>
            <w:pPr>
              <w:spacing w:after="20"/>
              <w:jc w:val="right"/>
            </w:pPr>
            <w:r>
              <w:rPr>
                <w:color w:val="1C3A36"/>
                <w:sz w:val="17"/>
              </w:rPr>
              <w:t>81.8%</w:t>
            </w:r>
          </w:p>
        </w:tc>
        <w:tc>
          <w:tcPr>
            <w:tcW w:type="dxa" w:w="2016"/>
          </w:tcPr>
          <w:p>
            <w:pPr>
              <w:spacing w:after="20"/>
              <w:jc w:val="right"/>
            </w:pPr>
            <w:r>
              <w:rPr>
                <w:color w:val="1C3A36"/>
                <w:sz w:val="17"/>
              </w:rPr>
              <w:t>2.8%</w:t>
            </w:r>
          </w:p>
        </w:tc>
        <w:tc>
          <w:tcPr>
            <w:tcW w:type="dxa" w:w="2664"/>
          </w:tcPr>
          <w:p>
            <w:pPr>
              <w:spacing w:after="20"/>
              <w:jc w:val="right"/>
            </w:pPr>
            <w:r>
              <w:rPr>
                <w:color w:val="1C3A36"/>
                <w:sz w:val="17"/>
              </w:rPr>
              <w:t>2.25%</w:t>
            </w:r>
          </w:p>
        </w:tc>
      </w:tr>
      <w:tr>
        <w:tc>
          <w:tcPr>
            <w:tcW w:type="dxa" w:w="2736"/>
            <w:shd w:val="clear" w:color="auto" w:fill="F6F1E6"/>
          </w:tcPr>
          <w:p>
            <w:pPr>
              <w:spacing w:after="20"/>
            </w:pPr>
            <w:r>
              <w:rPr>
                <w:b/>
                <w:color w:val="1C3A36"/>
                <w:sz w:val="17"/>
              </w:rPr>
              <w:t>Five-period average</w:t>
            </w:r>
          </w:p>
        </w:tc>
        <w:tc>
          <w:tcPr>
            <w:tcW w:type="dxa" w:w="2520"/>
            <w:shd w:val="clear" w:color="auto" w:fill="F6F1E6"/>
          </w:tcPr>
          <w:p>
            <w:pPr>
              <w:spacing w:after="20"/>
              <w:jc w:val="right"/>
            </w:pPr>
            <w:r>
              <w:rPr>
                <w:b/>
                <w:color w:val="1C3A36"/>
                <w:sz w:val="17"/>
              </w:rPr>
            </w:r>
          </w:p>
        </w:tc>
        <w:tc>
          <w:tcPr>
            <w:tcW w:type="dxa" w:w="2016"/>
            <w:shd w:val="clear" w:color="auto" w:fill="F6F1E6"/>
          </w:tcPr>
          <w:p>
            <w:pPr>
              <w:spacing w:after="20"/>
              <w:jc w:val="right"/>
            </w:pPr>
            <w:r>
              <w:rPr>
                <w:b/>
                <w:color w:val="1C3A36"/>
                <w:sz w:val="17"/>
              </w:rPr>
              <w:t>0.6%</w:t>
            </w:r>
          </w:p>
        </w:tc>
        <w:tc>
          <w:tcPr>
            <w:tcW w:type="dxa" w:w="2664"/>
            <w:shd w:val="clear" w:color="auto" w:fill="F6F1E6"/>
          </w:tcPr>
          <w:p>
            <w:pPr>
              <w:spacing w:after="20"/>
              <w:jc w:val="right"/>
            </w:pPr>
            <w:r>
              <w:rPr>
                <w:b/>
                <w:color w:val="1C3A36"/>
                <w:sz w:val="17"/>
              </w:rPr>
              <w:t>0.70%</w:t>
            </w:r>
          </w:p>
        </w:tc>
      </w:tr>
    </w:tbl>
    <w:p>
      <w:pPr>
        <w:spacing w:after="40"/>
      </w:pPr>
    </w:p>
    <w:p>
      <w:pPr>
        <w:spacing w:after="200" w:before="0"/>
      </w:pPr>
      <w:r>
        <w:rPr>
          <w:b w:val="0"/>
          <w:i/>
          <w:color w:val="6E7B77"/>
          <w:sz w:val="17"/>
        </w:rPr>
        <w:t>Table 14 — the reinvestment record. THREE of the 5 filed periods show POSITIVE reinvestment and the 5-period average implied growth is positive. The previous edition of this study stated in three separate places that reinvestment was "negative in every audited period" and that the identity implied a negative steady-state rate; its own table, printed on the facing page, said otherwise. Two outside reviewers then built a "shrinking asset base" argument on that incorrect sentence rather than on the correct table. The sentence is withdrawn.</w:t>
      </w:r>
    </w:p>
    <w:p>
      <w:pPr>
        <w:spacing w:after="120" w:before="0"/>
      </w:pPr>
      <w:r>
        <w:rPr>
          <w:b w:val="0"/>
          <w:i w:val="0"/>
          <w:color w:val="1C3A36"/>
          <w:sz w:val="21"/>
        </w:rPr>
        <w:t>Against that record the adopted 7% is generous, and the study says so. The reinvestment waterfall itself implies 7.84%; the 5-period average implies far less. The terminal growth sensitivity in section 1.11 shows why the choice barely matters here: because the reinvestment identity FUNDS growth before crediting it, the value moves only from EGP 17.09 at 3% to 20.05 at 7%. A model in which that row is steep is a model crediting growth for free.</w:t>
      </w:r>
    </w:p>
    <w:p>
      <w:pPr>
        <w:spacing w:after="80" w:before="200"/>
      </w:pPr>
      <w:r>
        <w:rPr>
          <w:b/>
          <w:i w:val="0"/>
          <w:color w:val="1C3A36"/>
          <w:sz w:val="24"/>
        </w:rPr>
        <w:t>1.11  Sensitivities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1080"/>
        <w:gridCol w:w="1080"/>
        <w:gridCol w:w="1080"/>
        <w:gridCol w:w="1080"/>
        <w:gridCol w:w="1080"/>
      </w:tblGrid>
      <w:tr>
        <w:tc>
          <w:tcPr>
            <w:tcW w:type="dxa" w:w="4104"/>
            <w:shd w:val="clear" w:color="auto" w:fill="EAF0EE"/>
          </w:tcPr>
          <w:p>
            <w:pPr>
              <w:spacing w:after="20"/>
            </w:pPr>
            <w:r>
              <w:rPr>
                <w:b/>
                <w:color w:val="1C3A36"/>
                <w:sz w:val="17"/>
              </w:rPr>
              <w:t>Driver (cash-flow lens, EGP a share)</w:t>
            </w:r>
          </w:p>
        </w:tc>
        <w:tc>
          <w:tcPr>
            <w:tcW w:type="dxa" w:w="1080"/>
            <w:shd w:val="clear" w:color="auto" w:fill="EAF0EE"/>
          </w:tcPr>
          <w:p>
            <w:pPr>
              <w:spacing w:after="20"/>
            </w:pPr>
            <w:r>
              <w:rPr>
                <w:b/>
                <w:color w:val="1C3A36"/>
                <w:sz w:val="17"/>
              </w:rPr>
              <w:t>low</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base</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high</w:t>
            </w:r>
          </w:p>
        </w:tc>
      </w:tr>
      <w:tr>
        <w:tc>
          <w:tcPr>
            <w:tcW w:type="dxa" w:w="4104"/>
          </w:tcPr>
          <w:p>
            <w:pPr>
              <w:spacing w:after="20"/>
            </w:pPr>
            <w:r>
              <w:rPr>
                <w:color w:val="1C3A36"/>
                <w:sz w:val="17"/>
              </w:rPr>
              <w:t>Gross margin, shifted on every forecast year</w:t>
            </w:r>
          </w:p>
        </w:tc>
        <w:tc>
          <w:tcPr>
            <w:tcW w:type="dxa" w:w="1080"/>
          </w:tcPr>
          <w:p>
            <w:pPr>
              <w:spacing w:after="20"/>
              <w:jc w:val="right"/>
            </w:pPr>
            <w:r>
              <w:rPr>
                <w:color w:val="1C3A36"/>
                <w:sz w:val="17"/>
              </w:rPr>
              <w:t>17.43</w:t>
            </w:r>
          </w:p>
        </w:tc>
        <w:tc>
          <w:tcPr>
            <w:tcW w:type="dxa" w:w="1080"/>
          </w:tcPr>
          <w:p>
            <w:pPr>
              <w:spacing w:after="20"/>
              <w:jc w:val="right"/>
            </w:pPr>
            <w:r>
              <w:rPr>
                <w:color w:val="1C3A36"/>
                <w:sz w:val="17"/>
              </w:rPr>
              <w:t>18.74</w:t>
            </w:r>
          </w:p>
        </w:tc>
        <w:tc>
          <w:tcPr>
            <w:tcW w:type="dxa" w:w="1080"/>
          </w:tcPr>
          <w:p>
            <w:pPr>
              <w:spacing w:after="20"/>
              <w:jc w:val="right"/>
            </w:pPr>
            <w:r>
              <w:rPr>
                <w:color w:val="1C3A36"/>
                <w:sz w:val="17"/>
              </w:rPr>
              <w:t>20.05</w:t>
            </w:r>
          </w:p>
        </w:tc>
        <w:tc>
          <w:tcPr>
            <w:tcW w:type="dxa" w:w="1080"/>
          </w:tcPr>
          <w:p>
            <w:pPr>
              <w:spacing w:after="20"/>
              <w:jc w:val="right"/>
            </w:pPr>
            <w:r>
              <w:rPr>
                <w:color w:val="1C3A36"/>
                <w:sz w:val="17"/>
              </w:rPr>
              <w:t>21.36</w:t>
            </w:r>
          </w:p>
        </w:tc>
        <w:tc>
          <w:tcPr>
            <w:tcW w:type="dxa" w:w="1080"/>
          </w:tcPr>
          <w:p>
            <w:pPr>
              <w:spacing w:after="20"/>
              <w:jc w:val="right"/>
            </w:pPr>
            <w:r>
              <w:rPr>
                <w:color w:val="1C3A36"/>
                <w:sz w:val="17"/>
              </w:rPr>
              <w:t>22.67</w:t>
            </w:r>
          </w:p>
        </w:tc>
      </w:tr>
      <w:tr>
        <w:tc>
          <w:tcPr>
            <w:tcW w:type="dxa" w:w="4104"/>
          </w:tcPr>
          <w:p>
            <w:pPr>
              <w:spacing w:after="20"/>
            </w:pPr>
            <w:r>
              <w:rPr>
                <w:color w:val="1C3A36"/>
                <w:sz w:val="17"/>
              </w:rPr>
              <w:t>Volume growth path, as a multiple of the assumed path</w:t>
            </w:r>
          </w:p>
        </w:tc>
        <w:tc>
          <w:tcPr>
            <w:tcW w:type="dxa" w:w="1080"/>
          </w:tcPr>
          <w:p>
            <w:pPr>
              <w:spacing w:after="20"/>
              <w:jc w:val="right"/>
            </w:pPr>
            <w:r>
              <w:rPr>
                <w:color w:val="1C3A36"/>
                <w:sz w:val="17"/>
              </w:rPr>
              <w:t>13.78</w:t>
            </w:r>
          </w:p>
        </w:tc>
        <w:tc>
          <w:tcPr>
            <w:tcW w:type="dxa" w:w="1080"/>
          </w:tcPr>
          <w:p>
            <w:pPr>
              <w:spacing w:after="20"/>
              <w:jc w:val="right"/>
            </w:pPr>
            <w:r>
              <w:rPr>
                <w:color w:val="1C3A36"/>
                <w:sz w:val="17"/>
              </w:rPr>
              <w:t>16.74</w:t>
            </w:r>
          </w:p>
        </w:tc>
        <w:tc>
          <w:tcPr>
            <w:tcW w:type="dxa" w:w="1080"/>
          </w:tcPr>
          <w:p>
            <w:pPr>
              <w:spacing w:after="20"/>
              <w:jc w:val="right"/>
            </w:pPr>
            <w:r>
              <w:rPr>
                <w:color w:val="1C3A36"/>
                <w:sz w:val="17"/>
              </w:rPr>
              <w:t>20.05</w:t>
            </w:r>
          </w:p>
        </w:tc>
        <w:tc>
          <w:tcPr>
            <w:tcW w:type="dxa" w:w="1080"/>
          </w:tcPr>
          <w:p>
            <w:pPr>
              <w:spacing w:after="20"/>
              <w:jc w:val="right"/>
            </w:pPr>
            <w:r>
              <w:rPr>
                <w:color w:val="1C3A36"/>
                <w:sz w:val="17"/>
              </w:rPr>
              <w:t>23.23</w:t>
            </w:r>
          </w:p>
        </w:tc>
        <w:tc>
          <w:tcPr>
            <w:tcW w:type="dxa" w:w="1080"/>
          </w:tcPr>
          <w:p>
            <w:pPr>
              <w:spacing w:after="20"/>
              <w:jc w:val="right"/>
            </w:pPr>
            <w:r>
              <w:rPr>
                <w:color w:val="1C3A36"/>
                <w:sz w:val="17"/>
              </w:rPr>
              <w:t>26.76</w:t>
            </w:r>
          </w:p>
        </w:tc>
      </w:tr>
      <w:tr>
        <w:tc>
          <w:tcPr>
            <w:tcW w:type="dxa" w:w="4104"/>
          </w:tcPr>
          <w:p>
            <w:pPr>
              <w:spacing w:after="20"/>
            </w:pPr>
            <w:r>
              <w:rPr>
                <w:color w:val="1C3A36"/>
                <w:sz w:val="17"/>
              </w:rPr>
              <w:t>Realisation path, as a multiple of the assumed path</w:t>
            </w:r>
          </w:p>
        </w:tc>
        <w:tc>
          <w:tcPr>
            <w:tcW w:type="dxa" w:w="1080"/>
          </w:tcPr>
          <w:p>
            <w:pPr>
              <w:spacing w:after="20"/>
              <w:jc w:val="right"/>
            </w:pPr>
            <w:r>
              <w:rPr>
                <w:color w:val="1C3A36"/>
                <w:sz w:val="17"/>
              </w:rPr>
              <w:t>19.15</w:t>
            </w:r>
          </w:p>
        </w:tc>
        <w:tc>
          <w:tcPr>
            <w:tcW w:type="dxa" w:w="1080"/>
          </w:tcPr>
          <w:p>
            <w:pPr>
              <w:spacing w:after="20"/>
              <w:jc w:val="right"/>
            </w:pPr>
            <w:r>
              <w:rPr>
                <w:color w:val="1C3A36"/>
                <w:sz w:val="17"/>
              </w:rPr>
              <w:t>19.60</w:t>
            </w:r>
          </w:p>
        </w:tc>
        <w:tc>
          <w:tcPr>
            <w:tcW w:type="dxa" w:w="1080"/>
          </w:tcPr>
          <w:p>
            <w:pPr>
              <w:spacing w:after="20"/>
              <w:jc w:val="right"/>
            </w:pPr>
            <w:r>
              <w:rPr>
                <w:color w:val="1C3A36"/>
                <w:sz w:val="17"/>
              </w:rPr>
              <w:t>20.05</w:t>
            </w:r>
          </w:p>
        </w:tc>
        <w:tc>
          <w:tcPr>
            <w:tcW w:type="dxa" w:w="1080"/>
          </w:tcPr>
          <w:p>
            <w:pPr>
              <w:spacing w:after="20"/>
              <w:jc w:val="right"/>
            </w:pPr>
            <w:r>
              <w:rPr>
                <w:color w:val="1C3A36"/>
                <w:sz w:val="17"/>
              </w:rPr>
              <w:t>20.51</w:t>
            </w:r>
          </w:p>
        </w:tc>
        <w:tc>
          <w:tcPr>
            <w:tcW w:type="dxa" w:w="1080"/>
          </w:tcPr>
          <w:p>
            <w:pPr>
              <w:spacing w:after="20"/>
              <w:jc w:val="right"/>
            </w:pPr>
            <w:r>
              <w:rPr>
                <w:color w:val="1C3A36"/>
                <w:sz w:val="17"/>
              </w:rPr>
              <w:t>20.97</w:t>
            </w:r>
          </w:p>
        </w:tc>
      </w:tr>
      <w:tr>
        <w:tc>
          <w:tcPr>
            <w:tcW w:type="dxa" w:w="4104"/>
          </w:tcPr>
          <w:p>
            <w:pPr>
              <w:spacing w:after="20"/>
            </w:pPr>
            <w:r>
              <w:rPr>
                <w:color w:val="1C3A36"/>
                <w:sz w:val="17"/>
              </w:rPr>
              <w:t>Beta</w:t>
            </w:r>
          </w:p>
        </w:tc>
        <w:tc>
          <w:tcPr>
            <w:tcW w:type="dxa" w:w="1080"/>
          </w:tcPr>
          <w:p>
            <w:pPr>
              <w:spacing w:after="20"/>
              <w:jc w:val="right"/>
            </w:pPr>
            <w:r>
              <w:rPr>
                <w:color w:val="1C3A36"/>
                <w:sz w:val="17"/>
              </w:rPr>
              <w:t>24.87</w:t>
            </w:r>
          </w:p>
        </w:tc>
        <w:tc>
          <w:tcPr>
            <w:tcW w:type="dxa" w:w="1080"/>
          </w:tcPr>
          <w:p>
            <w:pPr>
              <w:spacing w:after="20"/>
              <w:jc w:val="right"/>
            </w:pPr>
            <w:r>
              <w:rPr>
                <w:color w:val="1C3A36"/>
                <w:sz w:val="17"/>
              </w:rPr>
              <w:t>21.48</w:t>
            </w:r>
          </w:p>
        </w:tc>
        <w:tc>
          <w:tcPr>
            <w:tcW w:type="dxa" w:w="1080"/>
          </w:tcPr>
          <w:p>
            <w:pPr>
              <w:spacing w:after="20"/>
              <w:jc w:val="right"/>
            </w:pPr>
            <w:r>
              <w:rPr>
                <w:color w:val="1C3A36"/>
                <w:sz w:val="17"/>
              </w:rPr>
              <w:t>20.05</w:t>
            </w:r>
          </w:p>
        </w:tc>
        <w:tc>
          <w:tcPr>
            <w:tcW w:type="dxa" w:w="1080"/>
          </w:tcPr>
          <w:p>
            <w:pPr>
              <w:spacing w:after="20"/>
              <w:jc w:val="right"/>
            </w:pPr>
            <w:r>
              <w:rPr>
                <w:color w:val="1C3A36"/>
                <w:sz w:val="17"/>
              </w:rPr>
              <w:t>17.44</w:t>
            </w:r>
          </w:p>
        </w:tc>
        <w:tc>
          <w:tcPr>
            <w:tcW w:type="dxa" w:w="1080"/>
          </w:tcPr>
          <w:p>
            <w:pPr>
              <w:spacing w:after="20"/>
              <w:jc w:val="right"/>
            </w:pPr>
            <w:r>
              <w:rPr>
                <w:color w:val="1C3A36"/>
                <w:sz w:val="17"/>
              </w:rPr>
              <w:t>16.16</w:t>
            </w:r>
          </w:p>
        </w:tc>
      </w:tr>
      <w:tr>
        <w:tc>
          <w:tcPr>
            <w:tcW w:type="dxa" w:w="4104"/>
          </w:tcPr>
          <w:p>
            <w:pPr>
              <w:spacing w:after="20"/>
            </w:pPr>
            <w:r>
              <w:rPr>
                <w:color w:val="1C3A36"/>
                <w:sz w:val="17"/>
              </w:rPr>
              <w:t>Working-capital cycle, as a multiple of the solved days</w:t>
            </w:r>
          </w:p>
        </w:tc>
        <w:tc>
          <w:tcPr>
            <w:tcW w:type="dxa" w:w="1080"/>
          </w:tcPr>
          <w:p>
            <w:pPr>
              <w:spacing w:after="20"/>
              <w:jc w:val="right"/>
            </w:pPr>
            <w:r>
              <w:rPr>
                <w:color w:val="1C3A36"/>
                <w:sz w:val="17"/>
              </w:rPr>
              <w:t>21.93</w:t>
            </w:r>
          </w:p>
        </w:tc>
        <w:tc>
          <w:tcPr>
            <w:tcW w:type="dxa" w:w="1080"/>
          </w:tcPr>
          <w:p>
            <w:pPr>
              <w:spacing w:after="20"/>
              <w:jc w:val="right"/>
            </w:pPr>
            <w:r>
              <w:rPr>
                <w:color w:val="1C3A36"/>
                <w:sz w:val="17"/>
              </w:rPr>
              <w:t>20.99</w:t>
            </w:r>
          </w:p>
        </w:tc>
        <w:tc>
          <w:tcPr>
            <w:tcW w:type="dxa" w:w="1080"/>
          </w:tcPr>
          <w:p>
            <w:pPr>
              <w:spacing w:after="20"/>
              <w:jc w:val="right"/>
            </w:pPr>
            <w:r>
              <w:rPr>
                <w:color w:val="1C3A36"/>
                <w:sz w:val="17"/>
              </w:rPr>
              <w:t>20.05</w:t>
            </w:r>
          </w:p>
        </w:tc>
        <w:tc>
          <w:tcPr>
            <w:tcW w:type="dxa" w:w="1080"/>
          </w:tcPr>
          <w:p>
            <w:pPr>
              <w:spacing w:after="20"/>
              <w:jc w:val="right"/>
            </w:pPr>
            <w:r>
              <w:rPr>
                <w:color w:val="1C3A36"/>
                <w:sz w:val="17"/>
              </w:rPr>
              <w:t>19.11</w:t>
            </w:r>
          </w:p>
        </w:tc>
        <w:tc>
          <w:tcPr>
            <w:tcW w:type="dxa" w:w="1080"/>
          </w:tcPr>
          <w:p>
            <w:pPr>
              <w:spacing w:after="20"/>
              <w:jc w:val="right"/>
            </w:pPr>
            <w:r>
              <w:rPr>
                <w:color w:val="1C3A36"/>
                <w:sz w:val="17"/>
              </w:rPr>
              <w:t>18.17</w:t>
            </w:r>
          </w:p>
        </w:tc>
      </w:tr>
      <w:tr>
        <w:tc>
          <w:tcPr>
            <w:tcW w:type="dxa" w:w="4104"/>
          </w:tcPr>
          <w:p>
            <w:pPr>
              <w:spacing w:after="20"/>
            </w:pPr>
            <w:r>
              <w:rPr>
                <w:color w:val="1C3A36"/>
                <w:sz w:val="17"/>
              </w:rPr>
              <w:t>Terminal growth</w:t>
            </w:r>
          </w:p>
        </w:tc>
        <w:tc>
          <w:tcPr>
            <w:tcW w:type="dxa" w:w="1080"/>
          </w:tcPr>
          <w:p>
            <w:pPr>
              <w:spacing w:after="20"/>
              <w:jc w:val="right"/>
            </w:pPr>
            <w:r>
              <w:rPr>
                <w:color w:val="1C3A36"/>
                <w:sz w:val="17"/>
              </w:rPr>
              <w:t>17.09</w:t>
            </w:r>
          </w:p>
        </w:tc>
        <w:tc>
          <w:tcPr>
            <w:tcW w:type="dxa" w:w="1080"/>
          </w:tcPr>
          <w:p>
            <w:pPr>
              <w:spacing w:after="20"/>
              <w:jc w:val="right"/>
            </w:pPr>
            <w:r>
              <w:rPr>
                <w:color w:val="1C3A36"/>
                <w:sz w:val="17"/>
              </w:rPr>
              <w:t>17.65</w:t>
            </w:r>
          </w:p>
        </w:tc>
        <w:tc>
          <w:tcPr>
            <w:tcW w:type="dxa" w:w="1080"/>
          </w:tcPr>
          <w:p>
            <w:pPr>
              <w:spacing w:after="20"/>
              <w:jc w:val="right"/>
            </w:pPr>
            <w:r>
              <w:rPr>
                <w:color w:val="1C3A36"/>
                <w:sz w:val="17"/>
              </w:rPr>
              <w:t>18.31</w:t>
            </w:r>
          </w:p>
        </w:tc>
        <w:tc>
          <w:tcPr>
            <w:tcW w:type="dxa" w:w="1080"/>
          </w:tcPr>
          <w:p>
            <w:pPr>
              <w:spacing w:after="20"/>
              <w:jc w:val="right"/>
            </w:pPr>
            <w:r>
              <w:rPr>
                <w:color w:val="1C3A36"/>
                <w:sz w:val="17"/>
              </w:rPr>
              <w:t>19.09</w:t>
            </w:r>
          </w:p>
        </w:tc>
        <w:tc>
          <w:tcPr>
            <w:tcW w:type="dxa" w:w="1080"/>
          </w:tcPr>
          <w:p>
            <w:pPr>
              <w:spacing w:after="20"/>
              <w:jc w:val="right"/>
            </w:pPr>
            <w:r>
              <w:rPr>
                <w:color w:val="1C3A36"/>
                <w:sz w:val="17"/>
              </w:rPr>
              <w:t>20.05</w:t>
            </w:r>
          </w:p>
        </w:tc>
      </w:tr>
    </w:tbl>
    <w:p>
      <w:pPr>
        <w:spacing w:after="40"/>
      </w:pPr>
    </w:p>
    <w:p>
      <w:pPr>
        <w:spacing w:after="200" w:before="0"/>
      </w:pPr>
      <w:r>
        <w:rPr>
          <w:b w:val="0"/>
          <w:i/>
          <w:color w:val="6E7B77"/>
          <w:sz w:val="17"/>
        </w:rPr>
        <w:t>Table 15 — six drivers, five points each: thirty complete re-runs of the model, not add-backs. Every grid is sorted, every row reproduces the base case at its own base point, and every row is monotone in the direction theory requires — all three properties are ASSERTED in the build. The previous edition published three rows that failed one or more of these tests and had no gate that could have caught them: a working-capital row whose grid was never sorted so the base case sat in the middle slot, a beta row whose centre did not return the base case, and a volume row whose label described a different scenario from the one it ran. In the companion workbook each of these cells is a live formula block.</w:t>
      </w:r>
    </w:p>
    <w:p>
      <w:pPr>
        <w:spacing w:after="120" w:before="0"/>
      </w:pPr>
      <w:r>
        <w:rPr>
          <w:b w:val="0"/>
          <w:i w:val="0"/>
          <w:color w:val="1C3A36"/>
          <w:sz w:val="21"/>
        </w:rPr>
        <w:t>Two readings matter. TERMINAL GROWTH is nearly inert, for the reason given in section 1.10. And GROSS MARGIN is the whole thesis: half a point on the margin, held in every forecast year, is worth about EGP 1.31 a share on the cash-flow lens. That is why the case in section 1.13 is built to survive the margin being wrong by more than the entire filed record’s range.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24"/>
        <w:gridCol w:w="1224"/>
        <w:gridCol w:w="1224"/>
        <w:gridCol w:w="1224"/>
        <w:gridCol w:w="1224"/>
      </w:tblGrid>
      <w:tr>
        <w:tc>
          <w:tcPr>
            <w:tcW w:type="dxa" w:w="3384"/>
            <w:shd w:val="clear" w:color="auto" w:fill="EAF0EE"/>
          </w:tcPr>
          <w:p>
            <w:pPr>
              <w:spacing w:after="20"/>
            </w:pPr>
            <w:r>
              <w:rPr>
                <w:b/>
                <w:color w:val="1C3A36"/>
                <w:sz w:val="17"/>
              </w:rPr>
              <w:t>terminal WACC  \  terminal growth</w:t>
            </w:r>
          </w:p>
        </w:tc>
        <w:tc>
          <w:tcPr>
            <w:tcW w:type="dxa" w:w="1224"/>
            <w:shd w:val="clear" w:color="auto" w:fill="EAF0EE"/>
          </w:tcPr>
          <w:p>
            <w:pPr>
              <w:spacing w:after="20"/>
            </w:pPr>
            <w:r>
              <w:rPr>
                <w:b/>
                <w:color w:val="1C3A36"/>
                <w:sz w:val="17"/>
              </w:rPr>
              <w:t>3%</w:t>
            </w:r>
          </w:p>
        </w:tc>
        <w:tc>
          <w:tcPr>
            <w:tcW w:type="dxa" w:w="1224"/>
            <w:shd w:val="clear" w:color="auto" w:fill="EAF0EE"/>
          </w:tcPr>
          <w:p>
            <w:pPr>
              <w:spacing w:after="20"/>
            </w:pPr>
            <w:r>
              <w:rPr>
                <w:b/>
                <w:color w:val="1C3A36"/>
                <w:sz w:val="17"/>
              </w:rPr>
              <w:t>4%</w:t>
            </w:r>
          </w:p>
        </w:tc>
        <w:tc>
          <w:tcPr>
            <w:tcW w:type="dxa" w:w="1224"/>
            <w:shd w:val="clear" w:color="auto" w:fill="EAF0EE"/>
          </w:tcPr>
          <w:p>
            <w:pPr>
              <w:spacing w:after="20"/>
            </w:pPr>
            <w:r>
              <w:rPr>
                <w:b/>
                <w:color w:val="1C3A36"/>
                <w:sz w:val="17"/>
              </w:rPr>
              <w:t>5%</w:t>
            </w:r>
          </w:p>
        </w:tc>
        <w:tc>
          <w:tcPr>
            <w:tcW w:type="dxa" w:w="1224"/>
            <w:shd w:val="clear" w:color="auto" w:fill="EAF0EE"/>
          </w:tcPr>
          <w:p>
            <w:pPr>
              <w:spacing w:after="20"/>
            </w:pPr>
            <w:r>
              <w:rPr>
                <w:b/>
                <w:color w:val="1C3A36"/>
                <w:sz w:val="17"/>
              </w:rPr>
              <w:t>6%</w:t>
            </w:r>
          </w:p>
        </w:tc>
        <w:tc>
          <w:tcPr>
            <w:tcW w:type="dxa" w:w="1224"/>
            <w:shd w:val="clear" w:color="auto" w:fill="EAF0EE"/>
          </w:tcPr>
          <w:p>
            <w:pPr>
              <w:spacing w:after="20"/>
            </w:pPr>
            <w:r>
              <w:rPr>
                <w:b/>
                <w:color w:val="1C3A36"/>
                <w:sz w:val="17"/>
              </w:rPr>
              <w:t>7%</w:t>
            </w:r>
          </w:p>
        </w:tc>
      </w:tr>
      <w:tr>
        <w:tc>
          <w:tcPr>
            <w:tcW w:type="dxa" w:w="3384"/>
          </w:tcPr>
          <w:p>
            <w:pPr>
              <w:spacing w:after="20"/>
            </w:pPr>
            <w:r>
              <w:rPr>
                <w:color w:val="1C3A36"/>
                <w:sz w:val="17"/>
              </w:rPr>
              <w:t>14.33%</w:t>
            </w:r>
          </w:p>
        </w:tc>
        <w:tc>
          <w:tcPr>
            <w:tcW w:type="dxa" w:w="1224"/>
          </w:tcPr>
          <w:p>
            <w:pPr>
              <w:spacing w:after="20"/>
              <w:jc w:val="right"/>
            </w:pPr>
            <w:r>
              <w:rPr>
                <w:color w:val="1C3A36"/>
                <w:sz w:val="17"/>
              </w:rPr>
              <w:t>19.27</w:t>
            </w:r>
          </w:p>
        </w:tc>
        <w:tc>
          <w:tcPr>
            <w:tcW w:type="dxa" w:w="1224"/>
          </w:tcPr>
          <w:p>
            <w:pPr>
              <w:spacing w:after="20"/>
              <w:jc w:val="right"/>
            </w:pPr>
            <w:r>
              <w:rPr>
                <w:color w:val="1C3A36"/>
                <w:sz w:val="17"/>
              </w:rPr>
              <w:t>20.13</w:t>
            </w:r>
          </w:p>
        </w:tc>
        <w:tc>
          <w:tcPr>
            <w:tcW w:type="dxa" w:w="1224"/>
          </w:tcPr>
          <w:p>
            <w:pPr>
              <w:spacing w:after="20"/>
              <w:jc w:val="right"/>
            </w:pPr>
            <w:r>
              <w:rPr>
                <w:color w:val="1C3A36"/>
                <w:sz w:val="17"/>
              </w:rPr>
              <w:t>21.17</w:t>
            </w:r>
          </w:p>
        </w:tc>
        <w:tc>
          <w:tcPr>
            <w:tcW w:type="dxa" w:w="1224"/>
          </w:tcPr>
          <w:p>
            <w:pPr>
              <w:spacing w:after="20"/>
              <w:jc w:val="right"/>
            </w:pPr>
            <w:r>
              <w:rPr>
                <w:color w:val="1C3A36"/>
                <w:sz w:val="17"/>
              </w:rPr>
              <w:t>22.47</w:t>
            </w:r>
          </w:p>
        </w:tc>
        <w:tc>
          <w:tcPr>
            <w:tcW w:type="dxa" w:w="1224"/>
          </w:tcPr>
          <w:p>
            <w:pPr>
              <w:spacing w:after="20"/>
              <w:jc w:val="right"/>
            </w:pPr>
            <w:r>
              <w:rPr>
                <w:color w:val="1C3A36"/>
                <w:sz w:val="17"/>
              </w:rPr>
              <w:t>24.11</w:t>
            </w:r>
          </w:p>
        </w:tc>
      </w:tr>
      <w:tr>
        <w:tc>
          <w:tcPr>
            <w:tcW w:type="dxa" w:w="3384"/>
          </w:tcPr>
          <w:p>
            <w:pPr>
              <w:spacing w:after="20"/>
            </w:pPr>
            <w:r>
              <w:rPr>
                <w:color w:val="1C3A36"/>
                <w:sz w:val="17"/>
              </w:rPr>
              <w:t>15.33%</w:t>
            </w:r>
          </w:p>
        </w:tc>
        <w:tc>
          <w:tcPr>
            <w:tcW w:type="dxa" w:w="1224"/>
          </w:tcPr>
          <w:p>
            <w:pPr>
              <w:spacing w:after="20"/>
              <w:jc w:val="right"/>
            </w:pPr>
            <w:r>
              <w:rPr>
                <w:color w:val="1C3A36"/>
                <w:sz w:val="17"/>
              </w:rPr>
              <w:t>18.09</w:t>
            </w:r>
          </w:p>
        </w:tc>
        <w:tc>
          <w:tcPr>
            <w:tcW w:type="dxa" w:w="1224"/>
          </w:tcPr>
          <w:p>
            <w:pPr>
              <w:spacing w:after="20"/>
              <w:jc w:val="right"/>
            </w:pPr>
            <w:r>
              <w:rPr>
                <w:color w:val="1C3A36"/>
                <w:sz w:val="17"/>
              </w:rPr>
              <w:t>18.78</w:t>
            </w:r>
          </w:p>
        </w:tc>
        <w:tc>
          <w:tcPr>
            <w:tcW w:type="dxa" w:w="1224"/>
          </w:tcPr>
          <w:p>
            <w:pPr>
              <w:spacing w:after="20"/>
              <w:jc w:val="right"/>
            </w:pPr>
            <w:r>
              <w:rPr>
                <w:color w:val="1C3A36"/>
                <w:sz w:val="17"/>
              </w:rPr>
              <w:t>19.60</w:t>
            </w:r>
          </w:p>
        </w:tc>
        <w:tc>
          <w:tcPr>
            <w:tcW w:type="dxa" w:w="1224"/>
          </w:tcPr>
          <w:p>
            <w:pPr>
              <w:spacing w:after="20"/>
              <w:jc w:val="right"/>
            </w:pPr>
            <w:r>
              <w:rPr>
                <w:color w:val="1C3A36"/>
                <w:sz w:val="17"/>
              </w:rPr>
              <w:t>20.60</w:t>
            </w:r>
          </w:p>
        </w:tc>
        <w:tc>
          <w:tcPr>
            <w:tcW w:type="dxa" w:w="1224"/>
          </w:tcPr>
          <w:p>
            <w:pPr>
              <w:spacing w:after="20"/>
              <w:jc w:val="right"/>
            </w:pPr>
            <w:r>
              <w:rPr>
                <w:color w:val="1C3A36"/>
                <w:sz w:val="17"/>
              </w:rPr>
              <w:t>21.84</w:t>
            </w:r>
          </w:p>
        </w:tc>
      </w:tr>
      <w:tr>
        <w:tc>
          <w:tcPr>
            <w:tcW w:type="dxa" w:w="3384"/>
          </w:tcPr>
          <w:p>
            <w:pPr>
              <w:spacing w:after="20"/>
            </w:pPr>
            <w:r>
              <w:rPr>
                <w:color w:val="1C3A36"/>
                <w:sz w:val="17"/>
              </w:rPr>
              <w:t>16.33%</w:t>
            </w:r>
          </w:p>
        </w:tc>
        <w:tc>
          <w:tcPr>
            <w:tcW w:type="dxa" w:w="1224"/>
          </w:tcPr>
          <w:p>
            <w:pPr>
              <w:spacing w:after="20"/>
              <w:jc w:val="right"/>
            </w:pPr>
            <w:r>
              <w:rPr>
                <w:color w:val="1C3A36"/>
                <w:sz w:val="17"/>
              </w:rPr>
              <w:t>17.09</w:t>
            </w:r>
          </w:p>
        </w:tc>
        <w:tc>
          <w:tcPr>
            <w:tcW w:type="dxa" w:w="1224"/>
          </w:tcPr>
          <w:p>
            <w:pPr>
              <w:spacing w:after="20"/>
              <w:jc w:val="right"/>
            </w:pPr>
            <w:r>
              <w:rPr>
                <w:color w:val="1C3A36"/>
                <w:sz w:val="17"/>
              </w:rPr>
              <w:t>17.65</w:t>
            </w:r>
          </w:p>
        </w:tc>
        <w:tc>
          <w:tcPr>
            <w:tcW w:type="dxa" w:w="1224"/>
          </w:tcPr>
          <w:p>
            <w:pPr>
              <w:spacing w:after="20"/>
              <w:jc w:val="right"/>
            </w:pPr>
            <w:r>
              <w:rPr>
                <w:color w:val="1C3A36"/>
                <w:sz w:val="17"/>
              </w:rPr>
              <w:t>18.31</w:t>
            </w:r>
          </w:p>
        </w:tc>
        <w:tc>
          <w:tcPr>
            <w:tcW w:type="dxa" w:w="1224"/>
          </w:tcPr>
          <w:p>
            <w:pPr>
              <w:spacing w:after="20"/>
              <w:jc w:val="right"/>
            </w:pPr>
            <w:r>
              <w:rPr>
                <w:color w:val="1C3A36"/>
                <w:sz w:val="17"/>
              </w:rPr>
              <w:t>19.09</w:t>
            </w:r>
          </w:p>
        </w:tc>
        <w:tc>
          <w:tcPr>
            <w:tcW w:type="dxa" w:w="1224"/>
          </w:tcPr>
          <w:p>
            <w:pPr>
              <w:spacing w:after="20"/>
              <w:jc w:val="right"/>
            </w:pPr>
            <w:r>
              <w:rPr>
                <w:color w:val="1C3A36"/>
                <w:sz w:val="17"/>
              </w:rPr>
              <w:t>20.05</w:t>
            </w:r>
          </w:p>
        </w:tc>
      </w:tr>
      <w:tr>
        <w:tc>
          <w:tcPr>
            <w:tcW w:type="dxa" w:w="3384"/>
          </w:tcPr>
          <w:p>
            <w:pPr>
              <w:spacing w:after="20"/>
            </w:pPr>
            <w:r>
              <w:rPr>
                <w:color w:val="1C3A36"/>
                <w:sz w:val="17"/>
              </w:rPr>
              <w:t>17.33%</w:t>
            </w:r>
          </w:p>
        </w:tc>
        <w:tc>
          <w:tcPr>
            <w:tcW w:type="dxa" w:w="1224"/>
          </w:tcPr>
          <w:p>
            <w:pPr>
              <w:spacing w:after="20"/>
              <w:jc w:val="right"/>
            </w:pPr>
            <w:r>
              <w:rPr>
                <w:color w:val="1C3A36"/>
                <w:sz w:val="17"/>
              </w:rPr>
              <w:t>16.22</w:t>
            </w:r>
          </w:p>
        </w:tc>
        <w:tc>
          <w:tcPr>
            <w:tcW w:type="dxa" w:w="1224"/>
          </w:tcPr>
          <w:p>
            <w:pPr>
              <w:spacing w:after="20"/>
              <w:jc w:val="right"/>
            </w:pPr>
            <w:r>
              <w:rPr>
                <w:color w:val="1C3A36"/>
                <w:sz w:val="17"/>
              </w:rPr>
              <w:t>16.68</w:t>
            </w:r>
          </w:p>
        </w:tc>
        <w:tc>
          <w:tcPr>
            <w:tcW w:type="dxa" w:w="1224"/>
          </w:tcPr>
          <w:p>
            <w:pPr>
              <w:spacing w:after="20"/>
              <w:jc w:val="right"/>
            </w:pPr>
            <w:r>
              <w:rPr>
                <w:color w:val="1C3A36"/>
                <w:sz w:val="17"/>
              </w:rPr>
              <w:t>17.22</w:t>
            </w:r>
          </w:p>
        </w:tc>
        <w:tc>
          <w:tcPr>
            <w:tcW w:type="dxa" w:w="1224"/>
          </w:tcPr>
          <w:p>
            <w:pPr>
              <w:spacing w:after="20"/>
              <w:jc w:val="right"/>
            </w:pPr>
            <w:r>
              <w:rPr>
                <w:color w:val="1C3A36"/>
                <w:sz w:val="17"/>
              </w:rPr>
              <w:t>17.85</w:t>
            </w:r>
          </w:p>
        </w:tc>
        <w:tc>
          <w:tcPr>
            <w:tcW w:type="dxa" w:w="1224"/>
          </w:tcPr>
          <w:p>
            <w:pPr>
              <w:spacing w:after="20"/>
              <w:jc w:val="right"/>
            </w:pPr>
            <w:r>
              <w:rPr>
                <w:color w:val="1C3A36"/>
                <w:sz w:val="17"/>
              </w:rPr>
              <w:t>18.60</w:t>
            </w:r>
          </w:p>
        </w:tc>
      </w:tr>
      <w:tr>
        <w:tc>
          <w:tcPr>
            <w:tcW w:type="dxa" w:w="3384"/>
          </w:tcPr>
          <w:p>
            <w:pPr>
              <w:spacing w:after="20"/>
            </w:pPr>
            <w:r>
              <w:rPr>
                <w:color w:val="1C3A36"/>
                <w:sz w:val="17"/>
              </w:rPr>
              <w:t>18.33%</w:t>
            </w:r>
          </w:p>
        </w:tc>
        <w:tc>
          <w:tcPr>
            <w:tcW w:type="dxa" w:w="1224"/>
          </w:tcPr>
          <w:p>
            <w:pPr>
              <w:spacing w:after="20"/>
              <w:jc w:val="right"/>
            </w:pPr>
            <w:r>
              <w:rPr>
                <w:color w:val="1C3A36"/>
                <w:sz w:val="17"/>
              </w:rPr>
              <w:t>15.47</w:t>
            </w:r>
          </w:p>
        </w:tc>
        <w:tc>
          <w:tcPr>
            <w:tcW w:type="dxa" w:w="1224"/>
          </w:tcPr>
          <w:p>
            <w:pPr>
              <w:spacing w:after="20"/>
              <w:jc w:val="right"/>
            </w:pPr>
            <w:r>
              <w:rPr>
                <w:color w:val="1C3A36"/>
                <w:sz w:val="17"/>
              </w:rPr>
              <w:t>15.85</w:t>
            </w:r>
          </w:p>
        </w:tc>
        <w:tc>
          <w:tcPr>
            <w:tcW w:type="dxa" w:w="1224"/>
          </w:tcPr>
          <w:p>
            <w:pPr>
              <w:spacing w:after="20"/>
              <w:jc w:val="right"/>
            </w:pPr>
            <w:r>
              <w:rPr>
                <w:color w:val="1C3A36"/>
                <w:sz w:val="17"/>
              </w:rPr>
              <w:t>16.29</w:t>
            </w:r>
          </w:p>
        </w:tc>
        <w:tc>
          <w:tcPr>
            <w:tcW w:type="dxa" w:w="1224"/>
          </w:tcPr>
          <w:p>
            <w:pPr>
              <w:spacing w:after="20"/>
              <w:jc w:val="right"/>
            </w:pPr>
            <w:r>
              <w:rPr>
                <w:color w:val="1C3A36"/>
                <w:sz w:val="17"/>
              </w:rPr>
              <w:t>16.81</w:t>
            </w:r>
          </w:p>
        </w:tc>
        <w:tc>
          <w:tcPr>
            <w:tcW w:type="dxa" w:w="1224"/>
          </w:tcPr>
          <w:p>
            <w:pPr>
              <w:spacing w:after="20"/>
              <w:jc w:val="right"/>
            </w:pPr>
            <w:r>
              <w:rPr>
                <w:color w:val="1C3A36"/>
                <w:sz w:val="17"/>
              </w:rPr>
              <w:t>17.41</w:t>
            </w:r>
          </w:p>
        </w:tc>
      </w:tr>
    </w:tbl>
    <w:p>
      <w:pPr>
        <w:spacing w:after="40"/>
      </w:pPr>
    </w:p>
    <w:p>
      <w:pPr>
        <w:spacing w:after="200" w:before="0"/>
      </w:pPr>
      <w:r>
        <w:rPr>
          <w:b w:val="0"/>
          <w:i/>
          <w:color w:val="6E7B77"/>
          <w:sz w:val="17"/>
        </w:rPr>
        <w:t>Table 16 — the two terminal parameters moved together, cash-flow lens, EGP a share. The grid is flat in the growth direction and steep in the rate direction, which is the signature of a terminal block where reinvestment funds growth before crediting it. Not one cell in this grid reaches the market price.</w:t>
      </w:r>
    </w:p>
    <w:p>
      <w:pPr>
        <w:spacing w:after="120" w:before="0"/>
      </w:pPr>
      <w:r>
        <w:rPr>
          <w:b w:val="0"/>
          <w:i w:val="0"/>
          <w:color w:val="1C3A36"/>
          <w:sz w:val="21"/>
        </w:rPr>
        <w:t>The bear and bull columns of the cash-flow lens move only what this company's own audited filings have printed — the gross margin across its filed span and the tonnage across its own — and the macro path does not move with them. A previous edition also flexed the exchange-rate path, the cost of capital at both anchors and the terminal growth rate; all three carry the same Egyptian inflation, so its bull corner needed inflation to be high and low at the same time and its bear corner needed the mirror image. The width of a range built that way is a choice of dial settings rather than anything the world has shown. No probability attaches to either end.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1512"/>
        <w:gridCol w:w="1512"/>
        <w:gridCol w:w="1512"/>
      </w:tblGrid>
      <w:tr>
        <w:tc>
          <w:tcPr>
            <w:tcW w:type="dxa" w:w="4392"/>
            <w:shd w:val="clear" w:color="auto" w:fill="EAF0EE"/>
          </w:tcPr>
          <w:p>
            <w:pPr>
              <w:spacing w:after="20"/>
            </w:pPr>
            <w:r>
              <w:rPr>
                <w:b/>
                <w:color w:val="1C3A36"/>
                <w:sz w:val="17"/>
              </w:rPr>
              <w:t>Driver moved</w:t>
            </w:r>
          </w:p>
        </w:tc>
        <w:tc>
          <w:tcPr>
            <w:tcW w:type="dxa" w:w="1512"/>
            <w:shd w:val="clear" w:color="auto" w:fill="EAF0EE"/>
          </w:tcPr>
          <w:p>
            <w:pPr>
              <w:spacing w:after="20"/>
            </w:pPr>
            <w:r>
              <w:rPr>
                <w:b/>
                <w:color w:val="1C3A36"/>
                <w:sz w:val="17"/>
              </w:rPr>
              <w:t>Bear</w:t>
            </w:r>
          </w:p>
        </w:tc>
        <w:tc>
          <w:tcPr>
            <w:tcW w:type="dxa" w:w="1512"/>
            <w:shd w:val="clear" w:color="auto" w:fill="EAF0EE"/>
          </w:tcPr>
          <w:p>
            <w:pPr>
              <w:spacing w:after="20"/>
            </w:pPr>
            <w:r>
              <w:rPr>
                <w:b/>
                <w:color w:val="1C3A36"/>
                <w:sz w:val="17"/>
              </w:rPr>
              <w:t>Base</w:t>
            </w:r>
          </w:p>
        </w:tc>
        <w:tc>
          <w:tcPr>
            <w:tcW w:type="dxa" w:w="1512"/>
            <w:shd w:val="clear" w:color="auto" w:fill="EAF0EE"/>
          </w:tcPr>
          <w:p>
            <w:pPr>
              <w:spacing w:after="20"/>
            </w:pPr>
            <w:r>
              <w:rPr>
                <w:b/>
                <w:color w:val="1C3A36"/>
                <w:sz w:val="17"/>
              </w:rPr>
              <w:t>Bull</w:t>
            </w:r>
          </w:p>
        </w:tc>
      </w:tr>
      <w:tr>
        <w:tc>
          <w:tcPr>
            <w:tcW w:type="dxa" w:w="4392"/>
          </w:tcPr>
          <w:p>
            <w:pPr>
              <w:spacing w:after="20"/>
            </w:pPr>
            <w:r>
              <w:rPr>
                <w:color w:val="1C3A36"/>
                <w:sz w:val="17"/>
              </w:rPr>
              <w:t>Volume growth, percentage points a year added to the flat base path</w:t>
            </w:r>
          </w:p>
        </w:tc>
        <w:tc>
          <w:tcPr>
            <w:tcW w:type="dxa" w:w="1512"/>
          </w:tcPr>
          <w:p>
            <w:pPr>
              <w:spacing w:after="20"/>
              <w:jc w:val="right"/>
            </w:pPr>
            <w:r>
              <w:rPr>
                <w:color w:val="1C3A36"/>
                <w:sz w:val="17"/>
              </w:rPr>
              <w:t>-4.5%</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3.0%</w:t>
            </w:r>
          </w:p>
        </w:tc>
      </w:tr>
      <w:tr>
        <w:tc>
          <w:tcPr>
            <w:tcW w:type="dxa" w:w="4392"/>
          </w:tcPr>
          <w:p>
            <w:pPr>
              <w:spacing w:after="20"/>
            </w:pPr>
            <w:r>
              <w:rPr>
                <w:color w:val="1C3A36"/>
                <w:sz w:val="17"/>
              </w:rPr>
              <w:t>Gross margin, shifted on every forecast year</w:t>
            </w:r>
          </w:p>
        </w:tc>
        <w:tc>
          <w:tcPr>
            <w:tcW w:type="dxa" w:w="1512"/>
          </w:tcPr>
          <w:p>
            <w:pPr>
              <w:spacing w:after="20"/>
              <w:jc w:val="right"/>
            </w:pPr>
            <w:r>
              <w:rPr>
                <w:color w:val="1C3A36"/>
                <w:sz w:val="17"/>
              </w:rPr>
              <w:t>-4.6%</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4.2%</w:t>
            </w:r>
          </w:p>
        </w:tc>
      </w:tr>
      <w:tr>
        <w:tc>
          <w:tcPr>
            <w:tcW w:type="dxa" w:w="4392"/>
          </w:tcPr>
          <w:p>
            <w:pPr>
              <w:spacing w:after="20"/>
            </w:pPr>
            <w:r>
              <w:rPr>
                <w:color w:val="1C3A36"/>
                <w:sz w:val="17"/>
              </w:rPr>
              <w:t>Exchange-rate path, as a multiple of the assumed path</w:t>
            </w:r>
          </w:p>
        </w:tc>
        <w:tc>
          <w:tcPr>
            <w:tcW w:type="dxa" w:w="1512"/>
          </w:tcPr>
          <w:p>
            <w:pPr>
              <w:spacing w:after="20"/>
              <w:jc w:val="right"/>
            </w:pPr>
            <w:r>
              <w:rPr>
                <w:color w:val="1C3A36"/>
                <w:sz w:val="17"/>
              </w:rPr>
              <w:t>1.00x</w:t>
            </w:r>
          </w:p>
        </w:tc>
        <w:tc>
          <w:tcPr>
            <w:tcW w:type="dxa" w:w="1512"/>
          </w:tcPr>
          <w:p>
            <w:pPr>
              <w:spacing w:after="20"/>
              <w:jc w:val="right"/>
            </w:pPr>
            <w:r>
              <w:rPr>
                <w:color w:val="1C3A36"/>
                <w:sz w:val="17"/>
              </w:rPr>
              <w:t>1.00x</w:t>
            </w:r>
          </w:p>
        </w:tc>
        <w:tc>
          <w:tcPr>
            <w:tcW w:type="dxa" w:w="1512"/>
          </w:tcPr>
          <w:p>
            <w:pPr>
              <w:spacing w:after="20"/>
              <w:jc w:val="right"/>
            </w:pPr>
            <w:r>
              <w:rPr>
                <w:color w:val="1C3A36"/>
                <w:sz w:val="17"/>
              </w:rPr>
              <w:t>1.00x</w:t>
            </w:r>
          </w:p>
        </w:tc>
      </w:tr>
      <w:tr>
        <w:tc>
          <w:tcPr>
            <w:tcW w:type="dxa" w:w="4392"/>
          </w:tcPr>
          <w:p>
            <w:pPr>
              <w:spacing w:after="20"/>
            </w:pPr>
            <w:r>
              <w:rPr>
                <w:color w:val="1C3A36"/>
                <w:sz w:val="17"/>
              </w:rPr>
              <w:t>Cost of capital, shifted at BOTH the explicit and terminal anchors</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0.0%</w:t>
            </w:r>
          </w:p>
        </w:tc>
      </w:tr>
      <w:tr>
        <w:tc>
          <w:tcPr>
            <w:tcW w:type="dxa" w:w="4392"/>
          </w:tcPr>
          <w:p>
            <w:pPr>
              <w:spacing w:after="20"/>
            </w:pPr>
            <w:r>
              <w:rPr>
                <w:color w:val="1C3A36"/>
                <w:sz w:val="17"/>
              </w:rPr>
              <w:t>RESULTING FAIR VALUE, cash-flow lens</w:t>
            </w:r>
          </w:p>
        </w:tc>
        <w:tc>
          <w:tcPr>
            <w:tcW w:type="dxa" w:w="1512"/>
          </w:tcPr>
          <w:p>
            <w:pPr>
              <w:spacing w:after="20"/>
              <w:jc w:val="right"/>
            </w:pPr>
            <w:r>
              <w:rPr>
                <w:color w:val="1C3A36"/>
                <w:sz w:val="17"/>
              </w:rPr>
              <w:t>1.66</w:t>
            </w:r>
          </w:p>
        </w:tc>
        <w:tc>
          <w:tcPr>
            <w:tcW w:type="dxa" w:w="1512"/>
          </w:tcPr>
          <w:p>
            <w:pPr>
              <w:spacing w:after="20"/>
              <w:jc w:val="right"/>
            </w:pPr>
            <w:r>
              <w:rPr>
                <w:color w:val="1C3A36"/>
                <w:sz w:val="17"/>
              </w:rPr>
              <w:t>20.05</w:t>
            </w:r>
          </w:p>
        </w:tc>
        <w:tc>
          <w:tcPr>
            <w:tcW w:type="dxa" w:w="1512"/>
          </w:tcPr>
          <w:p>
            <w:pPr>
              <w:spacing w:after="20"/>
              <w:jc w:val="right"/>
            </w:pPr>
            <w:r>
              <w:rPr>
                <w:color w:val="1C3A36"/>
                <w:sz w:val="17"/>
              </w:rPr>
              <w:t>27.52</w:t>
            </w:r>
          </w:p>
        </w:tc>
      </w:tr>
    </w:tbl>
    <w:p>
      <w:pPr>
        <w:spacing w:after="40"/>
      </w:pPr>
    </w:p>
    <w:p>
      <w:pPr>
        <w:spacing w:after="200" w:before="0"/>
      </w:pPr>
      <w:r>
        <w:rPr>
          <w:b w:val="0"/>
          <w:i/>
          <w:color w:val="6E7B77"/>
          <w:sz w:val="17"/>
        </w:rPr>
        <w:t>Table 17 — what the bear and bull columns actually move. The previous edition published a 6.2x headline span whose driver set was stated nowhere in the study or the workbook, so it could not be reproduced or falsified. It is stated here.</w:t>
      </w:r>
    </w:p>
    <w:p>
      <w:pPr>
        <w:spacing w:after="80" w:before="200"/>
      </w:pPr>
      <w:r>
        <w:rPr>
          <w:b/>
          <w:i w:val="0"/>
          <w:color w:val="1C3A36"/>
          <w:sz w:val="24"/>
        </w:rPr>
        <w:t>1.12  The three cross-check lenses</w:t>
      </w:r>
    </w:p>
    <w:p>
      <w:pPr>
        <w:spacing w:after="120" w:before="0"/>
      </w:pPr>
      <w:r>
        <w:rPr>
          <w:b w:val="0"/>
          <w:i w:val="0"/>
          <w:color w:val="1C3A36"/>
          <w:sz w:val="21"/>
        </w:rPr>
        <w:t>RELATIVE MULTIPLES. The company’s own trailing multiple is 4.89 times enterprise value to EBITDA and 10.6 times earnings. The justified multiple is DERIVED from it at a zero re-rating rather than set by hand, so the lens borrows nothing from the cash-flow lens — no discount factor and no interim add-back, both of which the previous construction took from lens 1 and which every reviewer objected to. At 4.89 times TRAILING EBITDA through the same bridge: EGP 12.59. This is the lens closest to the price, and what remains of the gap is almost entirely the bridge — which is exactly what this lens is now for. At the market’s own multiple, the price pays full value for the operations and then ignores the provision and the declared dividend.</w:t>
      </w:r>
    </w:p>
    <w:p>
      <w:pPr>
        <w:spacing w:after="120" w:before="0"/>
      </w:pPr>
      <w:r>
        <w:rPr>
          <w:b w:val="0"/>
          <w:i w:val="0"/>
          <w:color w:val="1C3A36"/>
          <w:sz w:val="21"/>
        </w:rPr>
        <w:t>NORMALISED EARNINGS POWER. 2028E OPERATING profit only, taxed at the statutory 22.5%, after the employees’ share and the minority: EGP 2.775 a share. At 7.5 times that is a MID-2028 value, so it is discounted 2.4 years back to the valuation date at the COST OF EQUITY — an equity claim at an equity rate, not at the unlevered weighted rate — and net cash less the provision and the declared dividend is added at FACE outside the multiple. Result EGP 12.98. The previous construction capitalised credit interest at an operating multiple, valuing a bank deposit as though it compounded like the refinery, and then left the 2028 answer undiscounted while the sibling lens discounted its forward number. One lens discounted and the other did not; both are now on the valuation date.</w:t>
      </w:r>
    </w:p>
    <w:p>
      <w:pPr>
        <w:spacing w:after="120" w:before="0"/>
      </w:pPr>
      <w:r>
        <w:rPr>
          <w:b w:val="0"/>
          <w:i w:val="0"/>
          <w:color w:val="1C3A36"/>
          <w:sz w:val="21"/>
        </w:rPr>
        <w:t>BOOK VALUE AND SUSTAINABLE RETURN. Justified price-to-book of 1.43 times = (sustainable return 28% less growth) over (cost of equity 21.70% less growth), on book value of EGP 4.70: EGP 6.71. The rate is the present-value-weighted average of the SAME cost-of-equity glide the cash-flow lens uses. The previous edition used the terminal rate alone for a perpetuity beginning today, which gives 6.06; the explicit rate alone gives 3.75; a perpetuity starting now deserves neither endpoint. The sustainable return is struck below the trailing 28.9% because the asset base is 67.4% written down.</w:t>
      </w:r>
    </w:p>
    <w:p>
      <w:pPr>
        <w:spacing w:after="80" w:before="200"/>
      </w:pPr>
      <w:r>
        <w:rPr>
          <w:b/>
          <w:i w:val="0"/>
          <w:color w:val="1C3A36"/>
          <w:sz w:val="24"/>
        </w:rPr>
        <w:t>1.13  Contested choices, computed rather than argued</w:t>
      </w:r>
    </w:p>
    <w:p>
      <w:pPr>
        <w:spacing w:after="120" w:before="0"/>
      </w:pPr>
      <w:r>
        <w:rPr>
          <w:b w:val="0"/>
          <w:i w:val="0"/>
          <w:color w:val="1C3A36"/>
          <w:sz w:val="21"/>
        </w:rPr>
        <w:t>A gap of this size should not survive its own contested judgements, so the study gives them all back. Each row below removes one charge a critic could dispute; the last row removes all of them at once. Every row is a complete re-run of the whole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24"/>
        <w:gridCol w:w="1224"/>
        <w:gridCol w:w="4320"/>
      </w:tblGrid>
      <w:tr>
        <w:tc>
          <w:tcPr>
            <w:tcW w:type="dxa" w:w="3168"/>
            <w:shd w:val="clear" w:color="auto" w:fill="EAF0EE"/>
          </w:tcPr>
          <w:p>
            <w:pPr>
              <w:spacing w:after="20"/>
            </w:pPr>
            <w:r>
              <w:rPr>
                <w:b/>
                <w:color w:val="1C3A36"/>
                <w:sz w:val="17"/>
              </w:rPr>
              <w:t>Give-back</w:t>
            </w:r>
          </w:p>
        </w:tc>
        <w:tc>
          <w:tcPr>
            <w:tcW w:type="dxa" w:w="1224"/>
            <w:shd w:val="clear" w:color="auto" w:fill="EAF0EE"/>
          </w:tcPr>
          <w:p>
            <w:pPr>
              <w:spacing w:after="20"/>
            </w:pPr>
            <w:r>
              <w:rPr>
                <w:b/>
                <w:color w:val="1C3A36"/>
                <w:sz w:val="17"/>
              </w:rPr>
              <w:t>Central</w:t>
            </w:r>
          </w:p>
        </w:tc>
        <w:tc>
          <w:tcPr>
            <w:tcW w:type="dxa" w:w="1224"/>
            <w:shd w:val="clear" w:color="auto" w:fill="EAF0EE"/>
          </w:tcPr>
          <w:p>
            <w:pPr>
              <w:spacing w:after="20"/>
            </w:pPr>
            <w:r>
              <w:rPr>
                <w:b/>
                <w:color w:val="1C3A36"/>
                <w:sz w:val="17"/>
              </w:rPr>
              <w:t>vs price</w:t>
            </w:r>
          </w:p>
        </w:tc>
        <w:tc>
          <w:tcPr>
            <w:tcW w:type="dxa" w:w="4320"/>
            <w:shd w:val="clear" w:color="auto" w:fill="EAF0EE"/>
          </w:tcPr>
          <w:p>
            <w:pPr>
              <w:spacing w:after="20"/>
            </w:pPr>
            <w:r>
              <w:rPr>
                <w:b/>
                <w:color w:val="1C3A36"/>
                <w:sz w:val="17"/>
              </w:rPr>
              <w:t>What is being conceded</w:t>
            </w:r>
          </w:p>
        </w:tc>
      </w:tr>
      <w:tr>
        <w:tc>
          <w:tcPr>
            <w:tcW w:type="dxa" w:w="3168"/>
          </w:tcPr>
          <w:p>
            <w:pPr>
              <w:spacing w:after="20"/>
            </w:pPr>
            <w:r>
              <w:rPr>
                <w:color w:val="1C3A36"/>
                <w:sz w:val="17"/>
              </w:rPr>
              <w:t>None — as published</w:t>
            </w:r>
          </w:p>
        </w:tc>
        <w:tc>
          <w:tcPr>
            <w:tcW w:type="dxa" w:w="1224"/>
          </w:tcPr>
          <w:p>
            <w:pPr>
              <w:spacing w:after="20"/>
              <w:jc w:val="right"/>
            </w:pPr>
            <w:r>
              <w:rPr>
                <w:color w:val="1C3A36"/>
                <w:sz w:val="17"/>
              </w:rPr>
              <w:t>20.05</w:t>
            </w:r>
          </w:p>
        </w:tc>
        <w:tc>
          <w:tcPr>
            <w:tcW w:type="dxa" w:w="1224"/>
          </w:tcPr>
          <w:p>
            <w:pPr>
              <w:spacing w:after="20"/>
              <w:jc w:val="right"/>
            </w:pPr>
            <w:r>
              <w:rPr>
                <w:color w:val="1C3A36"/>
                <w:sz w:val="17"/>
              </w:rPr>
              <w:t>48.5%</w:t>
            </w:r>
          </w:p>
        </w:tc>
        <w:tc>
          <w:tcPr>
            <w:tcW w:type="dxa" w:w="4320"/>
          </w:tcPr>
          <w:p>
            <w:pPr>
              <w:spacing w:after="20"/>
            </w:pPr>
            <w:r>
              <w:rPr>
                <w:color w:val="1C3A36"/>
                <w:sz w:val="17"/>
              </w:rPr>
              <w:t>the study’s own reading</w:t>
            </w:r>
          </w:p>
        </w:tc>
      </w:tr>
      <w:tr>
        <w:tc>
          <w:tcPr>
            <w:tcW w:type="dxa" w:w="3168"/>
          </w:tcPr>
          <w:p>
            <w:pPr>
              <w:spacing w:after="20"/>
            </w:pPr>
            <w:r>
              <w:rPr>
                <w:color w:val="1C3A36"/>
                <w:sz w:val="17"/>
              </w:rPr>
              <w:t>Tax provision costs nothing</w:t>
            </w:r>
          </w:p>
        </w:tc>
        <w:tc>
          <w:tcPr>
            <w:tcW w:type="dxa" w:w="1224"/>
          </w:tcPr>
          <w:p>
            <w:pPr>
              <w:spacing w:after="20"/>
              <w:jc w:val="right"/>
            </w:pPr>
            <w:r>
              <w:rPr>
                <w:color w:val="1C3A36"/>
                <w:sz w:val="17"/>
              </w:rPr>
              <w:t>20.82</w:t>
            </w:r>
          </w:p>
        </w:tc>
        <w:tc>
          <w:tcPr>
            <w:tcW w:type="dxa" w:w="1224"/>
          </w:tcPr>
          <w:p>
            <w:pPr>
              <w:spacing w:after="20"/>
              <w:jc w:val="right"/>
            </w:pPr>
            <w:r>
              <w:rPr>
                <w:color w:val="1C3A36"/>
                <w:sz w:val="17"/>
              </w:rPr>
              <w:t>54.2%</w:t>
            </w:r>
          </w:p>
        </w:tc>
        <w:tc>
          <w:tcPr>
            <w:tcW w:type="dxa" w:w="4320"/>
          </w:tcPr>
          <w:p>
            <w:pPr>
              <w:spacing w:after="20"/>
            </w:pPr>
            <w:r>
              <w:rPr>
                <w:color w:val="1C3A36"/>
                <w:sz w:val="17"/>
              </w:rPr>
              <w:t>EGP 997mn recognised in note 10-1 settles for zero</w:t>
            </w:r>
          </w:p>
        </w:tc>
      </w:tr>
      <w:tr>
        <w:tc>
          <w:tcPr>
            <w:tcW w:type="dxa" w:w="3168"/>
          </w:tcPr>
          <w:p>
            <w:pPr>
              <w:spacing w:after="20"/>
            </w:pPr>
            <w:r>
              <w:rPr>
                <w:color w:val="1C3A36"/>
                <w:sz w:val="17"/>
              </w:rPr>
              <w:t>Declared dividend is not a claim</w:t>
            </w:r>
          </w:p>
        </w:tc>
        <w:tc>
          <w:tcPr>
            <w:tcW w:type="dxa" w:w="1224"/>
          </w:tcPr>
          <w:p>
            <w:pPr>
              <w:spacing w:after="20"/>
              <w:jc w:val="right"/>
            </w:pPr>
            <w:r>
              <w:rPr>
                <w:color w:val="1C3A36"/>
                <w:sz w:val="17"/>
              </w:rPr>
              <w:t>20.25</w:t>
            </w:r>
          </w:p>
        </w:tc>
        <w:tc>
          <w:tcPr>
            <w:tcW w:type="dxa" w:w="1224"/>
          </w:tcPr>
          <w:p>
            <w:pPr>
              <w:spacing w:after="20"/>
              <w:jc w:val="right"/>
            </w:pPr>
            <w:r>
              <w:rPr>
                <w:color w:val="1C3A36"/>
                <w:sz w:val="17"/>
              </w:rPr>
              <w:t>50.0%</w:t>
            </w:r>
          </w:p>
        </w:tc>
        <w:tc>
          <w:tcPr>
            <w:tcW w:type="dxa" w:w="4320"/>
          </w:tcPr>
          <w:p>
            <w:pPr>
              <w:spacing w:after="20"/>
            </w:pPr>
            <w:r>
              <w:rPr>
                <w:color w:val="1C3A36"/>
                <w:sz w:val="17"/>
              </w:rPr>
              <w:t>EGP 258mn payable in note 11 never leaves</w:t>
            </w:r>
          </w:p>
        </w:tc>
      </w:tr>
      <w:tr>
        <w:tc>
          <w:tcPr>
            <w:tcW w:type="dxa" w:w="3168"/>
          </w:tcPr>
          <w:p>
            <w:pPr>
              <w:spacing w:after="20"/>
            </w:pPr>
            <w:r>
              <w:rPr>
                <w:color w:val="1C3A36"/>
                <w:sz w:val="17"/>
              </w:rPr>
              <w:t>Employees’ profit share is free</w:t>
            </w:r>
          </w:p>
        </w:tc>
        <w:tc>
          <w:tcPr>
            <w:tcW w:type="dxa" w:w="1224"/>
          </w:tcPr>
          <w:p>
            <w:pPr>
              <w:spacing w:after="20"/>
              <w:jc w:val="right"/>
            </w:pPr>
            <w:r>
              <w:rPr>
                <w:color w:val="1C3A36"/>
                <w:sz w:val="17"/>
              </w:rPr>
              <w:t>20.38</w:t>
            </w:r>
          </w:p>
        </w:tc>
        <w:tc>
          <w:tcPr>
            <w:tcW w:type="dxa" w:w="1224"/>
          </w:tcPr>
          <w:p>
            <w:pPr>
              <w:spacing w:after="20"/>
              <w:jc w:val="right"/>
            </w:pPr>
            <w:r>
              <w:rPr>
                <w:color w:val="1C3A36"/>
                <w:sz w:val="17"/>
              </w:rPr>
              <w:t>51.0%</w:t>
            </w:r>
          </w:p>
        </w:tc>
        <w:tc>
          <w:tcPr>
            <w:tcW w:type="dxa" w:w="4320"/>
          </w:tcPr>
          <w:p>
            <w:pPr>
              <w:spacing w:after="20"/>
            </w:pPr>
            <w:r>
              <w:rPr>
                <w:color w:val="1C3A36"/>
                <w:sz w:val="17"/>
              </w:rPr>
              <w:t>the 5.2% statutory appropriation is never paid</w:t>
            </w:r>
          </w:p>
        </w:tc>
      </w:tr>
      <w:tr>
        <w:tc>
          <w:tcPr>
            <w:tcW w:type="dxa" w:w="3168"/>
          </w:tcPr>
          <w:p>
            <w:pPr>
              <w:spacing w:after="20"/>
            </w:pPr>
            <w:r>
              <w:rPr>
                <w:color w:val="1C3A36"/>
                <w:sz w:val="17"/>
              </w:rPr>
              <w:t>Terminal rate on the 2028 target</w:t>
            </w:r>
          </w:p>
        </w:tc>
        <w:tc>
          <w:tcPr>
            <w:tcW w:type="dxa" w:w="1224"/>
          </w:tcPr>
          <w:p>
            <w:pPr>
              <w:spacing w:after="20"/>
              <w:jc w:val="right"/>
            </w:pPr>
            <w:r>
              <w:rPr>
                <w:color w:val="1C3A36"/>
                <w:sz w:val="17"/>
              </w:rPr>
              <w:t>18.31</w:t>
            </w:r>
          </w:p>
        </w:tc>
        <w:tc>
          <w:tcPr>
            <w:tcW w:type="dxa" w:w="1224"/>
          </w:tcPr>
          <w:p>
            <w:pPr>
              <w:spacing w:after="20"/>
              <w:jc w:val="right"/>
            </w:pPr>
            <w:r>
              <w:rPr>
                <w:color w:val="1C3A36"/>
                <w:sz w:val="17"/>
              </w:rPr>
              <w:t>35.6%</w:t>
            </w:r>
          </w:p>
        </w:tc>
        <w:tc>
          <w:tcPr>
            <w:tcW w:type="dxa" w:w="4320"/>
          </w:tcPr>
          <w:p>
            <w:pPr>
              <w:spacing w:after="20"/>
            </w:pPr>
            <w:r>
              <w:rPr>
                <w:color w:val="1C3A36"/>
                <w:sz w:val="17"/>
              </w:rPr>
              <w:t>the softer 5% target replaces the 7% target in force</w:t>
            </w:r>
          </w:p>
        </w:tc>
      </w:tr>
      <w:tr>
        <w:tc>
          <w:tcPr>
            <w:tcW w:type="dxa" w:w="3168"/>
          </w:tcPr>
          <w:p>
            <w:pPr>
              <w:spacing w:after="20"/>
            </w:pPr>
            <w:r>
              <w:rPr>
                <w:color w:val="1C3A36"/>
                <w:sz w:val="17"/>
              </w:rPr>
              <w:t>Effective instead of statutory tax</w:t>
            </w:r>
          </w:p>
        </w:tc>
        <w:tc>
          <w:tcPr>
            <w:tcW w:type="dxa" w:w="1224"/>
          </w:tcPr>
          <w:p>
            <w:pPr>
              <w:spacing w:after="20"/>
              <w:jc w:val="right"/>
            </w:pPr>
            <w:r>
              <w:rPr>
                <w:color w:val="1C3A36"/>
                <w:sz w:val="17"/>
              </w:rPr>
              <w:t>20.05</w:t>
            </w:r>
          </w:p>
        </w:tc>
        <w:tc>
          <w:tcPr>
            <w:tcW w:type="dxa" w:w="1224"/>
          </w:tcPr>
          <w:p>
            <w:pPr>
              <w:spacing w:after="20"/>
              <w:jc w:val="right"/>
            </w:pPr>
            <w:r>
              <w:rPr>
                <w:color w:val="1C3A36"/>
                <w:sz w:val="17"/>
              </w:rPr>
              <w:t>48.5%</w:t>
            </w:r>
          </w:p>
        </w:tc>
        <w:tc>
          <w:tcPr>
            <w:tcW w:type="dxa" w:w="4320"/>
          </w:tcPr>
          <w:p>
            <w:pPr>
              <w:spacing w:after="20"/>
            </w:pPr>
            <w:r>
              <w:rPr>
                <w:color w:val="1C3A36"/>
                <w:sz w:val="17"/>
              </w:rPr>
              <w:t>operating profit taxed at the interest-flattered 22.12%</w:t>
            </w:r>
          </w:p>
        </w:tc>
      </w:tr>
      <w:tr>
        <w:tc>
          <w:tcPr>
            <w:tcW w:type="dxa" w:w="3168"/>
            <w:shd w:val="clear" w:color="auto" w:fill="F6F1E6"/>
          </w:tcPr>
          <w:p>
            <w:pPr>
              <w:spacing w:after="20"/>
            </w:pPr>
            <w:r>
              <w:rPr>
                <w:b/>
                <w:color w:val="1C3A36"/>
                <w:sz w:val="17"/>
              </w:rPr>
              <w:t>ALL OF THE ABOVE AT ONCE</w:t>
            </w:r>
          </w:p>
        </w:tc>
        <w:tc>
          <w:tcPr>
            <w:tcW w:type="dxa" w:w="1224"/>
            <w:shd w:val="clear" w:color="auto" w:fill="F6F1E6"/>
          </w:tcPr>
          <w:p>
            <w:pPr>
              <w:spacing w:after="20"/>
              <w:jc w:val="right"/>
            </w:pPr>
            <w:r>
              <w:rPr>
                <w:b/>
                <w:color w:val="1C3A36"/>
                <w:sz w:val="17"/>
              </w:rPr>
              <w:t>21.65</w:t>
            </w:r>
          </w:p>
        </w:tc>
        <w:tc>
          <w:tcPr>
            <w:tcW w:type="dxa" w:w="1224"/>
            <w:shd w:val="clear" w:color="auto" w:fill="F6F1E6"/>
          </w:tcPr>
          <w:p>
            <w:pPr>
              <w:spacing w:after="20"/>
              <w:jc w:val="right"/>
            </w:pPr>
            <w:r>
              <w:rPr>
                <w:b/>
                <w:color w:val="1C3A36"/>
                <w:sz w:val="17"/>
              </w:rPr>
              <w:t>60.4%</w:t>
            </w:r>
          </w:p>
        </w:tc>
        <w:tc>
          <w:tcPr>
            <w:tcW w:type="dxa" w:w="4320"/>
            <w:shd w:val="clear" w:color="auto" w:fill="F6F1E6"/>
          </w:tcPr>
          <w:p>
            <w:pPr>
              <w:spacing w:after="20"/>
            </w:pPr>
            <w:r>
              <w:rPr>
                <w:b/>
                <w:color w:val="1C3A36"/>
                <w:sz w:val="17"/>
              </w:rPr>
              <w:t>every contested charge conceded simultaneously</w:t>
            </w:r>
          </w:p>
        </w:tc>
      </w:tr>
    </w:tbl>
    <w:p>
      <w:pPr>
        <w:spacing w:after="40"/>
      </w:pPr>
    </w:p>
    <w:p>
      <w:pPr>
        <w:spacing w:after="200" w:before="0"/>
      </w:pPr>
      <w:r>
        <w:rPr>
          <w:b w:val="0"/>
          <w:i/>
          <w:color w:val="6E7B77"/>
          <w:sz w:val="17"/>
        </w:rPr>
        <w:t>Table 18 — the adversarial stack. Concede every contested charge at once and the cash-flow lens reaches EGP 21.65, 60.4% above the market price of EGP 13.50.</w:t>
      </w:r>
    </w:p>
    <w:p>
      <w:pPr>
        <w:spacing w:after="40"/>
        <w:jc w:val="center"/>
      </w:pPr>
      <w:r>
        <w:drawing>
          <wp:inline xmlns:a="http://schemas.openxmlformats.org/drawingml/2006/main" xmlns:pic="http://schemas.openxmlformats.org/drawingml/2006/picture">
            <wp:extent cx="6309360" cy="2557849"/>
            <wp:docPr id="4" name="Picture 4"/>
            <wp:cNvGraphicFramePr>
              <a:graphicFrameLocks noChangeAspect="1"/>
            </wp:cNvGraphicFramePr>
            <a:graphic>
              <a:graphicData uri="http://schemas.openxmlformats.org/drawingml/2006/picture">
                <pic:pic>
                  <pic:nvPicPr>
                    <pic:cNvPr id="0" name="fig4_adversarial.png"/>
                    <pic:cNvPicPr/>
                  </pic:nvPicPr>
                  <pic:blipFill>
                    <a:blip r:embed="rId12"/>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4 — the same stack drawn. Every concession moves the answer further above the price rather than toward it, which is what makes this table adversarial in the direction that matters: the case against this valuation is not that it has been generous.</w:t>
      </w:r>
    </w:p>
    <w:p>
      <w:pPr>
        <w:spacing w:after="120" w:before="0"/>
      </w:pPr>
      <w:r>
        <w:rPr>
          <w:b w:val="0"/>
          <w:i w:val="0"/>
          <w:color w:val="1C3A36"/>
          <w:sz w:val="21"/>
        </w:rPr>
        <w:t>Two further contested choices are computed rather than conceded. On the RATING-BASIS equity risk premium instead of the CDS basis, the cash-flow lens is EGP 15.24; two independent reviewers reached for that column, so it is promoted here rather than buried. And discounting the export leg in DOLLARS at a dollar cost of capital before translating back — rather than discounting a pound cash flow already inflated by the depreciation path at a dollar rate, which would count the currency benefit twice — gives EGP 20.55. Both are above the market price.</w:t>
      </w:r>
    </w:p>
    <w:p>
      <w:pPr>
        <w:spacing w:after="120" w:before="0"/>
      </w:pPr>
      <w:r>
        <w:rPr>
          <w:b w:val="0"/>
          <w:i w:val="0"/>
          <w:color w:val="1C3A36"/>
          <w:sz w:val="21"/>
        </w:rPr>
        <w:t>What survives the give-backs is the part of the verdict that cannot be negotiated away by accounting choices: a pass-through processor earning a 9.7% gross margin, discounted at an Egyptian cost of equity of 27.4% falling to 16.8%, is worth more than EGP 13.50 a share on any internally consistent arithmetic this study can construct.</w:t>
      </w:r>
    </w:p>
    <w:p>
      <w:pPr>
        <w:spacing w:after="80" w:before="200"/>
      </w:pPr>
      <w:r>
        <w:rPr>
          <w:b/>
          <w:i w:val="0"/>
          <w:color w:val="1C3A36"/>
          <w:sz w:val="24"/>
        </w:rPr>
        <w:t>1.14  What a buyer at EGP 13.50 must believe</w:t>
      </w:r>
    </w:p>
    <w:p>
      <w:pPr>
        <w:spacing w:after="120" w:before="0"/>
      </w:pPr>
      <w:r>
        <w:rPr>
          <w:b w:val="0"/>
          <w:i w:val="0"/>
          <w:color w:val="1C3A36"/>
          <w:sz w:val="21"/>
        </w:rPr>
        <w:t>The model is inverted at the market price rather than argued with. Every other driver is held at its published value and the gross margin is solved for.</w:t>
      </w:r>
    </w:p>
    <w:p>
      <w:pPr>
        <w:pStyle w:val="ListBullet"/>
        <w:spacing w:after="60"/>
      </w:pPr>
      <w:r>
        <w:rPr>
          <w:b/>
          <w:color w:val="1C3A36"/>
          <w:sz w:val="21"/>
        </w:rPr>
        <w:t xml:space="preserve">AS MARGIN — </w:t>
      </w:r>
      <w:r>
        <w:rPr>
          <w:color w:val="1C3A36"/>
          <w:sz w:val="21"/>
        </w:rPr>
        <w:t>a gross margin of 9.90% sustained in EVERY forecast year and in perpetuity, against a base year of 9.65% — that is a REDUCTION of -0.25% from what the company has just filed, not an increase;</w:t>
      </w:r>
    </w:p>
    <w:p>
      <w:pPr>
        <w:pStyle w:val="ListBullet"/>
        <w:spacing w:after="60"/>
      </w:pPr>
      <w:r>
        <w:rPr>
          <w:b/>
          <w:color w:val="1C3A36"/>
          <w:sz w:val="21"/>
        </w:rPr>
        <w:t xml:space="preserve">AGAINST THE RECORD — </w:t>
      </w:r>
      <w:r>
        <w:rPr>
          <w:color w:val="1C3A36"/>
          <w:sz w:val="21"/>
        </w:rPr>
        <w:t>the filed record puts that requirement well inside the range: 13.84% for the whole year to June 2022, 12.43% for the half to June 2026 and 13.92% for the June 2026 quarter alone;</w:t>
      </w:r>
    </w:p>
    <w:p>
      <w:pPr>
        <w:pStyle w:val="ListBullet"/>
        <w:spacing w:after="60"/>
      </w:pPr>
      <w:r>
        <w:rPr>
          <w:b/>
          <w:color w:val="1C3A36"/>
          <w:sz w:val="21"/>
        </w:rPr>
        <w:t xml:space="preserve">WHAT THAT MEANS — </w:t>
      </w:r>
      <w:r>
        <w:rPr>
          <w:color w:val="1C3A36"/>
          <w:sz w:val="21"/>
        </w:rPr>
        <w:t>so the price does not require a re-rating, a capacity addition or a change in the business. It requires the company to hold slightly less margin than it is holding now.</w:t>
      </w:r>
    </w:p>
    <w:p>
      <w:pPr>
        <w:spacing w:after="120" w:before="0"/>
      </w:pPr>
      <w:r>
        <w:rPr>
          <w:b w:val="0"/>
          <w:i w:val="0"/>
          <w:color w:val="1C3A36"/>
          <w:sz w:val="21"/>
        </w:rPr>
        <w:t>THE PREVIOUS EDITION OF THIS STUDY PUT THIS FIGURE AT A PERMANENT 12.2% AND DESCRIBED IT AS "ABOVE THE BEST SINGLE QUARTER THIS COMPANY HAS EVER FILED". Both halves of that sentence were wrong. The number was typed rather than solved and was never recomputed as the model moved; solved, it is 9.90%. And the company had already filed 13.84% for a full year and 13.92% for a quarter. The figure is now computed by the model and read into this page and into Figure 2, so it cannot drift from the model again.</w:t>
      </w:r>
    </w:p>
    <w:p>
      <w:pPr>
        <w:spacing w:after="120" w:before="280"/>
      </w:pPr>
      <w:r>
        <w:rPr>
          <w:b/>
          <w:i w:val="0"/>
          <w:color w:val="1C3A36"/>
          <w:sz w:val="30"/>
        </w:rPr>
        <w:t>2  The price record</w:t>
      </w:r>
    </w:p>
    <w:p>
      <w:pPr>
        <w:spacing w:after="120" w:before="0"/>
      </w:pPr>
      <w:r>
        <w:rPr>
          <w:b w:val="0"/>
          <w:i w:val="0"/>
          <w:color w:val="1C3A36"/>
          <w:sz w:val="21"/>
        </w:rPr>
        <w:t>The price series runs from 2011-01-02 to 2026-08-06 — 15.6 years, 3,755 raw rows reduced to 3,754 clean sessions at 240.8 sessions a year. One row was dropped: dropped 1 rows carrying a non-positive or non-finite OHLC value (2013-05-07) — vendor fills, not tradeable prices. The largest single-session move in the whole record is 0.1813 in logs, inside the exchange’s daily limit — the up-limit is ln(1.20) = 0.18232 and the down-limit is |ln(0.80)| = 0.22314, and the two are tested separately because a ±20% price band is asymmetric in logs. 9.6% of sessions closed unchanged.</w:t>
      </w:r>
    </w:p>
    <w:p>
      <w:pPr>
        <w:spacing w:after="120" w:before="280"/>
      </w:pPr>
      <w:r>
        <w:rPr>
          <w:b/>
          <w:i w:val="0"/>
          <w:color w:val="1C3A36"/>
          <w:sz w:val="30"/>
        </w:rPr>
        <w:t>3  Where the price could trade</w:t>
      </w:r>
    </w:p>
    <w:p>
      <w:pPr>
        <w:spacing w:after="120" w:before="0"/>
      </w:pPr>
      <w:r>
        <w:rPr>
          <w:b w:val="0"/>
          <w:i w:val="0"/>
          <w:color w:val="1C3A36"/>
          <w:sz w:val="21"/>
        </w:rPr>
        <w:t>A calibrated Monte-Carlo cone, carry-anchored YZ-HAR-t, 50,000 paths, seed 42, ν = 5.0, width calibration 0.951. The drift is the CARRY — ln(1+risk-free) less ln(1+dividend yield) — and NO part of it comes from the valuation, so the cone can and does sit above a fair value well below it.</w:t>
      </w:r>
    </w:p>
    <w:p>
      <w:pPr>
        <w:spacing w:after="120" w:before="0"/>
      </w:pPr>
      <w:r>
        <w:rPr>
          <w:b w:val="0"/>
          <w:i w:val="0"/>
          <w:color w:val="1C3A36"/>
          <w:sz w:val="21"/>
        </w:rPr>
        <w:t>READ THIS SECTION AGAINST EGP 9.10, NOT AGAINST THE PRICE ON THE MASTHEAD. The cone was simulated from the closing price of 2026-08-06, which is the last session in the price history it was built on; the valuation is struck against the later close of EGP 13.50. Those are two different clocks and they are supposed to be: a fresh price moves the valuation without re-running the simulation, and a fresh price history moves the simulation without re-striking the valuation. Every percentile and every probability in this section is measured against EGP 9.10.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037"/>
        <w:gridCol w:w="1037"/>
        <w:gridCol w:w="1152"/>
        <w:gridCol w:w="1037"/>
        <w:gridCol w:w="1037"/>
        <w:gridCol w:w="1512"/>
        <w:gridCol w:w="1512"/>
      </w:tblGrid>
      <w:tr>
        <w:tc>
          <w:tcPr>
            <w:tcW w:type="dxa" w:w="1512"/>
            <w:shd w:val="clear" w:color="auto" w:fill="EAF0EE"/>
          </w:tcPr>
          <w:p>
            <w:pPr>
              <w:spacing w:after="20"/>
            </w:pPr>
            <w:r>
              <w:rPr>
                <w:b/>
                <w:color w:val="1C3A36"/>
                <w:sz w:val="17"/>
              </w:rPr>
              <w:t>Horizon</w:t>
            </w:r>
          </w:p>
        </w:tc>
        <w:tc>
          <w:tcPr>
            <w:tcW w:type="dxa" w:w="1037"/>
            <w:shd w:val="clear" w:color="auto" w:fill="EAF0EE"/>
          </w:tcPr>
          <w:p>
            <w:pPr>
              <w:spacing w:after="20"/>
            </w:pPr>
            <w:r>
              <w:rPr>
                <w:b/>
                <w:color w:val="1C3A36"/>
                <w:sz w:val="17"/>
              </w:rPr>
              <w:t>p5</w:t>
            </w:r>
          </w:p>
        </w:tc>
        <w:tc>
          <w:tcPr>
            <w:tcW w:type="dxa" w:w="1037"/>
            <w:shd w:val="clear" w:color="auto" w:fill="EAF0EE"/>
          </w:tcPr>
          <w:p>
            <w:pPr>
              <w:spacing w:after="20"/>
            </w:pPr>
            <w:r>
              <w:rPr>
                <w:b/>
                <w:color w:val="1C3A36"/>
                <w:sz w:val="17"/>
              </w:rPr>
              <w:t>p25</w:t>
            </w:r>
          </w:p>
        </w:tc>
        <w:tc>
          <w:tcPr>
            <w:tcW w:type="dxa" w:w="1152"/>
            <w:shd w:val="clear" w:color="auto" w:fill="EAF0EE"/>
          </w:tcPr>
          <w:p>
            <w:pPr>
              <w:spacing w:after="20"/>
            </w:pPr>
            <w:r>
              <w:rPr>
                <w:b/>
                <w:color w:val="1C3A36"/>
                <w:sz w:val="17"/>
              </w:rPr>
              <w:t>median</w:t>
            </w:r>
          </w:p>
        </w:tc>
        <w:tc>
          <w:tcPr>
            <w:tcW w:type="dxa" w:w="1037"/>
            <w:shd w:val="clear" w:color="auto" w:fill="EAF0EE"/>
          </w:tcPr>
          <w:p>
            <w:pPr>
              <w:spacing w:after="20"/>
            </w:pPr>
            <w:r>
              <w:rPr>
                <w:b/>
                <w:color w:val="1C3A36"/>
                <w:sz w:val="17"/>
              </w:rPr>
              <w:t>p75</w:t>
            </w:r>
          </w:p>
        </w:tc>
        <w:tc>
          <w:tcPr>
            <w:tcW w:type="dxa" w:w="1037"/>
            <w:shd w:val="clear" w:color="auto" w:fill="EAF0EE"/>
          </w:tcPr>
          <w:p>
            <w:pPr>
              <w:spacing w:after="20"/>
            </w:pPr>
            <w:r>
              <w:rPr>
                <w:b/>
                <w:color w:val="1C3A36"/>
                <w:sz w:val="17"/>
              </w:rPr>
              <w:t>p95</w:t>
            </w:r>
          </w:p>
        </w:tc>
        <w:tc>
          <w:tcPr>
            <w:tcW w:type="dxa" w:w="1512"/>
            <w:shd w:val="clear" w:color="auto" w:fill="EAF0EE"/>
          </w:tcPr>
          <w:p>
            <w:pPr>
              <w:spacing w:after="20"/>
            </w:pPr>
            <w:r>
              <w:rPr>
                <w:b/>
                <w:color w:val="1C3A36"/>
                <w:sz w:val="17"/>
              </w:rPr>
              <w:t>P(above 9.10)</w:t>
            </w:r>
          </w:p>
        </w:tc>
        <w:tc>
          <w:tcPr>
            <w:tcW w:type="dxa" w:w="1512"/>
            <w:shd w:val="clear" w:color="auto" w:fill="EAF0EE"/>
          </w:tcPr>
          <w:p>
            <w:pPr>
              <w:spacing w:after="20"/>
            </w:pPr>
            <w:r>
              <w:rPr>
                <w:b/>
                <w:color w:val="1C3A36"/>
                <w:sz w:val="17"/>
              </w:rPr>
              <w:t>Grade date</w:t>
            </w:r>
          </w:p>
        </w:tc>
      </w:tr>
      <w:tr>
        <w:tc>
          <w:tcPr>
            <w:tcW w:type="dxa" w:w="1512"/>
          </w:tcPr>
          <w:p>
            <w:pPr>
              <w:spacing w:after="20"/>
            </w:pPr>
            <w:r>
              <w:rPr>
                <w:color w:val="1C3A36"/>
                <w:sz w:val="17"/>
              </w:rPr>
              <w:t>1 month</w:t>
            </w:r>
          </w:p>
        </w:tc>
        <w:tc>
          <w:tcPr>
            <w:tcW w:type="dxa" w:w="1037"/>
          </w:tcPr>
          <w:p>
            <w:pPr>
              <w:spacing w:after="20"/>
              <w:jc w:val="right"/>
            </w:pPr>
            <w:r>
              <w:rPr>
                <w:color w:val="1C3A36"/>
                <w:sz w:val="17"/>
              </w:rPr>
              <w:t>7.73</w:t>
            </w:r>
          </w:p>
        </w:tc>
        <w:tc>
          <w:tcPr>
            <w:tcW w:type="dxa" w:w="1037"/>
          </w:tcPr>
          <w:p>
            <w:pPr>
              <w:spacing w:after="20"/>
              <w:jc w:val="right"/>
            </w:pPr>
            <w:r>
              <w:rPr>
                <w:color w:val="1C3A36"/>
                <w:sz w:val="17"/>
              </w:rPr>
              <w:t>8.62</w:t>
            </w:r>
          </w:p>
        </w:tc>
        <w:tc>
          <w:tcPr>
            <w:tcW w:type="dxa" w:w="1152"/>
          </w:tcPr>
          <w:p>
            <w:pPr>
              <w:spacing w:after="20"/>
              <w:jc w:val="right"/>
            </w:pPr>
            <w:r>
              <w:rPr>
                <w:color w:val="1C3A36"/>
                <w:sz w:val="17"/>
              </w:rPr>
              <w:t>9.17</w:t>
            </w:r>
          </w:p>
        </w:tc>
        <w:tc>
          <w:tcPr>
            <w:tcW w:type="dxa" w:w="1037"/>
          </w:tcPr>
          <w:p>
            <w:pPr>
              <w:spacing w:after="20"/>
              <w:jc w:val="right"/>
            </w:pPr>
            <w:r>
              <w:rPr>
                <w:color w:val="1C3A36"/>
                <w:sz w:val="17"/>
              </w:rPr>
              <w:t>9.76</w:t>
            </w:r>
          </w:p>
        </w:tc>
        <w:tc>
          <w:tcPr>
            <w:tcW w:type="dxa" w:w="1037"/>
          </w:tcPr>
          <w:p>
            <w:pPr>
              <w:spacing w:after="20"/>
              <w:jc w:val="right"/>
            </w:pPr>
            <w:r>
              <w:rPr>
                <w:color w:val="1C3A36"/>
                <w:sz w:val="17"/>
              </w:rPr>
              <w:t>10.88</w:t>
            </w:r>
          </w:p>
        </w:tc>
        <w:tc>
          <w:tcPr>
            <w:tcW w:type="dxa" w:w="1512"/>
          </w:tcPr>
          <w:p>
            <w:pPr>
              <w:spacing w:after="20"/>
              <w:jc w:val="right"/>
            </w:pPr>
            <w:r>
              <w:rPr>
                <w:color w:val="1C3A36"/>
                <w:sz w:val="17"/>
              </w:rPr>
              <w:t>53.5%</w:t>
            </w:r>
          </w:p>
        </w:tc>
        <w:tc>
          <w:tcPr>
            <w:tcW w:type="dxa" w:w="1512"/>
          </w:tcPr>
          <w:p>
            <w:pPr>
              <w:spacing w:after="20"/>
              <w:jc w:val="right"/>
            </w:pPr>
            <w:r>
              <w:rPr>
                <w:color w:val="1C3A36"/>
                <w:sz w:val="17"/>
              </w:rPr>
              <w:t>2026-09-06</w:t>
            </w:r>
          </w:p>
        </w:tc>
      </w:tr>
      <w:tr>
        <w:tc>
          <w:tcPr>
            <w:tcW w:type="dxa" w:w="1512"/>
          </w:tcPr>
          <w:p>
            <w:pPr>
              <w:spacing w:after="20"/>
            </w:pPr>
            <w:r>
              <w:rPr>
                <w:color w:val="1C3A36"/>
                <w:sz w:val="17"/>
              </w:rPr>
              <w:t>3 months</w:t>
            </w:r>
          </w:p>
        </w:tc>
        <w:tc>
          <w:tcPr>
            <w:tcW w:type="dxa" w:w="1037"/>
          </w:tcPr>
          <w:p>
            <w:pPr>
              <w:spacing w:after="20"/>
              <w:jc w:val="right"/>
            </w:pPr>
            <w:r>
              <w:rPr>
                <w:color w:val="1C3A36"/>
                <w:sz w:val="17"/>
              </w:rPr>
              <w:t>6.94</w:t>
            </w:r>
          </w:p>
        </w:tc>
        <w:tc>
          <w:tcPr>
            <w:tcW w:type="dxa" w:w="1037"/>
          </w:tcPr>
          <w:p>
            <w:pPr>
              <w:spacing w:after="20"/>
              <w:jc w:val="right"/>
            </w:pPr>
            <w:r>
              <w:rPr>
                <w:color w:val="1C3A36"/>
                <w:sz w:val="17"/>
              </w:rPr>
              <w:t>8.39</w:t>
            </w:r>
          </w:p>
        </w:tc>
        <w:tc>
          <w:tcPr>
            <w:tcW w:type="dxa" w:w="1152"/>
          </w:tcPr>
          <w:p>
            <w:pPr>
              <w:spacing w:after="20"/>
              <w:jc w:val="right"/>
            </w:pPr>
            <w:r>
              <w:rPr>
                <w:color w:val="1C3A36"/>
                <w:sz w:val="17"/>
              </w:rPr>
              <w:t>9.33</w:t>
            </w:r>
          </w:p>
        </w:tc>
        <w:tc>
          <w:tcPr>
            <w:tcW w:type="dxa" w:w="1037"/>
          </w:tcPr>
          <w:p>
            <w:pPr>
              <w:spacing w:after="20"/>
              <w:jc w:val="right"/>
            </w:pPr>
            <w:r>
              <w:rPr>
                <w:color w:val="1C3A36"/>
                <w:sz w:val="17"/>
              </w:rPr>
              <w:t>10.38</w:t>
            </w:r>
          </w:p>
        </w:tc>
        <w:tc>
          <w:tcPr>
            <w:tcW w:type="dxa" w:w="1037"/>
          </w:tcPr>
          <w:p>
            <w:pPr>
              <w:spacing w:after="20"/>
              <w:jc w:val="right"/>
            </w:pPr>
            <w:r>
              <w:rPr>
                <w:color w:val="1C3A36"/>
                <w:sz w:val="17"/>
              </w:rPr>
              <w:t>12.52</w:t>
            </w:r>
          </w:p>
        </w:tc>
        <w:tc>
          <w:tcPr>
            <w:tcW w:type="dxa" w:w="1512"/>
          </w:tcPr>
          <w:p>
            <w:pPr>
              <w:spacing w:after="20"/>
              <w:jc w:val="right"/>
            </w:pPr>
            <w:r>
              <w:rPr>
                <w:color w:val="1C3A36"/>
                <w:sz w:val="17"/>
              </w:rPr>
              <w:t>56.3%</w:t>
            </w:r>
          </w:p>
        </w:tc>
        <w:tc>
          <w:tcPr>
            <w:tcW w:type="dxa" w:w="1512"/>
          </w:tcPr>
          <w:p>
            <w:pPr>
              <w:spacing w:after="20"/>
              <w:jc w:val="right"/>
            </w:pPr>
            <w:r>
              <w:rPr>
                <w:color w:val="1C3A36"/>
                <w:sz w:val="17"/>
              </w:rPr>
              <w:t>2026-11-08</w:t>
            </w:r>
          </w:p>
        </w:tc>
      </w:tr>
    </w:tbl>
    <w:p>
      <w:pPr>
        <w:spacing w:after="40"/>
      </w:pPr>
    </w:p>
    <w:p>
      <w:pPr>
        <w:spacing w:after="200" w:before="0"/>
      </w:pPr>
      <w:r>
        <w:rPr>
          <w:b w:val="0"/>
          <w:i/>
          <w:color w:val="6E7B77"/>
          <w:sz w:val="17"/>
        </w:rPr>
        <w:t>Table 19 — the published percentiles. The three-month calendar target falls on a non-trading day, so the grade date rolls FORWARD to the first real session, which is how the ledger will grade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160"/>
        <w:gridCol w:w="3024"/>
      </w:tblGrid>
      <w:tr>
        <w:tc>
          <w:tcPr>
            <w:tcW w:type="dxa" w:w="3456"/>
            <w:shd w:val="clear" w:color="auto" w:fill="EAF0EE"/>
          </w:tcPr>
          <w:p>
            <w:pPr>
              <w:spacing w:after="20"/>
            </w:pPr>
            <w:r>
              <w:rPr>
                <w:b/>
                <w:color w:val="1C3A36"/>
                <w:sz w:val="17"/>
              </w:rPr>
              <w:t>What is measured</w:t>
            </w:r>
          </w:p>
        </w:tc>
        <w:tc>
          <w:tcPr>
            <w:tcW w:type="dxa" w:w="2160"/>
            <w:shd w:val="clear" w:color="auto" w:fill="EAF0EE"/>
          </w:tcPr>
          <w:p>
            <w:pPr>
              <w:spacing w:after="20"/>
            </w:pPr>
            <w:r>
              <w:rPr>
                <w:b/>
                <w:color w:val="1C3A36"/>
                <w:sz w:val="17"/>
              </w:rPr>
              <w:t>Value</w:t>
            </w:r>
          </w:p>
        </w:tc>
        <w:tc>
          <w:tcPr>
            <w:tcW w:type="dxa" w:w="3024"/>
            <w:shd w:val="clear" w:color="auto" w:fill="EAF0EE"/>
          </w:tcPr>
          <w:p>
            <w:pPr>
              <w:spacing w:after="20"/>
            </w:pPr>
            <w:r>
              <w:rPr>
                <w:b/>
                <w:color w:val="1C3A36"/>
                <w:sz w:val="17"/>
              </w:rPr>
              <w:t>Reading</w:t>
            </w:r>
          </w:p>
        </w:tc>
      </w:tr>
      <w:tr>
        <w:tc>
          <w:tcPr>
            <w:tcW w:type="dxa" w:w="3456"/>
          </w:tcPr>
          <w:p>
            <w:pPr>
              <w:spacing w:after="20"/>
            </w:pPr>
            <w:r>
              <w:rPr>
                <w:color w:val="1C3A36"/>
                <w:sz w:val="17"/>
              </w:rPr>
              <w:t>Resolved three-month forecasts</w:t>
            </w:r>
          </w:p>
        </w:tc>
        <w:tc>
          <w:tcPr>
            <w:tcW w:type="dxa" w:w="2160"/>
          </w:tcPr>
          <w:p>
            <w:pPr>
              <w:spacing w:after="20"/>
              <w:jc w:val="right"/>
            </w:pPr>
            <w:r>
              <w:rPr>
                <w:color w:val="1C3A36"/>
                <w:sz w:val="17"/>
              </w:rPr>
              <w:t>57</w:t>
            </w:r>
          </w:p>
        </w:tc>
        <w:tc>
          <w:tcPr>
            <w:tcW w:type="dxa" w:w="3024"/>
          </w:tcPr>
          <w:p>
            <w:pPr>
              <w:spacing w:after="20"/>
              <w:jc w:val="right"/>
            </w:pPr>
            <w:r>
              <w:rPr>
                <w:color w:val="1C3A36"/>
                <w:sz w:val="17"/>
              </w:rPr>
              <w:t>every forecast this name has made that has since matured</w:t>
            </w:r>
          </w:p>
        </w:tc>
      </w:tr>
      <w:tr>
        <w:tc>
          <w:tcPr>
            <w:tcW w:type="dxa" w:w="3456"/>
          </w:tcPr>
          <w:p>
            <w:pPr>
              <w:spacing w:after="20"/>
            </w:pPr>
            <w:r>
              <w:rPr>
                <w:color w:val="1C3A36"/>
                <w:sz w:val="17"/>
              </w:rPr>
              <w:t>Finished inside the 90% band</w:t>
            </w:r>
          </w:p>
        </w:tc>
        <w:tc>
          <w:tcPr>
            <w:tcW w:type="dxa" w:w="2160"/>
          </w:tcPr>
          <w:p>
            <w:pPr>
              <w:spacing w:after="20"/>
              <w:jc w:val="right"/>
            </w:pPr>
            <w:r>
              <w:rPr>
                <w:color w:val="1C3A36"/>
                <w:sz w:val="17"/>
              </w:rPr>
              <w:t>51 of 57 (89.5%)</w:t>
            </w:r>
          </w:p>
        </w:tc>
        <w:tc>
          <w:tcPr>
            <w:tcW w:type="dxa" w:w="3024"/>
          </w:tcPr>
          <w:p>
            <w:pPr>
              <w:spacing w:after="20"/>
              <w:jc w:val="right"/>
            </w:pPr>
            <w:r>
              <w:rPr>
                <w:color w:val="1C3A36"/>
                <w:sz w:val="17"/>
              </w:rPr>
              <w:t>against a 90% promise</w:t>
            </w:r>
          </w:p>
        </w:tc>
      </w:tr>
      <w:tr>
        <w:tc>
          <w:tcPr>
            <w:tcW w:type="dxa" w:w="3456"/>
          </w:tcPr>
          <w:p>
            <w:pPr>
              <w:spacing w:after="20"/>
            </w:pPr>
            <w:r>
              <w:rPr>
                <w:color w:val="1C3A36"/>
                <w:sz w:val="17"/>
              </w:rPr>
              <w:t>Finished inside the 80% band</w:t>
            </w:r>
          </w:p>
        </w:tc>
        <w:tc>
          <w:tcPr>
            <w:tcW w:type="dxa" w:w="2160"/>
          </w:tcPr>
          <w:p>
            <w:pPr>
              <w:spacing w:after="20"/>
              <w:jc w:val="right"/>
            </w:pPr>
            <w:r>
              <w:rPr>
                <w:color w:val="1C3A36"/>
                <w:sz w:val="17"/>
              </w:rPr>
              <w:t>82.5%</w:t>
            </w:r>
          </w:p>
        </w:tc>
        <w:tc>
          <w:tcPr>
            <w:tcW w:type="dxa" w:w="3024"/>
          </w:tcPr>
          <w:p>
            <w:pPr>
              <w:spacing w:after="20"/>
              <w:jc w:val="right"/>
            </w:pPr>
            <w:r>
              <w:rPr>
                <w:color w:val="1C3A36"/>
                <w:sz w:val="17"/>
              </w:rPr>
              <w:t>against an 80% promise</w:t>
            </w:r>
          </w:p>
        </w:tc>
      </w:tr>
      <w:tr>
        <w:tc>
          <w:tcPr>
            <w:tcW w:type="dxa" w:w="3456"/>
          </w:tcPr>
          <w:p>
            <w:pPr>
              <w:spacing w:after="20"/>
            </w:pPr>
            <w:r>
              <w:rPr>
                <w:color w:val="1C3A36"/>
                <w:sz w:val="17"/>
              </w:rPr>
              <w:t>Finished inside the 50% band</w:t>
            </w:r>
          </w:p>
        </w:tc>
        <w:tc>
          <w:tcPr>
            <w:tcW w:type="dxa" w:w="2160"/>
          </w:tcPr>
          <w:p>
            <w:pPr>
              <w:spacing w:after="20"/>
              <w:jc w:val="right"/>
            </w:pPr>
            <w:r>
              <w:rPr>
                <w:color w:val="1C3A36"/>
                <w:sz w:val="17"/>
              </w:rPr>
              <w:t>54.4%</w:t>
            </w:r>
          </w:p>
        </w:tc>
        <w:tc>
          <w:tcPr>
            <w:tcW w:type="dxa" w:w="3024"/>
          </w:tcPr>
          <w:p>
            <w:pPr>
              <w:spacing w:after="20"/>
              <w:jc w:val="right"/>
            </w:pPr>
            <w:r>
              <w:rPr>
                <w:color w:val="1C3A36"/>
                <w:sz w:val="17"/>
              </w:rPr>
              <w:t>against a 50% promise</w:t>
            </w:r>
          </w:p>
        </w:tc>
      </w:tr>
      <w:tr>
        <w:tc>
          <w:tcPr>
            <w:tcW w:type="dxa" w:w="3456"/>
          </w:tcPr>
          <w:p>
            <w:pPr>
              <w:spacing w:after="20"/>
            </w:pPr>
            <w:r>
              <w:rPr>
                <w:color w:val="1C3A36"/>
                <w:sz w:val="17"/>
              </w:rPr>
              <w:t>Band width against a no-forecast rule</w:t>
            </w:r>
          </w:p>
        </w:tc>
        <w:tc>
          <w:tcPr>
            <w:tcW w:type="dxa" w:w="2160"/>
          </w:tcPr>
          <w:p>
            <w:pPr>
              <w:spacing w:after="20"/>
              <w:jc w:val="right"/>
            </w:pPr>
            <w:r>
              <w:rPr>
                <w:color w:val="1C3A36"/>
                <w:sz w:val="17"/>
              </w:rPr>
              <w:t>1.194x</w:t>
            </w:r>
          </w:p>
        </w:tc>
        <w:tc>
          <w:tcPr>
            <w:tcW w:type="dxa" w:w="3024"/>
          </w:tcPr>
          <w:p>
            <w:pPr>
              <w:spacing w:after="20"/>
              <w:jc w:val="right"/>
            </w:pPr>
            <w:r>
              <w:rPr>
                <w:color w:val="1C3A36"/>
                <w:sz w:val="17"/>
              </w:rPr>
              <w:t>above 1.00 means our band is the wider of the two</w:t>
            </w:r>
          </w:p>
        </w:tc>
      </w:tr>
      <w:tr>
        <w:tc>
          <w:tcPr>
            <w:tcW w:type="dxa" w:w="3456"/>
          </w:tcPr>
          <w:p>
            <w:pPr>
              <w:spacing w:after="20"/>
            </w:pPr>
            <w:r>
              <w:rPr>
                <w:color w:val="1C3A36"/>
                <w:sz w:val="17"/>
              </w:rPr>
              <w:t>Length of record</w:t>
            </w:r>
          </w:p>
        </w:tc>
        <w:tc>
          <w:tcPr>
            <w:tcW w:type="dxa" w:w="2160"/>
          </w:tcPr>
          <w:p>
            <w:pPr>
              <w:spacing w:after="20"/>
              <w:jc w:val="right"/>
            </w:pPr>
            <w:r>
              <w:rPr>
                <w:color w:val="1C3A36"/>
                <w:sz w:val="17"/>
              </w:rPr>
              <w:t>LONG</w:t>
            </w:r>
          </w:p>
        </w:tc>
        <w:tc>
          <w:tcPr>
            <w:tcW w:type="dxa" w:w="3024"/>
          </w:tcPr>
          <w:p>
            <w:pPr>
              <w:spacing w:after="20"/>
              <w:jc w:val="right"/>
            </w:pPr>
            <w:r>
              <w:rPr>
                <w:color w:val="1C3A36"/>
                <w:sz w:val="17"/>
              </w:rPr>
              <w:t>long enough for the percentage above to mean something</w:t>
            </w:r>
          </w:p>
        </w:tc>
      </w:tr>
    </w:tbl>
    <w:p>
      <w:pPr>
        <w:spacing w:after="40"/>
      </w:pPr>
    </w:p>
    <w:p>
      <w:pPr>
        <w:spacing w:after="200" w:before="0"/>
      </w:pPr>
      <w:r>
        <w:rPr>
          <w:b w:val="0"/>
          <w:i/>
          <w:color w:val="6E7B77"/>
          <w:sz w:val="17"/>
        </w:rPr>
        <w:t>Table 20 — the band record, published beside the forecast rather than behind it. Over 57 resolved three-month forecasts on this name the price finished inside the 90% band 89.5% of the time against a 90% promise. The count is printed beside the percentage because a percentage without its count is the number that misleads. No flag is raised here: on a two-sided test at the 5% level this record is not distinguishable from a cone that did what it said, and the honest response to the ordinary case is to say nothing further. The band is 1.19x the width of a simple no-forecast rule’s — wider, not narrower — and that is disclosed rather than treated as a fault, because on Egyptian tail risk a wider band is often the truthful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2376"/>
        <w:gridCol w:w="2376"/>
        <w:gridCol w:w="2880"/>
      </w:tblGrid>
      <w:tr>
        <w:tc>
          <w:tcPr>
            <w:tcW w:type="dxa" w:w="1512"/>
            <w:shd w:val="clear" w:color="auto" w:fill="EAF0EE"/>
          </w:tcPr>
          <w:p>
            <w:pPr>
              <w:spacing w:after="20"/>
            </w:pPr>
            <w:r>
              <w:rPr>
                <w:b/>
                <w:color w:val="1C3A36"/>
                <w:sz w:val="17"/>
              </w:rPr>
              <w:t>Level, EGP</w:t>
            </w:r>
          </w:p>
        </w:tc>
        <w:tc>
          <w:tcPr>
            <w:tcW w:type="dxa" w:w="2376"/>
            <w:shd w:val="clear" w:color="auto" w:fill="EAF0EE"/>
          </w:tcPr>
          <w:p>
            <w:pPr>
              <w:spacing w:after="20"/>
            </w:pPr>
            <w:r>
              <w:rPr>
                <w:b/>
                <w:color w:val="1C3A36"/>
                <w:sz w:val="17"/>
              </w:rPr>
              <w:t>Touched within 1 month</w:t>
            </w:r>
          </w:p>
        </w:tc>
        <w:tc>
          <w:tcPr>
            <w:tcW w:type="dxa" w:w="2376"/>
            <w:shd w:val="clear" w:color="auto" w:fill="EAF0EE"/>
          </w:tcPr>
          <w:p>
            <w:pPr>
              <w:spacing w:after="20"/>
            </w:pPr>
            <w:r>
              <w:rPr>
                <w:b/>
                <w:color w:val="1C3A36"/>
                <w:sz w:val="17"/>
              </w:rPr>
              <w:t>Touched within 3 months</w:t>
            </w:r>
          </w:p>
        </w:tc>
        <w:tc>
          <w:tcPr>
            <w:tcW w:type="dxa" w:w="2880"/>
            <w:shd w:val="clear" w:color="auto" w:fill="EAF0EE"/>
          </w:tcPr>
          <w:p>
            <w:pPr>
              <w:spacing w:after="20"/>
            </w:pPr>
            <w:r>
              <w:rPr>
                <w:b/>
                <w:color w:val="1C3A36"/>
                <w:sz w:val="17"/>
              </w:rPr>
              <w:t>Note</w:t>
            </w:r>
          </w:p>
        </w:tc>
      </w:tr>
      <w:tr>
        <w:tc>
          <w:tcPr>
            <w:tcW w:type="dxa" w:w="1512"/>
          </w:tcPr>
          <w:p>
            <w:pPr>
              <w:spacing w:after="20"/>
            </w:pPr>
            <w:r>
              <w:rPr>
                <w:color w:val="1C3A36"/>
                <w:sz w:val="17"/>
              </w:rPr>
              <w:t>11.00</w:t>
            </w:r>
          </w:p>
        </w:tc>
        <w:tc>
          <w:tcPr>
            <w:tcW w:type="dxa" w:w="2376"/>
          </w:tcPr>
          <w:p>
            <w:pPr>
              <w:spacing w:after="20"/>
              <w:jc w:val="right"/>
            </w:pPr>
            <w:r>
              <w:rPr>
                <w:color w:val="1C3A36"/>
                <w:sz w:val="17"/>
              </w:rPr>
              <w:t>9.7%</w:t>
            </w:r>
          </w:p>
        </w:tc>
        <w:tc>
          <w:tcPr>
            <w:tcW w:type="dxa" w:w="2376"/>
          </w:tcPr>
          <w:p>
            <w:pPr>
              <w:spacing w:after="20"/>
              <w:jc w:val="right"/>
            </w:pPr>
            <w:r>
              <w:rPr>
                <w:color w:val="1C3A36"/>
                <w:sz w:val="17"/>
              </w:rPr>
              <w:t>36.2%</w:t>
            </w:r>
          </w:p>
        </w:tc>
        <w:tc>
          <w:tcPr>
            <w:tcW w:type="dxa" w:w="2880"/>
          </w:tcPr>
          <w:p>
            <w:pPr>
              <w:spacing w:after="20"/>
            </w:pPr>
            <w:r>
              <w:rPr>
                <w:color w:val="1C3A36"/>
                <w:sz w:val="17"/>
              </w:rPr>
            </w:r>
          </w:p>
        </w:tc>
      </w:tr>
      <w:tr>
        <w:tc>
          <w:tcPr>
            <w:tcW w:type="dxa" w:w="1512"/>
          </w:tcPr>
          <w:p>
            <w:pPr>
              <w:spacing w:after="20"/>
            </w:pPr>
            <w:r>
              <w:rPr>
                <w:color w:val="1C3A36"/>
                <w:sz w:val="17"/>
              </w:rPr>
              <w:t>10.50</w:t>
            </w:r>
          </w:p>
        </w:tc>
        <w:tc>
          <w:tcPr>
            <w:tcW w:type="dxa" w:w="2376"/>
          </w:tcPr>
          <w:p>
            <w:pPr>
              <w:spacing w:after="20"/>
              <w:jc w:val="right"/>
            </w:pPr>
            <w:r>
              <w:rPr>
                <w:color w:val="1C3A36"/>
                <w:sz w:val="17"/>
              </w:rPr>
              <w:t>21.4%</w:t>
            </w:r>
          </w:p>
        </w:tc>
        <w:tc>
          <w:tcPr>
            <w:tcW w:type="dxa" w:w="2376"/>
          </w:tcPr>
          <w:p>
            <w:pPr>
              <w:spacing w:after="20"/>
              <w:jc w:val="right"/>
            </w:pPr>
            <w:r>
              <w:rPr>
                <w:color w:val="1C3A36"/>
                <w:sz w:val="17"/>
              </w:rPr>
              <w:t>49.7%</w:t>
            </w:r>
          </w:p>
        </w:tc>
        <w:tc>
          <w:tcPr>
            <w:tcW w:type="dxa" w:w="2880"/>
          </w:tcPr>
          <w:p>
            <w:pPr>
              <w:spacing w:after="20"/>
            </w:pPr>
            <w:r>
              <w:rPr>
                <w:color w:val="1C3A36"/>
                <w:sz w:val="17"/>
              </w:rPr>
            </w:r>
          </w:p>
        </w:tc>
      </w:tr>
      <w:tr>
        <w:tc>
          <w:tcPr>
            <w:tcW w:type="dxa" w:w="1512"/>
          </w:tcPr>
          <w:p>
            <w:pPr>
              <w:spacing w:after="20"/>
            </w:pPr>
            <w:r>
              <w:rPr>
                <w:color w:val="1C3A36"/>
                <w:sz w:val="17"/>
              </w:rPr>
              <w:t>10.00</w:t>
            </w:r>
          </w:p>
        </w:tc>
        <w:tc>
          <w:tcPr>
            <w:tcW w:type="dxa" w:w="2376"/>
          </w:tcPr>
          <w:p>
            <w:pPr>
              <w:spacing w:after="20"/>
              <w:jc w:val="right"/>
            </w:pPr>
            <w:r>
              <w:rPr>
                <w:color w:val="1C3A36"/>
                <w:sz w:val="17"/>
              </w:rPr>
              <w:t>41.8%</w:t>
            </w:r>
          </w:p>
        </w:tc>
        <w:tc>
          <w:tcPr>
            <w:tcW w:type="dxa" w:w="2376"/>
          </w:tcPr>
          <w:p>
            <w:pPr>
              <w:spacing w:after="20"/>
              <w:jc w:val="right"/>
            </w:pPr>
            <w:r>
              <w:rPr>
                <w:color w:val="1C3A36"/>
                <w:sz w:val="17"/>
              </w:rPr>
              <w:t>66.0%</w:t>
            </w:r>
          </w:p>
        </w:tc>
        <w:tc>
          <w:tcPr>
            <w:tcW w:type="dxa" w:w="2880"/>
          </w:tcPr>
          <w:p>
            <w:pPr>
              <w:spacing w:after="20"/>
            </w:pPr>
            <w:r>
              <w:rPr>
                <w:color w:val="1C3A36"/>
                <w:sz w:val="17"/>
              </w:rPr>
            </w:r>
          </w:p>
        </w:tc>
      </w:tr>
      <w:tr>
        <w:tc>
          <w:tcPr>
            <w:tcW w:type="dxa" w:w="1512"/>
          </w:tcPr>
          <w:p>
            <w:pPr>
              <w:spacing w:after="20"/>
            </w:pPr>
            <w:r>
              <w:rPr>
                <w:color w:val="1C3A36"/>
                <w:sz w:val="17"/>
              </w:rPr>
              <w:t>13.50</w:t>
            </w:r>
          </w:p>
        </w:tc>
        <w:tc>
          <w:tcPr>
            <w:tcW w:type="dxa" w:w="2376"/>
          </w:tcPr>
          <w:p>
            <w:pPr>
              <w:spacing w:after="20"/>
              <w:jc w:val="right"/>
            </w:pPr>
            <w:r>
              <w:rPr>
                <w:color w:val="1C3A36"/>
                <w:sz w:val="17"/>
              </w:rPr>
              <w:t>0.0%</w:t>
            </w:r>
          </w:p>
        </w:tc>
        <w:tc>
          <w:tcPr>
            <w:tcW w:type="dxa" w:w="2376"/>
          </w:tcPr>
          <w:p>
            <w:pPr>
              <w:spacing w:after="20"/>
              <w:jc w:val="right"/>
            </w:pPr>
            <w:r>
              <w:rPr>
                <w:color w:val="1C3A36"/>
                <w:sz w:val="17"/>
              </w:rPr>
              <w:t>5.0%</w:t>
            </w:r>
          </w:p>
        </w:tc>
        <w:tc>
          <w:tcPr>
            <w:tcW w:type="dxa" w:w="2880"/>
          </w:tcPr>
          <w:p>
            <w:pPr>
              <w:spacing w:after="20"/>
            </w:pPr>
            <w:r>
              <w:rPr>
                <w:color w:val="1C3A36"/>
                <w:sz w:val="17"/>
              </w:rPr>
              <w:t>the market price</w:t>
            </w:r>
          </w:p>
        </w:tc>
      </w:tr>
      <w:tr>
        <w:tc>
          <w:tcPr>
            <w:tcW w:type="dxa" w:w="1512"/>
          </w:tcPr>
          <w:p>
            <w:pPr>
              <w:spacing w:after="20"/>
            </w:pPr>
            <w:r>
              <w:rPr>
                <w:color w:val="1C3A36"/>
                <w:sz w:val="17"/>
              </w:rPr>
              <w:t>8.50</w:t>
            </w:r>
          </w:p>
        </w:tc>
        <w:tc>
          <w:tcPr>
            <w:tcW w:type="dxa" w:w="2376"/>
          </w:tcPr>
          <w:p>
            <w:pPr>
              <w:spacing w:after="20"/>
              <w:jc w:val="right"/>
            </w:pPr>
            <w:r>
              <w:rPr>
                <w:color w:val="1C3A36"/>
                <w:sz w:val="17"/>
              </w:rPr>
              <w:t>51.4%</w:t>
            </w:r>
          </w:p>
        </w:tc>
        <w:tc>
          <w:tcPr>
            <w:tcW w:type="dxa" w:w="2376"/>
          </w:tcPr>
          <w:p>
            <w:pPr>
              <w:spacing w:after="20"/>
              <w:jc w:val="right"/>
            </w:pPr>
            <w:r>
              <w:rPr>
                <w:color w:val="1C3A36"/>
                <w:sz w:val="17"/>
              </w:rPr>
              <w:t>68.6%</w:t>
            </w:r>
          </w:p>
        </w:tc>
        <w:tc>
          <w:tcPr>
            <w:tcW w:type="dxa" w:w="2880"/>
          </w:tcPr>
          <w:p>
            <w:pPr>
              <w:spacing w:after="20"/>
            </w:pPr>
            <w:r>
              <w:rPr>
                <w:color w:val="1C3A36"/>
                <w:sz w:val="17"/>
              </w:rPr>
            </w:r>
          </w:p>
        </w:tc>
      </w:tr>
      <w:tr>
        <w:tc>
          <w:tcPr>
            <w:tcW w:type="dxa" w:w="1512"/>
          </w:tcPr>
          <w:p>
            <w:pPr>
              <w:spacing w:after="20"/>
            </w:pPr>
            <w:r>
              <w:rPr>
                <w:color w:val="1C3A36"/>
                <w:sz w:val="17"/>
              </w:rPr>
              <w:t>8.00</w:t>
            </w:r>
          </w:p>
        </w:tc>
        <w:tc>
          <w:tcPr>
            <w:tcW w:type="dxa" w:w="2376"/>
          </w:tcPr>
          <w:p>
            <w:pPr>
              <w:spacing w:after="20"/>
              <w:jc w:val="right"/>
            </w:pPr>
            <w:r>
              <w:rPr>
                <w:color w:val="1C3A36"/>
                <w:sz w:val="17"/>
              </w:rPr>
              <w:t>22.5%</w:t>
            </w:r>
          </w:p>
        </w:tc>
        <w:tc>
          <w:tcPr>
            <w:tcW w:type="dxa" w:w="2376"/>
          </w:tcPr>
          <w:p>
            <w:pPr>
              <w:spacing w:after="20"/>
              <w:jc w:val="right"/>
            </w:pPr>
            <w:r>
              <w:rPr>
                <w:color w:val="1C3A36"/>
                <w:sz w:val="17"/>
              </w:rPr>
              <w:t>45.5%</w:t>
            </w:r>
          </w:p>
        </w:tc>
        <w:tc>
          <w:tcPr>
            <w:tcW w:type="dxa" w:w="2880"/>
          </w:tcPr>
          <w:p>
            <w:pPr>
              <w:spacing w:after="20"/>
            </w:pPr>
            <w:r>
              <w:rPr>
                <w:color w:val="1C3A36"/>
                <w:sz w:val="17"/>
              </w:rPr>
            </w:r>
          </w:p>
        </w:tc>
      </w:tr>
      <w:tr>
        <w:tc>
          <w:tcPr>
            <w:tcW w:type="dxa" w:w="1512"/>
          </w:tcPr>
          <w:p>
            <w:pPr>
              <w:spacing w:after="20"/>
            </w:pPr>
            <w:r>
              <w:rPr>
                <w:color w:val="1C3A36"/>
                <w:sz w:val="17"/>
              </w:rPr>
              <w:t>7.50</w:t>
            </w:r>
          </w:p>
        </w:tc>
        <w:tc>
          <w:tcPr>
            <w:tcW w:type="dxa" w:w="2376"/>
          </w:tcPr>
          <w:p>
            <w:pPr>
              <w:spacing w:after="20"/>
              <w:jc w:val="right"/>
            </w:pPr>
            <w:r>
              <w:rPr>
                <w:color w:val="1C3A36"/>
                <w:sz w:val="17"/>
              </w:rPr>
              <w:t>7.1%</w:t>
            </w:r>
          </w:p>
        </w:tc>
        <w:tc>
          <w:tcPr>
            <w:tcW w:type="dxa" w:w="2376"/>
          </w:tcPr>
          <w:p>
            <w:pPr>
              <w:spacing w:after="20"/>
              <w:jc w:val="right"/>
            </w:pPr>
            <w:r>
              <w:rPr>
                <w:color w:val="1C3A36"/>
                <w:sz w:val="17"/>
              </w:rPr>
              <w:t>27.0%</w:t>
            </w:r>
          </w:p>
        </w:tc>
        <w:tc>
          <w:tcPr>
            <w:tcW w:type="dxa" w:w="2880"/>
          </w:tcPr>
          <w:p>
            <w:pPr>
              <w:spacing w:after="20"/>
            </w:pPr>
            <w:r>
              <w:rPr>
                <w:color w:val="1C3A36"/>
                <w:sz w:val="17"/>
              </w:rPr>
            </w:r>
          </w:p>
        </w:tc>
      </w:tr>
      <w:tr>
        <w:tc>
          <w:tcPr>
            <w:tcW w:type="dxa" w:w="1512"/>
          </w:tcPr>
          <w:p>
            <w:pPr>
              <w:spacing w:after="20"/>
            </w:pPr>
            <w:r>
              <w:rPr>
                <w:color w:val="1C3A36"/>
                <w:sz w:val="17"/>
              </w:rPr>
              <w:t>20.05</w:t>
            </w:r>
          </w:p>
        </w:tc>
        <w:tc>
          <w:tcPr>
            <w:tcW w:type="dxa" w:w="2376"/>
          </w:tcPr>
          <w:p>
            <w:pPr>
              <w:spacing w:after="20"/>
              <w:jc w:val="right"/>
            </w:pPr>
            <w:r>
              <w:rPr>
                <w:color w:val="1C3A36"/>
                <w:sz w:val="17"/>
              </w:rPr>
              <w:t>0.0%</w:t>
            </w:r>
          </w:p>
        </w:tc>
        <w:tc>
          <w:tcPr>
            <w:tcW w:type="dxa" w:w="2376"/>
          </w:tcPr>
          <w:p>
            <w:pPr>
              <w:spacing w:after="20"/>
              <w:jc w:val="right"/>
            </w:pPr>
            <w:r>
              <w:rPr>
                <w:color w:val="1C3A36"/>
                <w:sz w:val="17"/>
              </w:rPr>
              <w:t>0.0%</w:t>
            </w:r>
          </w:p>
        </w:tc>
        <w:tc>
          <w:tcPr>
            <w:tcW w:type="dxa" w:w="2880"/>
          </w:tcPr>
          <w:p>
            <w:pPr>
              <w:spacing w:after="20"/>
            </w:pPr>
            <w:r>
              <w:rPr>
                <w:color w:val="1C3A36"/>
                <w:sz w:val="17"/>
              </w:rPr>
            </w:r>
          </w:p>
        </w:tc>
      </w:tr>
    </w:tbl>
    <w:p>
      <w:pPr>
        <w:spacing w:after="40"/>
      </w:pPr>
    </w:p>
    <w:p>
      <w:pPr>
        <w:spacing w:after="200" w:before="0"/>
      </w:pPr>
      <w:r>
        <w:rPr>
          <w:b w:val="0"/>
          <w:i/>
          <w:color w:val="6E7B77"/>
          <w:sz w:val="17"/>
        </w:rPr>
        <w:t>Table 21 — the touch ladder: the chance the price trades AT or THROUGH each level at any point in the window, which is a higher number than the chance of closing beyond it. Note the last row. The cone gives the price a real chance of reaching this study’s fair value inside three months, but a touch is not a re-rating — it is the tape passing through a level, and the study makes no claim about when or whether the market closes the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4608"/>
      </w:tblGrid>
      <w:tr>
        <w:tc>
          <w:tcPr>
            <w:tcW w:type="dxa" w:w="2880"/>
            <w:shd w:val="clear" w:color="auto" w:fill="EAF0EE"/>
          </w:tcPr>
          <w:p>
            <w:pPr>
              <w:spacing w:after="20"/>
            </w:pPr>
            <w:r>
              <w:rPr>
                <w:b/>
                <w:color w:val="1C3A36"/>
                <w:sz w:val="17"/>
              </w:rPr>
              <w:t>Diagnostic</w:t>
            </w:r>
          </w:p>
        </w:tc>
        <w:tc>
          <w:tcPr>
            <w:tcW w:type="dxa" w:w="1656"/>
            <w:shd w:val="clear" w:color="auto" w:fill="EAF0EE"/>
          </w:tcPr>
          <w:p>
            <w:pPr>
              <w:spacing w:after="20"/>
            </w:pPr>
            <w:r>
              <w:rPr>
                <w:b/>
                <w:color w:val="1C3A36"/>
                <w:sz w:val="17"/>
              </w:rPr>
              <w:t>Value</w:t>
            </w:r>
          </w:p>
        </w:tc>
        <w:tc>
          <w:tcPr>
            <w:tcW w:type="dxa" w:w="4608"/>
            <w:shd w:val="clear" w:color="auto" w:fill="EAF0EE"/>
          </w:tcPr>
          <w:p>
            <w:pPr>
              <w:spacing w:after="20"/>
            </w:pPr>
            <w:r>
              <w:rPr>
                <w:b/>
                <w:color w:val="1C3A36"/>
                <w:sz w:val="17"/>
              </w:rPr>
              <w:t>Reading</w:t>
            </w:r>
          </w:p>
        </w:tc>
      </w:tr>
      <w:tr>
        <w:tc>
          <w:tcPr>
            <w:tcW w:type="dxa" w:w="2880"/>
          </w:tcPr>
          <w:p>
            <w:pPr>
              <w:spacing w:after="20"/>
            </w:pPr>
            <w:r>
              <w:rPr>
                <w:color w:val="1C3A36"/>
                <w:sz w:val="17"/>
              </w:rPr>
              <w:t>Coverage at 50%</w:t>
            </w:r>
          </w:p>
        </w:tc>
        <w:tc>
          <w:tcPr>
            <w:tcW w:type="dxa" w:w="1656"/>
          </w:tcPr>
          <w:p>
            <w:pPr>
              <w:spacing w:after="20"/>
              <w:jc w:val="right"/>
            </w:pPr>
            <w:r>
              <w:rPr>
                <w:color w:val="1C3A36"/>
                <w:sz w:val="17"/>
              </w:rPr>
              <w:t>52.9%</w:t>
            </w:r>
          </w:p>
        </w:tc>
        <w:tc>
          <w:tcPr>
            <w:tcW w:type="dxa" w:w="4608"/>
          </w:tcPr>
          <w:p>
            <w:pPr>
              <w:spacing w:after="20"/>
            </w:pPr>
            <w:r>
              <w:rPr>
                <w:color w:val="1C3A36"/>
                <w:sz w:val="17"/>
              </w:rPr>
              <w:t>against a nominal 50%</w:t>
            </w:r>
          </w:p>
        </w:tc>
      </w:tr>
      <w:tr>
        <w:tc>
          <w:tcPr>
            <w:tcW w:type="dxa" w:w="2880"/>
          </w:tcPr>
          <w:p>
            <w:pPr>
              <w:spacing w:after="20"/>
            </w:pPr>
            <w:r>
              <w:rPr>
                <w:color w:val="1C3A36"/>
                <w:sz w:val="17"/>
              </w:rPr>
              <w:t>Coverage at 80%</w:t>
            </w:r>
          </w:p>
        </w:tc>
        <w:tc>
          <w:tcPr>
            <w:tcW w:type="dxa" w:w="1656"/>
          </w:tcPr>
          <w:p>
            <w:pPr>
              <w:spacing w:after="20"/>
              <w:jc w:val="right"/>
            </w:pPr>
            <w:r>
              <w:rPr>
                <w:color w:val="1C3A36"/>
                <w:sz w:val="17"/>
              </w:rPr>
              <w:t>82.4%</w:t>
            </w:r>
          </w:p>
        </w:tc>
        <w:tc>
          <w:tcPr>
            <w:tcW w:type="dxa" w:w="4608"/>
          </w:tcPr>
          <w:p>
            <w:pPr>
              <w:spacing w:after="20"/>
            </w:pPr>
            <w:r>
              <w:rPr>
                <w:color w:val="1C3A36"/>
                <w:sz w:val="17"/>
              </w:rPr>
              <w:t>against a nominal 80%</w:t>
            </w:r>
          </w:p>
        </w:tc>
      </w:tr>
      <w:tr>
        <w:tc>
          <w:tcPr>
            <w:tcW w:type="dxa" w:w="2880"/>
          </w:tcPr>
          <w:p>
            <w:pPr>
              <w:spacing w:after="20"/>
            </w:pPr>
            <w:r>
              <w:rPr>
                <w:color w:val="1C3A36"/>
                <w:sz w:val="17"/>
              </w:rPr>
              <w:t>Coverage at 90%</w:t>
            </w:r>
          </w:p>
        </w:tc>
        <w:tc>
          <w:tcPr>
            <w:tcW w:type="dxa" w:w="1656"/>
          </w:tcPr>
          <w:p>
            <w:pPr>
              <w:spacing w:after="20"/>
              <w:jc w:val="right"/>
            </w:pPr>
            <w:r>
              <w:rPr>
                <w:color w:val="1C3A36"/>
                <w:sz w:val="17"/>
              </w:rPr>
              <w:t>94.1%</w:t>
            </w:r>
          </w:p>
        </w:tc>
        <w:tc>
          <w:tcPr>
            <w:tcW w:type="dxa" w:w="4608"/>
          </w:tcPr>
          <w:p>
            <w:pPr>
              <w:spacing w:after="20"/>
            </w:pPr>
            <w:r>
              <w:rPr>
                <w:color w:val="1C3A36"/>
                <w:sz w:val="17"/>
              </w:rPr>
              <w:t>against a nominal 90%</w:t>
            </w:r>
          </w:p>
        </w:tc>
      </w:tr>
      <w:tr>
        <w:tc>
          <w:tcPr>
            <w:tcW w:type="dxa" w:w="2880"/>
          </w:tcPr>
          <w:p>
            <w:pPr>
              <w:spacing w:after="20"/>
            </w:pPr>
            <w:r>
              <w:rPr>
                <w:color w:val="1C3A36"/>
                <w:sz w:val="17"/>
              </w:rPr>
              <w:t>PIT mean</w:t>
            </w:r>
          </w:p>
        </w:tc>
        <w:tc>
          <w:tcPr>
            <w:tcW w:type="dxa" w:w="1656"/>
          </w:tcPr>
          <w:p>
            <w:pPr>
              <w:spacing w:after="20"/>
              <w:jc w:val="right"/>
            </w:pPr>
            <w:r>
              <w:rPr>
                <w:color w:val="1C3A36"/>
                <w:sz w:val="17"/>
              </w:rPr>
              <w:t>0.452</w:t>
            </w:r>
          </w:p>
        </w:tc>
        <w:tc>
          <w:tcPr>
            <w:tcW w:type="dxa" w:w="4608"/>
          </w:tcPr>
          <w:p>
            <w:pPr>
              <w:spacing w:after="20"/>
            </w:pPr>
            <w:r>
              <w:rPr>
                <w:color w:val="1C3A36"/>
                <w:sz w:val="17"/>
              </w:rPr>
              <w:t>against a nominal 0.500 — no material centring bias</w:t>
            </w:r>
          </w:p>
        </w:tc>
      </w:tr>
      <w:tr>
        <w:tc>
          <w:tcPr>
            <w:tcW w:type="dxa" w:w="2880"/>
          </w:tcPr>
          <w:p>
            <w:pPr>
              <w:spacing w:after="20"/>
            </w:pPr>
            <w:r>
              <w:rPr>
                <w:color w:val="1C3A36"/>
                <w:sz w:val="17"/>
              </w:rPr>
              <w:t>Width against benchmark</w:t>
            </w:r>
          </w:p>
        </w:tc>
        <w:tc>
          <w:tcPr>
            <w:tcW w:type="dxa" w:w="1656"/>
          </w:tcPr>
          <w:p>
            <w:pPr>
              <w:spacing w:after="20"/>
              <w:jc w:val="right"/>
            </w:pPr>
            <w:r>
              <w:rPr>
                <w:color w:val="1C3A36"/>
                <w:sz w:val="17"/>
              </w:rPr>
              <w:t>0.960x</w:t>
            </w:r>
          </w:p>
        </w:tc>
        <w:tc>
          <w:tcPr>
            <w:tcW w:type="dxa" w:w="4608"/>
          </w:tcPr>
          <w:p>
            <w:pPr>
              <w:spacing w:after="20"/>
            </w:pPr>
            <w:r>
              <w:rPr>
                <w:color w:val="1C3A36"/>
                <w:sz w:val="17"/>
              </w:rPr>
              <w:t>the cone is marginally NARROWER than the carry-anchored random walk</w:t>
            </w:r>
          </w:p>
        </w:tc>
      </w:tr>
      <w:tr>
        <w:tc>
          <w:tcPr>
            <w:tcW w:type="dxa" w:w="2880"/>
          </w:tcPr>
          <w:p>
            <w:pPr>
              <w:spacing w:after="20"/>
            </w:pPr>
            <w:r>
              <w:rPr>
                <w:color w:val="1C3A36"/>
                <w:sz w:val="17"/>
              </w:rPr>
              <w:t>Windows scored</w:t>
            </w:r>
          </w:p>
        </w:tc>
        <w:tc>
          <w:tcPr>
            <w:tcW w:type="dxa" w:w="1656"/>
          </w:tcPr>
          <w:p>
            <w:pPr>
              <w:spacing w:after="20"/>
              <w:jc w:val="right"/>
            </w:pPr>
            <w:r>
              <w:rPr>
                <w:color w:val="1C3A36"/>
                <w:sz w:val="17"/>
              </w:rPr>
              <w:t>17</w:t>
            </w:r>
          </w:p>
        </w:tc>
        <w:tc>
          <w:tcPr>
            <w:tcW w:type="dxa" w:w="4608"/>
          </w:tcPr>
          <w:p>
            <w:pPr>
              <w:spacing w:after="20"/>
            </w:pPr>
            <w:r>
              <w:rPr>
                <w:color w:val="1C3A36"/>
                <w:sz w:val="17"/>
              </w:rPr>
              <w:t>40 pre-break origins dropped</w:t>
            </w:r>
          </w:p>
        </w:tc>
      </w:tr>
    </w:tbl>
    <w:p>
      <w:pPr>
        <w:spacing w:after="40"/>
      </w:pPr>
    </w:p>
    <w:p>
      <w:pPr>
        <w:spacing w:after="200" w:before="0"/>
      </w:pPr>
      <w:r>
        <w:rPr>
          <w:b w:val="0"/>
          <w:i/>
          <w:color w:val="6E7B77"/>
          <w:sz w:val="17"/>
        </w:rPr>
        <w:t>Table 22 — cone diagnostics, on this name’s own history. Coverage sits close to what was promised at all three levels and the centring test shows no material bias, so the band record in Table 20 is a statement about how often the cone held rather than about the cone being mis-shaped. Published because a record that shows only a headline is not a record.</w:t>
      </w:r>
    </w:p>
    <w:p>
      <w:pPr>
        <w:spacing w:after="40"/>
        <w:jc w:val="center"/>
      </w:pPr>
      <w:r>
        <w:drawing>
          <wp:inline xmlns:a="http://schemas.openxmlformats.org/drawingml/2006/main" xmlns:pic="http://schemas.openxmlformats.org/drawingml/2006/picture">
            <wp:extent cx="6126480" cy="2318128"/>
            <wp:docPr id="5" name="Picture 5"/>
            <wp:cNvGraphicFramePr>
              <a:graphicFrameLocks noChangeAspect="1"/>
            </wp:cNvGraphicFramePr>
            <a:graphic>
              <a:graphicData uri="http://schemas.openxmlformats.org/drawingml/2006/picture">
                <pic:pic>
                  <pic:nvPicPr>
                    <pic:cNvPr id="0" name="fig6_cone.png"/>
                    <pic:cNvPicPr/>
                  </pic:nvPicPr>
                  <pic:blipFill>
                    <a:blip r:embed="rId13"/>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5 — the cone against fair value in gold. The two objects answer different questions and are never blended.</w:t>
      </w:r>
    </w:p>
    <w:p>
      <w:pPr>
        <w:spacing w:after="120" w:before="280"/>
      </w:pPr>
      <w:r>
        <w:rPr>
          <w:b/>
          <w:i w:val="0"/>
          <w:color w:val="1C3A36"/>
          <w:sz w:val="30"/>
        </w:rPr>
        <w:t>4  The two answers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2160"/>
        <w:gridCol w:w="3456"/>
        <w:gridCol w:w="1440"/>
      </w:tblGrid>
      <w:tr>
        <w:tc>
          <w:tcPr>
            <w:tcW w:type="dxa" w:w="3024"/>
            <w:shd w:val="clear" w:color="auto" w:fill="EAF0EE"/>
          </w:tcPr>
          <w:p>
            <w:pPr>
              <w:spacing w:after="20"/>
            </w:pPr>
            <w:r>
              <w:rPr>
                <w:b/>
                <w:color w:val="1C3A36"/>
                <w:sz w:val="17"/>
              </w:rPr>
              <w:t>Question</w:t>
            </w:r>
          </w:p>
        </w:tc>
        <w:tc>
          <w:tcPr>
            <w:tcW w:type="dxa" w:w="2160"/>
            <w:shd w:val="clear" w:color="auto" w:fill="EAF0EE"/>
          </w:tcPr>
          <w:p>
            <w:pPr>
              <w:spacing w:after="20"/>
            </w:pPr>
            <w:r>
              <w:rPr>
                <w:b/>
                <w:color w:val="1C3A36"/>
                <w:sz w:val="17"/>
              </w:rPr>
              <w:t>Object</w:t>
            </w:r>
          </w:p>
        </w:tc>
        <w:tc>
          <w:tcPr>
            <w:tcW w:type="dxa" w:w="3456"/>
            <w:shd w:val="clear" w:color="auto" w:fill="EAF0EE"/>
          </w:tcPr>
          <w:p>
            <w:pPr>
              <w:spacing w:after="20"/>
            </w:pPr>
            <w:r>
              <w:rPr>
                <w:b/>
                <w:color w:val="1C3A36"/>
                <w:sz w:val="17"/>
              </w:rPr>
              <w:t>Answer</w:t>
            </w:r>
          </w:p>
        </w:tc>
        <w:tc>
          <w:tcPr>
            <w:tcW w:type="dxa" w:w="1440"/>
            <w:shd w:val="clear" w:color="auto" w:fill="EAF0EE"/>
          </w:tcPr>
          <w:p>
            <w:pPr>
              <w:spacing w:after="20"/>
            </w:pPr>
            <w:r>
              <w:rPr>
                <w:b/>
                <w:color w:val="1C3A36"/>
                <w:sz w:val="17"/>
              </w:rPr>
              <w:t>Horizon</w:t>
            </w:r>
          </w:p>
        </w:tc>
      </w:tr>
      <w:tr>
        <w:tc>
          <w:tcPr>
            <w:tcW w:type="dxa" w:w="3024"/>
          </w:tcPr>
          <w:p>
            <w:pPr>
              <w:spacing w:after="20"/>
            </w:pPr>
            <w:r>
              <w:rPr>
                <w:color w:val="1C3A36"/>
                <w:sz w:val="17"/>
              </w:rPr>
              <w:t>What is the business worth?</w:t>
            </w:r>
          </w:p>
        </w:tc>
        <w:tc>
          <w:tcPr>
            <w:tcW w:type="dxa" w:w="2160"/>
          </w:tcPr>
          <w:p>
            <w:pPr>
              <w:spacing w:after="20"/>
            </w:pPr>
            <w:r>
              <w:rPr>
                <w:color w:val="1C3A36"/>
                <w:sz w:val="17"/>
              </w:rPr>
              <w:t>fair value</w:t>
            </w:r>
          </w:p>
        </w:tc>
        <w:tc>
          <w:tcPr>
            <w:tcW w:type="dxa" w:w="3456"/>
          </w:tcPr>
          <w:p>
            <w:pPr>
              <w:spacing w:after="20"/>
            </w:pPr>
            <w:r>
              <w:rPr>
                <w:color w:val="1C3A36"/>
                <w:sz w:val="17"/>
              </w:rPr>
              <w:t>EGP 20.05  (range 1.66–27.52)</w:t>
            </w:r>
          </w:p>
        </w:tc>
        <w:tc>
          <w:tcPr>
            <w:tcW w:type="dxa" w:w="1440"/>
          </w:tcPr>
          <w:p>
            <w:pPr>
              <w:spacing w:after="20"/>
            </w:pPr>
            <w:r>
              <w:rPr>
                <w:color w:val="1C3A36"/>
                <w:sz w:val="17"/>
              </w:rPr>
              <w:t>undated</w:t>
            </w:r>
          </w:p>
        </w:tc>
      </w:tr>
      <w:tr>
        <w:tc>
          <w:tcPr>
            <w:tcW w:type="dxa" w:w="3024"/>
          </w:tcPr>
          <w:p>
            <w:pPr>
              <w:spacing w:after="20"/>
            </w:pPr>
            <w:r>
              <w:rPr>
                <w:color w:val="1C3A36"/>
                <w:sz w:val="17"/>
              </w:rPr>
              <w:t>Where might the price go?</w:t>
            </w:r>
          </w:p>
        </w:tc>
        <w:tc>
          <w:tcPr>
            <w:tcW w:type="dxa" w:w="2160"/>
          </w:tcPr>
          <w:p>
            <w:pPr>
              <w:spacing w:after="20"/>
            </w:pPr>
            <w:r>
              <w:rPr>
                <w:color w:val="1C3A36"/>
                <w:sz w:val="17"/>
              </w:rPr>
              <w:t>calibrated price cone</w:t>
            </w:r>
          </w:p>
        </w:tc>
        <w:tc>
          <w:tcPr>
            <w:tcW w:type="dxa" w:w="3456"/>
          </w:tcPr>
          <w:p>
            <w:pPr>
              <w:spacing w:after="20"/>
            </w:pPr>
            <w:r>
              <w:rPr>
                <w:color w:val="1C3A36"/>
                <w:sz w:val="17"/>
              </w:rPr>
              <w:t>3-month median EGP 9.33  (6.94–12.52)</w:t>
            </w:r>
          </w:p>
        </w:tc>
        <w:tc>
          <w:tcPr>
            <w:tcW w:type="dxa" w:w="1440"/>
          </w:tcPr>
          <w:p>
            <w:pPr>
              <w:spacing w:after="20"/>
            </w:pPr>
            <w:r>
              <w:rPr>
                <w:color w:val="1C3A36"/>
                <w:sz w:val="17"/>
              </w:rPr>
              <w:t>1 to 3 months</w:t>
            </w:r>
          </w:p>
        </w:tc>
      </w:tr>
      <w:tr>
        <w:tc>
          <w:tcPr>
            <w:tcW w:type="dxa" w:w="3024"/>
          </w:tcPr>
          <w:p>
            <w:pPr>
              <w:spacing w:after="20"/>
            </w:pPr>
            <w:r>
              <w:rPr>
                <w:color w:val="1C3A36"/>
                <w:sz w:val="17"/>
              </w:rPr>
              <w:t>What does the market say today?</w:t>
            </w:r>
          </w:p>
        </w:tc>
        <w:tc>
          <w:tcPr>
            <w:tcW w:type="dxa" w:w="2160"/>
          </w:tcPr>
          <w:p>
            <w:pPr>
              <w:spacing w:after="20"/>
            </w:pPr>
            <w:r>
              <w:rPr>
                <w:color w:val="1C3A36"/>
                <w:sz w:val="17"/>
              </w:rPr>
              <w:t>last close</w:t>
            </w:r>
          </w:p>
        </w:tc>
        <w:tc>
          <w:tcPr>
            <w:tcW w:type="dxa" w:w="3456"/>
          </w:tcPr>
          <w:p>
            <w:pPr>
              <w:spacing w:after="20"/>
            </w:pPr>
            <w:r>
              <w:rPr>
                <w:color w:val="1C3A36"/>
                <w:sz w:val="17"/>
              </w:rPr>
              <w:t>EGP 13.50</w:t>
            </w:r>
          </w:p>
        </w:tc>
        <w:tc>
          <w:tcPr>
            <w:tcW w:type="dxa" w:w="1440"/>
          </w:tcPr>
          <w:p>
            <w:pPr>
              <w:spacing w:after="20"/>
            </w:pPr>
            <w:r>
              <w:rPr>
                <w:color w:val="1C3A36"/>
                <w:sz w:val="17"/>
              </w:rPr>
              <w:t>6 August 2026</w:t>
            </w:r>
          </w:p>
        </w:tc>
      </w:tr>
    </w:tbl>
    <w:p>
      <w:pPr>
        <w:spacing w:after="40"/>
      </w:pPr>
    </w:p>
    <w:p>
      <w:pPr>
        <w:spacing w:after="200" w:before="0"/>
      </w:pPr>
      <w:r>
        <w:rPr>
          <w:b w:val="0"/>
          <w:i/>
          <w:color w:val="6E7B77"/>
          <w:sz w:val="17"/>
        </w:rPr>
        <w:t>Table 23 — the fair-value read and the price cone are separate objects and are never combined into one number. A fair value far below a cone median is not a contradiction: the cone prices where the tape can travel over weeks, and the study prices what the business is worth.</w:t>
      </w:r>
    </w:p>
    <w:p>
      <w:pPr>
        <w:spacing w:after="120" w:before="280"/>
      </w:pPr>
      <w:r>
        <w:rPr>
          <w:b/>
          <w:i w:val="0"/>
          <w:color w:val="1C3A36"/>
          <w:sz w:val="30"/>
        </w:rPr>
        <w:t>5  What would move the answer</w:t>
      </w:r>
    </w:p>
    <w:p>
      <w:pPr>
        <w:pStyle w:val="ListBullet"/>
        <w:spacing w:after="60"/>
      </w:pPr>
      <w:r>
        <w:rPr>
          <w:b/>
          <w:color w:val="1C3A36"/>
          <w:sz w:val="21"/>
        </w:rPr>
        <w:t xml:space="preserve">GROSS MARGIN — </w:t>
      </w:r>
      <w:r>
        <w:rPr>
          <w:color w:val="1C3A36"/>
          <w:sz w:val="21"/>
        </w:rPr>
        <w:t>the margin is the thesis and it is administered, not competed. Half a point in every forecast year is worth about EGP 1.31 on the cash-flow lens, and the filed record spans 514 basis points;</w:t>
      </w:r>
    </w:p>
    <w:p>
      <w:pPr>
        <w:pStyle w:val="ListBullet"/>
        <w:spacing w:after="60"/>
      </w:pPr>
      <w:r>
        <w:rPr>
          <w:b/>
          <w:color w:val="1C3A36"/>
          <w:sz w:val="21"/>
        </w:rPr>
        <w:t xml:space="preserve">THE BASE ANCHOR — </w:t>
      </w:r>
      <w:r>
        <w:rPr>
          <w:color w:val="1C3A36"/>
          <w:sz w:val="21"/>
        </w:rPr>
        <w:t>the base year averages a strong reviewed half with a weaker audited one. If the weakness before 2026 turns out to be a superseded level rather than a season, the base is too low and the whole build moves with it — and note the direction, because it is the opposite of the usual caveat: anchoring on the latest reviewed half alone prices the central HIGHER, not lower, by about half again;</w:t>
      </w:r>
    </w:p>
    <w:p>
      <w:pPr>
        <w:pStyle w:val="ListBullet"/>
        <w:spacing w:after="60"/>
      </w:pPr>
      <w:r>
        <w:rPr>
          <w:b/>
          <w:color w:val="1C3A36"/>
          <w:sz w:val="21"/>
        </w:rPr>
        <w:t xml:space="preserve">THE TWO UNREAD DISCLOSURES — </w:t>
      </w:r>
      <w:r>
        <w:rPr>
          <w:color w:val="1C3A36"/>
          <w:sz w:val="21"/>
        </w:rPr>
        <w:t>two exchange disclosures could not be reached from this environment and pull in OPPOSITE directions — a board capital budget (roughly −12% at face) and a revised FY2026 profit budget (roughly +17%);</w:t>
      </w:r>
    </w:p>
    <w:p>
      <w:pPr>
        <w:pStyle w:val="ListBullet"/>
        <w:spacing w:after="60"/>
      </w:pPr>
      <w:r>
        <w:rPr>
          <w:b/>
          <w:color w:val="1C3A36"/>
          <w:sz w:val="21"/>
        </w:rPr>
        <w:t xml:space="preserve">THE ONE JUDGEMENT INPUT — </w:t>
      </w:r>
      <w:r>
        <w:rPr>
          <w:color w:val="1C3A36"/>
          <w:sz w:val="21"/>
        </w:rPr>
        <w:t>the processing-intensity weights redistribute cost between lines. They move the mix effect and the per-line spreads, not the company total, which stays pinned to note 15-A;</w:t>
      </w:r>
    </w:p>
    <w:p>
      <w:pPr>
        <w:pStyle w:val="ListBullet"/>
        <w:spacing w:after="60"/>
      </w:pPr>
      <w:r>
        <w:rPr>
          <w:b/>
          <w:color w:val="1C3A36"/>
          <w:sz w:val="21"/>
        </w:rPr>
        <w:t xml:space="preserve">THE COUNTERPARTY — </w:t>
      </w:r>
      <w:r>
        <w:rPr>
          <w:color w:val="1C3A36"/>
          <w:sz w:val="21"/>
        </w:rPr>
        <w:t>the state petroleum complex is both the dominant customer and the feedstock supplier. A policy shift on either side moves the spread directly, and the spread IS the business.</w:t>
      </w:r>
    </w:p>
    <w:p>
      <w:pPr>
        <w:spacing w:after="120" w:before="280"/>
      </w:pPr>
      <w:r>
        <w:rPr>
          <w:b/>
          <w:i w:val="0"/>
          <w:color w:val="1C3A36"/>
          <w:sz w:val="30"/>
        </w:rPr>
        <w:t>6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736"/>
      </w:tblGrid>
      <w:tr>
        <w:tc>
          <w:tcPr>
            <w:tcW w:type="dxa" w:w="6048"/>
            <w:shd w:val="clear" w:color="auto" w:fill="EAF0EE"/>
          </w:tcPr>
          <w:p>
            <w:pPr>
              <w:spacing w:after="20"/>
            </w:pPr>
            <w:r>
              <w:rPr>
                <w:b/>
                <w:color w:val="1C3A36"/>
                <w:sz w:val="18"/>
              </w:rPr>
              <w:t>Zone</w:t>
            </w:r>
          </w:p>
        </w:tc>
        <w:tc>
          <w:tcPr>
            <w:tcW w:type="dxa" w:w="2736"/>
            <w:shd w:val="clear" w:color="auto" w:fill="EAF0EE"/>
          </w:tcPr>
          <w:p>
            <w:pPr>
              <w:spacing w:after="20"/>
            </w:pPr>
            <w:r>
              <w:rPr>
                <w:b/>
                <w:color w:val="1C3A36"/>
                <w:sz w:val="18"/>
              </w:rPr>
              <w:t>Probability, 3 months</w:t>
            </w:r>
          </w:p>
        </w:tc>
      </w:tr>
      <w:tr>
        <w:tc>
          <w:tcPr>
            <w:tcW w:type="dxa" w:w="6048"/>
          </w:tcPr>
          <w:p>
            <w:pPr>
              <w:spacing w:after="20"/>
            </w:pPr>
            <w:r>
              <w:rPr>
                <w:color w:val="1C3A36"/>
                <w:sz w:val="18"/>
              </w:rPr>
              <w:t>Below EGP 7.50</w:t>
            </w:r>
          </w:p>
        </w:tc>
        <w:tc>
          <w:tcPr>
            <w:tcW w:type="dxa" w:w="2736"/>
          </w:tcPr>
          <w:p>
            <w:pPr>
              <w:spacing w:after="20"/>
              <w:jc w:val="right"/>
            </w:pPr>
            <w:r>
              <w:rPr>
                <w:color w:val="1C3A36"/>
                <w:sz w:val="18"/>
              </w:rPr>
              <w:t>13.2%</w:t>
            </w:r>
          </w:p>
        </w:tc>
      </w:tr>
      <w:tr>
        <w:tc>
          <w:tcPr>
            <w:tcW w:type="dxa" w:w="6048"/>
          </w:tcPr>
          <w:p>
            <w:pPr>
              <w:spacing w:after="20"/>
            </w:pPr>
            <w:r>
              <w:rPr>
                <w:color w:val="1C3A36"/>
                <w:sz w:val="18"/>
              </w:rPr>
              <w:t>EGP 7.50 to EGP 11.00</w:t>
            </w:r>
          </w:p>
        </w:tc>
        <w:tc>
          <w:tcPr>
            <w:tcW w:type="dxa" w:w="2736"/>
          </w:tcPr>
          <w:p>
            <w:pPr>
              <w:spacing w:after="20"/>
              <w:jc w:val="right"/>
            </w:pPr>
            <w:r>
              <w:rPr>
                <w:color w:val="1C3A36"/>
                <w:sz w:val="18"/>
              </w:rPr>
              <w:t>68.0%</w:t>
            </w:r>
          </w:p>
        </w:tc>
      </w:tr>
      <w:tr>
        <w:tc>
          <w:tcPr>
            <w:tcW w:type="dxa" w:w="6048"/>
          </w:tcPr>
          <w:p>
            <w:pPr>
              <w:spacing w:after="20"/>
            </w:pPr>
            <w:r>
              <w:rPr>
                <w:color w:val="1C3A36"/>
                <w:sz w:val="18"/>
              </w:rPr>
              <w:t>EGP 11.00 to EGP 13.50 (the traded price)</w:t>
            </w:r>
          </w:p>
        </w:tc>
        <w:tc>
          <w:tcPr>
            <w:tcW w:type="dxa" w:w="2736"/>
          </w:tcPr>
          <w:p>
            <w:pPr>
              <w:spacing w:after="20"/>
              <w:jc w:val="right"/>
            </w:pPr>
            <w:r>
              <w:rPr>
                <w:color w:val="1C3A36"/>
                <w:sz w:val="18"/>
              </w:rPr>
              <w:t>15.6%</w:t>
            </w:r>
          </w:p>
        </w:tc>
      </w:tr>
      <w:tr>
        <w:tc>
          <w:tcPr>
            <w:tcW w:type="dxa" w:w="6048"/>
          </w:tcPr>
          <w:p>
            <w:pPr>
              <w:spacing w:after="20"/>
            </w:pPr>
            <w:r>
              <w:rPr>
                <w:color w:val="1C3A36"/>
                <w:sz w:val="18"/>
              </w:rPr>
              <w:t>EGP 13.50 (the traded price) to EGP 20.05</w:t>
            </w:r>
          </w:p>
        </w:tc>
        <w:tc>
          <w:tcPr>
            <w:tcW w:type="dxa" w:w="2736"/>
          </w:tcPr>
          <w:p>
            <w:pPr>
              <w:spacing w:after="20"/>
              <w:jc w:val="right"/>
            </w:pPr>
            <w:r>
              <w:rPr>
                <w:color w:val="1C3A36"/>
                <w:sz w:val="18"/>
              </w:rPr>
              <w:t>2.9%</w:t>
            </w:r>
          </w:p>
        </w:tc>
      </w:tr>
      <w:tr>
        <w:tc>
          <w:tcPr>
            <w:tcW w:type="dxa" w:w="6048"/>
          </w:tcPr>
          <w:p>
            <w:pPr>
              <w:spacing w:after="20"/>
            </w:pPr>
            <w:r>
              <w:rPr>
                <w:color w:val="1C3A36"/>
                <w:sz w:val="18"/>
              </w:rPr>
              <w:t>Above EGP 20.05</w:t>
            </w:r>
          </w:p>
        </w:tc>
        <w:tc>
          <w:tcPr>
            <w:tcW w:type="dxa" w:w="2736"/>
          </w:tcPr>
          <w:p>
            <w:pPr>
              <w:spacing w:after="20"/>
              <w:jc w:val="right"/>
            </w:pPr>
            <w:r>
              <w:rPr>
                <w:color w:val="1C3A36"/>
                <w:sz w:val="18"/>
              </w:rPr>
              <w:t>0.3%</w:t>
            </w:r>
          </w:p>
        </w:tc>
      </w:tr>
      <w:tr>
        <w:tc>
          <w:tcPr>
            <w:tcW w:type="dxa" w:w="6048"/>
            <w:shd w:val="clear" w:color="auto" w:fill="F6F1E6"/>
          </w:tcPr>
          <w:p>
            <w:pPr>
              <w:spacing w:after="20"/>
            </w:pPr>
            <w:r>
              <w:rPr>
                <w:b/>
                <w:color w:val="1C3A36"/>
                <w:sz w:val="18"/>
              </w:rPr>
              <w:t>TOTAL</w:t>
            </w:r>
          </w:p>
        </w:tc>
        <w:tc>
          <w:tcPr>
            <w:tcW w:type="dxa" w:w="2736"/>
            <w:shd w:val="clear" w:color="auto" w:fill="F6F1E6"/>
          </w:tcPr>
          <w:p>
            <w:pPr>
              <w:spacing w:after="20"/>
              <w:jc w:val="right"/>
            </w:pPr>
            <w:r>
              <w:rPr>
                <w:b/>
                <w:color w:val="1C3A36"/>
                <w:sz w:val="18"/>
              </w:rPr>
              <w:t>100.0%</w:t>
            </w:r>
          </w:p>
        </w:tc>
      </w:tr>
    </w:tbl>
    <w:p>
      <w:pPr>
        <w:spacing w:after="40"/>
      </w:pPr>
    </w:p>
    <w:p>
      <w:pPr>
        <w:spacing w:after="200" w:before="0"/>
      </w:pPr>
      <w:r>
        <w:rPr>
          <w:b w:val="0"/>
          <w:i/>
          <w:color w:val="6E7B77"/>
          <w:sz w:val="17"/>
        </w:rPr>
        <w:t>Table 24 — a genuine partition: the bands tile the line, none overlaps, and the total is asserted to be 100% in the build. The previous edition published five zones summing to 103.4%, with one band written descending and nested inside the band above it, so every zone probability in it was misstated. Probabilities are read off the same three-month distribution as Table 17 and say nothing about fair value.</w:t>
      </w:r>
    </w:p>
    <w:p>
      <w:pPr>
        <w:spacing w:after="120" w:before="280"/>
      </w:pPr>
      <w:r>
        <w:rPr>
          <w:b/>
          <w:i w:val="0"/>
          <w:color w:val="1C3A36"/>
          <w:sz w:val="30"/>
        </w:rPr>
        <w:t>7  Caveats — what is weak in this study</w:t>
      </w:r>
    </w:p>
    <w:p>
      <w:pPr>
        <w:spacing w:after="120" w:before="0"/>
      </w:pPr>
      <w:r>
        <w:rPr>
          <w:b w:val="0"/>
          <w:i w:val="0"/>
          <w:color w:val="1C3A36"/>
          <w:sz w:val="21"/>
        </w:rPr>
        <w:t>This edition is the first to test the forecasting method against AMOC’s own past. The model was rebuilt as it would have stood at each of the five financial year-ends from 2021 to 2025 using only what had been published by that date, run forward, and scored against what the company went on to report. It is a test of the method rather than of any judgement, and its result belongs at the front of this section rather than buried at the back of it.</w:t>
      </w:r>
    </w:p>
    <w:p>
      <w:pPr>
        <w:pStyle w:val="ListBullet"/>
        <w:spacing w:after="60"/>
      </w:pPr>
      <w:r>
        <w:rPr>
          <w:color w:val="1C3A36"/>
          <w:sz w:val="21"/>
        </w:rPr>
        <w:t>THE METHOD DID NOT BEAT “NO CHANGE” ON THIS COMPANY. Over nine scoreable forecasts, profit attributable to shareholders was under-forecast every single time, by 64% on average, and the method’s average miss was more than twice what you get by writing down last year’s profit and stopping. That is the honest state of the evidence and no figure in this study is entitled to more precision than it supports.</w:t>
      </w:r>
    </w:p>
    <w:p>
      <w:pPr>
        <w:pStyle w:val="ListBullet"/>
        <w:spacing w:after="60"/>
      </w:pPr>
      <w:r>
        <w:rPr>
          <w:color w:val="1C3A36"/>
          <w:sz w:val="21"/>
        </w:rPr>
        <w:t>THE REASON IS INSTRUCTIVE AND IT IS NOT A TUNING PROBLEM. A forecaster standing at one of those year-ends could not know the pound was about to fall. Holding the currency still while Egyptian costs compounded at 20–30% a year froze revenue in pounds and inflated every cost line, which on a refiner guarantees a one-sided miss. Given the exchange rate and the crude price, the same driver structure predicted revenue to within 6% and cost of sales to within 2% — the machinery works; forecasting the currency is what nobody can do.</w:t>
      </w:r>
    </w:p>
    <w:p>
      <w:pPr>
        <w:pStyle w:val="ListBullet"/>
        <w:spacing w:after="60"/>
      </w:pPr>
      <w:r>
        <w:rPr>
          <w:color w:val="1C3A36"/>
          <w:sz w:val="21"/>
        </w:rPr>
        <w:t>AND EVEN THEN THE PROFIT LINE MISSED BY 68%. AMOC’s gross margin is a 6.6% residual between two numbers each above EGP 35 billion. An error of 6% on revenue against 2% on cost does not stay small — almost all of it lands in the margin. This is the single most important thing to understand about forecasting this company, and it is why Section 1.9 sensitises the two sides together rather than one at a time.</w:t>
      </w:r>
    </w:p>
    <w:p>
      <w:pPr>
        <w:pStyle w:val="ListBullet"/>
        <w:spacing w:after="60"/>
      </w:pPr>
      <w:r>
        <w:rPr>
          <w:color w:val="1C3A36"/>
          <w:sz w:val="21"/>
        </w:rPr>
        <w:t>THE TEST CHANGED THIS EDITION’S VOLUME ASSUMPTION. The previous edition grew every product line and drew its ranking from two disclosed half-years. The audited five-year record shows sales tonnage down 18.5% from its FY2022 peak with six of eight lines shrinking, and the test measures even a FLAT volume rule as already over-forecasting by 7.6%. The base path here is flat, which on this record is the optimistic case, not the neutral one.</w:t>
      </w:r>
    </w:p>
    <w:p>
      <w:pPr>
        <w:pStyle w:val="ListBullet"/>
        <w:spacing w:after="60"/>
      </w:pPr>
      <w:r>
        <w:rPr>
          <w:color w:val="1C3A36"/>
          <w:sz w:val="21"/>
        </w:rPr>
        <w:t>THE FAR FORECAST YEARS SUPPORT A RANGE AND NEVER A POINT. On its own measured error the method’s three-year profit forecast spans roughly a fifteen-fold band. That is not a useful forecast and this study does not pretend otherwise; it is why the fair value here is a range, why the terminal block is disclosed as 62.3% of enterprise value, and why Section 1.7 identifies the one thing that would settle the case.</w:t>
      </w:r>
    </w:p>
    <w:p>
      <w:pPr>
        <w:pStyle w:val="ListBullet"/>
        <w:spacing w:after="60"/>
      </w:pPr>
      <w:r>
        <w:rPr>
          <w:color w:val="1C3A36"/>
          <w:sz w:val="21"/>
        </w:rPr>
        <w:t>THE TEST ITSELF IS SMALL. Five origins, nine scored forecasts, one company. AMOC publishes no accounts older than FY2022, so the window could not be lengthened. Nothing from it has been adopted as a correction — that was decided before any error was computed — and every finding is provisional.</w:t>
      </w:r>
    </w:p>
    <w:p>
      <w:pPr>
        <w:pStyle w:val="ListBullet"/>
        <w:spacing w:after="60"/>
      </w:pPr>
      <w:r>
        <w:rPr>
          <w:color w:val="1C3A36"/>
          <w:sz w:val="21"/>
        </w:rPr>
        <w:t>THE SECOND HALF OF THE BASE YEAR IS REVIEWED, NOT AUDITED. The six months to 30 June 2026 carries a limited review report rather than a full audit. The PREVIOUS edition of this study went further and called it “a press release rather than a filing”, rejected its gross-profit line on a coherence test and solved gross profit from the profit line instead. The reviewed statements are in hand and the released figure was right to three hundredths of a per cent; the test failed because it estimated the half’s other income by doubling one quarter’s, which put 451mn where the filing shows 197mn. That error ran through every lens in the previous edition.</w:t>
      </w:r>
    </w:p>
    <w:p>
      <w:pPr>
        <w:pStyle w:val="ListBullet"/>
        <w:spacing w:after="60"/>
      </w:pPr>
      <w:r>
        <w:rPr>
          <w:color w:val="1C3A36"/>
          <w:sz w:val="21"/>
        </w:rPr>
        <w:t>TWO DISCLOSURES WERE UNREACHABLE, AND ONE EARLIER CLAIM OF UNREACHABILITY WAS WRONG. A board-approved FY2025/26 capital-expenditure budget and a revised FY2026 operating-profit budget were both reported by outside reviewers and neither could be opened. They move the answer roughly −12% and +17% respectively; both are named here rather than silently absent, and neither is in the numbers. The previous edition also stated that the company’s own investor-relations site refused connections. THAT WAS NOT TRUE, and it was not true because the wrong domain had been tried: amoc.com.eg does not resolve and is not the company’s site. The archive is amoceg.com, and this edition is built on 104 documents downloaded from it, including every annual consolidated filing from FY2022 to FY2025. A source recorded as unreachable is a claim about the world and it is audited like one.</w:t>
      </w:r>
    </w:p>
    <w:p>
      <w:pPr>
        <w:pStyle w:val="ListBullet"/>
        <w:spacing w:after="60"/>
      </w:pPr>
      <w:r>
        <w:rPr>
          <w:color w:val="1C3A36"/>
          <w:sz w:val="21"/>
        </w:rPr>
        <w:t>THE PROCESSING-INTENSITY WEIGHTS ARE A JUDGEMENT. Note 15-A discloses the cost stack for the company and not by line, and no weight derivable from note 14-A alone can differentiate per-line margins, because that note contains only price and volume. The vector is registered and dated, and it cannot move the company total.</w:t>
      </w:r>
    </w:p>
    <w:p>
      <w:pPr>
        <w:pStyle w:val="ListBullet"/>
        <w:spacing w:after="60"/>
      </w:pPr>
      <w:r>
        <w:rPr>
          <w:color w:val="1C3A36"/>
          <w:sz w:val="21"/>
        </w:rPr>
        <w:t>THE RISK-FREE RATE COULD NOT BE RE-VERIFIED. The 22.31% ten-year yield is carried from a house reference that this environment could not open; three reviewers independently place the rate between 22.6% and 23.0%. At the top of that range the central falls about half a percent — the case does not turn on it, but the citation is weak and is corrected to say so.</w:t>
      </w:r>
    </w:p>
    <w:p>
      <w:pPr>
        <w:pStyle w:val="ListBullet"/>
        <w:spacing w:after="60"/>
      </w:pPr>
      <w:r>
        <w:rPr>
          <w:color w:val="1C3A36"/>
          <w:sz w:val="21"/>
        </w:rPr>
        <w:t>THE MARGIN IS ADMINISTERED. A 737-basis-point range across five consecutive filed periods, set by a feedstock relationship with a 20.77% shareholder, is not a market signal. It is the single largest uncertainty in the valuation and it cuts both ways — which is precisely why the case in section 1.13 is constructed to survive it.</w:t>
      </w:r>
    </w:p>
    <w:p>
      <w:pPr>
        <w:spacing w:after="120" w:before="280"/>
      </w:pPr>
      <w:r>
        <w:rPr>
          <w:b/>
          <w:i w:val="0"/>
          <w:color w:val="1C3A36"/>
          <w:sz w:val="30"/>
        </w:rPr>
        <w:t>Appendix A  Financial statements</w:t>
      </w:r>
    </w:p>
    <w:p>
      <w:pPr>
        <w:spacing w:after="80" w:before="200"/>
      </w:pPr>
      <w:r>
        <w:rPr>
          <w:b/>
          <w:i w:val="0"/>
          <w:color w:val="1C3A36"/>
          <w:sz w:val="24"/>
        </w:rPr>
        <w:t>A.1  Income statement — five filed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1224"/>
        <w:gridCol w:w="1224"/>
        <w:gridCol w:w="1224"/>
        <w:gridCol w:w="1224"/>
      </w:tblGrid>
      <w:tr>
        <w:tc>
          <w:tcPr>
            <w:tcW w:type="dxa" w:w="2232"/>
            <w:shd w:val="clear" w:color="auto" w:fill="EAF0EE"/>
          </w:tcPr>
          <w:p>
            <w:pPr>
              <w:spacing w:after="20"/>
            </w:pPr>
            <w:r>
              <w:rPr>
                <w:b/>
                <w:color w:val="1C3A36"/>
                <w:sz w:val="15"/>
              </w:rPr>
              <w:t>EGP mn — AS FILED</w:t>
            </w:r>
          </w:p>
        </w:tc>
        <w:tc>
          <w:tcPr>
            <w:tcW w:type="dxa" w:w="1224"/>
            <w:shd w:val="clear" w:color="auto" w:fill="EAF0EE"/>
          </w:tcPr>
          <w:p>
            <w:pPr>
              <w:spacing w:after="20"/>
            </w:pPr>
            <w:r>
              <w:rPr>
                <w:b/>
                <w:color w:val="1C3A36"/>
                <w:sz w:val="15"/>
              </w:rPr>
              <w:t>6M Dec-2024</w:t>
            </w:r>
          </w:p>
        </w:tc>
        <w:tc>
          <w:tcPr>
            <w:tcW w:type="dxa" w:w="1224"/>
            <w:shd w:val="clear" w:color="auto" w:fill="EAF0EE"/>
          </w:tcPr>
          <w:p>
            <w:pPr>
              <w:spacing w:after="20"/>
            </w:pPr>
            <w:r>
              <w:rPr>
                <w:b/>
                <w:color w:val="1C3A36"/>
                <w:sz w:val="15"/>
              </w:rPr>
              <w:t>3M Mar-2025</w:t>
            </w:r>
          </w:p>
        </w:tc>
        <w:tc>
          <w:tcPr>
            <w:tcW w:type="dxa" w:w="1224"/>
            <w:shd w:val="clear" w:color="auto" w:fill="EAF0EE"/>
          </w:tcPr>
          <w:p>
            <w:pPr>
              <w:spacing w:after="20"/>
            </w:pPr>
            <w:r>
              <w:rPr>
                <w:b/>
                <w:color w:val="1C3A36"/>
                <w:sz w:val="15"/>
              </w:rPr>
              <w:t>6M Dec-2025</w:t>
            </w:r>
          </w:p>
        </w:tc>
        <w:tc>
          <w:tcPr>
            <w:tcW w:type="dxa" w:w="1224"/>
            <w:shd w:val="clear" w:color="auto" w:fill="EAF0EE"/>
          </w:tcPr>
          <w:p>
            <w:pPr>
              <w:spacing w:after="20"/>
            </w:pPr>
            <w:r>
              <w:rPr>
                <w:b/>
                <w:color w:val="1C3A36"/>
                <w:sz w:val="15"/>
              </w:rPr>
              <w:t>3M Mar-2026</w:t>
            </w:r>
          </w:p>
        </w:tc>
        <w:tc>
          <w:tcPr>
            <w:tcW w:type="dxa" w:w="1224"/>
            <w:shd w:val="clear" w:color="auto" w:fill="EAF0EE"/>
          </w:tcPr>
          <w:p>
            <w:pPr>
              <w:spacing w:after="20"/>
            </w:pPr>
            <w:r>
              <w:rPr>
                <w:b/>
                <w:color w:val="1C3A36"/>
                <w:sz w:val="15"/>
              </w:rPr>
              <w:t>6M Jun-2026</w:t>
            </w:r>
          </w:p>
        </w:tc>
      </w:tr>
      <w:tr>
        <w:tc>
          <w:tcPr>
            <w:tcW w:type="dxa" w:w="2232"/>
          </w:tcPr>
          <w:p>
            <w:pPr>
              <w:spacing w:after="20"/>
            </w:pPr>
            <w:r>
              <w:rPr>
                <w:color w:val="1C3A36"/>
                <w:sz w:val="15"/>
              </w:rPr>
              <w:t>Net sales</w:t>
            </w:r>
          </w:p>
        </w:tc>
        <w:tc>
          <w:tcPr>
            <w:tcW w:type="dxa" w:w="1224"/>
          </w:tcPr>
          <w:p>
            <w:pPr>
              <w:spacing w:after="20"/>
              <w:jc w:val="right"/>
            </w:pPr>
            <w:r>
              <w:rPr>
                <w:color w:val="1C3A36"/>
                <w:sz w:val="15"/>
              </w:rPr>
              <w:t>18,246</w:t>
            </w:r>
          </w:p>
        </w:tc>
        <w:tc>
          <w:tcPr>
            <w:tcW w:type="dxa" w:w="1224"/>
          </w:tcPr>
          <w:p>
            <w:pPr>
              <w:spacing w:after="20"/>
              <w:jc w:val="right"/>
            </w:pPr>
            <w:r>
              <w:rPr>
                <w:color w:val="1C3A36"/>
                <w:sz w:val="15"/>
              </w:rPr>
              <w:t>10,068</w:t>
            </w:r>
          </w:p>
        </w:tc>
        <w:tc>
          <w:tcPr>
            <w:tcW w:type="dxa" w:w="1224"/>
          </w:tcPr>
          <w:p>
            <w:pPr>
              <w:spacing w:after="20"/>
              <w:jc w:val="right"/>
            </w:pPr>
            <w:r>
              <w:rPr>
                <w:color w:val="1C3A36"/>
                <w:sz w:val="15"/>
              </w:rPr>
              <w:t>20,736</w:t>
            </w:r>
          </w:p>
        </w:tc>
        <w:tc>
          <w:tcPr>
            <w:tcW w:type="dxa" w:w="1224"/>
          </w:tcPr>
          <w:p>
            <w:pPr>
              <w:spacing w:after="20"/>
              <w:jc w:val="right"/>
            </w:pPr>
            <w:r>
              <w:rPr>
                <w:color w:val="1C3A36"/>
                <w:sz w:val="15"/>
              </w:rPr>
              <w:t>10,511</w:t>
            </w:r>
          </w:p>
        </w:tc>
        <w:tc>
          <w:tcPr>
            <w:tcW w:type="dxa" w:w="1224"/>
          </w:tcPr>
          <w:p>
            <w:pPr>
              <w:spacing w:after="20"/>
              <w:jc w:val="right"/>
            </w:pPr>
            <w:r>
              <w:rPr>
                <w:color w:val="1C3A36"/>
                <w:sz w:val="15"/>
              </w:rPr>
              <w:t>26,223</w:t>
            </w:r>
          </w:p>
        </w:tc>
      </w:tr>
      <w:tr>
        <w:tc>
          <w:tcPr>
            <w:tcW w:type="dxa" w:w="2232"/>
          </w:tcPr>
          <w:p>
            <w:pPr>
              <w:spacing w:after="20"/>
            </w:pPr>
            <w:r>
              <w:rPr>
                <w:color w:val="1C3A36"/>
                <w:sz w:val="15"/>
              </w:rPr>
              <w:t>Cost of sales</w:t>
            </w:r>
          </w:p>
        </w:tc>
        <w:tc>
          <w:tcPr>
            <w:tcW w:type="dxa" w:w="1224"/>
          </w:tcPr>
          <w:p>
            <w:pPr>
              <w:spacing w:after="20"/>
              <w:jc w:val="right"/>
            </w:pPr>
            <w:r>
              <w:rPr>
                <w:color w:val="1C3A36"/>
                <w:sz w:val="15"/>
              </w:rPr>
              <w:t>16,995</w:t>
            </w:r>
          </w:p>
        </w:tc>
        <w:tc>
          <w:tcPr>
            <w:tcW w:type="dxa" w:w="1224"/>
          </w:tcPr>
          <w:p>
            <w:pPr>
              <w:spacing w:after="20"/>
              <w:jc w:val="right"/>
            </w:pPr>
            <w:r>
              <w:rPr>
                <w:color w:val="1C3A36"/>
                <w:sz w:val="15"/>
              </w:rPr>
              <w:t>9,560</w:t>
            </w:r>
          </w:p>
        </w:tc>
        <w:tc>
          <w:tcPr>
            <w:tcW w:type="dxa" w:w="1224"/>
          </w:tcPr>
          <w:p>
            <w:pPr>
              <w:spacing w:after="20"/>
              <w:jc w:val="right"/>
            </w:pPr>
            <w:r>
              <w:rPr>
                <w:color w:val="1C3A36"/>
                <w:sz w:val="15"/>
              </w:rPr>
              <w:t>19,462</w:t>
            </w:r>
          </w:p>
        </w:tc>
        <w:tc>
          <w:tcPr>
            <w:tcW w:type="dxa" w:w="1224"/>
          </w:tcPr>
          <w:p>
            <w:pPr>
              <w:spacing w:after="20"/>
              <w:jc w:val="right"/>
            </w:pPr>
            <w:r>
              <w:rPr>
                <w:color w:val="1C3A36"/>
                <w:sz w:val="15"/>
              </w:rPr>
              <w:t>9,440</w:t>
            </w:r>
          </w:p>
        </w:tc>
        <w:tc>
          <w:tcPr>
            <w:tcW w:type="dxa" w:w="1224"/>
          </w:tcPr>
          <w:p>
            <w:pPr>
              <w:spacing w:after="20"/>
              <w:jc w:val="right"/>
            </w:pPr>
            <w:r>
              <w:rPr>
                <w:color w:val="1C3A36"/>
                <w:sz w:val="15"/>
              </w:rPr>
              <w:t>22,964</w:t>
            </w:r>
          </w:p>
        </w:tc>
      </w:tr>
      <w:tr>
        <w:tc>
          <w:tcPr>
            <w:tcW w:type="dxa" w:w="2232"/>
          </w:tcPr>
          <w:p>
            <w:pPr>
              <w:spacing w:after="20"/>
            </w:pPr>
            <w:r>
              <w:rPr>
                <w:color w:val="1C3A36"/>
                <w:sz w:val="15"/>
              </w:rPr>
              <w:t>Gross profit</w:t>
            </w:r>
          </w:p>
        </w:tc>
        <w:tc>
          <w:tcPr>
            <w:tcW w:type="dxa" w:w="1224"/>
          </w:tcPr>
          <w:p>
            <w:pPr>
              <w:spacing w:after="20"/>
              <w:jc w:val="right"/>
            </w:pPr>
            <w:r>
              <w:rPr>
                <w:color w:val="1C3A36"/>
                <w:sz w:val="15"/>
              </w:rPr>
              <w:t>1,251</w:t>
            </w:r>
          </w:p>
        </w:tc>
        <w:tc>
          <w:tcPr>
            <w:tcW w:type="dxa" w:w="1224"/>
          </w:tcPr>
          <w:p>
            <w:pPr>
              <w:spacing w:after="20"/>
              <w:jc w:val="right"/>
            </w:pPr>
            <w:r>
              <w:rPr>
                <w:color w:val="1C3A36"/>
                <w:sz w:val="15"/>
              </w:rPr>
              <w:t>509</w:t>
            </w:r>
          </w:p>
        </w:tc>
        <w:tc>
          <w:tcPr>
            <w:tcW w:type="dxa" w:w="1224"/>
          </w:tcPr>
          <w:p>
            <w:pPr>
              <w:spacing w:after="20"/>
              <w:jc w:val="right"/>
            </w:pPr>
            <w:r>
              <w:rPr>
                <w:color w:val="1C3A36"/>
                <w:sz w:val="15"/>
              </w:rPr>
              <w:t>1,274</w:t>
            </w:r>
          </w:p>
        </w:tc>
        <w:tc>
          <w:tcPr>
            <w:tcW w:type="dxa" w:w="1224"/>
          </w:tcPr>
          <w:p>
            <w:pPr>
              <w:spacing w:after="20"/>
              <w:jc w:val="right"/>
            </w:pPr>
            <w:r>
              <w:rPr>
                <w:color w:val="1C3A36"/>
                <w:sz w:val="15"/>
              </w:rPr>
              <w:t>1,071</w:t>
            </w:r>
          </w:p>
        </w:tc>
        <w:tc>
          <w:tcPr>
            <w:tcW w:type="dxa" w:w="1224"/>
          </w:tcPr>
          <w:p>
            <w:pPr>
              <w:spacing w:after="20"/>
              <w:jc w:val="right"/>
            </w:pPr>
            <w:r>
              <w:rPr>
                <w:color w:val="1C3A36"/>
                <w:sz w:val="15"/>
              </w:rPr>
              <w:t>3,259</w:t>
            </w:r>
          </w:p>
        </w:tc>
      </w:tr>
      <w:tr>
        <w:tc>
          <w:tcPr>
            <w:tcW w:type="dxa" w:w="2232"/>
          </w:tcPr>
          <w:p>
            <w:pPr>
              <w:spacing w:after="20"/>
            </w:pPr>
            <w:r>
              <w:rPr>
                <w:color w:val="1C3A36"/>
                <w:sz w:val="15"/>
              </w:rPr>
              <w:t>Gross margin</w:t>
            </w:r>
          </w:p>
        </w:tc>
        <w:tc>
          <w:tcPr>
            <w:tcW w:type="dxa" w:w="1224"/>
          </w:tcPr>
          <w:p>
            <w:pPr>
              <w:spacing w:after="20"/>
              <w:jc w:val="right"/>
            </w:pPr>
            <w:r>
              <w:rPr>
                <w:color w:val="1C3A36"/>
                <w:sz w:val="15"/>
              </w:rPr>
              <w:t>6.85%</w:t>
            </w:r>
          </w:p>
        </w:tc>
        <w:tc>
          <w:tcPr>
            <w:tcW w:type="dxa" w:w="1224"/>
          </w:tcPr>
          <w:p>
            <w:pPr>
              <w:spacing w:after="20"/>
              <w:jc w:val="right"/>
            </w:pPr>
            <w:r>
              <w:rPr>
                <w:color w:val="1C3A36"/>
                <w:sz w:val="15"/>
              </w:rPr>
              <w:t>5.05%</w:t>
            </w:r>
          </w:p>
        </w:tc>
        <w:tc>
          <w:tcPr>
            <w:tcW w:type="dxa" w:w="1224"/>
          </w:tcPr>
          <w:p>
            <w:pPr>
              <w:spacing w:after="20"/>
              <w:jc w:val="right"/>
            </w:pPr>
            <w:r>
              <w:rPr>
                <w:color w:val="1C3A36"/>
                <w:sz w:val="15"/>
              </w:rPr>
              <w:t>6.14%</w:t>
            </w:r>
          </w:p>
        </w:tc>
        <w:tc>
          <w:tcPr>
            <w:tcW w:type="dxa" w:w="1224"/>
          </w:tcPr>
          <w:p>
            <w:pPr>
              <w:spacing w:after="20"/>
              <w:jc w:val="right"/>
            </w:pPr>
            <w:r>
              <w:rPr>
                <w:color w:val="1C3A36"/>
                <w:sz w:val="15"/>
              </w:rPr>
              <w:t>10.19%</w:t>
            </w:r>
          </w:p>
        </w:tc>
        <w:tc>
          <w:tcPr>
            <w:tcW w:type="dxa" w:w="1224"/>
          </w:tcPr>
          <w:p>
            <w:pPr>
              <w:spacing w:after="20"/>
              <w:jc w:val="right"/>
            </w:pPr>
            <w:r>
              <w:rPr>
                <w:color w:val="1C3A36"/>
                <w:sz w:val="15"/>
              </w:rPr>
              <w:t>12.43%</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1224"/>
        <w:gridCol w:w="1224"/>
        <w:gridCol w:w="1224"/>
        <w:gridCol w:w="1224"/>
      </w:tblGrid>
      <w:tr>
        <w:tc>
          <w:tcPr>
            <w:tcW w:type="dxa" w:w="2232"/>
            <w:shd w:val="clear" w:color="auto" w:fill="EAF0EE"/>
          </w:tcPr>
          <w:p>
            <w:pPr>
              <w:spacing w:after="20"/>
            </w:pPr>
            <w:r>
              <w:rPr>
                <w:b/>
                <w:color w:val="1C3A36"/>
                <w:sz w:val="15"/>
              </w:rPr>
              <w:t>EGP mn — FORECAST</w:t>
            </w:r>
          </w:p>
        </w:tc>
        <w:tc>
          <w:tcPr>
            <w:tcW w:type="dxa" w:w="1224"/>
            <w:shd w:val="clear" w:color="auto" w:fill="EAF0EE"/>
          </w:tcPr>
          <w:p>
            <w:pPr>
              <w:spacing w:after="20"/>
            </w:pPr>
            <w:r>
              <w:rPr>
                <w:b/>
                <w:color w:val="1C3A36"/>
                <w:sz w:val="15"/>
              </w:rPr>
              <w:t>2026E</w:t>
            </w:r>
          </w:p>
        </w:tc>
        <w:tc>
          <w:tcPr>
            <w:tcW w:type="dxa" w:w="1224"/>
            <w:shd w:val="clear" w:color="auto" w:fill="EAF0EE"/>
          </w:tcPr>
          <w:p>
            <w:pPr>
              <w:spacing w:after="20"/>
            </w:pPr>
            <w:r>
              <w:rPr>
                <w:b/>
                <w:color w:val="1C3A36"/>
                <w:sz w:val="15"/>
              </w:rPr>
              <w:t>2027E</w:t>
            </w:r>
          </w:p>
        </w:tc>
        <w:tc>
          <w:tcPr>
            <w:tcW w:type="dxa" w:w="1224"/>
            <w:shd w:val="clear" w:color="auto" w:fill="EAF0EE"/>
          </w:tcPr>
          <w:p>
            <w:pPr>
              <w:spacing w:after="20"/>
            </w:pPr>
            <w:r>
              <w:rPr>
                <w:b/>
                <w:color w:val="1C3A36"/>
                <w:sz w:val="15"/>
              </w:rPr>
              <w:t>2028E</w:t>
            </w:r>
          </w:p>
        </w:tc>
        <w:tc>
          <w:tcPr>
            <w:tcW w:type="dxa" w:w="1224"/>
            <w:shd w:val="clear" w:color="auto" w:fill="EAF0EE"/>
          </w:tcPr>
          <w:p>
            <w:pPr>
              <w:spacing w:after="20"/>
            </w:pPr>
            <w:r>
              <w:rPr>
                <w:b/>
                <w:color w:val="1C3A36"/>
                <w:sz w:val="15"/>
              </w:rPr>
              <w:t>2029E</w:t>
            </w:r>
          </w:p>
        </w:tc>
        <w:tc>
          <w:tcPr>
            <w:tcW w:type="dxa" w:w="1224"/>
            <w:shd w:val="clear" w:color="auto" w:fill="EAF0EE"/>
          </w:tcPr>
          <w:p>
            <w:pPr>
              <w:spacing w:after="20"/>
            </w:pPr>
            <w:r>
              <w:rPr>
                <w:b/>
                <w:color w:val="1C3A36"/>
                <w:sz w:val="15"/>
              </w:rPr>
              <w:t>2030E</w:t>
            </w:r>
          </w:p>
        </w:tc>
      </w:tr>
      <w:tr>
        <w:tc>
          <w:tcPr>
            <w:tcW w:type="dxa" w:w="2232"/>
          </w:tcPr>
          <w:p>
            <w:pPr>
              <w:spacing w:after="20"/>
            </w:pPr>
            <w:r>
              <w:rPr>
                <w:color w:val="1C3A36"/>
                <w:sz w:val="15"/>
              </w:rPr>
              <w:t>Net sales</w:t>
            </w:r>
          </w:p>
        </w:tc>
        <w:tc>
          <w:tcPr>
            <w:tcW w:type="dxa" w:w="1224"/>
          </w:tcPr>
          <w:p>
            <w:pPr>
              <w:spacing w:after="20"/>
              <w:jc w:val="right"/>
            </w:pPr>
            <w:r>
              <w:rPr>
                <w:color w:val="1C3A36"/>
                <w:sz w:val="15"/>
              </w:rPr>
              <w:t>53,144</w:t>
            </w:r>
          </w:p>
        </w:tc>
        <w:tc>
          <w:tcPr>
            <w:tcW w:type="dxa" w:w="1224"/>
          </w:tcPr>
          <w:p>
            <w:pPr>
              <w:spacing w:after="20"/>
              <w:jc w:val="right"/>
            </w:pPr>
            <w:r>
              <w:rPr>
                <w:color w:val="1C3A36"/>
                <w:sz w:val="15"/>
              </w:rPr>
              <w:t>58,069</w:t>
            </w:r>
          </w:p>
        </w:tc>
        <w:tc>
          <w:tcPr>
            <w:tcW w:type="dxa" w:w="1224"/>
          </w:tcPr>
          <w:p>
            <w:pPr>
              <w:spacing w:after="20"/>
              <w:jc w:val="right"/>
            </w:pPr>
            <w:r>
              <w:rPr>
                <w:color w:val="1C3A36"/>
                <w:sz w:val="15"/>
              </w:rPr>
              <w:t>61,752</w:t>
            </w:r>
          </w:p>
        </w:tc>
        <w:tc>
          <w:tcPr>
            <w:tcW w:type="dxa" w:w="1224"/>
          </w:tcPr>
          <w:p>
            <w:pPr>
              <w:spacing w:after="20"/>
              <w:jc w:val="right"/>
            </w:pPr>
            <w:r>
              <w:rPr>
                <w:color w:val="1C3A36"/>
                <w:sz w:val="15"/>
              </w:rPr>
              <w:t>64,764</w:t>
            </w:r>
          </w:p>
        </w:tc>
        <w:tc>
          <w:tcPr>
            <w:tcW w:type="dxa" w:w="1224"/>
          </w:tcPr>
          <w:p>
            <w:pPr>
              <w:spacing w:after="20"/>
              <w:jc w:val="right"/>
            </w:pPr>
            <w:r>
              <w:rPr>
                <w:color w:val="1C3A36"/>
                <w:sz w:val="15"/>
              </w:rPr>
              <w:t>67,607</w:t>
            </w:r>
          </w:p>
        </w:tc>
      </w:tr>
      <w:tr>
        <w:tc>
          <w:tcPr>
            <w:tcW w:type="dxa" w:w="2232"/>
          </w:tcPr>
          <w:p>
            <w:pPr>
              <w:spacing w:after="20"/>
            </w:pPr>
            <w:r>
              <w:rPr>
                <w:color w:val="1C3A36"/>
                <w:sz w:val="15"/>
              </w:rPr>
              <w:t>Cost of sales</w:t>
            </w:r>
          </w:p>
        </w:tc>
        <w:tc>
          <w:tcPr>
            <w:tcW w:type="dxa" w:w="1224"/>
          </w:tcPr>
          <w:p>
            <w:pPr>
              <w:spacing w:after="20"/>
              <w:jc w:val="right"/>
            </w:pPr>
            <w:r>
              <w:rPr>
                <w:color w:val="1C3A36"/>
                <w:sz w:val="15"/>
              </w:rPr>
              <w:t>46,539</w:t>
            </w:r>
          </w:p>
        </w:tc>
        <w:tc>
          <w:tcPr>
            <w:tcW w:type="dxa" w:w="1224"/>
          </w:tcPr>
          <w:p>
            <w:pPr>
              <w:spacing w:after="20"/>
              <w:jc w:val="right"/>
            </w:pPr>
            <w:r>
              <w:rPr>
                <w:color w:val="1C3A36"/>
                <w:sz w:val="15"/>
              </w:rPr>
              <w:t>50,841</w:t>
            </w:r>
          </w:p>
        </w:tc>
        <w:tc>
          <w:tcPr>
            <w:tcW w:type="dxa" w:w="1224"/>
          </w:tcPr>
          <w:p>
            <w:pPr>
              <w:spacing w:after="20"/>
              <w:jc w:val="right"/>
            </w:pPr>
            <w:r>
              <w:rPr>
                <w:color w:val="1C3A36"/>
                <w:sz w:val="15"/>
              </w:rPr>
              <w:t>54,057</w:t>
            </w:r>
          </w:p>
        </w:tc>
        <w:tc>
          <w:tcPr>
            <w:tcW w:type="dxa" w:w="1224"/>
          </w:tcPr>
          <w:p>
            <w:pPr>
              <w:spacing w:after="20"/>
              <w:jc w:val="right"/>
            </w:pPr>
            <w:r>
              <w:rPr>
                <w:color w:val="1C3A36"/>
                <w:sz w:val="15"/>
              </w:rPr>
              <w:t>56,688</w:t>
            </w:r>
          </w:p>
        </w:tc>
        <w:tc>
          <w:tcPr>
            <w:tcW w:type="dxa" w:w="1224"/>
          </w:tcPr>
          <w:p>
            <w:pPr>
              <w:spacing w:after="20"/>
              <w:jc w:val="right"/>
            </w:pPr>
            <w:r>
              <w:rPr>
                <w:color w:val="1C3A36"/>
                <w:sz w:val="15"/>
              </w:rPr>
              <w:t>59,171</w:t>
            </w:r>
          </w:p>
        </w:tc>
      </w:tr>
      <w:tr>
        <w:tc>
          <w:tcPr>
            <w:tcW w:type="dxa" w:w="2232"/>
          </w:tcPr>
          <w:p>
            <w:pPr>
              <w:spacing w:after="20"/>
            </w:pPr>
            <w:r>
              <w:rPr>
                <w:color w:val="1C3A36"/>
                <w:sz w:val="15"/>
              </w:rPr>
              <w:t>Gross profit</w:t>
            </w:r>
          </w:p>
        </w:tc>
        <w:tc>
          <w:tcPr>
            <w:tcW w:type="dxa" w:w="1224"/>
          </w:tcPr>
          <w:p>
            <w:pPr>
              <w:spacing w:after="20"/>
              <w:jc w:val="right"/>
            </w:pPr>
            <w:r>
              <w:rPr>
                <w:color w:val="1C3A36"/>
                <w:sz w:val="15"/>
              </w:rPr>
              <w:t>6,605</w:t>
            </w:r>
          </w:p>
        </w:tc>
        <w:tc>
          <w:tcPr>
            <w:tcW w:type="dxa" w:w="1224"/>
          </w:tcPr>
          <w:p>
            <w:pPr>
              <w:spacing w:after="20"/>
              <w:jc w:val="right"/>
            </w:pPr>
            <w:r>
              <w:rPr>
                <w:color w:val="1C3A36"/>
                <w:sz w:val="15"/>
              </w:rPr>
              <w:t>7,228</w:t>
            </w:r>
          </w:p>
        </w:tc>
        <w:tc>
          <w:tcPr>
            <w:tcW w:type="dxa" w:w="1224"/>
          </w:tcPr>
          <w:p>
            <w:pPr>
              <w:spacing w:after="20"/>
              <w:jc w:val="right"/>
            </w:pPr>
            <w:r>
              <w:rPr>
                <w:color w:val="1C3A36"/>
                <w:sz w:val="15"/>
              </w:rPr>
              <w:t>7,694</w:t>
            </w:r>
          </w:p>
        </w:tc>
        <w:tc>
          <w:tcPr>
            <w:tcW w:type="dxa" w:w="1224"/>
          </w:tcPr>
          <w:p>
            <w:pPr>
              <w:spacing w:after="20"/>
              <w:jc w:val="right"/>
            </w:pPr>
            <w:r>
              <w:rPr>
                <w:color w:val="1C3A36"/>
                <w:sz w:val="15"/>
              </w:rPr>
              <w:t>8,076</w:t>
            </w:r>
          </w:p>
        </w:tc>
        <w:tc>
          <w:tcPr>
            <w:tcW w:type="dxa" w:w="1224"/>
          </w:tcPr>
          <w:p>
            <w:pPr>
              <w:spacing w:after="20"/>
              <w:jc w:val="right"/>
            </w:pPr>
            <w:r>
              <w:rPr>
                <w:color w:val="1C3A36"/>
                <w:sz w:val="15"/>
              </w:rPr>
              <w:t>8,436</w:t>
            </w:r>
          </w:p>
        </w:tc>
      </w:tr>
      <w:tr>
        <w:tc>
          <w:tcPr>
            <w:tcW w:type="dxa" w:w="2232"/>
          </w:tcPr>
          <w:p>
            <w:pPr>
              <w:spacing w:after="20"/>
            </w:pPr>
            <w:r>
              <w:rPr>
                <w:color w:val="1C3A36"/>
                <w:sz w:val="15"/>
              </w:rPr>
              <w:t>Gross margin</w:t>
            </w:r>
          </w:p>
        </w:tc>
        <w:tc>
          <w:tcPr>
            <w:tcW w:type="dxa" w:w="1224"/>
          </w:tcPr>
          <w:p>
            <w:pPr>
              <w:spacing w:after="20"/>
              <w:jc w:val="right"/>
            </w:pPr>
            <w:r>
              <w:rPr>
                <w:color w:val="1C3A36"/>
                <w:sz w:val="15"/>
              </w:rPr>
              <w:t>12.43%</w:t>
            </w:r>
          </w:p>
        </w:tc>
        <w:tc>
          <w:tcPr>
            <w:tcW w:type="dxa" w:w="1224"/>
          </w:tcPr>
          <w:p>
            <w:pPr>
              <w:spacing w:after="20"/>
              <w:jc w:val="right"/>
            </w:pPr>
            <w:r>
              <w:rPr>
                <w:color w:val="1C3A36"/>
                <w:sz w:val="15"/>
              </w:rPr>
              <w:t>12.45%</w:t>
            </w:r>
          </w:p>
        </w:tc>
        <w:tc>
          <w:tcPr>
            <w:tcW w:type="dxa" w:w="1224"/>
          </w:tcPr>
          <w:p>
            <w:pPr>
              <w:spacing w:after="20"/>
              <w:jc w:val="right"/>
            </w:pPr>
            <w:r>
              <w:rPr>
                <w:color w:val="1C3A36"/>
                <w:sz w:val="15"/>
              </w:rPr>
              <w:t>12.46%</w:t>
            </w:r>
          </w:p>
        </w:tc>
        <w:tc>
          <w:tcPr>
            <w:tcW w:type="dxa" w:w="1224"/>
          </w:tcPr>
          <w:p>
            <w:pPr>
              <w:spacing w:after="20"/>
              <w:jc w:val="right"/>
            </w:pPr>
            <w:r>
              <w:rPr>
                <w:color w:val="1C3A36"/>
                <w:sz w:val="15"/>
              </w:rPr>
              <w:t>12.47%</w:t>
            </w:r>
          </w:p>
        </w:tc>
        <w:tc>
          <w:tcPr>
            <w:tcW w:type="dxa" w:w="1224"/>
          </w:tcPr>
          <w:p>
            <w:pPr>
              <w:spacing w:after="20"/>
              <w:jc w:val="right"/>
            </w:pPr>
            <w:r>
              <w:rPr>
                <w:color w:val="1C3A36"/>
                <w:sz w:val="15"/>
              </w:rPr>
              <w:t>12.48%</w:t>
            </w:r>
          </w:p>
        </w:tc>
      </w:tr>
      <w:tr>
        <w:tc>
          <w:tcPr>
            <w:tcW w:type="dxa" w:w="2232"/>
          </w:tcPr>
          <w:p>
            <w:pPr>
              <w:spacing w:after="20"/>
            </w:pPr>
            <w:r>
              <w:rPr>
                <w:color w:val="1C3A36"/>
                <w:sz w:val="15"/>
              </w:rPr>
              <w:t>Operating profit</w:t>
            </w:r>
          </w:p>
        </w:tc>
        <w:tc>
          <w:tcPr>
            <w:tcW w:type="dxa" w:w="1224"/>
          </w:tcPr>
          <w:p>
            <w:pPr>
              <w:spacing w:after="20"/>
              <w:jc w:val="right"/>
            </w:pPr>
            <w:r>
              <w:rPr>
                <w:color w:val="1C3A36"/>
                <w:sz w:val="15"/>
              </w:rPr>
              <w:t>4,407</w:t>
            </w:r>
          </w:p>
        </w:tc>
        <w:tc>
          <w:tcPr>
            <w:tcW w:type="dxa" w:w="1224"/>
          </w:tcPr>
          <w:p>
            <w:pPr>
              <w:spacing w:after="20"/>
              <w:jc w:val="right"/>
            </w:pPr>
            <w:r>
              <w:rPr>
                <w:color w:val="1C3A36"/>
                <w:sz w:val="15"/>
              </w:rPr>
              <w:t>4,779</w:t>
            </w:r>
          </w:p>
        </w:tc>
        <w:tc>
          <w:tcPr>
            <w:tcW w:type="dxa" w:w="1224"/>
          </w:tcPr>
          <w:p>
            <w:pPr>
              <w:spacing w:after="20"/>
              <w:jc w:val="right"/>
            </w:pPr>
            <w:r>
              <w:rPr>
                <w:color w:val="1C3A36"/>
                <w:sz w:val="15"/>
              </w:rPr>
              <w:t>5,030</w:t>
            </w:r>
          </w:p>
        </w:tc>
        <w:tc>
          <w:tcPr>
            <w:tcW w:type="dxa" w:w="1224"/>
          </w:tcPr>
          <w:p>
            <w:pPr>
              <w:spacing w:after="20"/>
              <w:jc w:val="right"/>
            </w:pPr>
            <w:r>
              <w:rPr>
                <w:color w:val="1C3A36"/>
                <w:sz w:val="15"/>
              </w:rPr>
              <w:t>5,214</w:t>
            </w:r>
          </w:p>
        </w:tc>
        <w:tc>
          <w:tcPr>
            <w:tcW w:type="dxa" w:w="1224"/>
          </w:tcPr>
          <w:p>
            <w:pPr>
              <w:spacing w:after="20"/>
              <w:jc w:val="right"/>
            </w:pPr>
            <w:r>
              <w:rPr>
                <w:color w:val="1C3A36"/>
                <w:sz w:val="15"/>
              </w:rPr>
              <w:t>5,375</w:t>
            </w:r>
          </w:p>
        </w:tc>
      </w:tr>
      <w:tr>
        <w:tc>
          <w:tcPr>
            <w:tcW w:type="dxa" w:w="2232"/>
          </w:tcPr>
          <w:p>
            <w:pPr>
              <w:spacing w:after="20"/>
            </w:pPr>
            <w:r>
              <w:rPr>
                <w:color w:val="1C3A36"/>
                <w:sz w:val="15"/>
              </w:rPr>
              <w:t>Net finance income</w:t>
            </w:r>
          </w:p>
        </w:tc>
        <w:tc>
          <w:tcPr>
            <w:tcW w:type="dxa" w:w="1224"/>
          </w:tcPr>
          <w:p>
            <w:pPr>
              <w:spacing w:after="20"/>
              <w:jc w:val="right"/>
            </w:pPr>
            <w:r>
              <w:rPr>
                <w:color w:val="1C3A36"/>
                <w:sz w:val="15"/>
              </w:rPr>
              <w:t>509</w:t>
            </w:r>
          </w:p>
        </w:tc>
        <w:tc>
          <w:tcPr>
            <w:tcW w:type="dxa" w:w="1224"/>
          </w:tcPr>
          <w:p>
            <w:pPr>
              <w:spacing w:after="20"/>
              <w:jc w:val="right"/>
            </w:pPr>
            <w:r>
              <w:rPr>
                <w:color w:val="1C3A36"/>
                <w:sz w:val="15"/>
              </w:rPr>
              <w:t>359</w:t>
            </w:r>
          </w:p>
        </w:tc>
        <w:tc>
          <w:tcPr>
            <w:tcW w:type="dxa" w:w="1224"/>
          </w:tcPr>
          <w:p>
            <w:pPr>
              <w:spacing w:after="20"/>
              <w:jc w:val="right"/>
            </w:pPr>
            <w:r>
              <w:rPr>
                <w:color w:val="1C3A36"/>
                <w:sz w:val="15"/>
              </w:rPr>
              <w:t>251</w:t>
            </w:r>
          </w:p>
        </w:tc>
        <w:tc>
          <w:tcPr>
            <w:tcW w:type="dxa" w:w="1224"/>
          </w:tcPr>
          <w:p>
            <w:pPr>
              <w:spacing w:after="20"/>
              <w:jc w:val="right"/>
            </w:pPr>
            <w:r>
              <w:rPr>
                <w:color w:val="1C3A36"/>
                <w:sz w:val="15"/>
              </w:rPr>
              <w:t>175</w:t>
            </w:r>
          </w:p>
        </w:tc>
        <w:tc>
          <w:tcPr>
            <w:tcW w:type="dxa" w:w="1224"/>
          </w:tcPr>
          <w:p>
            <w:pPr>
              <w:spacing w:after="20"/>
              <w:jc w:val="right"/>
            </w:pPr>
            <w:r>
              <w:rPr>
                <w:color w:val="1C3A36"/>
                <w:sz w:val="15"/>
              </w:rPr>
              <w:t>115</w:t>
            </w:r>
          </w:p>
        </w:tc>
      </w:tr>
      <w:tr>
        <w:tc>
          <w:tcPr>
            <w:tcW w:type="dxa" w:w="2232"/>
          </w:tcPr>
          <w:p>
            <w:pPr>
              <w:spacing w:after="20"/>
            </w:pPr>
            <w:r>
              <w:rPr>
                <w:color w:val="1C3A36"/>
                <w:sz w:val="15"/>
              </w:rPr>
              <w:t>Attributable profit</w:t>
            </w:r>
          </w:p>
        </w:tc>
        <w:tc>
          <w:tcPr>
            <w:tcW w:type="dxa" w:w="1224"/>
          </w:tcPr>
          <w:p>
            <w:pPr>
              <w:spacing w:after="20"/>
              <w:jc w:val="right"/>
            </w:pPr>
            <w:r>
              <w:rPr>
                <w:color w:val="1C3A36"/>
                <w:sz w:val="15"/>
              </w:rPr>
              <w:t>3,651</w:t>
            </w:r>
          </w:p>
        </w:tc>
        <w:tc>
          <w:tcPr>
            <w:tcW w:type="dxa" w:w="1224"/>
          </w:tcPr>
          <w:p>
            <w:pPr>
              <w:spacing w:after="20"/>
              <w:jc w:val="right"/>
            </w:pPr>
            <w:r>
              <w:rPr>
                <w:color w:val="1C3A36"/>
                <w:sz w:val="15"/>
              </w:rPr>
              <w:t>3,816</w:t>
            </w:r>
          </w:p>
        </w:tc>
        <w:tc>
          <w:tcPr>
            <w:tcW w:type="dxa" w:w="1224"/>
          </w:tcPr>
          <w:p>
            <w:pPr>
              <w:spacing w:after="20"/>
              <w:jc w:val="right"/>
            </w:pPr>
            <w:r>
              <w:rPr>
                <w:color w:val="1C3A36"/>
                <w:sz w:val="15"/>
              </w:rPr>
              <w:t>3,922</w:t>
            </w:r>
          </w:p>
        </w:tc>
        <w:tc>
          <w:tcPr>
            <w:tcW w:type="dxa" w:w="1224"/>
          </w:tcPr>
          <w:p>
            <w:pPr>
              <w:spacing w:after="20"/>
              <w:jc w:val="right"/>
            </w:pPr>
            <w:r>
              <w:rPr>
                <w:color w:val="1C3A36"/>
                <w:sz w:val="15"/>
              </w:rPr>
              <w:t>4,002</w:t>
            </w:r>
          </w:p>
        </w:tc>
        <w:tc>
          <w:tcPr>
            <w:tcW w:type="dxa" w:w="1224"/>
          </w:tcPr>
          <w:p>
            <w:pPr>
              <w:spacing w:after="20"/>
              <w:jc w:val="right"/>
            </w:pPr>
            <w:r>
              <w:rPr>
                <w:color w:val="1C3A36"/>
                <w:sz w:val="15"/>
              </w:rPr>
              <w:t>4,077</w:t>
            </w:r>
          </w:p>
        </w:tc>
      </w:tr>
    </w:tbl>
    <w:p>
      <w:pPr>
        <w:spacing w:after="40"/>
      </w:pPr>
    </w:p>
    <w:p>
      <w:pPr>
        <w:spacing w:after="200" w:before="0"/>
      </w:pPr>
      <w:r>
        <w:rPr>
          <w:b w:val="0"/>
          <w:i/>
          <w:color w:val="6E7B77"/>
          <w:sz w:val="17"/>
        </w:rPr>
        <w:t>Table A.1 — the 5 filed periods are AS FILED and are of unequal length (six-month periods and quarters), so they are shown as reported rather than annualised. The forecast columns are the model.</w:t>
      </w:r>
    </w:p>
    <w:p>
      <w:pPr>
        <w:spacing w:after="120" w:before="0"/>
      </w:pPr>
      <w:r>
        <w:rPr>
          <w:b w:val="0"/>
          <w:i w:val="0"/>
          <w:color w:val="1C3A36"/>
          <w:sz w:val="21"/>
        </w:rPr>
        <w:t>READ THE LAST FILED COLUMN AGAINST THE FIRST FORECAST COLUMN. The most recent filed period, 6M Jun-2026, carries a gross margin of 12.43%; the first forecast year opens at 12.43% and the path is held roughly flat from there. THE FORECAST IS THEREFORE BELOW THE LATEST FILED PERIOD, and a reader is entitled to know that without deriving it. The reason is the base year: the model is anchored on the twelve months to 30 June 2026, which averages that half with the weaker one before it (6.14%), rather than on the latest half alone. Whether that weakness is seasonal or a superseded level is this study’s largest contested judgement: the same quarter a year apart runs 5.05% against 10.19%, which no seasonal pattern produces. Anchoring on the latest half and holding it flat gives EGP 20.05 a share, and THAT IS THE BASIS THIS EDITION ADOPTS: the published EGP 20.05 is struck on the reviewed half at a gross margin of 12.428%, not on the twelve-month blend of 9.653%. The superseded blend is retained and priced rather than deleted: it gives EGP 12.85 a share. THE CORRECTION CROSSES THE TRADED PRICE, from below it to well above, and it is taken on the filed evidence rather than withheld for where it lands.</w:t>
      </w:r>
    </w:p>
    <w:p>
      <w:pPr>
        <w:spacing w:after="80" w:before="200"/>
      </w:pPr>
      <w:r>
        <w:rPr>
          <w:b/>
          <w:i w:val="0"/>
          <w:color w:val="1C3A36"/>
          <w:sz w:val="24"/>
        </w:rPr>
        <w:t>A.2  Balance sheet — as filed at 31 December 2025, and the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656"/>
        <w:gridCol w:w="1037"/>
        <w:gridCol w:w="1037"/>
        <w:gridCol w:w="1037"/>
        <w:gridCol w:w="1037"/>
        <w:gridCol w:w="1037"/>
      </w:tblGrid>
      <w:tr>
        <w:tc>
          <w:tcPr>
            <w:tcW w:type="dxa" w:w="3312"/>
            <w:shd w:val="clear" w:color="auto" w:fill="EAF0EE"/>
          </w:tcPr>
          <w:p>
            <w:pPr>
              <w:spacing w:after="20"/>
            </w:pPr>
            <w:r>
              <w:rPr>
                <w:b/>
                <w:color w:val="1C3A36"/>
                <w:sz w:val="16"/>
              </w:rPr>
            </w:r>
          </w:p>
        </w:tc>
        <w:tc>
          <w:tcPr>
            <w:tcW w:type="dxa" w:w="1656"/>
            <w:shd w:val="clear" w:color="auto" w:fill="EAF0EE"/>
          </w:tcPr>
          <w:p>
            <w:pPr>
              <w:spacing w:after="20"/>
            </w:pPr>
            <w:r>
              <w:rPr>
                <w:b/>
                <w:color w:val="1C3A36"/>
                <w:sz w:val="16"/>
              </w:rPr>
              <w:t>Filed 31-Dec-2025</w:t>
            </w:r>
          </w:p>
        </w:tc>
        <w:tc>
          <w:tcPr>
            <w:tcW w:type="dxa" w:w="1037"/>
            <w:shd w:val="clear" w:color="auto" w:fill="EAF0EE"/>
          </w:tcPr>
          <w:p>
            <w:pPr>
              <w:spacing w:after="20"/>
            </w:pPr>
            <w:r>
              <w:rPr>
                <w:b/>
                <w:color w:val="1C3A36"/>
                <w:sz w:val="16"/>
              </w:rPr>
              <w:t>2026E</w:t>
            </w:r>
          </w:p>
        </w:tc>
        <w:tc>
          <w:tcPr>
            <w:tcW w:type="dxa" w:w="1037"/>
            <w:shd w:val="clear" w:color="auto" w:fill="EAF0EE"/>
          </w:tcPr>
          <w:p>
            <w:pPr>
              <w:spacing w:after="20"/>
            </w:pPr>
            <w:r>
              <w:rPr>
                <w:b/>
                <w:color w:val="1C3A36"/>
                <w:sz w:val="16"/>
              </w:rPr>
              <w:t>2027E</w:t>
            </w:r>
          </w:p>
        </w:tc>
        <w:tc>
          <w:tcPr>
            <w:tcW w:type="dxa" w:w="1037"/>
            <w:shd w:val="clear" w:color="auto" w:fill="EAF0EE"/>
          </w:tcPr>
          <w:p>
            <w:pPr>
              <w:spacing w:after="20"/>
            </w:pPr>
            <w:r>
              <w:rPr>
                <w:b/>
                <w:color w:val="1C3A36"/>
                <w:sz w:val="16"/>
              </w:rPr>
              <w:t>2028E</w:t>
            </w:r>
          </w:p>
        </w:tc>
        <w:tc>
          <w:tcPr>
            <w:tcW w:type="dxa" w:w="1037"/>
            <w:shd w:val="clear" w:color="auto" w:fill="EAF0EE"/>
          </w:tcPr>
          <w:p>
            <w:pPr>
              <w:spacing w:after="20"/>
            </w:pPr>
            <w:r>
              <w:rPr>
                <w:b/>
                <w:color w:val="1C3A36"/>
                <w:sz w:val="16"/>
              </w:rPr>
              <w:t>2029E</w:t>
            </w:r>
          </w:p>
        </w:tc>
        <w:tc>
          <w:tcPr>
            <w:tcW w:type="dxa" w:w="1037"/>
            <w:shd w:val="clear" w:color="auto" w:fill="EAF0EE"/>
          </w:tcPr>
          <w:p>
            <w:pPr>
              <w:spacing w:after="20"/>
            </w:pPr>
            <w:r>
              <w:rPr>
                <w:b/>
                <w:color w:val="1C3A36"/>
                <w:sz w:val="16"/>
              </w:rPr>
              <w:t>2030E</w:t>
            </w:r>
          </w:p>
        </w:tc>
      </w:tr>
      <w:tr>
        <w:tc>
          <w:tcPr>
            <w:tcW w:type="dxa" w:w="3312"/>
          </w:tcPr>
          <w:p>
            <w:pPr>
              <w:spacing w:after="20"/>
            </w:pPr>
            <w:r>
              <w:rPr>
                <w:color w:val="1C3A36"/>
                <w:sz w:val="16"/>
              </w:rPr>
              <w:t>Property, plant and equipment, net</w:t>
            </w:r>
          </w:p>
        </w:tc>
        <w:tc>
          <w:tcPr>
            <w:tcW w:type="dxa" w:w="1656"/>
          </w:tcPr>
          <w:p>
            <w:pPr>
              <w:spacing w:after="20"/>
              <w:jc w:val="right"/>
            </w:pPr>
            <w:r>
              <w:rPr>
                <w:color w:val="1C3A36"/>
                <w:sz w:val="16"/>
              </w:rPr>
              <w:t>1,288</w:t>
            </w:r>
          </w:p>
        </w:tc>
        <w:tc>
          <w:tcPr>
            <w:tcW w:type="dxa" w:w="1037"/>
          </w:tcPr>
          <w:p>
            <w:pPr>
              <w:spacing w:after="20"/>
              <w:jc w:val="right"/>
            </w:pPr>
            <w:r>
              <w:rPr>
                <w:color w:val="1C3A36"/>
                <w:sz w:val="16"/>
              </w:rPr>
              <w:t>1,289</w:t>
            </w:r>
          </w:p>
        </w:tc>
        <w:tc>
          <w:tcPr>
            <w:tcW w:type="dxa" w:w="1037"/>
          </w:tcPr>
          <w:p>
            <w:pPr>
              <w:spacing w:after="20"/>
              <w:jc w:val="right"/>
            </w:pPr>
            <w:r>
              <w:rPr>
                <w:color w:val="1C3A36"/>
                <w:sz w:val="16"/>
              </w:rPr>
              <w:t>1,302</w:t>
            </w:r>
          </w:p>
        </w:tc>
        <w:tc>
          <w:tcPr>
            <w:tcW w:type="dxa" w:w="1037"/>
          </w:tcPr>
          <w:p>
            <w:pPr>
              <w:spacing w:after="20"/>
              <w:jc w:val="right"/>
            </w:pPr>
            <w:r>
              <w:rPr>
                <w:color w:val="1C3A36"/>
                <w:sz w:val="16"/>
              </w:rPr>
              <w:t>1,321</w:t>
            </w:r>
          </w:p>
        </w:tc>
        <w:tc>
          <w:tcPr>
            <w:tcW w:type="dxa" w:w="1037"/>
          </w:tcPr>
          <w:p>
            <w:pPr>
              <w:spacing w:after="20"/>
              <w:jc w:val="right"/>
            </w:pPr>
            <w:r>
              <w:rPr>
                <w:color w:val="1C3A36"/>
                <w:sz w:val="16"/>
              </w:rPr>
              <w:t>1,345</w:t>
            </w:r>
          </w:p>
        </w:tc>
        <w:tc>
          <w:tcPr>
            <w:tcW w:type="dxa" w:w="1037"/>
          </w:tcPr>
          <w:p>
            <w:pPr>
              <w:spacing w:after="20"/>
              <w:jc w:val="right"/>
            </w:pPr>
            <w:r>
              <w:rPr>
                <w:color w:val="1C3A36"/>
                <w:sz w:val="16"/>
              </w:rPr>
              <w:t>1,371</w:t>
            </w:r>
          </w:p>
        </w:tc>
      </w:tr>
      <w:tr>
        <w:tc>
          <w:tcPr>
            <w:tcW w:type="dxa" w:w="3312"/>
          </w:tcPr>
          <w:p>
            <w:pPr>
              <w:spacing w:after="20"/>
            </w:pPr>
            <w:r>
              <w:rPr>
                <w:color w:val="1C3A36"/>
                <w:sz w:val="16"/>
              </w:rPr>
              <w:t>Net working capital</w:t>
            </w:r>
          </w:p>
        </w:tc>
        <w:tc>
          <w:tcPr>
            <w:tcW w:type="dxa" w:w="1656"/>
          </w:tcPr>
          <w:p>
            <w:pPr>
              <w:spacing w:after="20"/>
              <w:jc w:val="right"/>
            </w:pPr>
            <w:r>
              <w:rPr>
                <w:color w:val="1C3A36"/>
                <w:sz w:val="16"/>
              </w:rPr>
              <w:t>3,389</w:t>
            </w:r>
          </w:p>
        </w:tc>
        <w:tc>
          <w:tcPr>
            <w:tcW w:type="dxa" w:w="1037"/>
          </w:tcPr>
          <w:p>
            <w:pPr>
              <w:spacing w:after="20"/>
              <w:jc w:val="right"/>
            </w:pPr>
            <w:r>
              <w:rPr>
                <w:color w:val="1C3A36"/>
                <w:sz w:val="16"/>
              </w:rPr>
              <w:t>3,836</w:t>
            </w:r>
          </w:p>
        </w:tc>
        <w:tc>
          <w:tcPr>
            <w:tcW w:type="dxa" w:w="1037"/>
          </w:tcPr>
          <w:p>
            <w:pPr>
              <w:spacing w:after="20"/>
              <w:jc w:val="right"/>
            </w:pPr>
            <w:r>
              <w:rPr>
                <w:color w:val="1C3A36"/>
                <w:sz w:val="16"/>
              </w:rPr>
              <w:t>4,191</w:t>
            </w:r>
          </w:p>
        </w:tc>
        <w:tc>
          <w:tcPr>
            <w:tcW w:type="dxa" w:w="1037"/>
          </w:tcPr>
          <w:p>
            <w:pPr>
              <w:spacing w:after="20"/>
              <w:jc w:val="right"/>
            </w:pPr>
            <w:r>
              <w:rPr>
                <w:color w:val="1C3A36"/>
                <w:sz w:val="16"/>
              </w:rPr>
              <w:t>4,456</w:t>
            </w:r>
          </w:p>
        </w:tc>
        <w:tc>
          <w:tcPr>
            <w:tcW w:type="dxa" w:w="1037"/>
          </w:tcPr>
          <w:p>
            <w:pPr>
              <w:spacing w:after="20"/>
              <w:jc w:val="right"/>
            </w:pPr>
            <w:r>
              <w:rPr>
                <w:color w:val="1C3A36"/>
                <w:sz w:val="16"/>
              </w:rPr>
              <w:t>4,674</w:t>
            </w:r>
          </w:p>
        </w:tc>
        <w:tc>
          <w:tcPr>
            <w:tcW w:type="dxa" w:w="1037"/>
          </w:tcPr>
          <w:p>
            <w:pPr>
              <w:spacing w:after="20"/>
              <w:jc w:val="right"/>
            </w:pPr>
            <w:r>
              <w:rPr>
                <w:color w:val="1C3A36"/>
                <w:sz w:val="16"/>
              </w:rPr>
              <w:t>4,879</w:t>
            </w:r>
          </w:p>
        </w:tc>
      </w:tr>
      <w:tr>
        <w:tc>
          <w:tcPr>
            <w:tcW w:type="dxa" w:w="3312"/>
            <w:shd w:val="clear" w:color="auto" w:fill="F6F1E6"/>
          </w:tcPr>
          <w:p>
            <w:pPr>
              <w:spacing w:after="20"/>
            </w:pPr>
            <w:r>
              <w:rPr>
                <w:b/>
                <w:color w:val="1C3A36"/>
                <w:sz w:val="16"/>
              </w:rPr>
              <w:t>INVESTED CAPITAL</w:t>
            </w:r>
          </w:p>
        </w:tc>
        <w:tc>
          <w:tcPr>
            <w:tcW w:type="dxa" w:w="1656"/>
            <w:shd w:val="clear" w:color="auto" w:fill="F6F1E6"/>
          </w:tcPr>
          <w:p>
            <w:pPr>
              <w:spacing w:after="20"/>
              <w:jc w:val="right"/>
            </w:pPr>
            <w:r>
              <w:rPr>
                <w:b/>
                <w:color w:val="1C3A36"/>
                <w:sz w:val="16"/>
              </w:rPr>
              <w:t>4,677</w:t>
            </w:r>
          </w:p>
        </w:tc>
        <w:tc>
          <w:tcPr>
            <w:tcW w:type="dxa" w:w="1037"/>
            <w:shd w:val="clear" w:color="auto" w:fill="F6F1E6"/>
          </w:tcPr>
          <w:p>
            <w:pPr>
              <w:spacing w:after="20"/>
              <w:jc w:val="right"/>
            </w:pPr>
            <w:r>
              <w:rPr>
                <w:b/>
                <w:color w:val="1C3A36"/>
                <w:sz w:val="16"/>
              </w:rPr>
              <w:t>5,125</w:t>
            </w:r>
          </w:p>
        </w:tc>
        <w:tc>
          <w:tcPr>
            <w:tcW w:type="dxa" w:w="1037"/>
            <w:shd w:val="clear" w:color="auto" w:fill="F6F1E6"/>
          </w:tcPr>
          <w:p>
            <w:pPr>
              <w:spacing w:after="20"/>
              <w:jc w:val="right"/>
            </w:pPr>
            <w:r>
              <w:rPr>
                <w:b/>
                <w:color w:val="1C3A36"/>
                <w:sz w:val="16"/>
              </w:rPr>
              <w:t>5,493</w:t>
            </w:r>
          </w:p>
        </w:tc>
        <w:tc>
          <w:tcPr>
            <w:tcW w:type="dxa" w:w="1037"/>
            <w:shd w:val="clear" w:color="auto" w:fill="F6F1E6"/>
          </w:tcPr>
          <w:p>
            <w:pPr>
              <w:spacing w:after="20"/>
              <w:jc w:val="right"/>
            </w:pPr>
            <w:r>
              <w:rPr>
                <w:b/>
                <w:color w:val="1C3A36"/>
                <w:sz w:val="16"/>
              </w:rPr>
              <w:t>5,778</w:t>
            </w:r>
          </w:p>
        </w:tc>
        <w:tc>
          <w:tcPr>
            <w:tcW w:type="dxa" w:w="1037"/>
            <w:shd w:val="clear" w:color="auto" w:fill="F6F1E6"/>
          </w:tcPr>
          <w:p>
            <w:pPr>
              <w:spacing w:after="20"/>
              <w:jc w:val="right"/>
            </w:pPr>
            <w:r>
              <w:rPr>
                <w:b/>
                <w:color w:val="1C3A36"/>
                <w:sz w:val="16"/>
              </w:rPr>
              <w:t>6,018</w:t>
            </w:r>
          </w:p>
        </w:tc>
        <w:tc>
          <w:tcPr>
            <w:tcW w:type="dxa" w:w="1037"/>
            <w:shd w:val="clear" w:color="auto" w:fill="F6F1E6"/>
          </w:tcPr>
          <w:p>
            <w:pPr>
              <w:spacing w:after="20"/>
              <w:jc w:val="right"/>
            </w:pPr>
            <w:r>
              <w:rPr>
                <w:b/>
                <w:color w:val="1C3A36"/>
                <w:sz w:val="16"/>
              </w:rPr>
              <w:t>6,250</w:t>
            </w:r>
          </w:p>
        </w:tc>
      </w:tr>
      <w:tr>
        <w:tc>
          <w:tcPr>
            <w:tcW w:type="dxa" w:w="3312"/>
          </w:tcPr>
          <w:p>
            <w:pPr>
              <w:spacing w:after="20"/>
            </w:pPr>
            <w:r>
              <w:rPr>
                <w:color w:val="1C3A36"/>
                <w:sz w:val="16"/>
              </w:rPr>
              <w:t>Cash and equivalents, free</w:t>
            </w:r>
          </w:p>
        </w:tc>
        <w:tc>
          <w:tcPr>
            <w:tcW w:type="dxa" w:w="1656"/>
          </w:tcPr>
          <w:p>
            <w:pPr>
              <w:spacing w:after="20"/>
              <w:jc w:val="right"/>
            </w:pPr>
            <w:r>
              <w:rPr>
                <w:color w:val="1C3A36"/>
                <w:sz w:val="16"/>
              </w:rPr>
              <w:t>3,018</w:t>
            </w:r>
          </w:p>
        </w:tc>
        <w:tc>
          <w:tcPr>
            <w:tcW w:type="dxa" w:w="1037"/>
          </w:tcPr>
          <w:p>
            <w:pPr>
              <w:spacing w:after="20"/>
              <w:jc w:val="right"/>
            </w:pPr>
            <w:r>
              <w:rPr>
                <w:color w:val="1C3A36"/>
                <w:sz w:val="16"/>
              </w:rPr>
              <w:t>2,417</w:t>
            </w:r>
          </w:p>
        </w:tc>
        <w:tc>
          <w:tcPr>
            <w:tcW w:type="dxa" w:w="1037"/>
          </w:tcPr>
          <w:p>
            <w:pPr>
              <w:spacing w:after="20"/>
              <w:jc w:val="right"/>
            </w:pPr>
            <w:r>
              <w:rPr>
                <w:color w:val="1C3A36"/>
                <w:sz w:val="16"/>
              </w:rPr>
              <w:t>1,881</w:t>
            </w:r>
          </w:p>
        </w:tc>
        <w:tc>
          <w:tcPr>
            <w:tcW w:type="dxa" w:w="1037"/>
          </w:tcPr>
          <w:p>
            <w:pPr>
              <w:spacing w:after="20"/>
              <w:jc w:val="right"/>
            </w:pPr>
            <w:r>
              <w:rPr>
                <w:color w:val="1C3A36"/>
                <w:sz w:val="16"/>
              </w:rPr>
              <w:t>1,418</w:t>
            </w:r>
          </w:p>
        </w:tc>
        <w:tc>
          <w:tcPr>
            <w:tcW w:type="dxa" w:w="1037"/>
          </w:tcPr>
          <w:p>
            <w:pPr>
              <w:spacing w:after="20"/>
              <w:jc w:val="right"/>
            </w:pPr>
            <w:r>
              <w:rPr>
                <w:color w:val="1C3A36"/>
                <w:sz w:val="16"/>
              </w:rPr>
              <w:t>992</w:t>
            </w:r>
          </w:p>
        </w:tc>
        <w:tc>
          <w:tcPr>
            <w:tcW w:type="dxa" w:w="1037"/>
          </w:tcPr>
          <w:p>
            <w:pPr>
              <w:spacing w:after="20"/>
              <w:jc w:val="right"/>
            </w:pPr>
            <w:r>
              <w:rPr>
                <w:color w:val="1C3A36"/>
                <w:sz w:val="16"/>
              </w:rPr>
              <w:t>569</w:t>
            </w:r>
          </w:p>
        </w:tc>
      </w:tr>
      <w:tr>
        <w:tc>
          <w:tcPr>
            <w:tcW w:type="dxa" w:w="3312"/>
          </w:tcPr>
          <w:p>
            <w:pPr>
              <w:spacing w:after="20"/>
            </w:pPr>
            <w:r>
              <w:rPr>
                <w:color w:val="1C3A36"/>
                <w:sz w:val="16"/>
              </w:rPr>
              <w:t>Net debt (negative = net cash)</w:t>
            </w:r>
          </w:p>
        </w:tc>
        <w:tc>
          <w:tcPr>
            <w:tcW w:type="dxa" w:w="1656"/>
          </w:tcPr>
          <w:p>
            <w:pPr>
              <w:spacing w:after="20"/>
              <w:jc w:val="right"/>
            </w:pPr>
            <w:r>
              <w:rPr>
                <w:color w:val="1C3A36"/>
                <w:sz w:val="16"/>
              </w:rPr>
              <w:t>-3,002</w:t>
            </w:r>
          </w:p>
        </w:tc>
        <w:tc>
          <w:tcPr>
            <w:tcW w:type="dxa" w:w="1037"/>
          </w:tcPr>
          <w:p>
            <w:pPr>
              <w:spacing w:after="20"/>
              <w:jc w:val="right"/>
            </w:pPr>
            <w:r>
              <w:rPr>
                <w:color w:val="1C3A36"/>
                <w:sz w:val="16"/>
              </w:rPr>
              <w:t>-2,401</w:t>
            </w:r>
          </w:p>
        </w:tc>
        <w:tc>
          <w:tcPr>
            <w:tcW w:type="dxa" w:w="1037"/>
          </w:tcPr>
          <w:p>
            <w:pPr>
              <w:spacing w:after="20"/>
              <w:jc w:val="right"/>
            </w:pPr>
            <w:r>
              <w:rPr>
                <w:color w:val="1C3A36"/>
                <w:sz w:val="16"/>
              </w:rPr>
              <w:t>-1,864</w:t>
            </w:r>
          </w:p>
        </w:tc>
        <w:tc>
          <w:tcPr>
            <w:tcW w:type="dxa" w:w="1037"/>
          </w:tcPr>
          <w:p>
            <w:pPr>
              <w:spacing w:after="20"/>
              <w:jc w:val="right"/>
            </w:pPr>
            <w:r>
              <w:rPr>
                <w:color w:val="1C3A36"/>
                <w:sz w:val="16"/>
              </w:rPr>
              <w:t>-1,401</w:t>
            </w:r>
          </w:p>
        </w:tc>
        <w:tc>
          <w:tcPr>
            <w:tcW w:type="dxa" w:w="1037"/>
          </w:tcPr>
          <w:p>
            <w:pPr>
              <w:spacing w:after="20"/>
              <w:jc w:val="right"/>
            </w:pPr>
            <w:r>
              <w:rPr>
                <w:color w:val="1C3A36"/>
                <w:sz w:val="16"/>
              </w:rPr>
              <w:t>-975</w:t>
            </w:r>
          </w:p>
        </w:tc>
        <w:tc>
          <w:tcPr>
            <w:tcW w:type="dxa" w:w="1037"/>
          </w:tcPr>
          <w:p>
            <w:pPr>
              <w:spacing w:after="20"/>
              <w:jc w:val="right"/>
            </w:pPr>
            <w:r>
              <w:rPr>
                <w:color w:val="1C3A36"/>
                <w:sz w:val="16"/>
              </w:rPr>
              <w:t>-552</w:t>
            </w:r>
          </w:p>
        </w:tc>
      </w:tr>
      <w:tr>
        <w:tc>
          <w:tcPr>
            <w:tcW w:type="dxa" w:w="3312"/>
          </w:tcPr>
          <w:p>
            <w:pPr>
              <w:spacing w:after="20"/>
            </w:pPr>
            <w:r>
              <w:rPr>
                <w:color w:val="1C3A36"/>
                <w:sz w:val="16"/>
              </w:rPr>
              <w:t>Parent equity</w:t>
            </w:r>
          </w:p>
        </w:tc>
        <w:tc>
          <w:tcPr>
            <w:tcW w:type="dxa" w:w="1656"/>
          </w:tcPr>
          <w:p>
            <w:pPr>
              <w:spacing w:after="20"/>
              <w:jc w:val="right"/>
            </w:pPr>
            <w:r>
              <w:rPr>
                <w:color w:val="1C3A36"/>
                <w:sz w:val="16"/>
              </w:rPr>
              <w:t>6,070</w:t>
            </w:r>
          </w:p>
        </w:tc>
        <w:tc>
          <w:tcPr>
            <w:tcW w:type="dxa" w:w="1037"/>
          </w:tcPr>
          <w:p>
            <w:pPr>
              <w:spacing w:after="20"/>
              <w:jc w:val="right"/>
            </w:pPr>
            <w:r>
              <w:rPr>
                <w:color w:val="1C3A36"/>
                <w:sz w:val="16"/>
              </w:rPr>
              <w:t>5,935</w:t>
            </w:r>
          </w:p>
        </w:tc>
        <w:tc>
          <w:tcPr>
            <w:tcW w:type="dxa" w:w="1037"/>
          </w:tcPr>
          <w:p>
            <w:pPr>
              <w:spacing w:after="20"/>
              <w:jc w:val="right"/>
            </w:pPr>
            <w:r>
              <w:rPr>
                <w:color w:val="1C3A36"/>
                <w:sz w:val="16"/>
              </w:rPr>
              <w:t>5,793</w:t>
            </w:r>
          </w:p>
        </w:tc>
        <w:tc>
          <w:tcPr>
            <w:tcW w:type="dxa" w:w="1037"/>
          </w:tcPr>
          <w:p>
            <w:pPr>
              <w:spacing w:after="20"/>
              <w:jc w:val="right"/>
            </w:pPr>
            <w:r>
              <w:rPr>
                <w:color w:val="1C3A36"/>
                <w:sz w:val="16"/>
              </w:rPr>
              <w:t>5,647</w:t>
            </w:r>
          </w:p>
        </w:tc>
        <w:tc>
          <w:tcPr>
            <w:tcW w:type="dxa" w:w="1037"/>
          </w:tcPr>
          <w:p>
            <w:pPr>
              <w:spacing w:after="20"/>
              <w:jc w:val="right"/>
            </w:pPr>
            <w:r>
              <w:rPr>
                <w:color w:val="1C3A36"/>
                <w:sz w:val="16"/>
              </w:rPr>
              <w:t>5,499</w:t>
            </w:r>
          </w:p>
        </w:tc>
        <w:tc>
          <w:tcPr>
            <w:tcW w:type="dxa" w:w="1037"/>
          </w:tcPr>
          <w:p>
            <w:pPr>
              <w:spacing w:after="20"/>
              <w:jc w:val="right"/>
            </w:pPr>
            <w:r>
              <w:rPr>
                <w:color w:val="1C3A36"/>
                <w:sz w:val="16"/>
              </w:rPr>
              <w:t>5,347</w:t>
            </w:r>
          </w:p>
        </w:tc>
      </w:tr>
      <w:tr>
        <w:tc>
          <w:tcPr>
            <w:tcW w:type="dxa" w:w="3312"/>
          </w:tcPr>
          <w:p>
            <w:pPr>
              <w:spacing w:after="20"/>
            </w:pPr>
            <w:r>
              <w:rPr>
                <w:color w:val="1C3A36"/>
                <w:sz w:val="16"/>
              </w:rPr>
              <w:t>Total assets, as filed</w:t>
            </w:r>
          </w:p>
        </w:tc>
        <w:tc>
          <w:tcPr>
            <w:tcW w:type="dxa" w:w="1656"/>
          </w:tcPr>
          <w:p>
            <w:pPr>
              <w:spacing w:after="20"/>
              <w:jc w:val="right"/>
            </w:pPr>
            <w:r>
              <w:rPr>
                <w:color w:val="1C3A36"/>
                <w:sz w:val="16"/>
              </w:rPr>
              <w:t>11,405</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Total liabilities, as filed</w:t>
            </w:r>
          </w:p>
        </w:tc>
        <w:tc>
          <w:tcPr>
            <w:tcW w:type="dxa" w:w="1656"/>
          </w:tcPr>
          <w:p>
            <w:pPr>
              <w:spacing w:after="20"/>
              <w:jc w:val="right"/>
            </w:pPr>
            <w:r>
              <w:rPr>
                <w:color w:val="1C3A36"/>
                <w:sz w:val="16"/>
              </w:rPr>
              <w:t>5,262</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Non-controlling interest, carrying</w:t>
            </w:r>
          </w:p>
        </w:tc>
        <w:tc>
          <w:tcPr>
            <w:tcW w:type="dxa" w:w="1656"/>
          </w:tcPr>
          <w:p>
            <w:pPr>
              <w:spacing w:after="20"/>
              <w:jc w:val="right"/>
            </w:pPr>
            <w:r>
              <w:rPr>
                <w:color w:val="1C3A36"/>
                <w:sz w:val="16"/>
              </w:rPr>
              <w:t>73</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bl>
    <w:p>
      <w:pPr>
        <w:spacing w:after="40"/>
      </w:pPr>
    </w:p>
    <w:p>
      <w:pPr>
        <w:spacing w:after="200" w:before="0"/>
      </w:pPr>
      <w:r>
        <w:rPr>
          <w:b w:val="0"/>
          <w:i/>
          <w:color w:val="6E7B77"/>
          <w:sz w:val="17"/>
        </w:rPr>
        <w:t>Table A.2 — the filed column foots: total assets less total liabilities less parent equity less the non-controlling interest is zero, and that identity is asserted in the build. Working capital is stated NET of the declared dividend, which is carried in the bridge instead — the previous edition left a shareholder distribution inside the operating capital ratio that drives the change in working capital in every forecast year.</w:t>
      </w:r>
    </w:p>
    <w:p>
      <w:pPr>
        <w:spacing w:after="80" w:before="200"/>
      </w:pPr>
      <w:r>
        <w:rPr>
          <w:b/>
          <w:i w:val="0"/>
          <w:color w:val="1C3A36"/>
          <w:sz w:val="24"/>
        </w:rPr>
        <w:t>A.3  Cash flow — the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1195"/>
        <w:gridCol w:w="1195"/>
        <w:gridCol w:w="1195"/>
        <w:gridCol w:w="1195"/>
        <w:gridCol w:w="1195"/>
      </w:tblGrid>
      <w:tr>
        <w:tc>
          <w:tcPr>
            <w:tcW w:type="dxa" w:w="3888"/>
            <w:shd w:val="clear" w:color="auto" w:fill="EAF0EE"/>
          </w:tcPr>
          <w:p>
            <w:pPr>
              <w:spacing w:after="20"/>
            </w:pPr>
            <w:r>
              <w:rPr>
                <w:b/>
                <w:color w:val="1C3A36"/>
                <w:sz w:val="16"/>
              </w:rPr>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3888"/>
          </w:tcPr>
          <w:p>
            <w:pPr>
              <w:spacing w:after="20"/>
            </w:pPr>
            <w:r>
              <w:rPr>
                <w:color w:val="1C3A36"/>
                <w:sz w:val="16"/>
              </w:rPr>
              <w:t>NOPAT, after the employees’ profit share</w:t>
            </w:r>
          </w:p>
        </w:tc>
        <w:tc>
          <w:tcPr>
            <w:tcW w:type="dxa" w:w="1195"/>
          </w:tcPr>
          <w:p>
            <w:pPr>
              <w:spacing w:after="20"/>
              <w:jc w:val="right"/>
            </w:pPr>
            <w:r>
              <w:rPr>
                <w:color w:val="1C3A36"/>
                <w:sz w:val="16"/>
              </w:rPr>
              <w:t>3,237</w:t>
            </w:r>
          </w:p>
        </w:tc>
        <w:tc>
          <w:tcPr>
            <w:tcW w:type="dxa" w:w="1195"/>
          </w:tcPr>
          <w:p>
            <w:pPr>
              <w:spacing w:after="20"/>
              <w:jc w:val="right"/>
            </w:pPr>
            <w:r>
              <w:rPr>
                <w:color w:val="1C3A36"/>
                <w:sz w:val="16"/>
              </w:rPr>
              <w:t>3,509</w:t>
            </w:r>
          </w:p>
        </w:tc>
        <w:tc>
          <w:tcPr>
            <w:tcW w:type="dxa" w:w="1195"/>
          </w:tcPr>
          <w:p>
            <w:pPr>
              <w:spacing w:after="20"/>
              <w:jc w:val="right"/>
            </w:pPr>
            <w:r>
              <w:rPr>
                <w:color w:val="1C3A36"/>
                <w:sz w:val="16"/>
              </w:rPr>
              <w:t>3,694</w:t>
            </w:r>
          </w:p>
        </w:tc>
        <w:tc>
          <w:tcPr>
            <w:tcW w:type="dxa" w:w="1195"/>
          </w:tcPr>
          <w:p>
            <w:pPr>
              <w:spacing w:after="20"/>
              <w:jc w:val="right"/>
            </w:pPr>
            <w:r>
              <w:rPr>
                <w:color w:val="1C3A36"/>
                <w:sz w:val="16"/>
              </w:rPr>
              <w:t>3,829</w:t>
            </w:r>
          </w:p>
        </w:tc>
        <w:tc>
          <w:tcPr>
            <w:tcW w:type="dxa" w:w="1195"/>
          </w:tcPr>
          <w:p>
            <w:pPr>
              <w:spacing w:after="20"/>
              <w:jc w:val="right"/>
            </w:pPr>
            <w:r>
              <w:rPr>
                <w:color w:val="1C3A36"/>
                <w:sz w:val="16"/>
              </w:rPr>
              <w:t>3,947</w:t>
            </w:r>
          </w:p>
        </w:tc>
      </w:tr>
      <w:tr>
        <w:tc>
          <w:tcPr>
            <w:tcW w:type="dxa" w:w="3888"/>
          </w:tcPr>
          <w:p>
            <w:pPr>
              <w:spacing w:after="20"/>
            </w:pPr>
            <w:r>
              <w:rPr>
                <w:color w:val="1C3A36"/>
                <w:sz w:val="16"/>
              </w:rPr>
              <w:t>plus depreciation</w:t>
            </w:r>
          </w:p>
        </w:tc>
        <w:tc>
          <w:tcPr>
            <w:tcW w:type="dxa" w:w="1195"/>
          </w:tcPr>
          <w:p>
            <w:pPr>
              <w:spacing w:after="20"/>
              <w:jc w:val="right"/>
            </w:pPr>
            <w:r>
              <w:rPr>
                <w:color w:val="1C3A36"/>
                <w:sz w:val="16"/>
              </w:rPr>
              <w:t>180</w:t>
            </w:r>
          </w:p>
        </w:tc>
        <w:tc>
          <w:tcPr>
            <w:tcW w:type="dxa" w:w="1195"/>
          </w:tcPr>
          <w:p>
            <w:pPr>
              <w:spacing w:after="20"/>
              <w:jc w:val="right"/>
            </w:pPr>
            <w:r>
              <w:rPr>
                <w:color w:val="1C3A36"/>
                <w:sz w:val="16"/>
              </w:rPr>
              <w:t>191</w:t>
            </w:r>
          </w:p>
        </w:tc>
        <w:tc>
          <w:tcPr>
            <w:tcW w:type="dxa" w:w="1195"/>
          </w:tcPr>
          <w:p>
            <w:pPr>
              <w:spacing w:after="20"/>
              <w:jc w:val="right"/>
            </w:pPr>
            <w:r>
              <w:rPr>
                <w:color w:val="1C3A36"/>
                <w:sz w:val="16"/>
              </w:rPr>
              <w:t>202</w:t>
            </w:r>
          </w:p>
        </w:tc>
        <w:tc>
          <w:tcPr>
            <w:tcW w:type="dxa" w:w="1195"/>
          </w:tcPr>
          <w:p>
            <w:pPr>
              <w:spacing w:after="20"/>
              <w:jc w:val="right"/>
            </w:pPr>
            <w:r>
              <w:rPr>
                <w:color w:val="1C3A36"/>
                <w:sz w:val="16"/>
              </w:rPr>
              <w:t>215</w:t>
            </w:r>
          </w:p>
        </w:tc>
        <w:tc>
          <w:tcPr>
            <w:tcW w:type="dxa" w:w="1195"/>
          </w:tcPr>
          <w:p>
            <w:pPr>
              <w:spacing w:after="20"/>
              <w:jc w:val="right"/>
            </w:pPr>
            <w:r>
              <w:rPr>
                <w:color w:val="1C3A36"/>
                <w:sz w:val="16"/>
              </w:rPr>
              <w:t>229</w:t>
            </w:r>
          </w:p>
        </w:tc>
      </w:tr>
      <w:tr>
        <w:tc>
          <w:tcPr>
            <w:tcW w:type="dxa" w:w="3888"/>
          </w:tcPr>
          <w:p>
            <w:pPr>
              <w:spacing w:after="20"/>
            </w:pPr>
            <w:r>
              <w:rPr>
                <w:color w:val="1C3A36"/>
                <w:sz w:val="16"/>
              </w:rPr>
              <w:t>less capital expenditure</w:t>
            </w:r>
          </w:p>
        </w:tc>
        <w:tc>
          <w:tcPr>
            <w:tcW w:type="dxa" w:w="1195"/>
          </w:tcPr>
          <w:p>
            <w:pPr>
              <w:spacing w:after="20"/>
              <w:jc w:val="right"/>
            </w:pPr>
            <w:r>
              <w:rPr>
                <w:color w:val="1C3A36"/>
                <w:sz w:val="16"/>
              </w:rPr>
              <w:t>(182)</w:t>
            </w:r>
          </w:p>
        </w:tc>
        <w:tc>
          <w:tcPr>
            <w:tcW w:type="dxa" w:w="1195"/>
          </w:tcPr>
          <w:p>
            <w:pPr>
              <w:spacing w:after="20"/>
              <w:jc w:val="right"/>
            </w:pPr>
            <w:r>
              <w:rPr>
                <w:color w:val="1C3A36"/>
                <w:sz w:val="16"/>
              </w:rPr>
              <w:t>(203)</w:t>
            </w:r>
          </w:p>
        </w:tc>
        <w:tc>
          <w:tcPr>
            <w:tcW w:type="dxa" w:w="1195"/>
          </w:tcPr>
          <w:p>
            <w:pPr>
              <w:spacing w:after="20"/>
              <w:jc w:val="right"/>
            </w:pPr>
            <w:r>
              <w:rPr>
                <w:color w:val="1C3A36"/>
                <w:sz w:val="16"/>
              </w:rPr>
              <w:t>(222)</w:t>
            </w:r>
          </w:p>
        </w:tc>
        <w:tc>
          <w:tcPr>
            <w:tcW w:type="dxa" w:w="1195"/>
          </w:tcPr>
          <w:p>
            <w:pPr>
              <w:spacing w:after="20"/>
              <w:jc w:val="right"/>
            </w:pPr>
            <w:r>
              <w:rPr>
                <w:color w:val="1C3A36"/>
                <w:sz w:val="16"/>
              </w:rPr>
              <w:t>(238)</w:t>
            </w:r>
          </w:p>
        </w:tc>
        <w:tc>
          <w:tcPr>
            <w:tcW w:type="dxa" w:w="1195"/>
          </w:tcPr>
          <w:p>
            <w:pPr>
              <w:spacing w:after="20"/>
              <w:jc w:val="right"/>
            </w:pPr>
            <w:r>
              <w:rPr>
                <w:color w:val="1C3A36"/>
                <w:sz w:val="16"/>
              </w:rPr>
              <w:t>(255)</w:t>
            </w:r>
          </w:p>
        </w:tc>
      </w:tr>
      <w:tr>
        <w:tc>
          <w:tcPr>
            <w:tcW w:type="dxa" w:w="3888"/>
          </w:tcPr>
          <w:p>
            <w:pPr>
              <w:spacing w:after="20"/>
            </w:pPr>
            <w:r>
              <w:rPr>
                <w:color w:val="1C3A36"/>
                <w:sz w:val="16"/>
              </w:rPr>
              <w:t>less change in working capital</w:t>
            </w:r>
          </w:p>
        </w:tc>
        <w:tc>
          <w:tcPr>
            <w:tcW w:type="dxa" w:w="1195"/>
          </w:tcPr>
          <w:p>
            <w:pPr>
              <w:spacing w:after="20"/>
              <w:jc w:val="right"/>
            </w:pPr>
            <w:r>
              <w:rPr>
                <w:color w:val="1C3A36"/>
                <w:sz w:val="16"/>
              </w:rPr>
              <w:t>(446)</w:t>
            </w:r>
          </w:p>
        </w:tc>
        <w:tc>
          <w:tcPr>
            <w:tcW w:type="dxa" w:w="1195"/>
          </w:tcPr>
          <w:p>
            <w:pPr>
              <w:spacing w:after="20"/>
              <w:jc w:val="right"/>
            </w:pPr>
            <w:r>
              <w:rPr>
                <w:color w:val="1C3A36"/>
                <w:sz w:val="16"/>
              </w:rPr>
              <w:t>(355)</w:t>
            </w:r>
          </w:p>
        </w:tc>
        <w:tc>
          <w:tcPr>
            <w:tcW w:type="dxa" w:w="1195"/>
          </w:tcPr>
          <w:p>
            <w:pPr>
              <w:spacing w:after="20"/>
              <w:jc w:val="right"/>
            </w:pPr>
            <w:r>
              <w:rPr>
                <w:color w:val="1C3A36"/>
                <w:sz w:val="16"/>
              </w:rPr>
              <w:t>(266)</w:t>
            </w:r>
          </w:p>
        </w:tc>
        <w:tc>
          <w:tcPr>
            <w:tcW w:type="dxa" w:w="1195"/>
          </w:tcPr>
          <w:p>
            <w:pPr>
              <w:spacing w:after="20"/>
              <w:jc w:val="right"/>
            </w:pPr>
            <w:r>
              <w:rPr>
                <w:color w:val="1C3A36"/>
                <w:sz w:val="16"/>
              </w:rPr>
              <w:t>(217)</w:t>
            </w:r>
          </w:p>
        </w:tc>
        <w:tc>
          <w:tcPr>
            <w:tcW w:type="dxa" w:w="1195"/>
          </w:tcPr>
          <w:p>
            <w:pPr>
              <w:spacing w:after="20"/>
              <w:jc w:val="right"/>
            </w:pPr>
            <w:r>
              <w:rPr>
                <w:color w:val="1C3A36"/>
                <w:sz w:val="16"/>
              </w:rPr>
              <w:t>(205)</w:t>
            </w:r>
          </w:p>
        </w:tc>
      </w:tr>
      <w:tr>
        <w:tc>
          <w:tcPr>
            <w:tcW w:type="dxa" w:w="3888"/>
            <w:shd w:val="clear" w:color="auto" w:fill="F6F1E6"/>
          </w:tcPr>
          <w:p>
            <w:pPr>
              <w:spacing w:after="20"/>
            </w:pPr>
            <w:r>
              <w:rPr>
                <w:b/>
                <w:color w:val="1C3A36"/>
                <w:sz w:val="16"/>
              </w:rPr>
              <w:t>FREE CASH FLOW TO THE FIRM</w:t>
            </w:r>
          </w:p>
        </w:tc>
        <w:tc>
          <w:tcPr>
            <w:tcW w:type="dxa" w:w="1195"/>
            <w:shd w:val="clear" w:color="auto" w:fill="F6F1E6"/>
          </w:tcPr>
          <w:p>
            <w:pPr>
              <w:spacing w:after="20"/>
              <w:jc w:val="right"/>
            </w:pPr>
            <w:r>
              <w:rPr>
                <w:b/>
                <w:color w:val="1C3A36"/>
                <w:sz w:val="16"/>
              </w:rPr>
              <w:t>2,789</w:t>
            </w:r>
          </w:p>
        </w:tc>
        <w:tc>
          <w:tcPr>
            <w:tcW w:type="dxa" w:w="1195"/>
            <w:shd w:val="clear" w:color="auto" w:fill="F6F1E6"/>
          </w:tcPr>
          <w:p>
            <w:pPr>
              <w:spacing w:after="20"/>
              <w:jc w:val="right"/>
            </w:pPr>
            <w:r>
              <w:rPr>
                <w:b/>
                <w:color w:val="1C3A36"/>
                <w:sz w:val="16"/>
              </w:rPr>
              <w:t>3,141</w:t>
            </w:r>
          </w:p>
        </w:tc>
        <w:tc>
          <w:tcPr>
            <w:tcW w:type="dxa" w:w="1195"/>
            <w:shd w:val="clear" w:color="auto" w:fill="F6F1E6"/>
          </w:tcPr>
          <w:p>
            <w:pPr>
              <w:spacing w:after="20"/>
              <w:jc w:val="right"/>
            </w:pPr>
            <w:r>
              <w:rPr>
                <w:b/>
                <w:color w:val="1C3A36"/>
                <w:sz w:val="16"/>
              </w:rPr>
              <w:t>3,409</w:t>
            </w:r>
          </w:p>
        </w:tc>
        <w:tc>
          <w:tcPr>
            <w:tcW w:type="dxa" w:w="1195"/>
            <w:shd w:val="clear" w:color="auto" w:fill="F6F1E6"/>
          </w:tcPr>
          <w:p>
            <w:pPr>
              <w:spacing w:after="20"/>
              <w:jc w:val="right"/>
            </w:pPr>
            <w:r>
              <w:rPr>
                <w:b/>
                <w:color w:val="1C3A36"/>
                <w:sz w:val="16"/>
              </w:rPr>
              <w:t>3,588</w:t>
            </w:r>
          </w:p>
        </w:tc>
        <w:tc>
          <w:tcPr>
            <w:tcW w:type="dxa" w:w="1195"/>
            <w:shd w:val="clear" w:color="auto" w:fill="F6F1E6"/>
          </w:tcPr>
          <w:p>
            <w:pPr>
              <w:spacing w:after="20"/>
              <w:jc w:val="right"/>
            </w:pPr>
            <w:r>
              <w:rPr>
                <w:b/>
                <w:color w:val="1C3A36"/>
                <w:sz w:val="16"/>
              </w:rPr>
              <w:t>3,716</w:t>
            </w:r>
          </w:p>
        </w:tc>
      </w:tr>
      <w:tr>
        <w:tc>
          <w:tcPr>
            <w:tcW w:type="dxa" w:w="3888"/>
          </w:tcPr>
          <w:p>
            <w:pPr>
              <w:spacing w:after="20"/>
            </w:pPr>
            <w:r>
              <w:rPr>
                <w:color w:val="1C3A36"/>
                <w:sz w:val="16"/>
              </w:rPr>
              <w:t>Memo: return on invested capital</w:t>
            </w:r>
          </w:p>
        </w:tc>
        <w:tc>
          <w:tcPr>
            <w:tcW w:type="dxa" w:w="1195"/>
          </w:tcPr>
          <w:p>
            <w:pPr>
              <w:spacing w:after="20"/>
              <w:jc w:val="right"/>
            </w:pPr>
            <w:r>
              <w:rPr>
                <w:color w:val="1C3A36"/>
                <w:sz w:val="16"/>
              </w:rPr>
              <w:t>63.2%</w:t>
            </w:r>
          </w:p>
        </w:tc>
        <w:tc>
          <w:tcPr>
            <w:tcW w:type="dxa" w:w="1195"/>
          </w:tcPr>
          <w:p>
            <w:pPr>
              <w:spacing w:after="20"/>
              <w:jc w:val="right"/>
            </w:pPr>
            <w:r>
              <w:rPr>
                <w:color w:val="1C3A36"/>
                <w:sz w:val="16"/>
              </w:rPr>
              <w:t>63.9%</w:t>
            </w:r>
          </w:p>
        </w:tc>
        <w:tc>
          <w:tcPr>
            <w:tcW w:type="dxa" w:w="1195"/>
          </w:tcPr>
          <w:p>
            <w:pPr>
              <w:spacing w:after="20"/>
              <w:jc w:val="right"/>
            </w:pPr>
            <w:r>
              <w:rPr>
                <w:color w:val="1C3A36"/>
                <w:sz w:val="16"/>
              </w:rPr>
              <w:t>63.9%</w:t>
            </w:r>
          </w:p>
        </w:tc>
        <w:tc>
          <w:tcPr>
            <w:tcW w:type="dxa" w:w="1195"/>
          </w:tcPr>
          <w:p>
            <w:pPr>
              <w:spacing w:after="20"/>
              <w:jc w:val="right"/>
            </w:pPr>
            <w:r>
              <w:rPr>
                <w:color w:val="1C3A36"/>
                <w:sz w:val="16"/>
              </w:rPr>
              <w:t>63.6%</w:t>
            </w:r>
          </w:p>
        </w:tc>
        <w:tc>
          <w:tcPr>
            <w:tcW w:type="dxa" w:w="1195"/>
          </w:tcPr>
          <w:p>
            <w:pPr>
              <w:spacing w:after="20"/>
              <w:jc w:val="right"/>
            </w:pPr>
            <w:r>
              <w:rPr>
                <w:color w:val="1C3A36"/>
                <w:sz w:val="16"/>
              </w:rPr>
              <w:t>63.2%</w:t>
            </w:r>
          </w:p>
        </w:tc>
      </w:tr>
      <w:tr>
        <w:tc>
          <w:tcPr>
            <w:tcW w:type="dxa" w:w="3888"/>
          </w:tcPr>
          <w:p>
            <w:pPr>
              <w:spacing w:after="20"/>
            </w:pPr>
            <w:r>
              <w:rPr>
                <w:color w:val="1C3A36"/>
                <w:sz w:val="16"/>
              </w:rPr>
              <w:t>Memo: capital expenditure / depreciation</w:t>
            </w:r>
          </w:p>
        </w:tc>
        <w:tc>
          <w:tcPr>
            <w:tcW w:type="dxa" w:w="1195"/>
          </w:tcPr>
          <w:p>
            <w:pPr>
              <w:spacing w:after="20"/>
              <w:jc w:val="right"/>
            </w:pPr>
            <w:r>
              <w:rPr>
                <w:color w:val="1C3A36"/>
                <w:sz w:val="16"/>
              </w:rPr>
              <w:t>1.01x</w:t>
            </w:r>
          </w:p>
        </w:tc>
        <w:tc>
          <w:tcPr>
            <w:tcW w:type="dxa" w:w="1195"/>
          </w:tcPr>
          <w:p>
            <w:pPr>
              <w:spacing w:after="20"/>
              <w:jc w:val="right"/>
            </w:pPr>
            <w:r>
              <w:rPr>
                <w:color w:val="1C3A36"/>
                <w:sz w:val="16"/>
              </w:rPr>
              <w:t>1.07x</w:t>
            </w:r>
          </w:p>
        </w:tc>
        <w:tc>
          <w:tcPr>
            <w:tcW w:type="dxa" w:w="1195"/>
          </w:tcPr>
          <w:p>
            <w:pPr>
              <w:spacing w:after="20"/>
              <w:jc w:val="right"/>
            </w:pPr>
            <w:r>
              <w:rPr>
                <w:color w:val="1C3A36"/>
                <w:sz w:val="16"/>
              </w:rPr>
              <w:t>1.10x</w:t>
            </w:r>
          </w:p>
        </w:tc>
        <w:tc>
          <w:tcPr>
            <w:tcW w:type="dxa" w:w="1195"/>
          </w:tcPr>
          <w:p>
            <w:pPr>
              <w:spacing w:after="20"/>
              <w:jc w:val="right"/>
            </w:pPr>
            <w:r>
              <w:rPr>
                <w:color w:val="1C3A36"/>
                <w:sz w:val="16"/>
              </w:rPr>
              <w:t>1.11x</w:t>
            </w:r>
          </w:p>
        </w:tc>
        <w:tc>
          <w:tcPr>
            <w:tcW w:type="dxa" w:w="1195"/>
          </w:tcPr>
          <w:p>
            <w:pPr>
              <w:spacing w:after="20"/>
              <w:jc w:val="right"/>
            </w:pPr>
            <w:r>
              <w:rPr>
                <w:color w:val="1C3A36"/>
                <w:sz w:val="16"/>
              </w:rPr>
              <w:t>1.12x</w:t>
            </w:r>
          </w:p>
        </w:tc>
      </w:tr>
    </w:tbl>
    <w:p>
      <w:pPr>
        <w:spacing w:after="40"/>
      </w:pPr>
    </w:p>
    <w:p>
      <w:pPr>
        <w:spacing w:after="200" w:before="0"/>
      </w:pPr>
      <w:r>
        <w:rPr>
          <w:b w:val="0"/>
          <w:i/>
          <w:color w:val="6E7B77"/>
          <w:sz w:val="17"/>
        </w:rPr>
        <w:t>Table A.3 — note the last row. Capital expenditure EXCEEDS depreciation in every forecast year. The previous edition stated, twice, that free cash flow was overstated by "roughly EGP 2mn a year" because capital expenditure sat below depreciation; that held in the first forecast year only and reversed sign in every year after it, so the stated correction would have RAISED the valuation rather than lowered it.</w:t>
      </w:r>
    </w:p>
    <w:p>
      <w:pPr>
        <w:spacing w:after="120" w:before="280"/>
      </w:pPr>
      <w:r>
        <w:rPr>
          <w:b/>
          <w:i w:val="0"/>
          <w:color w:val="1C3A36"/>
          <w:sz w:val="30"/>
        </w:rPr>
        <w:t>Appendix B  The cost of capital in detail</w:t>
      </w:r>
    </w:p>
    <w:p>
      <w:pPr>
        <w:spacing w:after="80" w:before="200"/>
      </w:pPr>
      <w:r>
        <w:rPr>
          <w:b/>
          <w:i w:val="0"/>
          <w:color w:val="1C3A36"/>
          <w:sz w:val="24"/>
        </w:rPr>
        <w:t>B.1  Beta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160"/>
        <w:gridCol w:w="4824"/>
      </w:tblGrid>
      <w:tr>
        <w:tc>
          <w:tcPr>
            <w:tcW w:type="dxa" w:w="2520"/>
            <w:shd w:val="clear" w:color="auto" w:fill="EAF0EE"/>
          </w:tcPr>
          <w:p>
            <w:pPr>
              <w:spacing w:after="20"/>
            </w:pPr>
            <w:r>
              <w:rPr>
                <w:b/>
                <w:color w:val="1C3A36"/>
                <w:sz w:val="17"/>
              </w:rPr>
              <w:t>Statistic</w:t>
            </w:r>
          </w:p>
        </w:tc>
        <w:tc>
          <w:tcPr>
            <w:tcW w:type="dxa" w:w="2160"/>
            <w:shd w:val="clear" w:color="auto" w:fill="EAF0EE"/>
          </w:tcPr>
          <w:p>
            <w:pPr>
              <w:spacing w:after="20"/>
            </w:pPr>
            <w:r>
              <w:rPr>
                <w:b/>
                <w:color w:val="1C3A36"/>
                <w:sz w:val="17"/>
              </w:rPr>
              <w:t>Value</w:t>
            </w:r>
          </w:p>
        </w:tc>
        <w:tc>
          <w:tcPr>
            <w:tcW w:type="dxa" w:w="4824"/>
            <w:shd w:val="clear" w:color="auto" w:fill="EAF0EE"/>
          </w:tcPr>
          <w:p>
            <w:pPr>
              <w:spacing w:after="20"/>
            </w:pPr>
            <w:r>
              <w:rPr>
                <w:b/>
                <w:color w:val="1C3A36"/>
                <w:sz w:val="17"/>
              </w:rPr>
              <w:t>Test</w:t>
            </w:r>
          </w:p>
        </w:tc>
      </w:tr>
      <w:tr>
        <w:tc>
          <w:tcPr>
            <w:tcW w:type="dxa" w:w="2520"/>
          </w:tcPr>
          <w:p>
            <w:pPr>
              <w:spacing w:after="20"/>
            </w:pPr>
            <w:r>
              <w:rPr>
                <w:color w:val="1C3A36"/>
                <w:sz w:val="17"/>
              </w:rPr>
              <w:t>Point estimate</w:t>
            </w:r>
          </w:p>
        </w:tc>
        <w:tc>
          <w:tcPr>
            <w:tcW w:type="dxa" w:w="2160"/>
          </w:tcPr>
          <w:p>
            <w:pPr>
              <w:spacing w:after="20"/>
              <w:jc w:val="right"/>
            </w:pPr>
            <w:r>
              <w:rPr>
                <w:color w:val="1C3A36"/>
                <w:sz w:val="17"/>
              </w:rPr>
              <w:t>0.906</w:t>
            </w:r>
          </w:p>
        </w:tc>
        <w:tc>
          <w:tcPr>
            <w:tcW w:type="dxa" w:w="4824"/>
          </w:tcPr>
          <w:p>
            <w:pPr>
              <w:spacing w:after="20"/>
            </w:pPr>
            <w:r>
              <w:rPr>
                <w:color w:val="1C3A36"/>
                <w:sz w:val="17"/>
              </w:rPr>
              <w:t>—</w:t>
            </w:r>
          </w:p>
        </w:tc>
      </w:tr>
      <w:tr>
        <w:tc>
          <w:tcPr>
            <w:tcW w:type="dxa" w:w="2520"/>
          </w:tcPr>
          <w:p>
            <w:pPr>
              <w:spacing w:after="20"/>
            </w:pPr>
            <w:r>
              <w:rPr>
                <w:color w:val="1C3A36"/>
                <w:sz w:val="17"/>
              </w:rPr>
              <w:t>Observations</w:t>
            </w:r>
          </w:p>
        </w:tc>
        <w:tc>
          <w:tcPr>
            <w:tcW w:type="dxa" w:w="2160"/>
          </w:tcPr>
          <w:p>
            <w:pPr>
              <w:spacing w:after="20"/>
              <w:jc w:val="right"/>
            </w:pPr>
            <w:r>
              <w:rPr>
                <w:color w:val="1C3A36"/>
                <w:sz w:val="17"/>
              </w:rPr>
              <w:t>256</w:t>
            </w:r>
          </w:p>
        </w:tc>
        <w:tc>
          <w:tcPr>
            <w:tcW w:type="dxa" w:w="4824"/>
          </w:tcPr>
          <w:p>
            <w:pPr>
              <w:spacing w:after="20"/>
            </w:pPr>
            <w:r>
              <w:rPr>
                <w:color w:val="1C3A36"/>
                <w:sz w:val="17"/>
              </w:rPr>
              <w:t>4.94-year window, weekly returns</w:t>
            </w:r>
          </w:p>
        </w:tc>
      </w:tr>
      <w:tr>
        <w:tc>
          <w:tcPr>
            <w:tcW w:type="dxa" w:w="2520"/>
          </w:tcPr>
          <w:p>
            <w:pPr>
              <w:spacing w:after="20"/>
            </w:pPr>
            <w:r>
              <w:rPr>
                <w:color w:val="1C3A36"/>
                <w:sz w:val="17"/>
              </w:rPr>
              <w:t>R-squared</w:t>
            </w:r>
          </w:p>
        </w:tc>
        <w:tc>
          <w:tcPr>
            <w:tcW w:type="dxa" w:w="2160"/>
          </w:tcPr>
          <w:p>
            <w:pPr>
              <w:spacing w:after="20"/>
              <w:jc w:val="right"/>
            </w:pPr>
            <w:r>
              <w:rPr>
                <w:color w:val="1C3A36"/>
                <w:sz w:val="17"/>
              </w:rPr>
              <w:t>23.6%</w:t>
            </w:r>
          </w:p>
        </w:tc>
        <w:tc>
          <w:tcPr>
            <w:tcW w:type="dxa" w:w="4824"/>
          </w:tcPr>
          <w:p>
            <w:pPr>
              <w:spacing w:after="20"/>
            </w:pPr>
            <w:r>
              <w:rPr>
                <w:color w:val="1C3A36"/>
                <w:sz w:val="17"/>
              </w:rPr>
              <w:t>above the usability floor</w:t>
            </w:r>
          </w:p>
        </w:tc>
      </w:tr>
      <w:tr>
        <w:tc>
          <w:tcPr>
            <w:tcW w:type="dxa" w:w="2520"/>
          </w:tcPr>
          <w:p>
            <w:pPr>
              <w:spacing w:after="20"/>
            </w:pPr>
            <w:r>
              <w:rPr>
                <w:color w:val="1C3A36"/>
                <w:sz w:val="17"/>
              </w:rPr>
              <w:t>Standard error</w:t>
            </w:r>
          </w:p>
        </w:tc>
        <w:tc>
          <w:tcPr>
            <w:tcW w:type="dxa" w:w="2160"/>
          </w:tcPr>
          <w:p>
            <w:pPr>
              <w:spacing w:after="20"/>
              <w:jc w:val="right"/>
            </w:pPr>
            <w:r>
              <w:rPr>
                <w:color w:val="1C3A36"/>
                <w:sz w:val="17"/>
              </w:rPr>
              <w:t>0.175</w:t>
            </w:r>
          </w:p>
        </w:tc>
        <w:tc>
          <w:tcPr>
            <w:tcW w:type="dxa" w:w="4824"/>
          </w:tcPr>
          <w:p>
            <w:pPr>
              <w:spacing w:after="20"/>
            </w:pPr>
            <w:r>
              <w:rPr>
                <w:color w:val="1C3A36"/>
                <w:sz w:val="17"/>
              </w:rPr>
              <w:t>0.19 of the point estimate — not a weak instrument</w:t>
            </w:r>
          </w:p>
        </w:tc>
      </w:tr>
      <w:tr>
        <w:tc>
          <w:tcPr>
            <w:tcW w:type="dxa" w:w="2520"/>
          </w:tcPr>
          <w:p>
            <w:pPr>
              <w:spacing w:after="20"/>
            </w:pPr>
            <w:r>
              <w:rPr>
                <w:color w:val="1C3A36"/>
                <w:sz w:val="17"/>
              </w:rPr>
              <w:t>90% confidence interval</w:t>
            </w:r>
          </w:p>
        </w:tc>
        <w:tc>
          <w:tcPr>
            <w:tcW w:type="dxa" w:w="2160"/>
          </w:tcPr>
          <w:p>
            <w:pPr>
              <w:spacing w:after="20"/>
              <w:jc w:val="right"/>
            </w:pPr>
            <w:r>
              <w:rPr>
                <w:color w:val="1C3A36"/>
                <w:sz w:val="17"/>
              </w:rPr>
              <w:t>[0.619, 1.193]</w:t>
            </w:r>
          </w:p>
        </w:tc>
        <w:tc>
          <w:tcPr>
            <w:tcW w:type="dxa" w:w="4824"/>
          </w:tcPr>
          <w:p>
            <w:pPr>
              <w:spacing w:after="20"/>
            </w:pPr>
            <w:r>
              <w:rPr>
                <w:color w:val="1C3A36"/>
                <w:sz w:val="17"/>
              </w:rPr>
              <w:t>spans 0.63x the estimate, inside the 2x flag</w:t>
            </w:r>
          </w:p>
        </w:tc>
      </w:tr>
      <w:tr>
        <w:tc>
          <w:tcPr>
            <w:tcW w:type="dxa" w:w="2520"/>
          </w:tcPr>
          <w:p>
            <w:pPr>
              <w:spacing w:after="20"/>
            </w:pPr>
            <w:r>
              <w:rPr>
                <w:color w:val="1C3A36"/>
                <w:sz w:val="17"/>
              </w:rPr>
              <w:t>Benchmark</w:t>
            </w:r>
          </w:p>
        </w:tc>
        <w:tc>
          <w:tcPr>
            <w:tcW w:type="dxa" w:w="2160"/>
          </w:tcPr>
          <w:p>
            <w:pPr>
              <w:spacing w:after="20"/>
              <w:jc w:val="right"/>
            </w:pPr>
            <w:r>
              <w:rPr>
                <w:color w:val="1C3A36"/>
                <w:sz w:val="17"/>
              </w:rPr>
              <w:t>EGX30</w:t>
            </w:r>
          </w:p>
        </w:tc>
        <w:tc>
          <w:tcPr>
            <w:tcW w:type="dxa" w:w="4824"/>
          </w:tcPr>
          <w:p>
            <w:pPr>
              <w:spacing w:after="20"/>
            </w:pPr>
            <w:r>
              <w:rPr>
                <w:color w:val="1C3A36"/>
                <w:sz w:val="17"/>
              </w:rPr>
              <w:t>the published index of the exchange AMOC is listed on</w:t>
            </w:r>
          </w:p>
        </w:tc>
      </w:tr>
      <w:tr>
        <w:tc>
          <w:tcPr>
            <w:tcW w:type="dxa" w:w="2520"/>
          </w:tcPr>
          <w:p>
            <w:pPr>
              <w:spacing w:after="20"/>
            </w:pPr>
            <w:r>
              <w:rPr>
                <w:color w:val="1C3A36"/>
                <w:sz w:val="17"/>
              </w:rPr>
              <w:t>Benchmark as of</w:t>
            </w:r>
          </w:p>
        </w:tc>
        <w:tc>
          <w:tcPr>
            <w:tcW w:type="dxa" w:w="2160"/>
          </w:tcPr>
          <w:p>
            <w:pPr>
              <w:spacing w:after="20"/>
              <w:jc w:val="right"/>
            </w:pPr>
            <w:r>
              <w:rPr>
                <w:color w:val="1C3A36"/>
                <w:sz w:val="17"/>
              </w:rPr>
              <w:t>2026-09-08</w:t>
            </w:r>
          </w:p>
        </w:tc>
        <w:tc>
          <w:tcPr>
            <w:tcW w:type="dxa" w:w="4824"/>
          </w:tcPr>
          <w:p>
            <w:pPr>
              <w:spacing w:after="20"/>
            </w:pPr>
            <w:r>
              <w:rPr>
                <w:color w:val="1C3A36"/>
                <w:sz w:val="17"/>
              </w:rPr>
              <w:t>the index series carries its own date</w:t>
            </w:r>
          </w:p>
        </w:tc>
      </w:tr>
      <w:tr>
        <w:tc>
          <w:tcPr>
            <w:tcW w:type="dxa" w:w="2520"/>
          </w:tcPr>
          <w:p>
            <w:pPr>
              <w:spacing w:after="20"/>
            </w:pPr>
            <w:r>
              <w:rPr>
                <w:color w:val="1C3A36"/>
                <w:sz w:val="17"/>
              </w:rPr>
              <w:t>Superseded</w:t>
            </w:r>
          </w:p>
        </w:tc>
        <w:tc>
          <w:tcPr>
            <w:tcW w:type="dxa" w:w="2160"/>
          </w:tcPr>
          <w:p>
            <w:pPr>
              <w:spacing w:after="20"/>
              <w:jc w:val="right"/>
            </w:pPr>
            <w:r>
              <w:rPr>
                <w:color w:val="1C3A36"/>
                <w:sz w:val="17"/>
              </w:rPr>
              <w:t>0.940</w:t>
            </w:r>
          </w:p>
        </w:tc>
        <w:tc>
          <w:tcPr>
            <w:tcW w:type="dxa" w:w="4824"/>
          </w:tcPr>
          <w:p>
            <w:pPr>
              <w:spacing w:after="20"/>
            </w:pPr>
            <w:r>
              <w:rPr>
                <w:color w:val="1C3A36"/>
                <w:sz w:val="17"/>
              </w:rPr>
              <w:t>the previous edition, regressed on a house composite — withdrawn</w:t>
            </w:r>
          </w:p>
        </w:tc>
      </w:tr>
    </w:tbl>
    <w:p>
      <w:pPr>
        <w:spacing w:after="40"/>
      </w:pPr>
    </w:p>
    <w:p>
      <w:pPr>
        <w:spacing w:after="200" w:before="0"/>
      </w:pPr>
      <w:r>
        <w:rPr>
          <w:b w:val="0"/>
          <w:i/>
          <w:color w:val="6E7B77"/>
          <w:sz w:val="17"/>
        </w:rPr>
        <w:t>Table B.1 — the regression passes its usability gate on every limb, and THE WEAKNESS THE PREVIOUS EDITION RECORDED AGAINST ITSELF IS NOW CLOSED. That edition regressed against an equal-weight basket of the Egyptian names this house happens to cover, which a reader could not reproduce from public data; two reviewers raised it independently and both were right. The regressor is now the EGX30 itself. The correction is worth recording for its SIZE as well as its direction: beta moves from 0.940 to 0.906, about 3.5% lower, and the effect on the valuation is under one per cent. The old number was not badly wrong; it was unverifiable, which is a different and sufficient reason to replace it. The beta sensitivity in Table 15 bounds the whole plausible range: the cash-flow lens moves from EGP 24.87 to 16.16, and neither end reaches the market price.</w:t>
      </w:r>
    </w:p>
    <w:p>
      <w:pPr>
        <w:spacing w:after="80" w:before="200"/>
      </w:pPr>
      <w:r>
        <w:rPr>
          <w:b/>
          <w:i w:val="0"/>
          <w:color w:val="1C3A36"/>
          <w:sz w:val="24"/>
        </w:rPr>
        <w:t>B.2  The cost of debt, and why it does not matter here</w:t>
      </w:r>
    </w:p>
    <w:p>
      <w:pPr>
        <w:spacing w:after="120" w:before="0"/>
      </w:pPr>
      <w:r>
        <w:rPr>
          <w:b w:val="0"/>
          <w:i w:val="0"/>
          <w:color w:val="1C3A36"/>
          <w:sz w:val="21"/>
        </w:rPr>
        <w:t>Gross borrowings are EGP 17mn against a market capitalisation of EGP 17,435mn — 0.0966% of the capital structure. A 500 basis-point error in the cost of debt moves the weighted cost of capital by 0.38 basis points. The input cannot move the answer, and the study says so rather than dressing an immaterial input as a precise one. That immateriality is asserted in the build, so if the capital structure ever changes the assertion fails rather than the claim quietly going stale.</w:t>
      </w:r>
    </w:p>
    <w:p>
      <w:pPr>
        <w:spacing w:after="80" w:before="200"/>
      </w:pPr>
      <w:r>
        <w:rPr>
          <w:b/>
          <w:i w:val="0"/>
          <w:color w:val="1C3A36"/>
          <w:sz w:val="24"/>
        </w:rPr>
        <w:t>B.3  Explicit against terminal cost of capital</w:t>
      </w:r>
    </w:p>
    <w:p>
      <w:pPr>
        <w:spacing w:after="120" w:before="0"/>
      </w:pPr>
      <w:r>
        <w:rPr>
          <w:b w:val="0"/>
          <w:i w:val="0"/>
          <w:color w:val="1C3A36"/>
          <w:sz w:val="21"/>
        </w:rPr>
        <w:t>The explicit rate of 27.44% is not a normal corporate discount rate and is not meant to be. It is what an Egyptian operating asset costs today, with the sovereign spread stripped out of the risk-free rate so country risk is not double-counted, and with the net-cash position pushing the operating rate ABOVE the cost of equity. The terminal rate of 16.33% is norm-built: the central bank’s inflation target in force plus a real convention, a normalised equity premium, and a terminal capital structure carrying 10% debt rather than capitalising today’s zero-leverage position into perpetuity. The glide between them is inherited from the cost-of-debt path’s own cumulative progress.</w:t>
      </w:r>
    </w:p>
    <w:p>
      <w:pPr>
        <w:spacing w:after="120" w:before="0"/>
      </w:pPr>
      <w:r>
        <w:rPr>
          <w:b w:val="0"/>
          <w:i w:val="0"/>
          <w:color w:val="1C3A36"/>
          <w:sz w:val="21"/>
        </w:rPr>
        <w:t>Two alternatives are computed rather than argued. On the RATING-BASIS premium the explicit rate is 30.58% and the cash-flow lens is EGP 15.24. On GROSS rather than net debt weights — the construction this study rejects, because it counts the cash pile twice — the lens is EGP 20.05. Both are published so the choice is visible.</w:t>
      </w:r>
    </w:p>
    <w:p>
      <w:pPr>
        <w:spacing w:after="120" w:before="280"/>
      </w:pPr>
      <w:r>
        <w:rPr>
          <w:b/>
          <w:i w:val="0"/>
          <w:color w:val="1C3A36"/>
          <w:sz w:val="30"/>
        </w:rPr>
        <w:t>Appendix C  The expert appendix</w:t>
      </w:r>
    </w:p>
    <w:p>
      <w:pPr>
        <w:spacing w:after="120" w:before="0"/>
      </w:pPr>
      <w:r>
        <w:rPr>
          <w:b w:val="0"/>
          <w:i w:val="0"/>
          <w:color w:val="1C3A36"/>
          <w:sz w:val="21"/>
        </w:rPr>
        <w:t>Three independent methods, cast by approach rather than by personality, each run on the same audited inputs and each free to disagree with the primary lens.</w:t>
      </w:r>
    </w:p>
    <w:p>
      <w:pPr>
        <w:spacing w:after="80" w:before="200"/>
      </w:pPr>
      <w:r>
        <w:rPr>
          <w:b/>
          <w:i w:val="0"/>
          <w:color w:val="1C3A36"/>
          <w:sz w:val="24"/>
        </w:rPr>
        <w:t>C.1  Expert 1 — earnings power at a justified multiple</w:t>
      </w:r>
    </w:p>
    <w:p>
      <w:pPr>
        <w:spacing w:after="120" w:before="0"/>
      </w:pPr>
      <w:r>
        <w:rPr>
          <w:b w:val="0"/>
          <w:i w:val="0"/>
          <w:color w:val="1C3A36"/>
          <w:sz w:val="21"/>
        </w:rPr>
        <w:t>Takes 2028E operating profit, adds the finance income the cash pile actually earns, taxes the sum, strikes the minority, and applies a justified multiple struck BELOW the primary lens deliberately — this is an independent opinion, not a restatement of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 unless stated</w:t>
            </w:r>
          </w:p>
        </w:tc>
      </w:tr>
      <w:tr>
        <w:tc>
          <w:tcPr>
            <w:tcW w:type="dxa" w:w="7056"/>
          </w:tcPr>
          <w:p>
            <w:pPr>
              <w:spacing w:after="20"/>
            </w:pPr>
            <w:r>
              <w:rPr>
                <w:color w:val="1C3A36"/>
                <w:sz w:val="17"/>
              </w:rPr>
              <w:t>Operating profit, 2028E</w:t>
            </w:r>
          </w:p>
        </w:tc>
        <w:tc>
          <w:tcPr>
            <w:tcW w:type="dxa" w:w="1584"/>
          </w:tcPr>
          <w:p>
            <w:pPr>
              <w:spacing w:after="20"/>
              <w:jc w:val="right"/>
            </w:pPr>
            <w:r>
              <w:rPr>
                <w:color w:val="1C3A36"/>
                <w:sz w:val="17"/>
              </w:rPr>
              <w:t>5,030</w:t>
            </w:r>
          </w:p>
        </w:tc>
      </w:tr>
      <w:tr>
        <w:tc>
          <w:tcPr>
            <w:tcW w:type="dxa" w:w="7056"/>
          </w:tcPr>
          <w:p>
            <w:pPr>
              <w:spacing w:after="20"/>
            </w:pPr>
            <w:r>
              <w:rPr>
                <w:color w:val="1C3A36"/>
                <w:sz w:val="17"/>
              </w:rPr>
              <w:t>plus net finance income</w:t>
            </w:r>
          </w:p>
        </w:tc>
        <w:tc>
          <w:tcPr>
            <w:tcW w:type="dxa" w:w="1584"/>
          </w:tcPr>
          <w:p>
            <w:pPr>
              <w:spacing w:after="20"/>
              <w:jc w:val="right"/>
            </w:pPr>
            <w:r>
              <w:rPr>
                <w:color w:val="1C3A36"/>
                <w:sz w:val="17"/>
              </w:rPr>
              <w:t>251</w:t>
            </w:r>
          </w:p>
        </w:tc>
      </w:tr>
      <w:tr>
        <w:tc>
          <w:tcPr>
            <w:tcW w:type="dxa" w:w="7056"/>
          </w:tcPr>
          <w:p>
            <w:pPr>
              <w:spacing w:after="20"/>
            </w:pPr>
            <w:r>
              <w:rPr>
                <w:color w:val="1C3A36"/>
                <w:sz w:val="17"/>
              </w:rPr>
              <w:t>taxed at the statutory 22.5% and after the minority</w:t>
            </w:r>
          </w:p>
        </w:tc>
        <w:tc>
          <w:tcPr>
            <w:tcW w:type="dxa" w:w="1584"/>
          </w:tcPr>
          <w:p>
            <w:pPr>
              <w:spacing w:after="20"/>
              <w:jc w:val="right"/>
            </w:pPr>
            <w:r>
              <w:rPr>
                <w:color w:val="1C3A36"/>
                <w:sz w:val="17"/>
              </w:rPr>
            </w:r>
          </w:p>
        </w:tc>
      </w:tr>
      <w:tr>
        <w:tc>
          <w:tcPr>
            <w:tcW w:type="dxa" w:w="7056"/>
          </w:tcPr>
          <w:p>
            <w:pPr>
              <w:spacing w:after="20"/>
            </w:pPr>
            <w:r>
              <w:rPr>
                <w:color w:val="1C3A36"/>
                <w:sz w:val="17"/>
              </w:rPr>
              <w:t>Attributable earnings per share, EGP</w:t>
            </w:r>
          </w:p>
        </w:tc>
        <w:tc>
          <w:tcPr>
            <w:tcW w:type="dxa" w:w="1584"/>
          </w:tcPr>
          <w:p>
            <w:pPr>
              <w:spacing w:after="20"/>
              <w:jc w:val="right"/>
            </w:pPr>
            <w:r>
              <w:rPr>
                <w:color w:val="1C3A36"/>
                <w:sz w:val="17"/>
              </w:rPr>
              <w:t>3.037</w:t>
            </w:r>
          </w:p>
        </w:tc>
      </w:tr>
      <w:tr>
        <w:tc>
          <w:tcPr>
            <w:tcW w:type="dxa" w:w="7056"/>
          </w:tcPr>
          <w:p>
            <w:pPr>
              <w:spacing w:after="20"/>
            </w:pPr>
            <w:r>
              <w:rPr>
                <w:color w:val="1C3A36"/>
                <w:sz w:val="17"/>
              </w:rPr>
              <w:t>Justified price / earnings</w:t>
            </w:r>
          </w:p>
        </w:tc>
        <w:tc>
          <w:tcPr>
            <w:tcW w:type="dxa" w:w="1584"/>
          </w:tcPr>
          <w:p>
            <w:pPr>
              <w:spacing w:after="20"/>
              <w:jc w:val="right"/>
            </w:pPr>
            <w:r>
              <w:rPr>
                <w:color w:val="1C3A36"/>
                <w:sz w:val="17"/>
              </w:rPr>
              <w:t>7.0x</w:t>
            </w:r>
          </w:p>
        </w:tc>
      </w:tr>
      <w:tr>
        <w:tc>
          <w:tcPr>
            <w:tcW w:type="dxa" w:w="7056"/>
            <w:shd w:val="clear" w:color="auto" w:fill="F6F1E6"/>
          </w:tcPr>
          <w:p>
            <w:pPr>
              <w:spacing w:after="20"/>
            </w:pPr>
            <w:r>
              <w:rPr>
                <w:b/>
                <w:color w:val="1C3A36"/>
                <w:sz w:val="17"/>
              </w:rPr>
              <w:t>VALUE PER SHARE, EGP</w:t>
            </w:r>
          </w:p>
        </w:tc>
        <w:tc>
          <w:tcPr>
            <w:tcW w:type="dxa" w:w="1584"/>
            <w:shd w:val="clear" w:color="auto" w:fill="F6F1E6"/>
          </w:tcPr>
          <w:p>
            <w:pPr>
              <w:spacing w:after="20"/>
              <w:jc w:val="right"/>
            </w:pPr>
            <w:r>
              <w:rPr>
                <w:b/>
                <w:color w:val="1C3A36"/>
                <w:sz w:val="17"/>
              </w:rPr>
              <w:t>21.26</w:t>
            </w:r>
          </w:p>
        </w:tc>
      </w:tr>
    </w:tbl>
    <w:p>
      <w:pPr>
        <w:spacing w:after="40"/>
      </w:pPr>
    </w:p>
    <w:p>
      <w:pPr>
        <w:spacing w:after="200" w:before="0"/>
      </w:pPr>
      <w:r>
        <w:rPr>
          <w:b w:val="0"/>
          <w:i/>
          <w:color w:val="6E7B77"/>
          <w:sz w:val="17"/>
        </w:rPr>
        <w:t>Table C.1 — Expert 1. Range EGP 15.18 to 28.85 on a 5.0x to 9.5x multiple band. This is the HIGHEST of the three and it is still 57.5% against the market price. Note that it is an undiscounted 2028E number, which is why it sits above the primary lens.</w:t>
      </w:r>
    </w:p>
    <w:p>
      <w:pPr>
        <w:spacing w:after="80" w:before="200"/>
      </w:pPr>
      <w:r>
        <w:rPr>
          <w:b/>
          <w:i w:val="0"/>
          <w:color w:val="1C3A36"/>
          <w:sz w:val="24"/>
        </w:rPr>
        <w:t>C.2  Expert 2 — free cash flow to equity, discounted</w:t>
      </w:r>
    </w:p>
    <w:p>
      <w:pPr>
        <w:spacing w:after="120" w:before="0"/>
      </w:pPr>
      <w:r>
        <w:rPr>
          <w:b w:val="0"/>
          <w:i w:val="0"/>
          <w:color w:val="1C3A36"/>
          <w:sz w:val="21"/>
        </w:rPr>
        <w:t>Discounts cash flow to the EQUITY holder rather than to the firm: free cash flow to the firm less after-tax finance costs plus after-tax finance income, discounted at the COST OF EQUITY on its own glide rather than at the weighted rate. It is the cleanest independent check on the primary lens, because it changes both the numerator and the discount rate together.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96"/>
        <w:gridCol w:w="1296"/>
        <w:gridCol w:w="1296"/>
        <w:gridCol w:w="1296"/>
        <w:gridCol w:w="1296"/>
      </w:tblGrid>
      <w:tr>
        <w:tc>
          <w:tcPr>
            <w:tcW w:type="dxa" w:w="3168"/>
            <w:shd w:val="clear" w:color="auto" w:fill="EAF0EE"/>
          </w:tcPr>
          <w:p>
            <w:pPr>
              <w:spacing w:after="20"/>
            </w:pPr>
            <w:r>
              <w:rPr>
                <w:b/>
                <w:color w:val="1C3A36"/>
                <w:sz w:val="16"/>
              </w:rPr>
              <w:t>Step</w:t>
            </w:r>
          </w:p>
        </w:tc>
        <w:tc>
          <w:tcPr>
            <w:tcW w:type="dxa" w:w="1296"/>
            <w:shd w:val="clear" w:color="auto" w:fill="EAF0EE"/>
          </w:tcPr>
          <w:p>
            <w:pPr>
              <w:spacing w:after="20"/>
            </w:pPr>
            <w:r>
              <w:rPr>
                <w:b/>
                <w:color w:val="1C3A36"/>
                <w:sz w:val="16"/>
              </w:rPr>
              <w:t>2026E</w:t>
            </w:r>
          </w:p>
        </w:tc>
        <w:tc>
          <w:tcPr>
            <w:tcW w:type="dxa" w:w="1296"/>
            <w:shd w:val="clear" w:color="auto" w:fill="EAF0EE"/>
          </w:tcPr>
          <w:p>
            <w:pPr>
              <w:spacing w:after="20"/>
            </w:pPr>
            <w:r>
              <w:rPr>
                <w:b/>
                <w:color w:val="1C3A36"/>
                <w:sz w:val="16"/>
              </w:rPr>
              <w:t>2027E</w:t>
            </w:r>
          </w:p>
        </w:tc>
        <w:tc>
          <w:tcPr>
            <w:tcW w:type="dxa" w:w="1296"/>
            <w:shd w:val="clear" w:color="auto" w:fill="EAF0EE"/>
          </w:tcPr>
          <w:p>
            <w:pPr>
              <w:spacing w:after="20"/>
            </w:pPr>
            <w:r>
              <w:rPr>
                <w:b/>
                <w:color w:val="1C3A36"/>
                <w:sz w:val="16"/>
              </w:rPr>
              <w:t>2028E</w:t>
            </w:r>
          </w:p>
        </w:tc>
        <w:tc>
          <w:tcPr>
            <w:tcW w:type="dxa" w:w="1296"/>
            <w:shd w:val="clear" w:color="auto" w:fill="EAF0EE"/>
          </w:tcPr>
          <w:p>
            <w:pPr>
              <w:spacing w:after="20"/>
            </w:pPr>
            <w:r>
              <w:rPr>
                <w:b/>
                <w:color w:val="1C3A36"/>
                <w:sz w:val="16"/>
              </w:rPr>
              <w:t>2029E</w:t>
            </w:r>
          </w:p>
        </w:tc>
        <w:tc>
          <w:tcPr>
            <w:tcW w:type="dxa" w:w="1296"/>
            <w:shd w:val="clear" w:color="auto" w:fill="EAF0EE"/>
          </w:tcPr>
          <w:p>
            <w:pPr>
              <w:spacing w:after="20"/>
            </w:pPr>
            <w:r>
              <w:rPr>
                <w:b/>
                <w:color w:val="1C3A36"/>
                <w:sz w:val="16"/>
              </w:rPr>
              <w:t>2030E</w:t>
            </w:r>
          </w:p>
        </w:tc>
      </w:tr>
      <w:tr>
        <w:tc>
          <w:tcPr>
            <w:tcW w:type="dxa" w:w="3168"/>
          </w:tcPr>
          <w:p>
            <w:pPr>
              <w:spacing w:after="20"/>
            </w:pPr>
            <w:r>
              <w:rPr>
                <w:color w:val="1C3A36"/>
                <w:sz w:val="16"/>
              </w:rPr>
              <w:t>Free cash flow to equity</w:t>
            </w:r>
          </w:p>
        </w:tc>
        <w:tc>
          <w:tcPr>
            <w:tcW w:type="dxa" w:w="1296"/>
          </w:tcPr>
          <w:p>
            <w:pPr>
              <w:spacing w:after="20"/>
              <w:jc w:val="right"/>
            </w:pPr>
            <w:r>
              <w:rPr>
                <w:color w:val="1C3A36"/>
                <w:sz w:val="16"/>
              </w:rPr>
              <w:t>3,038</w:t>
            </w:r>
          </w:p>
        </w:tc>
        <w:tc>
          <w:tcPr>
            <w:tcW w:type="dxa" w:w="1296"/>
          </w:tcPr>
          <w:p>
            <w:pPr>
              <w:spacing w:after="20"/>
              <w:jc w:val="right"/>
            </w:pPr>
            <w:r>
              <w:rPr>
                <w:color w:val="1C3A36"/>
                <w:sz w:val="16"/>
              </w:rPr>
              <w:t>3,262</w:t>
            </w:r>
          </w:p>
        </w:tc>
        <w:tc>
          <w:tcPr>
            <w:tcW w:type="dxa" w:w="1296"/>
          </w:tcPr>
          <w:p>
            <w:pPr>
              <w:spacing w:after="20"/>
              <w:jc w:val="right"/>
            </w:pPr>
            <w:r>
              <w:rPr>
                <w:color w:val="1C3A36"/>
                <w:sz w:val="16"/>
              </w:rPr>
              <w:t>3,437</w:t>
            </w:r>
          </w:p>
        </w:tc>
        <w:tc>
          <w:tcPr>
            <w:tcW w:type="dxa" w:w="1296"/>
          </w:tcPr>
          <w:p>
            <w:pPr>
              <w:spacing w:after="20"/>
              <w:jc w:val="right"/>
            </w:pPr>
            <w:r>
              <w:rPr>
                <w:color w:val="1C3A36"/>
                <w:sz w:val="16"/>
              </w:rPr>
              <w:t>3,551</w:t>
            </w:r>
          </w:p>
        </w:tc>
        <w:tc>
          <w:tcPr>
            <w:tcW w:type="dxa" w:w="1296"/>
          </w:tcPr>
          <w:p>
            <w:pPr>
              <w:spacing w:after="20"/>
              <w:jc w:val="right"/>
            </w:pPr>
            <w:r>
              <w:rPr>
                <w:color w:val="1C3A36"/>
                <w:sz w:val="16"/>
              </w:rPr>
              <w:t>3,628</w:t>
            </w:r>
          </w:p>
        </w:tc>
      </w:tr>
      <w:tr>
        <w:tc>
          <w:tcPr>
            <w:tcW w:type="dxa" w:w="3168"/>
          </w:tcPr>
          <w:p>
            <w:pPr>
              <w:spacing w:after="20"/>
            </w:pPr>
            <w:r>
              <w:rPr>
                <w:color w:val="1C3A36"/>
                <w:sz w:val="16"/>
              </w:rPr>
              <w:t>Cost of equity, glided</w:t>
            </w:r>
          </w:p>
        </w:tc>
        <w:tc>
          <w:tcPr>
            <w:tcW w:type="dxa" w:w="1296"/>
          </w:tcPr>
          <w:p>
            <w:pPr>
              <w:spacing w:after="20"/>
              <w:jc w:val="right"/>
            </w:pPr>
            <w:r>
              <w:rPr>
                <w:color w:val="1C3A36"/>
                <w:sz w:val="16"/>
              </w:rPr>
              <w:t>27.44%</w:t>
            </w:r>
          </w:p>
        </w:tc>
        <w:tc>
          <w:tcPr>
            <w:tcW w:type="dxa" w:w="1296"/>
          </w:tcPr>
          <w:p>
            <w:pPr>
              <w:spacing w:after="20"/>
              <w:jc w:val="right"/>
            </w:pPr>
            <w:r>
              <w:rPr>
                <w:color w:val="1C3A36"/>
                <w:sz w:val="16"/>
              </w:rPr>
              <w:t>21.97%</w:t>
            </w:r>
          </w:p>
        </w:tc>
        <w:tc>
          <w:tcPr>
            <w:tcW w:type="dxa" w:w="1296"/>
          </w:tcPr>
          <w:p>
            <w:pPr>
              <w:spacing w:after="20"/>
              <w:jc w:val="right"/>
            </w:pPr>
            <w:r>
              <w:rPr>
                <w:color w:val="1C3A36"/>
                <w:sz w:val="16"/>
              </w:rPr>
              <w:t>19.69%</w:t>
            </w:r>
          </w:p>
        </w:tc>
        <w:tc>
          <w:tcPr>
            <w:tcW w:type="dxa" w:w="1296"/>
          </w:tcPr>
          <w:p>
            <w:pPr>
              <w:spacing w:after="20"/>
              <w:jc w:val="right"/>
            </w:pPr>
            <w:r>
              <w:rPr>
                <w:color w:val="1C3A36"/>
                <w:sz w:val="16"/>
              </w:rPr>
              <w:t>17.98%</w:t>
            </w:r>
          </w:p>
        </w:tc>
        <w:tc>
          <w:tcPr>
            <w:tcW w:type="dxa" w:w="1296"/>
          </w:tcPr>
          <w:p>
            <w:pPr>
              <w:spacing w:after="20"/>
              <w:jc w:val="right"/>
            </w:pPr>
            <w:r>
              <w:rPr>
                <w:color w:val="1C3A36"/>
                <w:sz w:val="16"/>
              </w:rPr>
              <w:t>16.84%</w:t>
            </w:r>
          </w:p>
        </w:tc>
      </w:tr>
      <w:tr>
        <w:tc>
          <w:tcPr>
            <w:tcW w:type="dxa" w:w="3168"/>
          </w:tcPr>
          <w:p>
            <w:pPr>
              <w:spacing w:after="20"/>
            </w:pPr>
            <w:r>
              <w:rPr>
                <w:color w:val="1C3A36"/>
                <w:sz w:val="16"/>
              </w:rPr>
              <w:t>Discount factor</w:t>
            </w:r>
          </w:p>
        </w:tc>
        <w:tc>
          <w:tcPr>
            <w:tcW w:type="dxa" w:w="1296"/>
          </w:tcPr>
          <w:p>
            <w:pPr>
              <w:spacing w:after="20"/>
              <w:jc w:val="right"/>
            </w:pPr>
            <w:r>
              <w:rPr>
                <w:color w:val="1C3A36"/>
                <w:sz w:val="16"/>
              </w:rPr>
              <w:t>0.7847</w:t>
            </w:r>
          </w:p>
        </w:tc>
        <w:tc>
          <w:tcPr>
            <w:tcW w:type="dxa" w:w="1296"/>
          </w:tcPr>
          <w:p>
            <w:pPr>
              <w:spacing w:after="20"/>
              <w:jc w:val="right"/>
            </w:pPr>
            <w:r>
              <w:rPr>
                <w:color w:val="1C3A36"/>
                <w:sz w:val="16"/>
              </w:rPr>
              <w:t>0.6434</w:t>
            </w:r>
          </w:p>
        </w:tc>
        <w:tc>
          <w:tcPr>
            <w:tcW w:type="dxa" w:w="1296"/>
          </w:tcPr>
          <w:p>
            <w:pPr>
              <w:spacing w:after="20"/>
              <w:jc w:val="right"/>
            </w:pPr>
            <w:r>
              <w:rPr>
                <w:color w:val="1C3A36"/>
                <w:sz w:val="16"/>
              </w:rPr>
              <w:t>0.5375</w:t>
            </w:r>
          </w:p>
        </w:tc>
        <w:tc>
          <w:tcPr>
            <w:tcW w:type="dxa" w:w="1296"/>
          </w:tcPr>
          <w:p>
            <w:pPr>
              <w:spacing w:after="20"/>
              <w:jc w:val="right"/>
            </w:pPr>
            <w:r>
              <w:rPr>
                <w:color w:val="1C3A36"/>
                <w:sz w:val="16"/>
              </w:rPr>
              <w:t>0.4556</w:t>
            </w:r>
          </w:p>
        </w:tc>
        <w:tc>
          <w:tcPr>
            <w:tcW w:type="dxa" w:w="1296"/>
          </w:tcPr>
          <w:p>
            <w:pPr>
              <w:spacing w:after="20"/>
              <w:jc w:val="right"/>
            </w:pPr>
            <w:r>
              <w:rPr>
                <w:color w:val="1C3A36"/>
                <w:sz w:val="16"/>
              </w:rPr>
              <w:t>0.3899</w:t>
            </w:r>
          </w:p>
        </w:tc>
      </w:tr>
      <w:tr>
        <w:tc>
          <w:tcPr>
            <w:tcW w:type="dxa" w:w="3168"/>
          </w:tcPr>
          <w:p>
            <w:pPr>
              <w:spacing w:after="20"/>
            </w:pPr>
            <w:r>
              <w:rPr>
                <w:color w:val="1C3A36"/>
                <w:sz w:val="16"/>
              </w:rPr>
              <w:t>Present value</w:t>
            </w:r>
          </w:p>
        </w:tc>
        <w:tc>
          <w:tcPr>
            <w:tcW w:type="dxa" w:w="1296"/>
          </w:tcPr>
          <w:p>
            <w:pPr>
              <w:spacing w:after="20"/>
              <w:jc w:val="right"/>
            </w:pPr>
            <w:r>
              <w:rPr>
                <w:color w:val="1C3A36"/>
                <w:sz w:val="16"/>
              </w:rPr>
              <w:t>2,384</w:t>
            </w:r>
          </w:p>
        </w:tc>
        <w:tc>
          <w:tcPr>
            <w:tcW w:type="dxa" w:w="1296"/>
          </w:tcPr>
          <w:p>
            <w:pPr>
              <w:spacing w:after="20"/>
              <w:jc w:val="right"/>
            </w:pPr>
            <w:r>
              <w:rPr>
                <w:color w:val="1C3A36"/>
                <w:sz w:val="16"/>
              </w:rPr>
              <w:t>2,099</w:t>
            </w:r>
          </w:p>
        </w:tc>
        <w:tc>
          <w:tcPr>
            <w:tcW w:type="dxa" w:w="1296"/>
          </w:tcPr>
          <w:p>
            <w:pPr>
              <w:spacing w:after="20"/>
              <w:jc w:val="right"/>
            </w:pPr>
            <w:r>
              <w:rPr>
                <w:color w:val="1C3A36"/>
                <w:sz w:val="16"/>
              </w:rPr>
              <w:t>1,848</w:t>
            </w:r>
          </w:p>
        </w:tc>
        <w:tc>
          <w:tcPr>
            <w:tcW w:type="dxa" w:w="1296"/>
          </w:tcPr>
          <w:p>
            <w:pPr>
              <w:spacing w:after="20"/>
              <w:jc w:val="right"/>
            </w:pPr>
            <w:r>
              <w:rPr>
                <w:color w:val="1C3A36"/>
                <w:sz w:val="16"/>
              </w:rPr>
              <w:t>1,618</w:t>
            </w:r>
          </w:p>
        </w:tc>
        <w:tc>
          <w:tcPr>
            <w:tcW w:type="dxa" w:w="1296"/>
          </w:tcPr>
          <w:p>
            <w:pPr>
              <w:spacing w:after="20"/>
              <w:jc w:val="right"/>
            </w:pPr>
            <w:r>
              <w:rPr>
                <w:color w:val="1C3A36"/>
                <w:sz w:val="16"/>
              </w:rPr>
              <w:t>1,415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w:t>
            </w:r>
          </w:p>
        </w:tc>
      </w:tr>
      <w:tr>
        <w:tc>
          <w:tcPr>
            <w:tcW w:type="dxa" w:w="7056"/>
          </w:tcPr>
          <w:p>
            <w:pPr>
              <w:spacing w:after="20"/>
            </w:pPr>
            <w:r>
              <w:rPr>
                <w:color w:val="1C3A36"/>
                <w:sz w:val="17"/>
              </w:rPr>
              <w:t>Present value of the explicit window</w:t>
            </w:r>
          </w:p>
        </w:tc>
        <w:tc>
          <w:tcPr>
            <w:tcW w:type="dxa" w:w="1584"/>
          </w:tcPr>
          <w:p>
            <w:pPr>
              <w:spacing w:after="20"/>
              <w:jc w:val="right"/>
            </w:pPr>
            <w:r>
              <w:rPr>
                <w:color w:val="1C3A36"/>
                <w:sz w:val="17"/>
              </w:rPr>
              <w:t>9,363</w:t>
            </w:r>
          </w:p>
        </w:tc>
      </w:tr>
      <w:tr>
        <w:tc>
          <w:tcPr>
            <w:tcW w:type="dxa" w:w="7056"/>
          </w:tcPr>
          <w:p>
            <w:pPr>
              <w:spacing w:after="20"/>
            </w:pPr>
            <w:r>
              <w:rPr>
                <w:color w:val="1C3A36"/>
                <w:sz w:val="17"/>
              </w:rPr>
              <w:t>Present value of the terminal block</w:t>
            </w:r>
          </w:p>
        </w:tc>
        <w:tc>
          <w:tcPr>
            <w:tcW w:type="dxa" w:w="1584"/>
          </w:tcPr>
          <w:p>
            <w:pPr>
              <w:spacing w:after="20"/>
              <w:jc w:val="right"/>
            </w:pPr>
            <w:r>
              <w:rPr>
                <w:color w:val="1C3A36"/>
                <w:sz w:val="17"/>
              </w:rPr>
              <w:t>13,049</w:t>
            </w:r>
          </w:p>
        </w:tc>
      </w:tr>
      <w:tr>
        <w:tc>
          <w:tcPr>
            <w:tcW w:type="dxa" w:w="7056"/>
          </w:tcPr>
          <w:p>
            <w:pPr>
              <w:spacing w:after="20"/>
            </w:pPr>
            <w:r>
              <w:rPr>
                <w:color w:val="1C3A36"/>
                <w:sz w:val="17"/>
              </w:rPr>
              <w:t>less the disclosed claims carried in the bridge</w:t>
            </w:r>
          </w:p>
        </w:tc>
        <w:tc>
          <w:tcPr>
            <w:tcW w:type="dxa" w:w="1584"/>
          </w:tcPr>
          <w:p>
            <w:pPr>
              <w:spacing w:after="20"/>
              <w:jc w:val="right"/>
            </w:pPr>
            <w:r>
              <w:rPr>
                <w:color w:val="1C3A36"/>
                <w:sz w:val="17"/>
              </w:rPr>
              <w:t>(1,255)</w:t>
            </w:r>
          </w:p>
        </w:tc>
      </w:tr>
      <w:tr>
        <w:tc>
          <w:tcPr>
            <w:tcW w:type="dxa" w:w="7056"/>
          </w:tcPr>
          <w:p>
            <w:pPr>
              <w:spacing w:after="20"/>
            </w:pPr>
            <w:r>
              <w:rPr>
                <w:color w:val="1C3A36"/>
                <w:sz w:val="17"/>
              </w:rPr>
              <w:t>EQUITY VALUE</w:t>
            </w:r>
          </w:p>
        </w:tc>
        <w:tc>
          <w:tcPr>
            <w:tcW w:type="dxa" w:w="1584"/>
          </w:tcPr>
          <w:p>
            <w:pPr>
              <w:spacing w:after="20"/>
              <w:jc w:val="right"/>
            </w:pPr>
            <w:r>
              <w:rPr>
                <w:color w:val="1C3A36"/>
                <w:sz w:val="17"/>
              </w:rPr>
              <w:t>22,412</w:t>
            </w:r>
          </w:p>
        </w:tc>
      </w:tr>
      <w:tr>
        <w:tc>
          <w:tcPr>
            <w:tcW w:type="dxa" w:w="7056"/>
            <w:shd w:val="clear" w:color="auto" w:fill="F6F1E6"/>
          </w:tcPr>
          <w:p>
            <w:pPr>
              <w:spacing w:after="20"/>
            </w:pPr>
            <w:r>
              <w:rPr>
                <w:b/>
                <w:color w:val="1C3A36"/>
                <w:sz w:val="17"/>
              </w:rPr>
              <w:t>VALUE PER SHARE, EGP</w:t>
            </w:r>
          </w:p>
        </w:tc>
        <w:tc>
          <w:tcPr>
            <w:tcW w:type="dxa" w:w="1584"/>
            <w:shd w:val="clear" w:color="auto" w:fill="F6F1E6"/>
          </w:tcPr>
          <w:p>
            <w:pPr>
              <w:spacing w:after="20"/>
              <w:jc w:val="right"/>
            </w:pPr>
            <w:r>
              <w:rPr>
                <w:b/>
                <w:color w:val="1C3A36"/>
                <w:sz w:val="17"/>
              </w:rPr>
              <w:t>17.35</w:t>
            </w:r>
          </w:p>
        </w:tc>
      </w:tr>
    </w:tbl>
    <w:p>
      <w:pPr>
        <w:spacing w:after="40"/>
      </w:pPr>
    </w:p>
    <w:p>
      <w:pPr>
        <w:spacing w:after="200" w:before="0"/>
      </w:pPr>
      <w:r>
        <w:rPr>
          <w:b w:val="0"/>
          <w:i/>
          <w:color w:val="6E7B77"/>
          <w:sz w:val="17"/>
        </w:rPr>
        <w:t>Table C.2 — Expert 2. Range EGP 0.59 to 23.04. This is the LOWEST of the three at 28.5% against the price, and the reason is the discount rate: an equity claim discounted on the equity glide from 27.4% to 16.8% is punished harder in the near years than an unlevered claim on the weighted rate.</w:t>
      </w:r>
    </w:p>
    <w:p>
      <w:pPr>
        <w:spacing w:after="80" w:before="200"/>
      </w:pPr>
      <w:r>
        <w:rPr>
          <w:b/>
          <w:i w:val="0"/>
          <w:color w:val="1C3A36"/>
          <w:sz w:val="24"/>
        </w:rPr>
        <w:t>C.3  Expert 3 — cash returns against the cost of capital</w:t>
      </w:r>
    </w:p>
    <w:p>
      <w:pPr>
        <w:spacing w:after="120" w:before="0"/>
      </w:pPr>
      <w:r>
        <w:rPr>
          <w:b w:val="0"/>
          <w:i w:val="0"/>
          <w:color w:val="1C3A36"/>
          <w:sz w:val="21"/>
        </w:rPr>
        <w:t>Values the business as invested capital plus the present value of the ECONOMIC PROFIT it earns above its cost of capital, rather than as a stream of cash. Arithmetically it must reconcile to the primary lens on the same inputs — that is the point of including it. Where it differs is that it makes the SPREAD visible: how much of the value is capital already in the ground, and how much is return above the cost of that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w:t>
            </w:r>
          </w:p>
        </w:tc>
      </w:tr>
      <w:tr>
        <w:tc>
          <w:tcPr>
            <w:tcW w:type="dxa" w:w="7056"/>
          </w:tcPr>
          <w:p>
            <w:pPr>
              <w:spacing w:after="20"/>
            </w:pPr>
            <w:r>
              <w:rPr>
                <w:color w:val="1C3A36"/>
                <w:sz w:val="17"/>
              </w:rPr>
              <w:t>Invested capital at the valuation date</w:t>
            </w:r>
          </w:p>
        </w:tc>
        <w:tc>
          <w:tcPr>
            <w:tcW w:type="dxa" w:w="1584"/>
          </w:tcPr>
          <w:p>
            <w:pPr>
              <w:spacing w:after="20"/>
              <w:jc w:val="right"/>
            </w:pPr>
            <w:r>
              <w:rPr>
                <w:color w:val="1C3A36"/>
                <w:sz w:val="17"/>
              </w:rPr>
              <w:t>4,677</w:t>
            </w:r>
          </w:p>
        </w:tc>
      </w:tr>
      <w:tr>
        <w:tc>
          <w:tcPr>
            <w:tcW w:type="dxa" w:w="7056"/>
          </w:tcPr>
          <w:p>
            <w:pPr>
              <w:spacing w:after="20"/>
            </w:pPr>
            <w:r>
              <w:rPr>
                <w:color w:val="1C3A36"/>
                <w:sz w:val="17"/>
              </w:rPr>
              <w:t>plus present value of economic profit, explicit window</w:t>
            </w:r>
          </w:p>
        </w:tc>
        <w:tc>
          <w:tcPr>
            <w:tcW w:type="dxa" w:w="1584"/>
          </w:tcPr>
          <w:p>
            <w:pPr>
              <w:spacing w:after="20"/>
              <w:jc w:val="right"/>
            </w:pPr>
            <w:r>
              <w:rPr>
                <w:color w:val="1C3A36"/>
                <w:sz w:val="17"/>
              </w:rPr>
              <w:t>6,969</w:t>
            </w:r>
          </w:p>
        </w:tc>
      </w:tr>
      <w:tr>
        <w:tc>
          <w:tcPr>
            <w:tcW w:type="dxa" w:w="7056"/>
          </w:tcPr>
          <w:p>
            <w:pPr>
              <w:spacing w:after="20"/>
            </w:pPr>
            <w:r>
              <w:rPr>
                <w:color w:val="1C3A36"/>
                <w:sz w:val="17"/>
              </w:rPr>
              <w:t>plus present value of economic profit, terminal</w:t>
            </w:r>
          </w:p>
        </w:tc>
        <w:tc>
          <w:tcPr>
            <w:tcW w:type="dxa" w:w="1584"/>
          </w:tcPr>
          <w:p>
            <w:pPr>
              <w:spacing w:after="20"/>
              <w:jc w:val="right"/>
            </w:pPr>
            <w:r>
              <w:rPr>
                <w:color w:val="1C3A36"/>
                <w:sz w:val="17"/>
              </w:rPr>
              <w:t>13,574</w:t>
            </w:r>
          </w:p>
        </w:tc>
      </w:tr>
      <w:tr>
        <w:tc>
          <w:tcPr>
            <w:tcW w:type="dxa" w:w="7056"/>
            <w:shd w:val="clear" w:color="auto" w:fill="F6F1E6"/>
          </w:tcPr>
          <w:p>
            <w:pPr>
              <w:spacing w:after="20"/>
            </w:pPr>
            <w:r>
              <w:rPr>
                <w:b/>
                <w:color w:val="1C3A36"/>
                <w:sz w:val="17"/>
              </w:rPr>
              <w:t>ENTERPRISE VALUE</w:t>
            </w:r>
          </w:p>
        </w:tc>
        <w:tc>
          <w:tcPr>
            <w:tcW w:type="dxa" w:w="1584"/>
            <w:shd w:val="clear" w:color="auto" w:fill="F6F1E6"/>
          </w:tcPr>
          <w:p>
            <w:pPr>
              <w:spacing w:after="20"/>
              <w:jc w:val="right"/>
            </w:pPr>
            <w:r>
              <w:rPr>
                <w:b/>
                <w:color w:val="1C3A36"/>
                <w:sz w:val="17"/>
              </w:rPr>
              <w:t>25,220</w:t>
            </w:r>
          </w:p>
        </w:tc>
      </w:tr>
      <w:tr>
        <w:tc>
          <w:tcPr>
            <w:tcW w:type="dxa" w:w="7056"/>
          </w:tcPr>
          <w:p>
            <w:pPr>
              <w:spacing w:after="20"/>
            </w:pPr>
            <w:r>
              <w:rPr>
                <w:color w:val="1C3A36"/>
                <w:sz w:val="17"/>
              </w:rPr>
              <w:t>VALUE PER SHARE after the bridge, EGP</w:t>
            </w:r>
          </w:p>
        </w:tc>
        <w:tc>
          <w:tcPr>
            <w:tcW w:type="dxa" w:w="1584"/>
          </w:tcPr>
          <w:p>
            <w:pPr>
              <w:spacing w:after="20"/>
              <w:jc w:val="right"/>
            </w:pPr>
            <w:r>
              <w:rPr>
                <w:color w:val="1C3A36"/>
                <w:sz w:val="17"/>
              </w:rPr>
              <w:t>20.95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24"/>
        <w:gridCol w:w="1224"/>
        <w:gridCol w:w="1224"/>
        <w:gridCol w:w="1224"/>
        <w:gridCol w:w="1224"/>
      </w:tblGrid>
      <w:tr>
        <w:tc>
          <w:tcPr>
            <w:tcW w:type="dxa" w:w="3600"/>
            <w:shd w:val="clear" w:color="auto" w:fill="EAF0EE"/>
          </w:tcPr>
          <w:p>
            <w:pPr>
              <w:spacing w:after="20"/>
            </w:pPr>
            <w:r>
              <w:rPr>
                <w:b/>
                <w:color w:val="1C3A36"/>
                <w:sz w:val="17"/>
              </w:rPr>
            </w:r>
          </w:p>
        </w:tc>
        <w:tc>
          <w:tcPr>
            <w:tcW w:type="dxa" w:w="1224"/>
            <w:shd w:val="clear" w:color="auto" w:fill="EAF0EE"/>
          </w:tcPr>
          <w:p>
            <w:pPr>
              <w:spacing w:after="20"/>
            </w:pPr>
            <w:r>
              <w:rPr>
                <w:b/>
                <w:color w:val="1C3A36"/>
                <w:sz w:val="17"/>
              </w:rPr>
              <w:t>2026E</w:t>
            </w:r>
          </w:p>
        </w:tc>
        <w:tc>
          <w:tcPr>
            <w:tcW w:type="dxa" w:w="1224"/>
            <w:shd w:val="clear" w:color="auto" w:fill="EAF0EE"/>
          </w:tcPr>
          <w:p>
            <w:pPr>
              <w:spacing w:after="20"/>
            </w:pPr>
            <w:r>
              <w:rPr>
                <w:b/>
                <w:color w:val="1C3A36"/>
                <w:sz w:val="17"/>
              </w:rPr>
              <w:t>2027E</w:t>
            </w:r>
          </w:p>
        </w:tc>
        <w:tc>
          <w:tcPr>
            <w:tcW w:type="dxa" w:w="1224"/>
            <w:shd w:val="clear" w:color="auto" w:fill="EAF0EE"/>
          </w:tcPr>
          <w:p>
            <w:pPr>
              <w:spacing w:after="20"/>
            </w:pPr>
            <w:r>
              <w:rPr>
                <w:b/>
                <w:color w:val="1C3A36"/>
                <w:sz w:val="17"/>
              </w:rPr>
              <w:t>2028E</w:t>
            </w:r>
          </w:p>
        </w:tc>
        <w:tc>
          <w:tcPr>
            <w:tcW w:type="dxa" w:w="1224"/>
            <w:shd w:val="clear" w:color="auto" w:fill="EAF0EE"/>
          </w:tcPr>
          <w:p>
            <w:pPr>
              <w:spacing w:after="20"/>
            </w:pPr>
            <w:r>
              <w:rPr>
                <w:b/>
                <w:color w:val="1C3A36"/>
                <w:sz w:val="17"/>
              </w:rPr>
              <w:t>2029E</w:t>
            </w:r>
          </w:p>
        </w:tc>
        <w:tc>
          <w:tcPr>
            <w:tcW w:type="dxa" w:w="1224"/>
            <w:shd w:val="clear" w:color="auto" w:fill="EAF0EE"/>
          </w:tcPr>
          <w:p>
            <w:pPr>
              <w:spacing w:after="20"/>
            </w:pPr>
            <w:r>
              <w:rPr>
                <w:b/>
                <w:color w:val="1C3A36"/>
                <w:sz w:val="17"/>
              </w:rPr>
              <w:t>2030E</w:t>
            </w:r>
          </w:p>
        </w:tc>
      </w:tr>
      <w:tr>
        <w:tc>
          <w:tcPr>
            <w:tcW w:type="dxa" w:w="3600"/>
          </w:tcPr>
          <w:p>
            <w:pPr>
              <w:spacing w:after="20"/>
            </w:pPr>
            <w:r>
              <w:rPr>
                <w:color w:val="1C3A36"/>
                <w:sz w:val="17"/>
              </w:rPr>
              <w:t>Economic profit</w:t>
            </w:r>
          </w:p>
        </w:tc>
        <w:tc>
          <w:tcPr>
            <w:tcW w:type="dxa" w:w="1224"/>
          </w:tcPr>
          <w:p>
            <w:pPr>
              <w:spacing w:after="20"/>
              <w:jc w:val="right"/>
            </w:pPr>
            <w:r>
              <w:rPr>
                <w:color w:val="1C3A36"/>
                <w:sz w:val="17"/>
              </w:rPr>
              <w:t>1,954</w:t>
            </w:r>
          </w:p>
        </w:tc>
        <w:tc>
          <w:tcPr>
            <w:tcW w:type="dxa" w:w="1224"/>
          </w:tcPr>
          <w:p>
            <w:pPr>
              <w:spacing w:after="20"/>
              <w:jc w:val="right"/>
            </w:pPr>
            <w:r>
              <w:rPr>
                <w:color w:val="1C3A36"/>
                <w:sz w:val="17"/>
              </w:rPr>
              <w:t>2,398</w:t>
            </w:r>
          </w:p>
        </w:tc>
        <w:tc>
          <w:tcPr>
            <w:tcW w:type="dxa" w:w="1224"/>
          </w:tcPr>
          <w:p>
            <w:pPr>
              <w:spacing w:after="20"/>
              <w:jc w:val="right"/>
            </w:pPr>
            <w:r>
              <w:rPr>
                <w:color w:val="1C3A36"/>
                <w:sz w:val="17"/>
              </w:rPr>
              <w:t>2,633</w:t>
            </w:r>
          </w:p>
        </w:tc>
        <w:tc>
          <w:tcPr>
            <w:tcW w:type="dxa" w:w="1224"/>
          </w:tcPr>
          <w:p>
            <w:pPr>
              <w:spacing w:after="20"/>
              <w:jc w:val="right"/>
            </w:pPr>
            <w:r>
              <w:rPr>
                <w:color w:val="1C3A36"/>
                <w:sz w:val="17"/>
              </w:rPr>
              <w:t>2,817</w:t>
            </w:r>
          </w:p>
        </w:tc>
        <w:tc>
          <w:tcPr>
            <w:tcW w:type="dxa" w:w="1224"/>
          </w:tcPr>
          <w:p>
            <w:pPr>
              <w:spacing w:after="20"/>
              <w:jc w:val="right"/>
            </w:pPr>
            <w:r>
              <w:rPr>
                <w:color w:val="1C3A36"/>
                <w:sz w:val="17"/>
              </w:rPr>
              <w:t>2,965</w:t>
            </w:r>
          </w:p>
        </w:tc>
      </w:tr>
      <w:tr>
        <w:tc>
          <w:tcPr>
            <w:tcW w:type="dxa" w:w="3600"/>
          </w:tcPr>
          <w:p>
            <w:pPr>
              <w:spacing w:after="20"/>
            </w:pPr>
            <w:r>
              <w:rPr>
                <w:color w:val="1C3A36"/>
                <w:sz w:val="17"/>
              </w:rPr>
              <w:t>Return spread over the cost of capital</w:t>
            </w:r>
          </w:p>
        </w:tc>
        <w:tc>
          <w:tcPr>
            <w:tcW w:type="dxa" w:w="1224"/>
          </w:tcPr>
          <w:p>
            <w:pPr>
              <w:spacing w:after="20"/>
              <w:jc w:val="right"/>
            </w:pPr>
            <w:r>
              <w:rPr>
                <w:color w:val="1C3A36"/>
                <w:sz w:val="17"/>
              </w:rPr>
              <w:t>35.73%</w:t>
            </w:r>
          </w:p>
        </w:tc>
        <w:tc>
          <w:tcPr>
            <w:tcW w:type="dxa" w:w="1224"/>
          </w:tcPr>
          <w:p>
            <w:pPr>
              <w:spacing w:after="20"/>
              <w:jc w:val="right"/>
            </w:pPr>
            <w:r>
              <w:rPr>
                <w:color w:val="1C3A36"/>
                <w:sz w:val="17"/>
              </w:rPr>
              <w:t>42.20%</w:t>
            </w:r>
          </w:p>
        </w:tc>
        <w:tc>
          <w:tcPr>
            <w:tcW w:type="dxa" w:w="1224"/>
          </w:tcPr>
          <w:p>
            <w:pPr>
              <w:spacing w:after="20"/>
              <w:jc w:val="right"/>
            </w:pPr>
            <w:r>
              <w:rPr>
                <w:color w:val="1C3A36"/>
                <w:sz w:val="17"/>
              </w:rPr>
              <w:t>44.62%</w:t>
            </w:r>
          </w:p>
        </w:tc>
        <w:tc>
          <w:tcPr>
            <w:tcW w:type="dxa" w:w="1224"/>
          </w:tcPr>
          <w:p>
            <w:pPr>
              <w:spacing w:after="20"/>
              <w:jc w:val="right"/>
            </w:pPr>
            <w:r>
              <w:rPr>
                <w:color w:val="1C3A36"/>
                <w:sz w:val="17"/>
              </w:rPr>
              <w:t>46.10%</w:t>
            </w:r>
          </w:p>
        </w:tc>
        <w:tc>
          <w:tcPr>
            <w:tcW w:type="dxa" w:w="1224"/>
          </w:tcPr>
          <w:p>
            <w:pPr>
              <w:spacing w:after="20"/>
              <w:jc w:val="right"/>
            </w:pPr>
            <w:r>
              <w:rPr>
                <w:color w:val="1C3A36"/>
                <w:sz w:val="17"/>
              </w:rPr>
              <w:t>46.83%</w:t>
            </w:r>
          </w:p>
        </w:tc>
      </w:tr>
    </w:tbl>
    <w:p>
      <w:pPr>
        <w:spacing w:after="40"/>
      </w:pPr>
    </w:p>
    <w:p>
      <w:pPr>
        <w:spacing w:after="200" w:before="0"/>
      </w:pPr>
      <w:r>
        <w:rPr>
          <w:b w:val="0"/>
          <w:i/>
          <w:color w:val="6E7B77"/>
          <w:sz w:val="17"/>
        </w:rPr>
        <w:t>Table C.3 — Expert 3. Range EGP 0.53 to 28.30. The spread row is the finding: this business earns a POSITIVE return over its cost of capital in every forecast year, which is why it is worth more than its invested capital — and it is still worth materially less than the market price. Cheap capital is not the question here; the question is how much spread 9.7% of gross margin can support.</w:t>
      </w:r>
    </w:p>
    <w:p>
      <w:pPr>
        <w:spacing w:after="80" w:before="200"/>
      </w:pPr>
      <w:r>
        <w:rPr>
          <w:b/>
          <w:i w:val="0"/>
          <w:color w:val="1C3A36"/>
          <w:sz w:val="24"/>
        </w:rPr>
        <w:t>C.4  Cross-examination</w:t>
      </w:r>
    </w:p>
    <w:p>
      <w:pPr>
        <w:spacing w:after="120" w:before="0"/>
      </w:pPr>
      <w:r>
        <w:rPr>
          <w:b w:val="0"/>
          <w:i w:val="0"/>
          <w:color w:val="1C3A36"/>
          <w:sz w:val="21"/>
        </w:rPr>
        <w:t>Each expert is put the strongest objection the other two can make to their number, and each objection is either CONCEDED or REJECTED with the arithmetic that settles it. Nothing here is rhetorical: every figure in the table is computed from the three constructions above.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656"/>
        <w:gridCol w:w="3672"/>
      </w:tblGrid>
      <w:tr>
        <w:tc>
          <w:tcPr>
            <w:tcW w:type="dxa" w:w="3096"/>
            <w:shd w:val="clear" w:color="auto" w:fill="EAF0EE"/>
          </w:tcPr>
          <w:p>
            <w:pPr>
              <w:spacing w:after="20"/>
            </w:pPr>
            <w:r>
              <w:rPr>
                <w:b/>
                <w:color w:val="1C3A36"/>
                <w:sz w:val="16"/>
              </w:rPr>
              <w:t>Objection</w:t>
            </w:r>
          </w:p>
        </w:tc>
        <w:tc>
          <w:tcPr>
            <w:tcW w:type="dxa" w:w="1368"/>
            <w:shd w:val="clear" w:color="auto" w:fill="EAF0EE"/>
          </w:tcPr>
          <w:p>
            <w:pPr>
              <w:spacing w:after="20"/>
            </w:pPr>
            <w:r>
              <w:rPr>
                <w:b/>
                <w:color w:val="1C3A36"/>
                <w:sz w:val="16"/>
              </w:rPr>
              <w:t>Raised by</w:t>
            </w:r>
          </w:p>
        </w:tc>
        <w:tc>
          <w:tcPr>
            <w:tcW w:type="dxa" w:w="1656"/>
            <w:shd w:val="clear" w:color="auto" w:fill="EAF0EE"/>
          </w:tcPr>
          <w:p>
            <w:pPr>
              <w:spacing w:after="20"/>
            </w:pPr>
            <w:r>
              <w:rPr>
                <w:b/>
                <w:color w:val="1C3A36"/>
                <w:sz w:val="16"/>
              </w:rPr>
              <w:t>Answered</w:t>
            </w:r>
          </w:p>
        </w:tc>
        <w:tc>
          <w:tcPr>
            <w:tcW w:type="dxa" w:w="3672"/>
            <w:shd w:val="clear" w:color="auto" w:fill="EAF0EE"/>
          </w:tcPr>
          <w:p>
            <w:pPr>
              <w:spacing w:after="20"/>
            </w:pPr>
            <w:r>
              <w:rPr>
                <w:b/>
                <w:color w:val="1C3A36"/>
                <w:sz w:val="16"/>
              </w:rPr>
              <w:t>The arithmetic</w:t>
            </w:r>
          </w:p>
        </w:tc>
      </w:tr>
      <w:tr>
        <w:tc>
          <w:tcPr>
            <w:tcW w:type="dxa" w:w="3096"/>
          </w:tcPr>
          <w:p>
            <w:pPr>
              <w:spacing w:after="20"/>
            </w:pPr>
            <w:r>
              <w:rPr>
                <w:color w:val="1C3A36"/>
                <w:sz w:val="16"/>
              </w:rPr>
              <w:t>Expert 1 values 2028E earnings and never brings them back to the valuation date.</w:t>
            </w:r>
          </w:p>
        </w:tc>
        <w:tc>
          <w:tcPr>
            <w:tcW w:type="dxa" w:w="1368"/>
          </w:tcPr>
          <w:p>
            <w:pPr>
              <w:spacing w:after="20"/>
            </w:pPr>
            <w:r>
              <w:rPr>
                <w:color w:val="1C3A36"/>
                <w:sz w:val="16"/>
              </w:rPr>
              <w:t>Experts 2 and 3</w:t>
            </w:r>
          </w:p>
        </w:tc>
        <w:tc>
          <w:tcPr>
            <w:tcW w:type="dxa" w:w="1656"/>
          </w:tcPr>
          <w:p>
            <w:pPr>
              <w:spacing w:after="20"/>
            </w:pPr>
            <w:r>
              <w:rPr>
                <w:color w:val="1C3A36"/>
                <w:sz w:val="16"/>
              </w:rPr>
              <w:t>CONCEDED</w:t>
            </w:r>
          </w:p>
        </w:tc>
        <w:tc>
          <w:tcPr>
            <w:tcW w:type="dxa" w:w="3672"/>
          </w:tcPr>
          <w:p>
            <w:pPr>
              <w:spacing w:after="20"/>
            </w:pPr>
            <w:r>
              <w:rPr>
                <w:color w:val="1C3A36"/>
                <w:sz w:val="16"/>
              </w:rPr>
              <w:t>Discounted 2.4 years at the cost of equity, Expert 1 is worth EGP 11.88, not 21.26 — below Expert 3 and above Expert 2.</w:t>
            </w:r>
          </w:p>
        </w:tc>
      </w:tr>
      <w:tr>
        <w:tc>
          <w:tcPr>
            <w:tcW w:type="dxa" w:w="3096"/>
          </w:tcPr>
          <w:p>
            <w:pPr>
              <w:spacing w:after="20"/>
            </w:pPr>
            <w:r>
              <w:rPr>
                <w:color w:val="1C3A36"/>
                <w:sz w:val="16"/>
              </w:rPr>
              <w:t>Expert 1 applies 7.0x when this company trades at 10.6x its own trailing earnings.</w:t>
            </w:r>
          </w:p>
        </w:tc>
        <w:tc>
          <w:tcPr>
            <w:tcW w:type="dxa" w:w="1368"/>
          </w:tcPr>
          <w:p>
            <w:pPr>
              <w:spacing w:after="20"/>
            </w:pPr>
            <w:r>
              <w:rPr>
                <w:color w:val="1C3A36"/>
                <w:sz w:val="16"/>
              </w:rPr>
              <w:t>Expert 3</w:t>
            </w:r>
          </w:p>
        </w:tc>
        <w:tc>
          <w:tcPr>
            <w:tcW w:type="dxa" w:w="1656"/>
          </w:tcPr>
          <w:p>
            <w:pPr>
              <w:spacing w:after="20"/>
            </w:pPr>
            <w:r>
              <w:rPr>
                <w:color w:val="1C3A36"/>
                <w:sz w:val="16"/>
              </w:rPr>
              <w:t>REJECTED</w:t>
            </w:r>
          </w:p>
        </w:tc>
        <w:tc>
          <w:tcPr>
            <w:tcW w:type="dxa" w:w="3672"/>
          </w:tcPr>
          <w:p>
            <w:pPr>
              <w:spacing w:after="20"/>
            </w:pPr>
            <w:r>
              <w:rPr>
                <w:color w:val="1C3A36"/>
                <w:sz w:val="16"/>
              </w:rPr>
              <w:t>7.0x is struck BELOW the trailing multiple deliberately. Using the traded multiple would value the company at what it already costs, which the relative lens is separately forbidden from doing.</w:t>
            </w:r>
          </w:p>
        </w:tc>
      </w:tr>
      <w:tr>
        <w:tc>
          <w:tcPr>
            <w:tcW w:type="dxa" w:w="3096"/>
          </w:tcPr>
          <w:p>
            <w:pPr>
              <w:spacing w:after="20"/>
            </w:pPr>
            <w:r>
              <w:rPr>
                <w:color w:val="1C3A36"/>
                <w:sz w:val="16"/>
              </w:rPr>
              <w:t>Expert 2 carries no bridge at all, so the tax-disputes provision and the declared dividend never reach the shareholder.</w:t>
            </w:r>
          </w:p>
        </w:tc>
        <w:tc>
          <w:tcPr>
            <w:tcW w:type="dxa" w:w="1368"/>
          </w:tcPr>
          <w:p>
            <w:pPr>
              <w:spacing w:after="20"/>
            </w:pPr>
            <w:r>
              <w:rPr>
                <w:color w:val="1C3A36"/>
                <w:sz w:val="16"/>
              </w:rPr>
              <w:t>Expert 1</w:t>
            </w:r>
          </w:p>
        </w:tc>
        <w:tc>
          <w:tcPr>
            <w:tcW w:type="dxa" w:w="1656"/>
          </w:tcPr>
          <w:p>
            <w:pPr>
              <w:spacing w:after="20"/>
            </w:pPr>
            <w:r>
              <w:rPr>
                <w:color w:val="1C3A36"/>
                <w:sz w:val="16"/>
              </w:rPr>
              <w:t>CONCEDED IN PART</w:t>
            </w:r>
          </w:p>
        </w:tc>
        <w:tc>
          <w:tcPr>
            <w:tcW w:type="dxa" w:w="3672"/>
          </w:tcPr>
          <w:p>
            <w:pPr>
              <w:spacing w:after="20"/>
            </w:pPr>
            <w:r>
              <w:rPr>
                <w:color w:val="1C3A36"/>
                <w:sz w:val="16"/>
              </w:rPr>
              <w:t>Both are deducted: EGP 1,255mn, or EGP 0.97 a share. What is NOT added back is the cash itself — it reaches the holder through finance income instead, which is what keeps this read independent of the primary lens.</w:t>
            </w:r>
          </w:p>
        </w:tc>
      </w:tr>
      <w:tr>
        <w:tc>
          <w:tcPr>
            <w:tcW w:type="dxa" w:w="3096"/>
          </w:tcPr>
          <w:p>
            <w:pPr>
              <w:spacing w:after="20"/>
            </w:pPr>
            <w:r>
              <w:rPr>
                <w:color w:val="1C3A36"/>
                <w:sz w:val="16"/>
              </w:rPr>
              <w:t>Expert 2 puts 58.2% of its value beyond year five.</w:t>
            </w:r>
          </w:p>
        </w:tc>
        <w:tc>
          <w:tcPr>
            <w:tcW w:type="dxa" w:w="1368"/>
          </w:tcPr>
          <w:p>
            <w:pPr>
              <w:spacing w:after="20"/>
            </w:pPr>
            <w:r>
              <w:rPr>
                <w:color w:val="1C3A36"/>
                <w:sz w:val="16"/>
              </w:rPr>
              <w:t>Expert 3</w:t>
            </w:r>
          </w:p>
        </w:tc>
        <w:tc>
          <w:tcPr>
            <w:tcW w:type="dxa" w:w="1656"/>
          </w:tcPr>
          <w:p>
            <w:pPr>
              <w:spacing w:after="20"/>
            </w:pPr>
            <w:r>
              <w:rPr>
                <w:color w:val="1C3A36"/>
                <w:sz w:val="16"/>
              </w:rPr>
              <w:t>REJECTED</w:t>
            </w:r>
          </w:p>
        </w:tc>
        <w:tc>
          <w:tcPr>
            <w:tcW w:type="dxa" w:w="3672"/>
          </w:tcPr>
          <w:p>
            <w:pPr>
              <w:spacing w:after="20"/>
            </w:pPr>
            <w:r>
              <w:rPr>
                <w:color w:val="1C3A36"/>
                <w:sz w:val="16"/>
              </w:rPr>
              <w:t>The primary lens puts 62.3% there on the same horizon. A terminal block this size is a property of a five-year window on a company still recovering, not of this expert's choices.</w:t>
            </w:r>
          </w:p>
        </w:tc>
      </w:tr>
      <w:tr>
        <w:tc>
          <w:tcPr>
            <w:tcW w:type="dxa" w:w="3096"/>
          </w:tcPr>
          <w:p>
            <w:pPr>
              <w:spacing w:after="20"/>
            </w:pPr>
            <w:r>
              <w:rPr>
                <w:color w:val="1C3A36"/>
                <w:sz w:val="16"/>
              </w:rPr>
              <w:t>Expert 3 must reconcile to the primary lens by construction, so it is not an independent read.</w:t>
            </w:r>
          </w:p>
        </w:tc>
        <w:tc>
          <w:tcPr>
            <w:tcW w:type="dxa" w:w="1368"/>
          </w:tcPr>
          <w:p>
            <w:pPr>
              <w:spacing w:after="20"/>
            </w:pPr>
            <w:r>
              <w:rPr>
                <w:color w:val="1C3A36"/>
                <w:sz w:val="16"/>
              </w:rPr>
              <w:t>Experts 1 and 2</w:t>
            </w:r>
          </w:p>
        </w:tc>
        <w:tc>
          <w:tcPr>
            <w:tcW w:type="dxa" w:w="1656"/>
          </w:tcPr>
          <w:p>
            <w:pPr>
              <w:spacing w:after="20"/>
            </w:pPr>
            <w:r>
              <w:rPr>
                <w:color w:val="1C3A36"/>
                <w:sz w:val="16"/>
              </w:rPr>
              <w:t>CONCEDED — AND THAT IS WHY IT IS HERE</w:t>
            </w:r>
          </w:p>
        </w:tc>
        <w:tc>
          <w:tcPr>
            <w:tcW w:type="dxa" w:w="3672"/>
          </w:tcPr>
          <w:p>
            <w:pPr>
              <w:spacing w:after="20"/>
            </w:pPr>
            <w:r>
              <w:rPr>
                <w:color w:val="1C3A36"/>
                <w:sz w:val="16"/>
              </w:rPr>
              <w:t>It is included to make the SPLIT visible: 18.5% of its enterprise value is capital already in the ground and 53.8% is economic profit beyond year five. Neither of the other two shows that.</w:t>
            </w:r>
          </w:p>
        </w:tc>
      </w:tr>
      <w:tr>
        <w:tc>
          <w:tcPr>
            <w:tcW w:type="dxa" w:w="3096"/>
          </w:tcPr>
          <w:p>
            <w:pPr>
              <w:spacing w:after="20"/>
            </w:pPr>
            <w:r>
              <w:rPr>
                <w:color w:val="1C3A36"/>
                <w:sz w:val="16"/>
              </w:rPr>
              <w:t>Expert 3 charges the cost of capital on opening invested capital, which flatters economic profit in a growing year.</w:t>
            </w:r>
          </w:p>
        </w:tc>
        <w:tc>
          <w:tcPr>
            <w:tcW w:type="dxa" w:w="1368"/>
          </w:tcPr>
          <w:p>
            <w:pPr>
              <w:spacing w:after="20"/>
            </w:pPr>
            <w:r>
              <w:rPr>
                <w:color w:val="1C3A36"/>
                <w:sz w:val="16"/>
              </w:rPr>
              <w:t>Expert 2</w:t>
            </w:r>
          </w:p>
        </w:tc>
        <w:tc>
          <w:tcPr>
            <w:tcW w:type="dxa" w:w="1656"/>
          </w:tcPr>
          <w:p>
            <w:pPr>
              <w:spacing w:after="20"/>
            </w:pPr>
            <w:r>
              <w:rPr>
                <w:color w:val="1C3A36"/>
                <w:sz w:val="16"/>
              </w:rPr>
              <w:t>REJECTED</w:t>
            </w:r>
          </w:p>
        </w:tc>
        <w:tc>
          <w:tcPr>
            <w:tcW w:type="dxa" w:w="3672"/>
          </w:tcPr>
          <w:p>
            <w:pPr>
              <w:spacing w:after="20"/>
            </w:pPr>
            <w:r>
              <w:rPr>
                <w:color w:val="1C3A36"/>
                <w:sz w:val="16"/>
              </w:rPr>
              <w:t>Opening capital is the capital the year had available to earn on. Charging closing capital would charge for assets bought with the year's own cash flow.</w:t>
            </w:r>
          </w:p>
        </w:tc>
      </w:tr>
    </w:tbl>
    <w:p>
      <w:pPr>
        <w:spacing w:after="40"/>
      </w:pPr>
    </w:p>
    <w:p>
      <w:pPr>
        <w:spacing w:after="200" w:before="0"/>
      </w:pPr>
      <w:r>
        <w:rPr>
          <w:b w:val="0"/>
          <w:i/>
          <w:color w:val="6E7B77"/>
          <w:sz w:val="17"/>
        </w:rPr>
        <w:t>Table C.4 — cross-examination. Two of the six objections are conceded outright and one in part; the three rejections each rest on a number rather than a preference. The largest single correction in the room is the first one, and it is the reason the panel median is not simply the highest of the three.</w:t>
      </w:r>
    </w:p>
    <w:p>
      <w:pPr>
        <w:spacing w:after="80" w:before="200"/>
      </w:pPr>
      <w:r>
        <w:rPr>
          <w:b/>
          <w:i w:val="0"/>
          <w:color w:val="1C3A36"/>
          <w:sz w:val="24"/>
        </w:rPr>
        <w:t>C.5  The three in one room</w:t>
      </w:r>
    </w:p>
    <w:p>
      <w:pPr>
        <w:spacing w:after="120" w:before="0"/>
      </w:pPr>
      <w:r>
        <w:rPr>
          <w:b w:val="0"/>
          <w:i w:val="0"/>
          <w:color w:val="1C3A36"/>
          <w:sz w:val="21"/>
        </w:rPr>
        <w:t>Put in one room the three methods land between EGP 17.35 and EGP 21.26, a spread of 22.5% of the lower number, with a median of EGP 20.95 against a market price of EGP 13.50 — 55.1%. None of the three sits below the price of EGP 13.50.</w:t>
      </w:r>
    </w:p>
    <w:p>
      <w:pPr>
        <w:spacing w:after="120" w:before="0"/>
      </w:pPr>
      <w:r>
        <w:rPr>
          <w:b w:val="0"/>
          <w:i w:val="0"/>
          <w:color w:val="1C3A36"/>
          <w:sz w:val="21"/>
        </w:rPr>
        <w:t>Where they agree is more informative than where they differ, because the agreement is not built in. All three are struck on the same audited base year and the same house macro path, and none of them is allowed to set an inflation rate of its own — so the disagreement between them is entirely about how a peso of operating profit should be capitalised, never about what the economy is doing. All three also agree on the one thing that matters most for this name: the company earns a positive return over its cost of capital in every forecast year — Expert 3 measures the spread at 35.7% rising to 46.8% — and is still not worth the market price on any of the three constructions.</w:t>
      </w:r>
    </w:p>
    <w:p>
      <w:pPr>
        <w:spacing w:after="120" w:before="0"/>
      </w:pPr>
      <w:r>
        <w:rPr>
          <w:b w:val="0"/>
          <w:i w:val="0"/>
          <w:color w:val="1C3A36"/>
          <w:sz w:val="21"/>
        </w:rPr>
        <w:t>Where they part company is the treatment of TIME. Expert 1 states a value at 2028E and does not discount it; Expert 2 discounts an equity claim on the cost of equity's own glide, which is the harshest treatment of the near years available; Expert 3 discounts at the weighted rate and separates capital already in place from the return earned on it. Bring Expert 1 back to the valuation date and the three collapse into a band of EGP 11.88 to EGP 20.95 — narrower than the spread as published, which says that most of the visible disagreement in this panel is a disagreement about the valuation date rather than about the company.</w:t>
      </w:r>
    </w:p>
    <w:p>
      <w:pPr>
        <w:spacing w:after="80" w:before="200"/>
      </w:pPr>
      <w:r>
        <w:rPr>
          <w:b/>
          <w:i w:val="0"/>
          <w:color w:val="1C3A36"/>
          <w:sz w:val="24"/>
        </w:rPr>
        <w:t>C.6  Reading the divergence</w:t>
      </w:r>
    </w:p>
    <w:p>
      <w:pPr>
        <w:spacing w:after="120" w:before="0"/>
      </w:pPr>
      <w:r>
        <w:rPr>
          <w:b w:val="0"/>
          <w:i w:val="0"/>
          <w:color w:val="1C3A36"/>
          <w:sz w:val="21"/>
        </w:rPr>
        <w:t>One row per pair, isolating the single assumption that accounts for most of the gap between them. The last column is what is LEFT of the gap once that assumption is removed — the honest measure of how much the two methods really disagree. Where removing it takes the pair past each other rather than together, the cell says so: an assumption can over-explain a gap, and that is worth more to a reader than a tidy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864"/>
        <w:gridCol w:w="792"/>
        <w:gridCol w:w="3528"/>
        <w:gridCol w:w="2664"/>
      </w:tblGrid>
      <w:tr>
        <w:tc>
          <w:tcPr>
            <w:tcW w:type="dxa" w:w="2088"/>
            <w:shd w:val="clear" w:color="auto" w:fill="EAF0EE"/>
          </w:tcPr>
          <w:p>
            <w:pPr>
              <w:spacing w:after="20"/>
            </w:pPr>
            <w:r>
              <w:rPr>
                <w:b/>
                <w:color w:val="1C3A36"/>
                <w:sz w:val="16"/>
              </w:rPr>
              <w:t>Pair</w:t>
            </w:r>
          </w:p>
        </w:tc>
        <w:tc>
          <w:tcPr>
            <w:tcW w:type="dxa" w:w="864"/>
            <w:shd w:val="clear" w:color="auto" w:fill="EAF0EE"/>
          </w:tcPr>
          <w:p>
            <w:pPr>
              <w:spacing w:after="20"/>
            </w:pPr>
            <w:r>
              <w:rPr>
                <w:b/>
                <w:color w:val="1C3A36"/>
                <w:sz w:val="16"/>
              </w:rPr>
              <w:t>Gap, EGP</w:t>
            </w:r>
          </w:p>
        </w:tc>
        <w:tc>
          <w:tcPr>
            <w:tcW w:type="dxa" w:w="792"/>
            <w:shd w:val="clear" w:color="auto" w:fill="EAF0EE"/>
          </w:tcPr>
          <w:p>
            <w:pPr>
              <w:spacing w:after="20"/>
            </w:pPr>
            <w:r>
              <w:rPr>
                <w:b/>
                <w:color w:val="1C3A36"/>
                <w:sz w:val="16"/>
              </w:rPr>
              <w:t>Gap, %</w:t>
            </w:r>
          </w:p>
        </w:tc>
        <w:tc>
          <w:tcPr>
            <w:tcW w:type="dxa" w:w="3528"/>
            <w:shd w:val="clear" w:color="auto" w:fill="EAF0EE"/>
          </w:tcPr>
          <w:p>
            <w:pPr>
              <w:spacing w:after="20"/>
            </w:pPr>
            <w:r>
              <w:rPr>
                <w:b/>
                <w:color w:val="1C3A36"/>
                <w:sz w:val="16"/>
              </w:rPr>
              <w:t>What drives it</w:t>
            </w:r>
          </w:p>
        </w:tc>
        <w:tc>
          <w:tcPr>
            <w:tcW w:type="dxa" w:w="2664"/>
            <w:shd w:val="clear" w:color="auto" w:fill="EAF0EE"/>
          </w:tcPr>
          <w:p>
            <w:pPr>
              <w:spacing w:after="20"/>
            </w:pPr>
            <w:r>
              <w:rPr>
                <w:b/>
                <w:color w:val="1C3A36"/>
                <w:sz w:val="16"/>
              </w:rPr>
              <w:t>Left after removing it</w:t>
            </w:r>
          </w:p>
        </w:tc>
      </w:tr>
      <w:tr>
        <w:tc>
          <w:tcPr>
            <w:tcW w:type="dxa" w:w="2088"/>
          </w:tcPr>
          <w:p>
            <w:pPr>
              <w:spacing w:after="20"/>
            </w:pPr>
            <w:r>
              <w:rPr>
                <w:color w:val="1C3A36"/>
                <w:sz w:val="16"/>
              </w:rPr>
              <w:t>Expert 1 vs Expert 2</w:t>
            </w:r>
          </w:p>
        </w:tc>
        <w:tc>
          <w:tcPr>
            <w:tcW w:type="dxa" w:w="864"/>
          </w:tcPr>
          <w:p>
            <w:pPr>
              <w:spacing w:after="20"/>
              <w:jc w:val="right"/>
            </w:pPr>
            <w:r>
              <w:rPr>
                <w:color w:val="1C3A36"/>
                <w:sz w:val="16"/>
              </w:rPr>
              <w:t>3.90</w:t>
            </w:r>
          </w:p>
        </w:tc>
        <w:tc>
          <w:tcPr>
            <w:tcW w:type="dxa" w:w="792"/>
          </w:tcPr>
          <w:p>
            <w:pPr>
              <w:spacing w:after="20"/>
              <w:jc w:val="right"/>
            </w:pPr>
            <w:r>
              <w:rPr>
                <w:color w:val="1C3A36"/>
                <w:sz w:val="16"/>
              </w:rPr>
              <w:t>22.5%</w:t>
            </w:r>
          </w:p>
        </w:tc>
        <w:tc>
          <w:tcPr>
            <w:tcW w:type="dxa" w:w="3528"/>
          </w:tcPr>
          <w:p>
            <w:pPr>
              <w:spacing w:after="20"/>
            </w:pPr>
            <w:r>
              <w:rPr>
                <w:color w:val="1C3A36"/>
                <w:sz w:val="16"/>
              </w:rPr>
              <w:t>the valuation date — Expert 1 is an undiscounted forward number</w:t>
            </w:r>
          </w:p>
        </w:tc>
        <w:tc>
          <w:tcPr>
            <w:tcW w:type="dxa" w:w="2664"/>
          </w:tcPr>
          <w:p>
            <w:pPr>
              <w:spacing w:after="20"/>
            </w:pPr>
            <w:r>
              <w:rPr>
                <w:color w:val="1C3A36"/>
                <w:sz w:val="16"/>
              </w:rPr>
              <w:t>5.48 — overshoots</w:t>
            </w:r>
          </w:p>
        </w:tc>
      </w:tr>
      <w:tr>
        <w:tc>
          <w:tcPr>
            <w:tcW w:type="dxa" w:w="2088"/>
          </w:tcPr>
          <w:p>
            <w:pPr>
              <w:spacing w:after="20"/>
            </w:pPr>
            <w:r>
              <w:rPr>
                <w:color w:val="1C3A36"/>
                <w:sz w:val="16"/>
              </w:rPr>
              <w:t>Expert 1 vs Expert 3</w:t>
            </w:r>
          </w:p>
        </w:tc>
        <w:tc>
          <w:tcPr>
            <w:tcW w:type="dxa" w:w="864"/>
          </w:tcPr>
          <w:p>
            <w:pPr>
              <w:spacing w:after="20"/>
              <w:jc w:val="right"/>
            </w:pPr>
            <w:r>
              <w:rPr>
                <w:color w:val="1C3A36"/>
                <w:sz w:val="16"/>
              </w:rPr>
              <w:t>0.31</w:t>
            </w:r>
          </w:p>
        </w:tc>
        <w:tc>
          <w:tcPr>
            <w:tcW w:type="dxa" w:w="792"/>
          </w:tcPr>
          <w:p>
            <w:pPr>
              <w:spacing w:after="20"/>
              <w:jc w:val="right"/>
            </w:pPr>
            <w:r>
              <w:rPr>
                <w:color w:val="1C3A36"/>
                <w:sz w:val="16"/>
              </w:rPr>
              <w:t>1.5%</w:t>
            </w:r>
          </w:p>
        </w:tc>
        <w:tc>
          <w:tcPr>
            <w:tcW w:type="dxa" w:w="3528"/>
          </w:tcPr>
          <w:p>
            <w:pPr>
              <w:spacing w:after="20"/>
            </w:pPr>
            <w:r>
              <w:rPr>
                <w:color w:val="1C3A36"/>
                <w:sz w:val="16"/>
              </w:rPr>
              <w:t>the valuation date, again — which here CROSSES rather than closes: discounted, Expert 1 falls below Expert 3</w:t>
            </w:r>
          </w:p>
        </w:tc>
        <w:tc>
          <w:tcPr>
            <w:tcW w:type="dxa" w:w="2664"/>
          </w:tcPr>
          <w:p>
            <w:pPr>
              <w:spacing w:after="20"/>
            </w:pPr>
            <w:r>
              <w:rPr>
                <w:color w:val="1C3A36"/>
                <w:sz w:val="16"/>
              </w:rPr>
              <w:t>9.07 — overshoots</w:t>
            </w:r>
          </w:p>
        </w:tc>
      </w:tr>
      <w:tr>
        <w:tc>
          <w:tcPr>
            <w:tcW w:type="dxa" w:w="2088"/>
          </w:tcPr>
          <w:p>
            <w:pPr>
              <w:spacing w:after="20"/>
            </w:pPr>
            <w:r>
              <w:rPr>
                <w:color w:val="1C3A36"/>
                <w:sz w:val="16"/>
              </w:rPr>
              <w:t>Expert 2 vs Expert 3</w:t>
            </w:r>
          </w:p>
        </w:tc>
        <w:tc>
          <w:tcPr>
            <w:tcW w:type="dxa" w:w="864"/>
          </w:tcPr>
          <w:p>
            <w:pPr>
              <w:spacing w:after="20"/>
              <w:jc w:val="right"/>
            </w:pPr>
            <w:r>
              <w:rPr>
                <w:color w:val="1C3A36"/>
                <w:sz w:val="16"/>
              </w:rPr>
              <w:t>3.59</w:t>
            </w:r>
          </w:p>
        </w:tc>
        <w:tc>
          <w:tcPr>
            <w:tcW w:type="dxa" w:w="792"/>
          </w:tcPr>
          <w:p>
            <w:pPr>
              <w:spacing w:after="20"/>
              <w:jc w:val="right"/>
            </w:pPr>
            <w:r>
              <w:rPr>
                <w:color w:val="1C3A36"/>
                <w:sz w:val="16"/>
              </w:rPr>
              <w:t>20.7%</w:t>
            </w:r>
          </w:p>
        </w:tc>
        <w:tc>
          <w:tcPr>
            <w:tcW w:type="dxa" w:w="3528"/>
          </w:tcPr>
          <w:p>
            <w:pPr>
              <w:spacing w:after="20"/>
            </w:pPr>
            <w:r>
              <w:rPr>
                <w:color w:val="1C3A36"/>
                <w:sz w:val="16"/>
              </w:rPr>
              <w:t>the BRIDGE — Expert 3 adds net cash of +2.32 a share at face, Expert 2 takes it through finance income only. The discount rate, measured by re-running Expert 2 on the weighted rate, is worth only +0.74</w:t>
            </w:r>
          </w:p>
        </w:tc>
        <w:tc>
          <w:tcPr>
            <w:tcW w:type="dxa" w:w="2664"/>
          </w:tcPr>
          <w:p>
            <w:pPr>
              <w:spacing w:after="20"/>
            </w:pPr>
            <w:r>
              <w:rPr>
                <w:color w:val="1C3A36"/>
                <w:sz w:val="16"/>
              </w:rPr>
              <w:t>0.52</w:t>
            </w:r>
          </w:p>
        </w:tc>
      </w:tr>
      <w:tr>
        <w:tc>
          <w:tcPr>
            <w:tcW w:type="dxa" w:w="2088"/>
          </w:tcPr>
          <w:p>
            <w:pPr>
              <w:spacing w:after="20"/>
            </w:pPr>
            <w:r>
              <w:rPr>
                <w:color w:val="1C3A36"/>
                <w:sz w:val="16"/>
              </w:rPr>
              <w:t>Panel median vs the primary lens</w:t>
            </w:r>
          </w:p>
        </w:tc>
        <w:tc>
          <w:tcPr>
            <w:tcW w:type="dxa" w:w="864"/>
          </w:tcPr>
          <w:p>
            <w:pPr>
              <w:spacing w:after="20"/>
              <w:jc w:val="right"/>
            </w:pPr>
            <w:r>
              <w:rPr>
                <w:color w:val="1C3A36"/>
                <w:sz w:val="16"/>
              </w:rPr>
              <w:t>0.89</w:t>
            </w:r>
          </w:p>
        </w:tc>
        <w:tc>
          <w:tcPr>
            <w:tcW w:type="dxa" w:w="792"/>
          </w:tcPr>
          <w:p>
            <w:pPr>
              <w:spacing w:after="20"/>
              <w:jc w:val="right"/>
            </w:pPr>
            <w:r>
              <w:rPr>
                <w:color w:val="1C3A36"/>
                <w:sz w:val="16"/>
              </w:rPr>
              <w:t>4.5%</w:t>
            </w:r>
          </w:p>
        </w:tc>
        <w:tc>
          <w:tcPr>
            <w:tcW w:type="dxa" w:w="3528"/>
          </w:tcPr>
          <w:p>
            <w:pPr>
              <w:spacing w:after="20"/>
            </w:pPr>
            <w:r>
              <w:rPr>
                <w:color w:val="1C3A36"/>
                <w:sz w:val="16"/>
              </w:rPr>
              <w:t>nothing structural — the primary lens is one of the same constructions</w:t>
            </w:r>
          </w:p>
        </w:tc>
        <w:tc>
          <w:tcPr>
            <w:tcW w:type="dxa" w:w="2664"/>
          </w:tcPr>
          <w:p>
            <w:pPr>
              <w:spacing w:after="20"/>
            </w:pPr>
            <w:r>
              <w:rPr>
                <w:color w:val="1C3A36"/>
                <w:sz w:val="16"/>
              </w:rPr>
              <w:t>not decomposed</w:t>
            </w:r>
          </w:p>
        </w:tc>
      </w:tr>
    </w:tbl>
    <w:p>
      <w:pPr>
        <w:spacing w:after="40"/>
      </w:pPr>
    </w:p>
    <w:p>
      <w:pPr>
        <w:spacing w:after="200" w:before="0"/>
      </w:pPr>
      <w:r>
        <w:rPr>
          <w:b w:val="0"/>
          <w:i/>
          <w:color w:val="6E7B77"/>
          <w:sz w:val="17"/>
        </w:rPr>
        <w:t>Table C.6 — the divergence. The two largest gaps in the panel are both explained by ONE thing, and it is not an assumption about the business: Expert 1 states a value at 2028E while the other two state one today. The third row is measured the same way, and the measurement OVERTURNED the label this table first carried. Discounting Expert 2's own cash flows on the WEIGHTED rate rather than the cost of equity's glide gives EGP 18.10 — so the price of time is worth only EGP 0.74 of a 3.59 gap, about 21% of it. What carries the rest is the BRIDGE: Expert 3 adds the net cash at face and Expert 2 does not. The last row carries no residual because there is no single driver to remove: the median IS one of these three constructions and the primary lens is a fourth read of the same statements.</w:t>
      </w:r>
    </w:p>
    <w:p>
      <w:pPr>
        <w:spacing w:after="80" w:before="200"/>
      </w:pPr>
      <w:r>
        <w:rPr>
          <w:b/>
          <w:i w:val="0"/>
          <w:color w:val="1C3A36"/>
          <w:sz w:val="24"/>
        </w:rPr>
        <w:t>C.7  The panel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3744"/>
        <w:gridCol w:w="1224"/>
        <w:gridCol w:w="1728"/>
        <w:gridCol w:w="1296"/>
      </w:tblGrid>
      <w:tr>
        <w:tc>
          <w:tcPr>
            <w:tcW w:type="dxa" w:w="1224"/>
            <w:shd w:val="clear" w:color="auto" w:fill="EAF0EE"/>
          </w:tcPr>
          <w:p>
            <w:pPr>
              <w:spacing w:after="20"/>
            </w:pPr>
            <w:r>
              <w:rPr>
                <w:b/>
                <w:color w:val="1C3A36"/>
                <w:sz w:val="17"/>
              </w:rPr>
              <w:t>Expert</w:t>
            </w:r>
          </w:p>
        </w:tc>
        <w:tc>
          <w:tcPr>
            <w:tcW w:type="dxa" w:w="3744"/>
            <w:shd w:val="clear" w:color="auto" w:fill="EAF0EE"/>
          </w:tcPr>
          <w:p>
            <w:pPr>
              <w:spacing w:after="20"/>
            </w:pPr>
            <w:r>
              <w:rPr>
                <w:b/>
                <w:color w:val="1C3A36"/>
                <w:sz w:val="17"/>
              </w:rPr>
              <w:t>Method</w:t>
            </w:r>
          </w:p>
        </w:tc>
        <w:tc>
          <w:tcPr>
            <w:tcW w:type="dxa" w:w="1224"/>
            <w:shd w:val="clear" w:color="auto" w:fill="EAF0EE"/>
          </w:tcPr>
          <w:p>
            <w:pPr>
              <w:spacing w:after="20"/>
            </w:pPr>
            <w:r>
              <w:rPr>
                <w:b/>
                <w:color w:val="1C3A36"/>
                <w:sz w:val="17"/>
              </w:rPr>
              <w:t>Central</w:t>
            </w:r>
          </w:p>
        </w:tc>
        <w:tc>
          <w:tcPr>
            <w:tcW w:type="dxa" w:w="1728"/>
            <w:shd w:val="clear" w:color="auto" w:fill="EAF0EE"/>
          </w:tcPr>
          <w:p>
            <w:pPr>
              <w:spacing w:after="20"/>
            </w:pPr>
            <w:r>
              <w:rPr>
                <w:b/>
                <w:color w:val="1C3A36"/>
                <w:sz w:val="17"/>
              </w:rPr>
              <w:t>Range</w:t>
            </w:r>
          </w:p>
        </w:tc>
        <w:tc>
          <w:tcPr>
            <w:tcW w:type="dxa" w:w="1296"/>
            <w:shd w:val="clear" w:color="auto" w:fill="EAF0EE"/>
          </w:tcPr>
          <w:p>
            <w:pPr>
              <w:spacing w:after="20"/>
            </w:pPr>
            <w:r>
              <w:rPr>
                <w:b/>
                <w:color w:val="1C3A36"/>
                <w:sz w:val="17"/>
              </w:rPr>
              <w:t>vs price</w:t>
            </w:r>
          </w:p>
        </w:tc>
      </w:tr>
      <w:tr>
        <w:tc>
          <w:tcPr>
            <w:tcW w:type="dxa" w:w="1224"/>
          </w:tcPr>
          <w:p>
            <w:pPr>
              <w:spacing w:after="20"/>
            </w:pPr>
            <w:r>
              <w:rPr>
                <w:color w:val="1C3A36"/>
                <w:sz w:val="17"/>
              </w:rPr>
              <w:t>E1</w:t>
            </w:r>
          </w:p>
        </w:tc>
        <w:tc>
          <w:tcPr>
            <w:tcW w:type="dxa" w:w="3744"/>
          </w:tcPr>
          <w:p>
            <w:pPr>
              <w:spacing w:after="20"/>
            </w:pPr>
            <w:r>
              <w:rPr>
                <w:color w:val="1C3A36"/>
                <w:sz w:val="17"/>
              </w:rPr>
              <w:t>earnings power at a justified multiple</w:t>
            </w:r>
          </w:p>
        </w:tc>
        <w:tc>
          <w:tcPr>
            <w:tcW w:type="dxa" w:w="1224"/>
          </w:tcPr>
          <w:p>
            <w:pPr>
              <w:spacing w:after="20"/>
              <w:jc w:val="right"/>
            </w:pPr>
            <w:r>
              <w:rPr>
                <w:color w:val="1C3A36"/>
                <w:sz w:val="17"/>
              </w:rPr>
              <w:t>21.26</w:t>
            </w:r>
          </w:p>
        </w:tc>
        <w:tc>
          <w:tcPr>
            <w:tcW w:type="dxa" w:w="1728"/>
          </w:tcPr>
          <w:p>
            <w:pPr>
              <w:spacing w:after="20"/>
              <w:jc w:val="right"/>
            </w:pPr>
            <w:r>
              <w:rPr>
                <w:color w:val="1C3A36"/>
                <w:sz w:val="17"/>
              </w:rPr>
              <w:t>15.18–28.85</w:t>
            </w:r>
          </w:p>
        </w:tc>
        <w:tc>
          <w:tcPr>
            <w:tcW w:type="dxa" w:w="1296"/>
          </w:tcPr>
          <w:p>
            <w:pPr>
              <w:spacing w:after="20"/>
              <w:jc w:val="right"/>
            </w:pPr>
            <w:r>
              <w:rPr>
                <w:color w:val="1C3A36"/>
                <w:sz w:val="17"/>
              </w:rPr>
              <w:t>57.5%</w:t>
            </w:r>
          </w:p>
        </w:tc>
      </w:tr>
      <w:tr>
        <w:tc>
          <w:tcPr>
            <w:tcW w:type="dxa" w:w="1224"/>
          </w:tcPr>
          <w:p>
            <w:pPr>
              <w:spacing w:after="20"/>
            </w:pPr>
            <w:r>
              <w:rPr>
                <w:color w:val="1C3A36"/>
                <w:sz w:val="17"/>
              </w:rPr>
              <w:t>E2</w:t>
            </w:r>
          </w:p>
        </w:tc>
        <w:tc>
          <w:tcPr>
            <w:tcW w:type="dxa" w:w="3744"/>
          </w:tcPr>
          <w:p>
            <w:pPr>
              <w:spacing w:after="20"/>
            </w:pPr>
            <w:r>
              <w:rPr>
                <w:color w:val="1C3A36"/>
                <w:sz w:val="17"/>
              </w:rPr>
              <w:t>free cash flow to equity, discounted</w:t>
            </w:r>
          </w:p>
        </w:tc>
        <w:tc>
          <w:tcPr>
            <w:tcW w:type="dxa" w:w="1224"/>
          </w:tcPr>
          <w:p>
            <w:pPr>
              <w:spacing w:after="20"/>
              <w:jc w:val="right"/>
            </w:pPr>
            <w:r>
              <w:rPr>
                <w:color w:val="1C3A36"/>
                <w:sz w:val="17"/>
              </w:rPr>
              <w:t>17.35</w:t>
            </w:r>
          </w:p>
        </w:tc>
        <w:tc>
          <w:tcPr>
            <w:tcW w:type="dxa" w:w="1728"/>
          </w:tcPr>
          <w:p>
            <w:pPr>
              <w:spacing w:after="20"/>
              <w:jc w:val="right"/>
            </w:pPr>
            <w:r>
              <w:rPr>
                <w:color w:val="1C3A36"/>
                <w:sz w:val="17"/>
              </w:rPr>
              <w:t>0.59–23.04</w:t>
            </w:r>
          </w:p>
        </w:tc>
        <w:tc>
          <w:tcPr>
            <w:tcW w:type="dxa" w:w="1296"/>
          </w:tcPr>
          <w:p>
            <w:pPr>
              <w:spacing w:after="20"/>
              <w:jc w:val="right"/>
            </w:pPr>
            <w:r>
              <w:rPr>
                <w:color w:val="1C3A36"/>
                <w:sz w:val="17"/>
              </w:rPr>
              <w:t>28.5%</w:t>
            </w:r>
          </w:p>
        </w:tc>
      </w:tr>
      <w:tr>
        <w:tc>
          <w:tcPr>
            <w:tcW w:type="dxa" w:w="1224"/>
          </w:tcPr>
          <w:p>
            <w:pPr>
              <w:spacing w:after="20"/>
            </w:pPr>
            <w:r>
              <w:rPr>
                <w:color w:val="1C3A36"/>
                <w:sz w:val="17"/>
              </w:rPr>
              <w:t>E3</w:t>
            </w:r>
          </w:p>
        </w:tc>
        <w:tc>
          <w:tcPr>
            <w:tcW w:type="dxa" w:w="3744"/>
          </w:tcPr>
          <w:p>
            <w:pPr>
              <w:spacing w:after="20"/>
            </w:pPr>
            <w:r>
              <w:rPr>
                <w:color w:val="1C3A36"/>
                <w:sz w:val="17"/>
              </w:rPr>
              <w:t>cash returns against the cost of capital</w:t>
            </w:r>
          </w:p>
        </w:tc>
        <w:tc>
          <w:tcPr>
            <w:tcW w:type="dxa" w:w="1224"/>
          </w:tcPr>
          <w:p>
            <w:pPr>
              <w:spacing w:after="20"/>
              <w:jc w:val="right"/>
            </w:pPr>
            <w:r>
              <w:rPr>
                <w:color w:val="1C3A36"/>
                <w:sz w:val="17"/>
              </w:rPr>
              <w:t>20.95</w:t>
            </w:r>
          </w:p>
        </w:tc>
        <w:tc>
          <w:tcPr>
            <w:tcW w:type="dxa" w:w="1728"/>
          </w:tcPr>
          <w:p>
            <w:pPr>
              <w:spacing w:after="20"/>
              <w:jc w:val="right"/>
            </w:pPr>
            <w:r>
              <w:rPr>
                <w:color w:val="1C3A36"/>
                <w:sz w:val="17"/>
              </w:rPr>
              <w:t>0.53–28.30</w:t>
            </w:r>
          </w:p>
        </w:tc>
        <w:tc>
          <w:tcPr>
            <w:tcW w:type="dxa" w:w="1296"/>
          </w:tcPr>
          <w:p>
            <w:pPr>
              <w:spacing w:after="20"/>
              <w:jc w:val="right"/>
            </w:pPr>
            <w:r>
              <w:rPr>
                <w:color w:val="1C3A36"/>
                <w:sz w:val="17"/>
              </w:rPr>
              <w:t>55.1%</w:t>
            </w:r>
          </w:p>
        </w:tc>
      </w:tr>
      <w:tr>
        <w:tc>
          <w:tcPr>
            <w:tcW w:type="dxa" w:w="1224"/>
            <w:shd w:val="clear" w:color="auto" w:fill="F6F1E6"/>
          </w:tcPr>
          <w:p>
            <w:pPr>
              <w:spacing w:after="20"/>
            </w:pPr>
            <w:r>
              <w:rPr>
                <w:b/>
                <w:color w:val="1C3A36"/>
                <w:sz w:val="17"/>
              </w:rPr>
              <w:t>PANEL</w:t>
            </w:r>
          </w:p>
        </w:tc>
        <w:tc>
          <w:tcPr>
            <w:tcW w:type="dxa" w:w="3744"/>
            <w:shd w:val="clear" w:color="auto" w:fill="F6F1E6"/>
          </w:tcPr>
          <w:p>
            <w:pPr>
              <w:spacing w:after="20"/>
            </w:pPr>
            <w:r>
              <w:rPr>
                <w:b/>
                <w:color w:val="1C3A36"/>
                <w:sz w:val="17"/>
              </w:rPr>
              <w:t>median of the three</w:t>
            </w:r>
          </w:p>
        </w:tc>
        <w:tc>
          <w:tcPr>
            <w:tcW w:type="dxa" w:w="1224"/>
            <w:shd w:val="clear" w:color="auto" w:fill="F6F1E6"/>
          </w:tcPr>
          <w:p>
            <w:pPr>
              <w:spacing w:after="20"/>
              <w:jc w:val="right"/>
            </w:pPr>
            <w:r>
              <w:rPr>
                <w:b/>
                <w:color w:val="1C3A36"/>
                <w:sz w:val="17"/>
              </w:rPr>
              <w:t>20.95</w:t>
            </w:r>
          </w:p>
        </w:tc>
        <w:tc>
          <w:tcPr>
            <w:tcW w:type="dxa" w:w="1728"/>
            <w:shd w:val="clear" w:color="auto" w:fill="F6F1E6"/>
          </w:tcPr>
          <w:p>
            <w:pPr>
              <w:spacing w:after="20"/>
              <w:jc w:val="right"/>
            </w:pPr>
            <w:r>
              <w:rPr>
                <w:b/>
                <w:color w:val="1C3A36"/>
                <w:sz w:val="17"/>
              </w:rPr>
            </w:r>
          </w:p>
        </w:tc>
        <w:tc>
          <w:tcPr>
            <w:tcW w:type="dxa" w:w="1296"/>
            <w:shd w:val="clear" w:color="auto" w:fill="F6F1E6"/>
          </w:tcPr>
          <w:p>
            <w:pPr>
              <w:spacing w:after="20"/>
              <w:jc w:val="right"/>
            </w:pPr>
            <w:r>
              <w:rPr>
                <w:b/>
                <w:color w:val="1C3A36"/>
                <w:sz w:val="17"/>
              </w:rPr>
              <w:t>55.1%</w:t>
            </w:r>
          </w:p>
        </w:tc>
      </w:tr>
    </w:tbl>
    <w:p>
      <w:pPr>
        <w:spacing w:after="40"/>
      </w:pPr>
    </w:p>
    <w:p>
      <w:pPr>
        <w:spacing w:after="200" w:before="0"/>
      </w:pPr>
      <w:r>
        <w:rPr>
          <w:b w:val="0"/>
          <w:i/>
          <w:color w:val="6E7B77"/>
          <w:sz w:val="17"/>
        </w:rPr>
        <w:t>Table C.7 — the panel. Each range is that expert's OWN method re-run at the two filed-evidence corners the primary lens publishes — the worst gross margin in the audited record and the best full year — so the panel and the envelope are read on one clock. Earlier editions typed these bands beside the methods, and two of them had gone stale enough to publish a central outside its own range.</w:t>
      </w:r>
    </w:p>
    <w:p>
      <w:pPr>
        <w:spacing w:after="120" w:before="280"/>
      </w:pPr>
      <w:r>
        <w:rPr>
          <w:b/>
          <w:i w:val="0"/>
          <w:color w:val="1C3A36"/>
          <w:sz w:val="30"/>
        </w:rPr>
        <w:t>About this study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It is NOT investment advice, and it issues no buy, sell or hold recommendation. It publishes a fair-value range, a probability distribution for the price, and the model behind both, and it grades its own forecasts publicly when they resolve.</w:t>
            </w:r>
          </w:p>
          <w:p>
            <w:pPr>
              <w:spacing w:after="100"/>
            </w:pPr>
            <w:r>
              <w:rPr>
                <w:b/>
                <w:color w:val="1C3A36"/>
                <w:sz w:val="19"/>
              </w:rPr>
              <w:t xml:space="preserve">WHAT IT RESTS ON.  </w:t>
            </w:r>
            <w:r>
              <w:rPr>
                <w:color w:val="1C3A36"/>
                <w:sz w:val="19"/>
              </w:rPr>
              <w:t>The company’s own audited consolidated financial statements, taken from its own investor-relations archive: the five financial years to 30 June 2021, 2022, 2023, 2024 and 2025; the transition period 1 July to 31 December 2025 (Crowe — Dr A. M. Hegazy &amp; Co, unqualified, signed at Giza 18 February 2026); reviewed statements for the three months to 31 March 2026; and the half-year results disclosed to the Egyptian Exchange on 29-30 July 2026, which are REPORTED and not audited. The financial year to 30 June 2023 carries a QUALIFIED audit opinion, on two balance-sheet matters that do not touch the revenue or cost lines this study forecasts; it is named here rather than left for a reader to find. Every input carries a value, a source, a date and a research ring in the companion source register.</w:t>
            </w:r>
          </w:p>
          <w:p>
            <w:pPr>
              <w:spacing w:after="100"/>
            </w:pPr>
            <w:r>
              <w:rPr>
                <w:b/>
                <w:color w:val="1C3A36"/>
                <w:sz w:val="19"/>
              </w:rPr>
              <w:t xml:space="preserve">THE COMPANION FILES.  </w:t>
            </w:r>
            <w:r>
              <w:rPr>
                <w:color w:val="1C3A36"/>
                <w:sz w:val="19"/>
              </w:rPr>
              <w:t>The workbook recalculates this entire study live across sixteen sheets: 6,069 formulas against 251 pasted filing values (96.0% live), with all thirty sensitivity grid points written out as complete formula engines and every formula cell verified against the model by an independent evaluator — 0 unresolvable, 0 unchecked, 0 disagreements. The bibliography lists all 180 registered inputs with their sources, the triangulations, and the negative results.</w:t>
            </w:r>
          </w:p>
          <w:p>
            <w:pPr>
              <w:spacing w:after="100"/>
            </w:pPr>
            <w:r>
              <w:rPr>
                <w:b/>
                <w:color w:val="1C3A36"/>
                <w:sz w:val="19"/>
              </w:rPr>
              <w:t xml:space="preserve">HOW FAR THIS METHOD HAS BEEN TESTED.  </w:t>
            </w:r>
            <w:r>
              <w:rPr>
                <w:color w:val="1C3A36"/>
                <w:sz w:val="19"/>
              </w:rPr>
              <w:t>The forecasting method behind Section 1 was rebuilt at each of the five financial year-ends from 2021 to 2025 and scored against what the company went on to report. It did not beat the simple rule of assuming last year’s profit repeats. Section 7 sets out what that means and what it changed here; the short version is that nobody standing at those year-ends could forecast the pound, and on a business whose margin is a six-per-cent residual between two very large numbers, that is enough to make the profit line unreliable more than a year out. The range in this study is wide because the evidence says it should be.</w:t>
            </w:r>
          </w:p>
        </w:tc>
      </w:tr>
    </w:tbl>
    <w:p>
      <w:pPr>
        <w:spacing w:after="40"/>
      </w:pPr>
    </w:p>
    <w:p>
      <w:pPr>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NO RECOMMENDATION.  </w:t>
            </w:r>
            <w:r>
              <w:rPr>
                <w:color w:val="1C3A36"/>
                <w:sz w:val="19"/>
              </w:rPr>
              <w:t>Nothing in this document is a recommendation to buy, sell or hold any security, and no price target is expressed or implied. A fair-value range is an estimate of what a business is worth on stated assumptions; it is not a forecast of where a share price will go, and the two regularly disagree for long periods.</w:t>
            </w:r>
          </w:p>
          <w:p>
            <w:pPr>
              <w:spacing w:after="100"/>
            </w:pPr>
            <w:r>
              <w:rPr>
                <w:b/>
                <w:color w:val="1C3A36"/>
                <w:sz w:val="19"/>
              </w:rPr>
              <w:t xml:space="preserve">NO POSITION, NO RELATIONSHIP, NO FEE.  </w:t>
            </w:r>
            <w:r>
              <w:rPr>
                <w:color w:val="1C3A36"/>
                <w:sz w:val="19"/>
              </w:rPr>
              <w:t>The author holds no position in the security, has no relationship with the company, its management, its advisers or its shareholders, and received no payment or consideration from any of them for this work.</w:t>
            </w:r>
          </w:p>
          <w:p>
            <w:pPr>
              <w:spacing w:after="100"/>
            </w:pPr>
            <w:r>
              <w:rPr>
                <w:b/>
                <w:color w:val="1C3A36"/>
                <w:sz w:val="19"/>
              </w:rPr>
              <w:t xml:space="preserve">WHAT COULD BE WRONG.  </w:t>
            </w:r>
            <w:r>
              <w:rPr>
                <w:color w:val="1C3A36"/>
                <w:sz w:val="19"/>
              </w:rPr>
              <w:t>The estimate rests on published filings, a forecasting method whose measured accuracy on this company is set out in Section 7, and judgements listed with what would overturn each of them in the companion bibliography. Section 7 states the known weaknesses; it is written to be read, not to be skipped.</w:t>
            </w:r>
          </w:p>
          <w:p>
            <w:pPr>
              <w:spacing w:after="100"/>
            </w:pPr>
            <w:r>
              <w:rPr>
                <w:b/>
                <w:color w:val="1C3A36"/>
                <w:sz w:val="19"/>
              </w:rPr>
              <w:t xml:space="preserve">EDUCATIONAL PURPOSE.  </w:t>
            </w:r>
            <w:r>
              <w:rPr>
                <w:color w:val="1C3A36"/>
                <w:sz w:val="19"/>
              </w:rPr>
              <w:t>This study is published to show a valuation method being applied and graded in public. Its forecasts are recorded when made and scored when they resolve, including the ones that turn out wrong.</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