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
        <w:gridCol w:w="2448"/>
        <w:gridCol w:w="1325"/>
        <w:gridCol w:w="1066"/>
        <w:gridCol w:w="7085"/>
        <w:gridCol w:w="1210"/>
      </w:tblGrid>
      <w:tr>
        <w:tc>
          <w:tcPr>
            <w:tcW w:type="dxa" w:w="518"/>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085"/>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518"/>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100.5</w:t>
            </w:r>
          </w:p>
        </w:tc>
        <w:tc>
          <w:tcPr>
            <w:tcW w:type="dxa" w:w="1066"/>
          </w:tcPr>
          <w:p>
            <w:pPr>
              <w:spacing w:after="20"/>
            </w:pPr>
            <w:r>
              <w:rPr>
                <w:color w:val="1C3A36"/>
                <w:sz w:val="14"/>
              </w:rPr>
              <w:t>Market</w:t>
            </w:r>
          </w:p>
        </w:tc>
        <w:tc>
          <w:tcPr>
            <w:tcW w:type="dxa" w:w="7085"/>
          </w:tcPr>
          <w:p>
            <w:pPr>
              <w:spacing w:after="20"/>
            </w:pPr>
            <w:r>
              <w:rPr>
                <w:color w:val="1C3A36"/>
                <w:sz w:val="14"/>
              </w:rPr>
              <w:t>Closing price 02-Sep-2026, from the price file the principal supplied on 3 September 2026 and committed at this house's own committed record NO STUDY IS DELIVERED AGAINST A STALE PRICE: this edition was struck against the 06-Aug close of 79.00, and the shares have risen 27.2% in the month since. A fair value published against a month-old price is a comparison a reader cannot use, whatever the fair value is worth</w:t>
            </w:r>
          </w:p>
        </w:tc>
        <w:tc>
          <w:tcPr>
            <w:tcW w:type="dxa" w:w="1210"/>
          </w:tcPr>
          <w:p>
            <w:pPr>
              <w:spacing w:after="20"/>
            </w:pPr>
            <w:r>
              <w:rPr>
                <w:color w:val="1C3A36"/>
                <w:sz w:val="14"/>
              </w:rPr>
              <w:t>2026-09-02</w:t>
            </w:r>
          </w:p>
        </w:tc>
      </w:tr>
      <w:tr>
        <w:tc>
          <w:tcPr>
            <w:tcW w:type="dxa" w:w="518"/>
          </w:tcPr>
          <w:p>
            <w:pPr>
              <w:spacing w:after="20"/>
            </w:pPr>
            <w:r>
              <w:rPr>
                <w:color w:val="1C3A36"/>
                <w:sz w:val="14"/>
              </w:rPr>
              <w:t>2</w:t>
            </w:r>
          </w:p>
        </w:tc>
        <w:tc>
          <w:tcPr>
            <w:tcW w:type="dxa" w:w="2448"/>
          </w:tcPr>
          <w:p>
            <w:pPr>
              <w:spacing w:after="20"/>
            </w:pPr>
            <w:r>
              <w:rPr>
                <w:color w:val="1C3A36"/>
                <w:sz w:val="14"/>
              </w:rPr>
              <w:t>spot_prev</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085"/>
          </w:tcPr>
          <w:p>
            <w:pPr>
              <w:spacing w:after="20"/>
            </w:pPr>
            <w:r>
              <w:rPr>
                <w:color w:val="1C3A36"/>
                <w:sz w:val="14"/>
              </w:rPr>
              <w:t>The 06-Aug-2026 close this study was previously struck against (open 81.80, high 82.50, low 78.30), kept so the re-strike is visible rather than silent</w:t>
            </w:r>
          </w:p>
        </w:tc>
        <w:tc>
          <w:tcPr>
            <w:tcW w:type="dxa" w:w="1210"/>
          </w:tcPr>
          <w:p>
            <w:pPr>
              <w:spacing w:after="20"/>
            </w:pPr>
            <w:r>
              <w:rPr>
                <w:color w:val="1C3A36"/>
                <w:sz w:val="14"/>
              </w:rPr>
              <w:t>2026-08-06</w:t>
            </w:r>
          </w:p>
        </w:tc>
      </w:tr>
      <w:tr>
        <w:tc>
          <w:tcPr>
            <w:tcW w:type="dxa" w:w="518"/>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Cement grinding capacity, El Hassana, two lines. NOT THE SAME THING AS THE 2.9 MILLION TONNES THE COMPANY'S OWN WEBSITE QUOTES, and the distinction is stated here because a reader who finds that page will otherwise think this study overstated capacity by a third. The website says the plant PRODUCES an average of 2.9 million tonnes of packed and bulk cement: that is output, not nameplate. It sits exactly where it should between the 2.57 million tonnes of kiln clinker below and the 3.80 of grinding, which is 76% of the mills running</w:t>
            </w:r>
          </w:p>
        </w:tc>
        <w:tc>
          <w:tcPr>
            <w:tcW w:type="dxa" w:w="1210"/>
          </w:tcPr>
          <w:p>
            <w:pPr>
              <w:spacing w:after="20"/>
            </w:pPr>
            <w:r>
              <w:rPr>
                <w:color w:val="1C3A36"/>
                <w:sz w:val="14"/>
              </w:rPr>
              <w:t>2025-03-23</w:t>
            </w:r>
          </w:p>
        </w:tc>
      </w:tr>
      <w:tr>
        <w:tc>
          <w:tcPr>
            <w:tcW w:type="dxa" w:w="518"/>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085"/>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518"/>
          </w:tcPr>
          <w:p>
            <w:pPr>
              <w:spacing w:after="20"/>
            </w:pPr>
            <w:r>
              <w:rPr>
                <w:color w:val="1C3A36"/>
                <w:sz w:val="14"/>
              </w:rPr>
              <w:t>5</w:t>
            </w:r>
          </w:p>
        </w:tc>
        <w:tc>
          <w:tcPr>
            <w:tcW w:type="dxa" w:w="2448"/>
          </w:tcPr>
          <w:p>
            <w:pPr>
              <w:spacing w:after="20"/>
            </w:pPr>
            <w:r>
              <w:rPr>
                <w:color w:val="1C3A36"/>
                <w:sz w:val="14"/>
              </w:rPr>
              <w:t>cap_increase_fy24</w:t>
            </w:r>
          </w:p>
        </w:tc>
        <w:tc>
          <w:tcPr>
            <w:tcW w:type="dxa" w:w="1325"/>
          </w:tcPr>
          <w:p>
            <w:pPr>
              <w:spacing w:after="20"/>
            </w:pPr>
            <w:r>
              <w:rPr>
                <w:color w:val="1C3A36"/>
                <w:sz w:val="14"/>
              </w:rPr>
              <w:t>1,277.4661</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"Paid under capital increase", note 17, nil in the comparative column and EGP 1,277,466,100 at 31 December 2024. This is the line the equity roll was missing</w:t>
            </w:r>
          </w:p>
        </w:tc>
        <w:tc>
          <w:tcPr>
            <w:tcW w:type="dxa" w:w="1210"/>
          </w:tcPr>
          <w:p>
            <w:pPr>
              <w:spacing w:after="20"/>
            </w:pPr>
            <w:r>
              <w:rPr>
                <w:color w:val="1C3A36"/>
                <w:sz w:val="14"/>
              </w:rPr>
              <w:t>2024-12-31</w:t>
            </w:r>
          </w:p>
        </w:tc>
      </w:tr>
      <w:tr>
        <w:tc>
          <w:tcPr>
            <w:tcW w:type="dxa" w:w="518"/>
          </w:tcPr>
          <w:p>
            <w:pPr>
              <w:spacing w:after="20"/>
            </w:pPr>
            <w:r>
              <w:rPr>
                <w:color w:val="1C3A36"/>
                <w:sz w:val="14"/>
              </w:rPr>
              <w:t>6</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085"/>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518"/>
          </w:tcPr>
          <w:p>
            <w:pPr>
              <w:spacing w:after="20"/>
            </w:pPr>
            <w:r>
              <w:rPr>
                <w:color w:val="1C3A36"/>
                <w:sz w:val="14"/>
              </w:rPr>
              <w:t>7</w:t>
            </w:r>
          </w:p>
        </w:tc>
        <w:tc>
          <w:tcPr>
            <w:tcW w:type="dxa" w:w="2448"/>
          </w:tcPr>
          <w:p>
            <w:pPr>
              <w:spacing w:after="20"/>
            </w:pPr>
            <w:r>
              <w:rPr>
                <w:color w:val="1C3A36"/>
                <w:sz w:val="14"/>
              </w:rPr>
              <w:t>capex_run_rate</w:t>
            </w:r>
          </w:p>
        </w:tc>
        <w:tc>
          <w:tcPr>
            <w:tcW w:type="dxa" w:w="1325"/>
          </w:tcPr>
          <w:p>
            <w:pPr>
              <w:spacing w:after="20"/>
            </w:pPr>
            <w:r>
              <w:rPr>
                <w:color w:val="1C3A36"/>
                <w:sz w:val="14"/>
              </w:rPr>
              <w:t>303.211</w:t>
            </w:r>
          </w:p>
        </w:tc>
        <w:tc>
          <w:tcPr>
            <w:tcW w:type="dxa" w:w="1066"/>
          </w:tcPr>
          <w:p>
            <w:pPr>
              <w:spacing w:after="20"/>
            </w:pPr>
            <w:r>
              <w:rPr>
                <w:color w:val="1C3A36"/>
                <w:sz w:val="14"/>
              </w:rPr>
              <w:t>Company</w:t>
            </w:r>
          </w:p>
        </w:tc>
        <w:tc>
          <w:tcPr>
            <w:tcW w:type="dxa" w:w="7085"/>
          </w:tcPr>
          <w:p>
            <w:pPr>
              <w:spacing w:after="20"/>
            </w:pPr>
            <w:r>
              <w:rPr>
                <w:color w:val="1C3A36"/>
                <w:sz w:val="14"/>
              </w:rPr>
              <w:t>Capex on the company's own cash-flow statements: FY2023 120.827, FY2024 526.408, FY2025 262.397, average 303.211. Revision 2 assumed 4.5-5.0% of revenue, which is 435-484mn and rising</w:t>
            </w:r>
          </w:p>
        </w:tc>
        <w:tc>
          <w:tcPr>
            <w:tcW w:type="dxa" w:w="1210"/>
          </w:tcPr>
          <w:p>
            <w:pPr>
              <w:spacing w:after="20"/>
            </w:pPr>
            <w:r>
              <w:rPr>
                <w:color w:val="1C3A36"/>
                <w:sz w:val="14"/>
              </w:rPr>
              <w:t>2025-12-31</w:t>
            </w:r>
          </w:p>
        </w:tc>
      </w:tr>
      <w:tr>
        <w:tc>
          <w:tcPr>
            <w:tcW w:type="dxa" w:w="518"/>
          </w:tcPr>
          <w:p>
            <w:pPr>
              <w:spacing w:after="20"/>
            </w:pPr>
            <w:r>
              <w:rPr>
                <w:color w:val="1C3A36"/>
                <w:sz w:val="14"/>
              </w:rPr>
              <w:t>8</w:t>
            </w:r>
          </w:p>
        </w:tc>
        <w:tc>
          <w:tcPr>
            <w:tcW w:type="dxa" w:w="2448"/>
          </w:tcPr>
          <w:p>
            <w:pPr>
              <w:spacing w:after="20"/>
            </w:pPr>
            <w:r>
              <w:rPr>
                <w:color w:val="1C3A36"/>
                <w:sz w:val="14"/>
              </w:rPr>
              <w:t>cash_fy25</w:t>
            </w:r>
          </w:p>
        </w:tc>
        <w:tc>
          <w:tcPr>
            <w:tcW w:type="dxa" w:w="1325"/>
          </w:tcPr>
          <w:p>
            <w:pPr>
              <w:spacing w:after="20"/>
            </w:pPr>
            <w:r>
              <w:rPr>
                <w:color w:val="1C3A36"/>
                <w:sz w:val="14"/>
              </w:rPr>
              <w:t>4,762.3487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at 31 December 2025.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9</w:t>
            </w:r>
          </w:p>
        </w:tc>
        <w:tc>
          <w:tcPr>
            <w:tcW w:type="dxa" w:w="2448"/>
          </w:tcPr>
          <w:p>
            <w:pPr>
              <w:spacing w:after="20"/>
            </w:pPr>
            <w:r>
              <w:rPr>
                <w:color w:val="1C3A36"/>
                <w:sz w:val="14"/>
              </w:rPr>
              <w:t>cash_mar26</w:t>
            </w:r>
          </w:p>
        </w:tc>
        <w:tc>
          <w:tcPr>
            <w:tcW w:type="dxa" w:w="1325"/>
          </w:tcPr>
          <w:p>
            <w:pPr>
              <w:spacing w:after="20"/>
            </w:pPr>
            <w:r>
              <w:rPr>
                <w:color w:val="1C3A36"/>
                <w:sz w:val="14"/>
              </w:rPr>
              <w:t>5,801.9817</w:t>
            </w:r>
          </w:p>
        </w:tc>
        <w:tc>
          <w:tcPr>
            <w:tcW w:type="dxa" w:w="1066"/>
          </w:tcPr>
          <w:p>
            <w:pPr>
              <w:spacing w:after="20"/>
            </w:pPr>
            <w:r>
              <w:rPr>
                <w:color w:val="1C3A36"/>
                <w:sz w:val="14"/>
              </w:rPr>
              <w:t>Company</w:t>
            </w:r>
          </w:p>
        </w:tc>
        <w:tc>
          <w:tcPr>
            <w:tcW w:type="dxa" w:w="7085"/>
          </w:tcPr>
          <w:p>
            <w:pPr>
              <w:spacing w:after="20"/>
            </w:pPr>
            <w:r>
              <w:rPr>
                <w:color w:val="1C3A36"/>
                <w:sz w:val="14"/>
              </w:rPr>
              <w:t>Cash on hand and at banks, REVIEWED interim statement of financial position as at 31 March 2026, printed page 2. This is the latest disclosed sheet and the bridge stands on it; revision 2 stood on 31-Dec-2025 and rolled it forward on an estimate</w:t>
            </w:r>
          </w:p>
        </w:tc>
        <w:tc>
          <w:tcPr>
            <w:tcW w:type="dxa" w:w="1210"/>
          </w:tcPr>
          <w:p>
            <w:pPr>
              <w:spacing w:after="20"/>
            </w:pPr>
            <w:r>
              <w:rPr>
                <w:color w:val="1C3A36"/>
                <w:sz w:val="14"/>
              </w:rPr>
              <w:t>2026-03-31</w:t>
            </w:r>
          </w:p>
        </w:tc>
      </w:tr>
      <w:tr>
        <w:tc>
          <w:tcPr>
            <w:tcW w:type="dxa" w:w="518"/>
          </w:tcPr>
          <w:p>
            <w:pPr>
              <w:spacing w:after="20"/>
            </w:pPr>
            <w:r>
              <w:rPr>
                <w:color w:val="1C3A36"/>
                <w:sz w:val="14"/>
              </w:rPr>
              <w:t>10</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085"/>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518"/>
          </w:tcPr>
          <w:p>
            <w:pPr>
              <w:spacing w:after="20"/>
            </w:pPr>
            <w:r>
              <w:rPr>
                <w:color w:val="1C3A36"/>
                <w:sz w:val="14"/>
              </w:rPr>
              <w:t>11</w:t>
            </w:r>
          </w:p>
        </w:tc>
        <w:tc>
          <w:tcPr>
            <w:tcW w:type="dxa" w:w="2448"/>
          </w:tcPr>
          <w:p>
            <w:pPr>
              <w:spacing w:after="20"/>
            </w:pPr>
            <w:r>
              <w:rPr>
                <w:color w:val="1C3A36"/>
                <w:sz w:val="14"/>
              </w:rPr>
              <w:t>cost_distribution_fy25</w:t>
            </w:r>
          </w:p>
        </w:tc>
        <w:tc>
          <w:tcPr>
            <w:tcW w:type="dxa" w:w="1325"/>
          </w:tcPr>
          <w:p>
            <w:pPr>
              <w:spacing w:after="20"/>
            </w:pPr>
            <w:r>
              <w:rPr>
                <w:color w:val="1C3A36"/>
                <w:sz w:val="14"/>
              </w:rPr>
              <w:t>770.5241</w:t>
            </w:r>
          </w:p>
        </w:tc>
        <w:tc>
          <w:tcPr>
            <w:tcW w:type="dxa" w:w="1066"/>
          </w:tcPr>
          <w:p>
            <w:pPr>
              <w:spacing w:after="20"/>
            </w:pPr>
            <w:r>
              <w:rPr>
                <w:color w:val="1C3A36"/>
                <w:sz w:val="14"/>
              </w:rPr>
              <w:t>Company</w:t>
            </w:r>
          </w:p>
        </w:tc>
        <w:tc>
          <w:tcPr>
            <w:tcW w:type="dxa" w:w="7085"/>
          </w:tcPr>
          <w:p>
            <w:pPr>
              <w:spacing w:after="20"/>
            </w:pPr>
            <w:r>
              <w:rPr>
                <w:color w:val="1C3A36"/>
                <w:sz w:val="14"/>
              </w:rPr>
              <w:t>Note 25 'Transfer &amp; loading expenses &amp; renting cars to transport cement' 579.219496 plus 'Export expenses and quality mark' 185.690219, plus note 24's own 'Transfer &amp; loading' 5.614378, FY2025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12</w:t>
            </w:r>
          </w:p>
        </w:tc>
        <w:tc>
          <w:tcPr>
            <w:tcW w:type="dxa" w:w="2448"/>
          </w:tcPr>
          <w:p>
            <w:pPr>
              <w:spacing w:after="20"/>
            </w:pPr>
            <w:r>
              <w:rPr>
                <w:color w:val="1C3A36"/>
                <w:sz w:val="14"/>
              </w:rPr>
              <w:t>cost_fixed_fy25</w:t>
            </w:r>
          </w:p>
        </w:tc>
        <w:tc>
          <w:tcPr>
            <w:tcW w:type="dxa" w:w="1325"/>
          </w:tcPr>
          <w:p>
            <w:pPr>
              <w:spacing w:after="20"/>
            </w:pPr>
            <w:r>
              <w:rPr>
                <w:color w:val="1C3A36"/>
                <w:sz w:val="14"/>
              </w:rPr>
              <w:t>1,270.9542</w:t>
            </w:r>
          </w:p>
        </w:tc>
        <w:tc>
          <w:tcPr>
            <w:tcW w:type="dxa" w:w="1066"/>
          </w:tcPr>
          <w:p>
            <w:pPr>
              <w:spacing w:after="20"/>
            </w:pPr>
            <w:r>
              <w:rPr>
                <w:color w:val="1C3A36"/>
                <w:sz w:val="14"/>
              </w:rPr>
              <w:t>Company</w:t>
            </w:r>
          </w:p>
        </w:tc>
        <w:tc>
          <w:tcPr>
            <w:tcW w:type="dxa" w:w="7085"/>
          </w:tcPr>
          <w:p>
            <w:pPr>
              <w:spacing w:after="20"/>
            </w:pPr>
            <w:r>
              <w:rPr>
                <w:color w:val="1C3A36"/>
                <w:sz w:val="14"/>
              </w:rPr>
              <w:t>The rest of the disclosed cash operating cost: revenue 9,089.149688 less EBITDA 3,455.205144 less the two lines above. It is wages, maintenance, subcontractors, clay resource fees, rents, technical assistance, insurance and general administration across notes 24, 25 and 26. Revision 2 assumed USD 14.60 per tonne of installed capacity = EGP 2,762.9mn, 2.17x the company's actual fixed cost, and that single assumption is most of why its FY2025 backcast came out 355mn light on EBITDA</w:t>
            </w:r>
          </w:p>
        </w:tc>
        <w:tc>
          <w:tcPr>
            <w:tcW w:type="dxa" w:w="1210"/>
          </w:tcPr>
          <w:p>
            <w:pPr>
              <w:spacing w:after="20"/>
            </w:pPr>
            <w:r>
              <w:rPr>
                <w:color w:val="1C3A36"/>
                <w:sz w:val="14"/>
              </w:rPr>
              <w:t>2025-12-31</w:t>
            </w:r>
          </w:p>
        </w:tc>
      </w:tr>
      <w:tr>
        <w:tc>
          <w:tcPr>
            <w:tcW w:type="dxa" w:w="518"/>
          </w:tcPr>
          <w:p>
            <w:pPr>
              <w:spacing w:after="20"/>
            </w:pPr>
            <w:r>
              <w:rPr>
                <w:color w:val="1C3A36"/>
                <w:sz w:val="14"/>
              </w:rPr>
              <w:t>13</w:t>
            </w:r>
          </w:p>
        </w:tc>
        <w:tc>
          <w:tcPr>
            <w:tcW w:type="dxa" w:w="2448"/>
          </w:tcPr>
          <w:p>
            <w:pPr>
              <w:spacing w:after="20"/>
            </w:pPr>
            <w:r>
              <w:rPr>
                <w:color w:val="1C3A36"/>
                <w:sz w:val="14"/>
              </w:rPr>
              <w:t>cost_materials_fy25</w:t>
            </w:r>
          </w:p>
        </w:tc>
        <w:tc>
          <w:tcPr>
            <w:tcW w:type="dxa" w:w="1325"/>
          </w:tcPr>
          <w:p>
            <w:pPr>
              <w:spacing w:after="20"/>
            </w:pPr>
            <w:r>
              <w:rPr>
                <w:color w:val="1C3A36"/>
                <w:sz w:val="14"/>
              </w:rPr>
              <w:t>3,592.4662</w:t>
            </w:r>
          </w:p>
        </w:tc>
        <w:tc>
          <w:tcPr>
            <w:tcW w:type="dxa" w:w="1066"/>
          </w:tcPr>
          <w:p>
            <w:pPr>
              <w:spacing w:after="20"/>
            </w:pPr>
            <w:r>
              <w:rPr>
                <w:color w:val="1C3A36"/>
                <w:sz w:val="14"/>
              </w:rPr>
              <w:t>Company</w:t>
            </w:r>
          </w:p>
        </w:tc>
        <w:tc>
          <w:tcPr>
            <w:tcW w:type="dxa" w:w="7085"/>
          </w:tcPr>
          <w:p>
            <w:pPr>
              <w:spacing w:after="20"/>
            </w:pPr>
            <w:r>
              <w:rPr>
                <w:color w:val="1C3A36"/>
                <w:sz w:val="14"/>
              </w:rPr>
              <w:t>Note 24, 'Raw materials, Supplies, fuel, power, packing sacks', FY2025 audited statements for the year ended 31 December 2025, read from the company's own website; committed with its footings in filings_extract.py. Revision 2 built this from four industry rules of thumb summing to EGP 2,553.7mn, which is -28.9 per cent BELOW the disclosed line, the disclosed line being 40.7 per cent above the assumption</w:t>
            </w:r>
          </w:p>
        </w:tc>
        <w:tc>
          <w:tcPr>
            <w:tcW w:type="dxa" w:w="1210"/>
          </w:tcPr>
          <w:p>
            <w:pPr>
              <w:spacing w:after="20"/>
            </w:pPr>
            <w:r>
              <w:rPr>
                <w:color w:val="1C3A36"/>
                <w:sz w:val="14"/>
              </w:rPr>
              <w:t>2025-12-31</w:t>
            </w:r>
          </w:p>
        </w:tc>
      </w:tr>
      <w:tr>
        <w:tc>
          <w:tcPr>
            <w:tcW w:type="dxa" w:w="518"/>
          </w:tcPr>
          <w:p>
            <w:pPr>
              <w:spacing w:after="20"/>
            </w:pPr>
            <w:r>
              <w:rPr>
                <w:color w:val="1C3A36"/>
                <w:sz w:val="14"/>
              </w:rPr>
              <w:t>14</w:t>
            </w:r>
          </w:p>
        </w:tc>
        <w:tc>
          <w:tcPr>
            <w:tcW w:type="dxa" w:w="2448"/>
          </w:tcPr>
          <w:p>
            <w:pPr>
              <w:spacing w:after="20"/>
            </w:pPr>
            <w:r>
              <w:rPr>
                <w:color w:val="1C3A36"/>
                <w:sz w:val="14"/>
              </w:rPr>
              <w:t>debt_fy25</w:t>
            </w:r>
          </w:p>
        </w:tc>
        <w:tc>
          <w:tcPr>
            <w:tcW w:type="dxa" w:w="1325"/>
          </w:tcPr>
          <w:p>
            <w:pPr>
              <w:spacing w:after="20"/>
            </w:pPr>
            <w:r>
              <w:rPr>
                <w:color w:val="1C3A36"/>
                <w:sz w:val="14"/>
              </w:rPr>
              <w:t>137.5659</w:t>
            </w:r>
          </w:p>
        </w:tc>
        <w:tc>
          <w:tcPr>
            <w:tcW w:type="dxa" w:w="1066"/>
          </w:tcPr>
          <w:p>
            <w:pPr>
              <w:spacing w:after="20"/>
            </w:pPr>
            <w:r>
              <w:rPr>
                <w:color w:val="1C3A36"/>
                <w:sz w:val="14"/>
              </w:rPr>
              <w:t>Company</w:t>
            </w:r>
          </w:p>
        </w:tc>
        <w:tc>
          <w:tcPr>
            <w:tcW w:type="dxa" w:w="7085"/>
          </w:tcPr>
          <w:p>
            <w:pPr>
              <w:spacing w:after="20"/>
            </w:pPr>
            <w:r>
              <w:rPr>
                <w:color w:val="1C3A36"/>
                <w:sz w:val="14"/>
              </w:rPr>
              <w:t>Lease liabilities at 31 December 2025, 111.742265 long-term and 25.823623 current. THE COMPANY HAS NO BANK BORROWINGS.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15</w:t>
            </w:r>
          </w:p>
        </w:tc>
        <w:tc>
          <w:tcPr>
            <w:tcW w:type="dxa" w:w="2448"/>
          </w:tcPr>
          <w:p>
            <w:pPr>
              <w:spacing w:after="20"/>
            </w:pPr>
            <w:r>
              <w:rPr>
                <w:color w:val="1C3A36"/>
                <w:sz w:val="14"/>
              </w:rPr>
              <w:t>debt_mar26</w:t>
            </w:r>
          </w:p>
        </w:tc>
        <w:tc>
          <w:tcPr>
            <w:tcW w:type="dxa" w:w="1325"/>
          </w:tcPr>
          <w:p>
            <w:pPr>
              <w:spacing w:after="20"/>
            </w:pPr>
            <w:r>
              <w:rPr>
                <w:color w:val="1C3A36"/>
                <w:sz w:val="14"/>
              </w:rPr>
              <w:t>152.71</w:t>
            </w:r>
          </w:p>
        </w:tc>
        <w:tc>
          <w:tcPr>
            <w:tcW w:type="dxa" w:w="1066"/>
          </w:tcPr>
          <w:p>
            <w:pPr>
              <w:spacing w:after="20"/>
            </w:pPr>
            <w:r>
              <w:rPr>
                <w:color w:val="1C3A36"/>
                <w:sz w:val="14"/>
              </w:rPr>
              <w:t>Company</w:t>
            </w:r>
          </w:p>
        </w:tc>
        <w:tc>
          <w:tcPr>
            <w:tcW w:type="dxa" w:w="7085"/>
          </w:tcPr>
          <w:p>
            <w:pPr>
              <w:spacing w:after="20"/>
            </w:pPr>
            <w:r>
              <w:rPr>
                <w:color w:val="1C3A36"/>
                <w:sz w:val="14"/>
              </w:rPr>
              <w:t>Lease liabilities, 137.620919 long-term and 15.089045 current, reviewed sheet at 31 March 2026. THE COMPANY HAS NO BANK BORROWINGS AT EITHER DATE — the whole of its interest-bearing debt is leases under EAS 49</w:t>
            </w:r>
          </w:p>
        </w:tc>
        <w:tc>
          <w:tcPr>
            <w:tcW w:type="dxa" w:w="1210"/>
          </w:tcPr>
          <w:p>
            <w:pPr>
              <w:spacing w:after="20"/>
            </w:pPr>
            <w:r>
              <w:rPr>
                <w:color w:val="1C3A36"/>
                <w:sz w:val="14"/>
              </w:rPr>
              <w:t>2026-03-31</w:t>
            </w:r>
          </w:p>
        </w:tc>
      </w:tr>
      <w:tr>
        <w:tc>
          <w:tcPr>
            <w:tcW w:type="dxa" w:w="518"/>
          </w:tcPr>
          <w:p>
            <w:pPr>
              <w:spacing w:after="20"/>
            </w:pPr>
            <w:r>
              <w:rPr>
                <w:color w:val="1C3A36"/>
                <w:sz w:val="14"/>
              </w:rPr>
              <w:t>16</w:t>
            </w:r>
          </w:p>
        </w:tc>
        <w:tc>
          <w:tcPr>
            <w:tcW w:type="dxa" w:w="2448"/>
          </w:tcPr>
          <w:p>
            <w:pPr>
              <w:spacing w:after="20"/>
            </w:pPr>
            <w:r>
              <w:rPr>
                <w:color w:val="1C3A36"/>
                <w:sz w:val="14"/>
              </w:rPr>
              <w:t>dep_rate_disclosed</w:t>
            </w:r>
          </w:p>
        </w:tc>
        <w:tc>
          <w:tcPr>
            <w:tcW w:type="dxa" w:w="1325"/>
          </w:tcPr>
          <w:p>
            <w:pPr>
              <w:spacing w:after="20"/>
            </w:pPr>
            <w:r>
              <w:rPr>
                <w:color w:val="1C3A36"/>
                <w:sz w:val="14"/>
              </w:rPr>
              <w:t>0.0386</w:t>
            </w:r>
          </w:p>
        </w:tc>
        <w:tc>
          <w:tcPr>
            <w:tcW w:type="dxa" w:w="1066"/>
          </w:tcPr>
          <w:p>
            <w:pPr>
              <w:spacing w:after="20"/>
            </w:pPr>
            <w:r>
              <w:rPr>
                <w:color w:val="1C3A36"/>
                <w:sz w:val="14"/>
              </w:rPr>
              <w:t>Company</w:t>
            </w:r>
          </w:p>
        </w:tc>
        <w:tc>
          <w:tcPr>
            <w:tcW w:type="dxa" w:w="7085"/>
          </w:tcPr>
          <w:p>
            <w:pPr>
              <w:spacing w:after="20"/>
            </w:pPr>
            <w:r>
              <w:rPr>
                <w:color w:val="1C3A36"/>
                <w:sz w:val="14"/>
              </w:rPr>
              <w:t>The BOOK depreciation rate carried forward on gross cost, being note 3/2's disclosed rates at the midpoint of the two ranges, cost-weighted as an arithmetic mean of lives on note 4's own mix. It is used ONLY for the forward book charge, which is what a rate is for. IT IS NOT THE TERMINAL'S USEFUL LIFE and revision 3 used its reciprocal as one: 1/0.038626 = 25.89 years, justified on the grounds that it 'reproduces the filed FY2025 charge to within 1.2% (121.3 against 122.6)'. THAT VALIDATION WAS TWO ERRORS CANCELLING - the 121.3 is an arithmetic-mean rate that understates the disclosed rates' own product of 151.5mn, and the 122.6 includes intangible amortisation against a filed FIXED-ASSET charge of 99.2mn. See useful_lives.json</w:t>
            </w:r>
          </w:p>
        </w:tc>
        <w:tc>
          <w:tcPr>
            <w:tcW w:type="dxa" w:w="1210"/>
          </w:tcPr>
          <w:p>
            <w:pPr>
              <w:spacing w:after="20"/>
            </w:pPr>
            <w:r>
              <w:rPr>
                <w:color w:val="1C3A36"/>
                <w:sz w:val="14"/>
              </w:rPr>
              <w:t>2025-12-31</w:t>
            </w:r>
          </w:p>
        </w:tc>
      </w:tr>
      <w:tr>
        <w:tc>
          <w:tcPr>
            <w:tcW w:type="dxa" w:w="518"/>
          </w:tcPr>
          <w:p>
            <w:pPr>
              <w:spacing w:after="20"/>
            </w:pPr>
            <w:r>
              <w:rPr>
                <w:color w:val="1C3A36"/>
                <w:sz w:val="14"/>
              </w:rPr>
              <w:t>17</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085"/>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518"/>
          </w:tcPr>
          <w:p>
            <w:pPr>
              <w:spacing w:after="20"/>
            </w:pPr>
            <w:r>
              <w:rPr>
                <w:color w:val="1C3A36"/>
                <w:sz w:val="14"/>
              </w:rPr>
              <w:t>18</w:t>
            </w:r>
          </w:p>
        </w:tc>
        <w:tc>
          <w:tcPr>
            <w:tcW w:type="dxa" w:w="2448"/>
          </w:tcPr>
          <w:p>
            <w:pPr>
              <w:spacing w:after="20"/>
            </w:pPr>
            <w:r>
              <w:rPr>
                <w:color w:val="1C3A36"/>
                <w:sz w:val="14"/>
              </w:rPr>
              <w:t>eq_fy23_rep</w:t>
            </w:r>
          </w:p>
        </w:tc>
        <w:tc>
          <w:tcPr>
            <w:tcW w:type="dxa" w:w="1325"/>
          </w:tcPr>
          <w:p>
            <w:pPr>
              <w:spacing w:after="20"/>
            </w:pPr>
            <w:r>
              <w:rPr>
                <w:color w:val="1C3A36"/>
                <w:sz w:val="14"/>
              </w:rPr>
              <w:t>-614.0282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equity at 31 December 2023, the comparative column of the same page. It is NEGATIVE, and the filing's own totals foot: liabilities of 4,116,928,922 plus equity of (614,028,180) give total assets of 3,502,900,742, which is also that column's non-current 1,232,905,958 plus current 2,269,994,784</w:t>
            </w:r>
          </w:p>
        </w:tc>
        <w:tc>
          <w:tcPr>
            <w:tcW w:type="dxa" w:w="1210"/>
          </w:tcPr>
          <w:p>
            <w:pPr>
              <w:spacing w:after="20"/>
            </w:pPr>
            <w:r>
              <w:rPr>
                <w:color w:val="1C3A36"/>
                <w:sz w:val="14"/>
              </w:rPr>
              <w:t>2023-12-31</w:t>
            </w:r>
          </w:p>
        </w:tc>
      </w:tr>
      <w:tr>
        <w:tc>
          <w:tcPr>
            <w:tcW w:type="dxa" w:w="518"/>
          </w:tcPr>
          <w:p>
            <w:pPr>
              <w:spacing w:after="20"/>
            </w:pPr>
            <w:r>
              <w:rPr>
                <w:color w:val="1C3A36"/>
                <w:sz w:val="14"/>
              </w:rPr>
              <w:t>19</w:t>
            </w:r>
          </w:p>
        </w:tc>
        <w:tc>
          <w:tcPr>
            <w:tcW w:type="dxa" w:w="2448"/>
          </w:tcPr>
          <w:p>
            <w:pPr>
              <w:spacing w:after="20"/>
            </w:pPr>
            <w:r>
              <w:rPr>
                <w:color w:val="1C3A36"/>
                <w:sz w:val="14"/>
              </w:rPr>
              <w:t>eq_fy25_rep</w:t>
            </w:r>
          </w:p>
        </w:tc>
        <w:tc>
          <w:tcPr>
            <w:tcW w:type="dxa" w:w="1325"/>
          </w:tcPr>
          <w:p>
            <w:pPr>
              <w:spacing w:after="20"/>
            </w:pPr>
            <w:r>
              <w:rPr>
                <w:color w:val="1C3A36"/>
                <w:sz w:val="14"/>
              </w:rPr>
              <w:t>6,020.3387</w:t>
            </w:r>
          </w:p>
        </w:tc>
        <w:tc>
          <w:tcPr>
            <w:tcW w:type="dxa" w:w="1066"/>
          </w:tcPr>
          <w:p>
            <w:pPr>
              <w:spacing w:after="20"/>
            </w:pPr>
            <w:r>
              <w:rPr>
                <w:color w:val="1C3A36"/>
                <w:sz w:val="14"/>
              </w:rPr>
              <w:t>Company</w:t>
            </w:r>
          </w:p>
        </w:tc>
        <w:tc>
          <w:tcPr>
            <w:tcW w:type="dxa" w:w="7085"/>
          </w:tcPr>
          <w:p>
            <w:pPr>
              <w:spacing w:after="20"/>
            </w:pPr>
            <w:r>
              <w:rPr>
                <w:color w:val="1C3A36"/>
                <w:sz w:val="14"/>
              </w:rPr>
              <w:t>Total shareholders' equity at 31 December 2025, footing across capital, reserves, retained earnings and the year's profit. Audited statement of financial position at 31 December 2025, printed page 2, from the company's own website. Revision 2 used an aggregator's carry of S&amp;P Global Market Intelligence</w:t>
            </w:r>
          </w:p>
        </w:tc>
        <w:tc>
          <w:tcPr>
            <w:tcW w:type="dxa" w:w="1210"/>
          </w:tcPr>
          <w:p>
            <w:pPr>
              <w:spacing w:after="20"/>
            </w:pPr>
            <w:r>
              <w:rPr>
                <w:color w:val="1C3A36"/>
                <w:sz w:val="14"/>
              </w:rPr>
              <w:t>2025-12-31</w:t>
            </w:r>
          </w:p>
        </w:tc>
      </w:tr>
      <w:tr>
        <w:tc>
          <w:tcPr>
            <w:tcW w:type="dxa" w:w="518"/>
          </w:tcPr>
          <w:p>
            <w:pPr>
              <w:spacing w:after="20"/>
            </w:pPr>
            <w:r>
              <w:rPr>
                <w:color w:val="1C3A36"/>
                <w:sz w:val="14"/>
              </w:rPr>
              <w:t>20</w:t>
            </w:r>
          </w:p>
        </w:tc>
        <w:tc>
          <w:tcPr>
            <w:tcW w:type="dxa" w:w="2448"/>
          </w:tcPr>
          <w:p>
            <w:pPr>
              <w:spacing w:after="20"/>
            </w:pPr>
            <w:r>
              <w:rPr>
                <w:color w:val="1C3A36"/>
                <w:sz w:val="14"/>
              </w:rPr>
              <w:t>eq_mar26</w:t>
            </w:r>
          </w:p>
        </w:tc>
        <w:tc>
          <w:tcPr>
            <w:tcW w:type="dxa" w:w="1325"/>
          </w:tcPr>
          <w:p>
            <w:pPr>
              <w:spacing w:after="20"/>
            </w:pPr>
            <w:r>
              <w:rPr>
                <w:color w:val="1C3A36"/>
                <w:sz w:val="14"/>
              </w:rPr>
              <w:t>7,134.8177</w:t>
            </w:r>
          </w:p>
        </w:tc>
        <w:tc>
          <w:tcPr>
            <w:tcW w:type="dxa" w:w="1066"/>
          </w:tcPr>
          <w:p>
            <w:pPr>
              <w:spacing w:after="20"/>
            </w:pPr>
            <w:r>
              <w:rPr>
                <w:color w:val="1C3A36"/>
                <w:sz w:val="14"/>
              </w:rPr>
              <w:t>Company</w:t>
            </w:r>
          </w:p>
        </w:tc>
        <w:tc>
          <w:tcPr>
            <w:tcW w:type="dxa" w:w="7085"/>
          </w:tcPr>
          <w:p>
            <w:pPr>
              <w:spacing w:after="20"/>
            </w:pPr>
            <w:r>
              <w:rPr>
                <w:color w:val="1C3A36"/>
                <w:sz w:val="14"/>
              </w:rPr>
              <w:t>Total equity, reviewed sheet at 31 March 2026</w:t>
            </w:r>
          </w:p>
        </w:tc>
        <w:tc>
          <w:tcPr>
            <w:tcW w:type="dxa" w:w="1210"/>
          </w:tcPr>
          <w:p>
            <w:pPr>
              <w:spacing w:after="20"/>
            </w:pPr>
            <w:r>
              <w:rPr>
                <w:color w:val="1C3A36"/>
                <w:sz w:val="14"/>
              </w:rPr>
              <w:t>2026-03-31</w:t>
            </w:r>
          </w:p>
        </w:tc>
      </w:tr>
      <w:tr>
        <w:tc>
          <w:tcPr>
            <w:tcW w:type="dxa" w:w="518"/>
          </w:tcPr>
          <w:p>
            <w:pPr>
              <w:spacing w:after="20"/>
            </w:pPr>
            <w:r>
              <w:rPr>
                <w:color w:val="1C3A36"/>
                <w:sz w:val="14"/>
              </w:rPr>
              <w:t>21</w:t>
            </w:r>
          </w:p>
        </w:tc>
        <w:tc>
          <w:tcPr>
            <w:tcW w:type="dxa" w:w="2448"/>
          </w:tcPr>
          <w:p>
            <w:pPr>
              <w:spacing w:after="20"/>
            </w:pPr>
            <w:r>
              <w:rPr>
                <w:color w:val="1C3A36"/>
                <w:sz w:val="14"/>
              </w:rPr>
              <w:t>free_float</w:t>
            </w:r>
          </w:p>
        </w:tc>
        <w:tc>
          <w:tcPr>
            <w:tcW w:type="dxa" w:w="1325"/>
          </w:tcPr>
          <w:p>
            <w:pPr>
              <w:spacing w:after="20"/>
            </w:pPr>
            <w:r>
              <w:rPr>
                <w:color w:val="1C3A36"/>
                <w:sz w:val="14"/>
              </w:rPr>
              <w:t>0.224</w:t>
            </w:r>
          </w:p>
        </w:tc>
        <w:tc>
          <w:tcPr>
            <w:tcW w:type="dxa" w:w="1066"/>
          </w:tcPr>
          <w:p>
            <w:pPr>
              <w:spacing w:after="20"/>
            </w:pPr>
            <w:r>
              <w:rPr>
                <w:color w:val="1C3A36"/>
                <w:sz w:val="14"/>
              </w:rPr>
              <w:t>Company</w:t>
            </w:r>
          </w:p>
        </w:tc>
        <w:tc>
          <w:tcPr>
            <w:tcW w:type="dxa" w:w="7085"/>
          </w:tcPr>
          <w:p>
            <w:pPr>
              <w:spacing w:after="20"/>
            </w:pPr>
            <w:r>
              <w:rPr>
                <w:color w:val="1C3A36"/>
                <w:sz w:val="14"/>
              </w:rPr>
              <w:t>The public float, being one less Vicat's holding. DERIVED: 1 - vicat_stake, and it is the share count the same tender offer names (58,416,664 of 260,812,477 = 22.4%), which is the check that the two figures are one fact and not two</w:t>
            </w:r>
          </w:p>
        </w:tc>
        <w:tc>
          <w:tcPr>
            <w:tcW w:type="dxa" w:w="1210"/>
          </w:tcPr>
          <w:p>
            <w:pPr>
              <w:spacing w:after="20"/>
            </w:pPr>
            <w:r>
              <w:rPr>
                <w:color w:val="1C3A36"/>
                <w:sz w:val="14"/>
              </w:rPr>
              <w:t>2025-07-28</w:t>
            </w:r>
          </w:p>
        </w:tc>
      </w:tr>
      <w:tr>
        <w:tc>
          <w:tcPr>
            <w:tcW w:type="dxa" w:w="518"/>
          </w:tcPr>
          <w:p>
            <w:pPr>
              <w:spacing w:after="20"/>
            </w:pPr>
            <w:r>
              <w:rPr>
                <w:color w:val="1C3A36"/>
                <w:sz w:val="14"/>
              </w:rPr>
              <w:t>22</w:t>
            </w:r>
          </w:p>
        </w:tc>
        <w:tc>
          <w:tcPr>
            <w:tcW w:type="dxa" w:w="2448"/>
          </w:tcPr>
          <w:p>
            <w:pPr>
              <w:spacing w:after="20"/>
            </w:pPr>
            <w:r>
              <w:rPr>
                <w:color w:val="1C3A36"/>
                <w:sz w:val="14"/>
              </w:rPr>
              <w:t>gross_fixed_fy25</w:t>
            </w:r>
          </w:p>
        </w:tc>
        <w:tc>
          <w:tcPr>
            <w:tcW w:type="dxa" w:w="1325"/>
          </w:tcPr>
          <w:p>
            <w:pPr>
              <w:spacing w:after="20"/>
            </w:pPr>
            <w:r>
              <w:rPr>
                <w:color w:val="1C3A36"/>
                <w:sz w:val="14"/>
              </w:rPr>
              <w:t>3,140.8552</w:t>
            </w:r>
          </w:p>
        </w:tc>
        <w:tc>
          <w:tcPr>
            <w:tcW w:type="dxa" w:w="1066"/>
          </w:tcPr>
          <w:p>
            <w:pPr>
              <w:spacing w:after="20"/>
            </w:pPr>
            <w:r>
              <w:rPr>
                <w:color w:val="1C3A36"/>
                <w:sz w:val="14"/>
              </w:rPr>
              <w:t>Company</w:t>
            </w:r>
          </w:p>
        </w:tc>
        <w:tc>
          <w:tcPr>
            <w:tcW w:type="dxa" w:w="7085"/>
          </w:tcPr>
          <w:p>
            <w:pPr>
              <w:spacing w:after="20"/>
            </w:pPr>
            <w:r>
              <w:rPr>
                <w:color w:val="1C3A36"/>
                <w:sz w:val="14"/>
              </w:rPr>
              <w:t>Note 4, gross cost of fixed assets at 31-Dec-2025, footing across five classes audited statements for the year ended 31 December 2025, read from the company's own website; committed with its footings in filings_extract.py</w:t>
            </w:r>
          </w:p>
        </w:tc>
        <w:tc>
          <w:tcPr>
            <w:tcW w:type="dxa" w:w="1210"/>
          </w:tcPr>
          <w:p>
            <w:pPr>
              <w:spacing w:after="20"/>
            </w:pPr>
            <w:r>
              <w:rPr>
                <w:color w:val="1C3A36"/>
                <w:sz w:val="14"/>
              </w:rPr>
              <w:t>2025-12-31</w:t>
            </w:r>
          </w:p>
        </w:tc>
      </w:tr>
      <w:tr>
        <w:tc>
          <w:tcPr>
            <w:tcW w:type="dxa" w:w="518"/>
          </w:tcPr>
          <w:p>
            <w:pPr>
              <w:spacing w:after="20"/>
            </w:pPr>
            <w:r>
              <w:rPr>
                <w:color w:val="1C3A36"/>
                <w:sz w:val="14"/>
              </w:rPr>
              <w:t>23</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085"/>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518"/>
          </w:tcPr>
          <w:p>
            <w:pPr>
              <w:spacing w:after="20"/>
            </w:pPr>
            <w:r>
              <w:rPr>
                <w:color w:val="1C3A36"/>
                <w:sz w:val="14"/>
              </w:rPr>
              <w:t>24</w:t>
            </w:r>
          </w:p>
        </w:tc>
        <w:tc>
          <w:tcPr>
            <w:tcW w:type="dxa" w:w="2448"/>
          </w:tcPr>
          <w:p>
            <w:pPr>
              <w:spacing w:after="20"/>
            </w:pPr>
            <w:r>
              <w:rPr>
                <w:color w:val="1C3A36"/>
                <w:sz w:val="14"/>
              </w:rPr>
              <w:t>pat_fy23</w:t>
            </w:r>
          </w:p>
        </w:tc>
        <w:tc>
          <w:tcPr>
            <w:tcW w:type="dxa" w:w="1325"/>
          </w:tcPr>
          <w:p>
            <w:pPr>
              <w:spacing w:after="20"/>
            </w:pPr>
            <w:r>
              <w:rPr>
                <w:color w:val="1C3A36"/>
                <w:sz w:val="14"/>
              </w:rPr>
              <w:t>-117.5816</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25</w:t>
            </w:r>
          </w:p>
        </w:tc>
        <w:tc>
          <w:tcPr>
            <w:tcW w:type="dxa" w:w="2448"/>
          </w:tcPr>
          <w:p>
            <w:pPr>
              <w:spacing w:after="20"/>
            </w:pPr>
            <w:r>
              <w:rPr>
                <w:color w:val="1C3A36"/>
                <w:sz w:val="14"/>
              </w:rPr>
              <w:t>pat_fy24</w:t>
            </w:r>
          </w:p>
        </w:tc>
        <w:tc>
          <w:tcPr>
            <w:tcW w:type="dxa" w:w="1325"/>
          </w:tcPr>
          <w:p>
            <w:pPr>
              <w:spacing w:after="20"/>
            </w:pPr>
            <w:r>
              <w:rPr>
                <w:color w:val="1C3A36"/>
                <w:sz w:val="14"/>
              </w:rPr>
              <w:t>3,072.3618</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26</w:t>
            </w:r>
          </w:p>
        </w:tc>
        <w:tc>
          <w:tcPr>
            <w:tcW w:type="dxa" w:w="2448"/>
          </w:tcPr>
          <w:p>
            <w:pPr>
              <w:spacing w:after="20"/>
            </w:pPr>
            <w:r>
              <w:rPr>
                <w:color w:val="1C3A36"/>
                <w:sz w:val="14"/>
              </w:rPr>
              <w:t>pat_fy25</w:t>
            </w:r>
          </w:p>
        </w:tc>
        <w:tc>
          <w:tcPr>
            <w:tcW w:type="dxa" w:w="1325"/>
          </w:tcPr>
          <w:p>
            <w:pPr>
              <w:spacing w:after="20"/>
            </w:pPr>
            <w:r>
              <w:rPr>
                <w:color w:val="1C3A36"/>
                <w:sz w:val="14"/>
              </w:rPr>
              <w:t>2,284.539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27</w:t>
            </w:r>
          </w:p>
        </w:tc>
        <w:tc>
          <w:tcPr>
            <w:tcW w:type="dxa" w:w="2448"/>
          </w:tcPr>
          <w:p>
            <w:pPr>
              <w:spacing w:after="20"/>
            </w:pPr>
            <w:r>
              <w:rPr>
                <w:color w:val="1C3A36"/>
                <w:sz w:val="14"/>
              </w:rPr>
              <w:t>payout</w:t>
            </w:r>
          </w:p>
        </w:tc>
        <w:tc>
          <w:tcPr>
            <w:tcW w:type="dxa" w:w="1325"/>
          </w:tcPr>
          <w:p>
            <w:pPr>
              <w:spacing w:after="20"/>
            </w:pPr>
            <w:r>
              <w:rPr>
                <w:color w:val="1C3A36"/>
                <w:sz w:val="14"/>
              </w:rPr>
              <w:t>0</w:t>
            </w:r>
          </w:p>
        </w:tc>
        <w:tc>
          <w:tcPr>
            <w:tcW w:type="dxa" w:w="1066"/>
          </w:tcPr>
          <w:p>
            <w:pPr>
              <w:spacing w:after="20"/>
            </w:pPr>
            <w:r>
              <w:rPr>
                <w:color w:val="1C3A36"/>
                <w:sz w:val="14"/>
              </w:rPr>
              <w:t>Company</w:t>
            </w:r>
          </w:p>
        </w:tc>
        <w:tc>
          <w:tcPr>
            <w:tcW w:type="dxa" w:w="7085"/>
          </w:tcPr>
          <w:p>
            <w:pPr>
              <w:spacing w:after="20"/>
            </w:pPr>
            <w:r>
              <w:rPr>
                <w:color w:val="1C3A36"/>
                <w:sz w:val="14"/>
              </w:rPr>
              <w:t>Dividend payout from FY2026E. THE FILED EQUITY STATEMENTS SHOW NO DISTRIBUTION AT ALL, twice over and to the pound: equity of EGP 3,735.80mn at 31-Dec-2024 plus FY2025 profit of 2,284.54mn is exactly the filed 6,020.34mn, and that plus the reviewed quarter's 1,114.48mn is exactly the filed 7,134.82mn at 31-Mar-2026. A 60% payout was assumed against a company whose own statements reconcile with none, and an earlier edition called the implied distribution its 'largest single uncertainty' — it dissolves against the record. This changes no valuation number, because free cash flow to the firm is struck before financing; it changes the projected balance sheet a reader is shown</w:t>
            </w:r>
          </w:p>
        </w:tc>
        <w:tc>
          <w:tcPr>
            <w:tcW w:type="dxa" w:w="1210"/>
          </w:tcPr>
          <w:p>
            <w:pPr>
              <w:spacing w:after="20"/>
            </w:pPr>
            <w:r>
              <w:rPr>
                <w:color w:val="1C3A36"/>
                <w:sz w:val="14"/>
              </w:rPr>
              <w:t>2026-09-04</w:t>
            </w:r>
          </w:p>
        </w:tc>
      </w:tr>
      <w:tr>
        <w:tc>
          <w:tcPr>
            <w:tcW w:type="dxa" w:w="518"/>
          </w:tcPr>
          <w:p>
            <w:pPr>
              <w:spacing w:after="20"/>
            </w:pPr>
            <w:r>
              <w:rPr>
                <w:color w:val="1C3A36"/>
                <w:sz w:val="14"/>
              </w:rPr>
              <w:t>28</w:t>
            </w:r>
          </w:p>
        </w:tc>
        <w:tc>
          <w:tcPr>
            <w:tcW w:type="dxa" w:w="2448"/>
          </w:tcPr>
          <w:p>
            <w:pPr>
              <w:spacing w:after="20"/>
            </w:pPr>
            <w:r>
              <w:rPr>
                <w:color w:val="1C3A36"/>
                <w:sz w:val="14"/>
              </w:rPr>
              <w:t>rev_fy23</w:t>
            </w:r>
          </w:p>
        </w:tc>
        <w:tc>
          <w:tcPr>
            <w:tcW w:type="dxa" w:w="1325"/>
          </w:tcPr>
          <w:p>
            <w:pPr>
              <w:spacing w:after="20"/>
            </w:pPr>
            <w:r>
              <w:rPr>
                <w:color w:val="1C3A36"/>
                <w:sz w:val="14"/>
              </w:rPr>
              <w:t>4,285.4702</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2023 (the comparative column of the FY2024 filing),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29</w:t>
            </w:r>
          </w:p>
        </w:tc>
        <w:tc>
          <w:tcPr>
            <w:tcW w:type="dxa" w:w="2448"/>
          </w:tcPr>
          <w:p>
            <w:pPr>
              <w:spacing w:after="20"/>
            </w:pPr>
            <w:r>
              <w:rPr>
                <w:color w:val="1C3A36"/>
                <w:sz w:val="14"/>
              </w:rPr>
              <w:t>rev_fy24</w:t>
            </w:r>
          </w:p>
        </w:tc>
        <w:tc>
          <w:tcPr>
            <w:tcW w:type="dxa" w:w="1325"/>
          </w:tcPr>
          <w:p>
            <w:pPr>
              <w:spacing w:after="20"/>
            </w:pPr>
            <w:r>
              <w:rPr>
                <w:color w:val="1C3A36"/>
                <w:sz w:val="14"/>
              </w:rPr>
              <w:t>6,428.0119</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2024,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30</w:t>
            </w:r>
          </w:p>
        </w:tc>
        <w:tc>
          <w:tcPr>
            <w:tcW w:type="dxa" w:w="2448"/>
          </w:tcPr>
          <w:p>
            <w:pPr>
              <w:spacing w:after="20"/>
            </w:pPr>
            <w:r>
              <w:rPr>
                <w:color w:val="1C3A36"/>
                <w:sz w:val="14"/>
              </w:rPr>
              <w:t>rev_fy25</w:t>
            </w:r>
          </w:p>
        </w:tc>
        <w:tc>
          <w:tcPr>
            <w:tcW w:type="dxa" w:w="1325"/>
          </w:tcPr>
          <w:p>
            <w:pPr>
              <w:spacing w:after="20"/>
            </w:pPr>
            <w:r>
              <w:rPr>
                <w:color w:val="1C3A36"/>
                <w:sz w:val="14"/>
              </w:rPr>
              <w:t>9,089.1497</w:t>
            </w:r>
          </w:p>
        </w:tc>
        <w:tc>
          <w:tcPr>
            <w:tcW w:type="dxa" w:w="1066"/>
          </w:tcPr>
          <w:p>
            <w:pPr>
              <w:spacing w:after="20"/>
            </w:pPr>
            <w:r>
              <w:rPr>
                <w:color w:val="1C3A36"/>
                <w:sz w:val="14"/>
              </w:rPr>
              <w:t>Company</w:t>
            </w:r>
          </w:p>
        </w:tc>
        <w:tc>
          <w:tcPr>
            <w:tcW w:type="dxa" w:w="7085"/>
          </w:tcPr>
          <w:p>
            <w:pPr>
              <w:spacing w:after="20"/>
            </w:pPr>
            <w:r>
              <w:rPr>
                <w:color w:val="1C3A36"/>
                <w:sz w:val="14"/>
              </w:rPr>
              <w:t>Audited statement of profit or loss for the year ended 31 December 2025, printed page 3, read from the company's own website and committed with its footings in filings_extract.py. Revision 2 used a trade-press figure relayed from an EGX filing it had not read</w:t>
            </w:r>
          </w:p>
        </w:tc>
        <w:tc>
          <w:tcPr>
            <w:tcW w:type="dxa" w:w="1210"/>
          </w:tcPr>
          <w:p>
            <w:pPr>
              <w:spacing w:after="20"/>
            </w:pPr>
            <w:r>
              <w:rPr>
                <w:color w:val="1C3A36"/>
                <w:sz w:val="14"/>
              </w:rPr>
              <w:t>2025-12-31</w:t>
            </w:r>
          </w:p>
        </w:tc>
      </w:tr>
      <w:tr>
        <w:tc>
          <w:tcPr>
            <w:tcW w:type="dxa" w:w="518"/>
          </w:tcPr>
          <w:p>
            <w:pPr>
              <w:spacing w:after="20"/>
            </w:pPr>
            <w:r>
              <w:rPr>
                <w:color w:val="1C3A36"/>
                <w:sz w:val="14"/>
              </w:rPr>
              <w:t>31</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518"/>
          </w:tcPr>
          <w:p>
            <w:pPr>
              <w:spacing w:after="20"/>
            </w:pPr>
            <w:r>
              <w:rPr>
                <w:color w:val="1C3A36"/>
                <w:sz w:val="14"/>
              </w:rPr>
              <w:t>32</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518"/>
          </w:tcPr>
          <w:p>
            <w:pPr>
              <w:spacing w:after="20"/>
            </w:pPr>
            <w:r>
              <w:rPr>
                <w:color w:val="1C3A36"/>
                <w:sz w:val="14"/>
              </w:rPr>
              <w:t>33</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085"/>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518"/>
          </w:tcPr>
          <w:p>
            <w:pPr>
              <w:spacing w:after="20"/>
            </w:pPr>
            <w:r>
              <w:rPr>
                <w:color w:val="1C3A36"/>
                <w:sz w:val="14"/>
              </w:rPr>
              <w:t>34</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085"/>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518"/>
          </w:tcPr>
          <w:p>
            <w:pPr>
              <w:spacing w:after="20"/>
            </w:pPr>
            <w:r>
              <w:rPr>
                <w:color w:val="1C3A36"/>
                <w:sz w:val="14"/>
              </w:rPr>
              <w:t>35</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085"/>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518"/>
          </w:tcPr>
          <w:p>
            <w:pPr>
              <w:spacing w:after="20"/>
            </w:pPr>
            <w:r>
              <w:rPr>
                <w:color w:val="1C3A36"/>
                <w:sz w:val="14"/>
              </w:rPr>
              <w:t>36</w:t>
            </w:r>
          </w:p>
        </w:tc>
        <w:tc>
          <w:tcPr>
            <w:tcW w:type="dxa" w:w="2448"/>
          </w:tcPr>
          <w:p>
            <w:pPr>
              <w:spacing w:after="20"/>
            </w:pPr>
            <w:r>
              <w:rPr>
                <w:color w:val="1C3A36"/>
                <w:sz w:val="14"/>
              </w:rPr>
              <w:t>ta_fy24</w:t>
            </w:r>
          </w:p>
        </w:tc>
        <w:tc>
          <w:tcPr>
            <w:tcW w:type="dxa" w:w="1325"/>
          </w:tcPr>
          <w:p>
            <w:pPr>
              <w:spacing w:after="20"/>
            </w:pPr>
            <w:r>
              <w:rPr>
                <w:color w:val="1C3A36"/>
                <w:sz w:val="14"/>
              </w:rPr>
              <w:t>5,695.6082</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assets</w:t>
            </w:r>
          </w:p>
        </w:tc>
        <w:tc>
          <w:tcPr>
            <w:tcW w:type="dxa" w:w="1210"/>
          </w:tcPr>
          <w:p>
            <w:pPr>
              <w:spacing w:after="20"/>
            </w:pPr>
            <w:r>
              <w:rPr>
                <w:color w:val="1C3A36"/>
                <w:sz w:val="14"/>
              </w:rPr>
              <w:t>2024-12-31</w:t>
            </w:r>
          </w:p>
        </w:tc>
      </w:tr>
      <w:tr>
        <w:tc>
          <w:tcPr>
            <w:tcW w:type="dxa" w:w="518"/>
          </w:tcPr>
          <w:p>
            <w:pPr>
              <w:spacing w:after="20"/>
            </w:pPr>
            <w:r>
              <w:rPr>
                <w:color w:val="1C3A36"/>
                <w:sz w:val="14"/>
              </w:rPr>
              <w:t>37</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085"/>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518"/>
          </w:tcPr>
          <w:p>
            <w:pPr>
              <w:spacing w:after="20"/>
            </w:pPr>
            <w:r>
              <w:rPr>
                <w:color w:val="1C3A36"/>
                <w:sz w:val="14"/>
              </w:rPr>
              <w:t>38</w:t>
            </w:r>
          </w:p>
        </w:tc>
        <w:tc>
          <w:tcPr>
            <w:tcW w:type="dxa" w:w="2448"/>
          </w:tcPr>
          <w:p>
            <w:pPr>
              <w:spacing w:after="20"/>
            </w:pPr>
            <w:r>
              <w:rPr>
                <w:color w:val="1C3A36"/>
                <w:sz w:val="14"/>
              </w:rPr>
              <w:t>tl_fy24</w:t>
            </w:r>
          </w:p>
        </w:tc>
        <w:tc>
          <w:tcPr>
            <w:tcW w:type="dxa" w:w="1325"/>
          </w:tcPr>
          <w:p>
            <w:pPr>
              <w:spacing w:after="20"/>
            </w:pPr>
            <w:r>
              <w:rPr>
                <w:color w:val="1C3A36"/>
                <w:sz w:val="14"/>
              </w:rPr>
              <w:t>1,959.8085</w:t>
            </w:r>
          </w:p>
        </w:tc>
        <w:tc>
          <w:tcPr>
            <w:tcW w:type="dxa" w:w="1066"/>
          </w:tcPr>
          <w:p>
            <w:pPr>
              <w:spacing w:after="20"/>
            </w:pPr>
            <w:r>
              <w:rPr>
                <w:color w:val="1C3A36"/>
                <w:sz w:val="14"/>
              </w:rPr>
              <w:t>Company</w:t>
            </w:r>
          </w:p>
        </w:tc>
        <w:tc>
          <w:tcPr>
            <w:tcW w:type="dxa" w:w="7085"/>
          </w:tcPr>
          <w:p>
            <w:pPr>
              <w:spacing w:after="20"/>
            </w:pPr>
            <w:r>
              <w:rPr>
                <w:color w:val="1C3A36"/>
                <w:sz w:val="14"/>
              </w:rPr>
              <w:t>Audited independent balance sheet as of 31 December 2024, printed page 5 of the FY2024 audited statements (SCC-AFS-E-1224.pdf), read from the company's own website. ROUTE: OCR off the rendered pixels — that filing carries no text layer at all (zero bytes across its 36 pages), so no extraction confidence exists to trust and ARITHMETIC IS THE ARBITER: the page's own total liabilities of EGP 1,959,808,479 plus its own total equity of EGP 3,735,799,731 foot to its printed total assets of EGP 5,695,608,210 exactly, and its non-current total of 1,703,837,097 plus current total of 3,991,771,113 foot to the same figure. Cross-checked against the FY2025 filing's own comparative column at printed page 2, committed in filings_extract.py, which agrees to the pound on liabilities and prints total assets one pound higher at 5,695,608,211 — the filings' own additive rounding, disclosed rather than reconciled away — total liabilities</w:t>
            </w:r>
          </w:p>
        </w:tc>
        <w:tc>
          <w:tcPr>
            <w:tcW w:type="dxa" w:w="1210"/>
          </w:tcPr>
          <w:p>
            <w:pPr>
              <w:spacing w:after="20"/>
            </w:pPr>
            <w:r>
              <w:rPr>
                <w:color w:val="1C3A36"/>
                <w:sz w:val="14"/>
              </w:rPr>
              <w:t>2024-12-31</w:t>
            </w:r>
          </w:p>
        </w:tc>
      </w:tr>
      <w:tr>
        <w:tc>
          <w:tcPr>
            <w:tcW w:type="dxa" w:w="518"/>
          </w:tcPr>
          <w:p>
            <w:pPr>
              <w:spacing w:after="20"/>
            </w:pPr>
            <w:r>
              <w:rPr>
                <w:color w:val="1C3A36"/>
                <w:sz w:val="14"/>
              </w:rPr>
              <w:t>39</w:t>
            </w:r>
          </w:p>
        </w:tc>
        <w:tc>
          <w:tcPr>
            <w:tcW w:type="dxa" w:w="2448"/>
          </w:tcPr>
          <w:p>
            <w:pPr>
              <w:spacing w:after="20"/>
            </w:pPr>
            <w:r>
              <w:rPr>
                <w:color w:val="1C3A36"/>
                <w:sz w:val="14"/>
              </w:rPr>
              <w:t>useful_life_disclosed</w:t>
            </w:r>
          </w:p>
        </w:tc>
        <w:tc>
          <w:tcPr>
            <w:tcW w:type="dxa" w:w="1325"/>
          </w:tcPr>
          <w:p>
            <w:pPr>
              <w:spacing w:after="20"/>
            </w:pPr>
            <w:r>
              <w:rPr>
                <w:color w:val="1C3A36"/>
                <w:sz w:val="14"/>
              </w:rPr>
              <w:t>20</w:t>
            </w:r>
          </w:p>
        </w:tc>
        <w:tc>
          <w:tcPr>
            <w:tcW w:type="dxa" w:w="1066"/>
          </w:tcPr>
          <w:p>
            <w:pPr>
              <w:spacing w:after="20"/>
            </w:pPr>
            <w:r>
              <w:rPr>
                <w:color w:val="1C3A36"/>
                <w:sz w:val="14"/>
              </w:rPr>
              <w:t>Company</w:t>
            </w:r>
          </w:p>
        </w:tc>
        <w:tc>
          <w:tcPr>
            <w:tcW w:type="dxa" w:w="7085"/>
          </w:tcPr>
          <w:p>
            <w:pPr>
              <w:spacing w:after="20"/>
            </w:pPr>
            <w:r>
              <w:rPr>
                <w:color w:val="1C3A36"/>
                <w:sz w:val="14"/>
              </w:rPr>
              <w:t>THE DISCLOSED USEFUL LIFE behind the terminal maintenance charge, route one: note 3/2, printed page 8 of the audited statements for the year ended 31 December 2025, states MACHINERY at a SCALAR 5% - a 20-year life - and note 4 shows machinery is EGP 2,182.6mn of a EGP 3,140.9mn gross cost, 69.5%, the class that dominates the capacity-based replacement cost this study capitalises. No average across the two disclosed RANGES is required, which matters because the two ordinary ways of blending disagree by a quarter (25.9 years on a cost-weighted mean of lives, 20.7 on the charge-reproducing harmonic mean). The FY2022, FY2023 and FY2024 filings carry the identical table. Read by the fundamental walk-forward of 07-09-2026 into useful_lives.json, route and cross-check recorded there</w:t>
            </w:r>
          </w:p>
        </w:tc>
        <w:tc>
          <w:tcPr>
            <w:tcW w:type="dxa" w:w="1210"/>
          </w:tcPr>
          <w:p>
            <w:pPr>
              <w:spacing w:after="20"/>
            </w:pPr>
            <w:r>
              <w:rPr>
                <w:color w:val="1C3A36"/>
                <w:sz w:val="14"/>
              </w:rPr>
              <w:t>2025-12-31</w:t>
            </w:r>
          </w:p>
        </w:tc>
      </w:tr>
      <w:tr>
        <w:tc>
          <w:tcPr>
            <w:tcW w:type="dxa" w:w="518"/>
          </w:tcPr>
          <w:p>
            <w:pPr>
              <w:spacing w:after="20"/>
            </w:pPr>
            <w:r>
              <w:rPr>
                <w:color w:val="1C3A36"/>
                <w:sz w:val="14"/>
              </w:rPr>
              <w:t>40</w:t>
            </w:r>
          </w:p>
        </w:tc>
        <w:tc>
          <w:tcPr>
            <w:tcW w:type="dxa" w:w="2448"/>
          </w:tcPr>
          <w:p>
            <w:pPr>
              <w:spacing w:after="20"/>
            </w:pPr>
            <w:r>
              <w:rPr>
                <w:color w:val="1C3A36"/>
                <w:sz w:val="14"/>
              </w:rPr>
              <w:t>vicat_stake</w:t>
            </w:r>
          </w:p>
        </w:tc>
        <w:tc>
          <w:tcPr>
            <w:tcW w:type="dxa" w:w="1325"/>
          </w:tcPr>
          <w:p>
            <w:pPr>
              <w:spacing w:after="20"/>
            </w:pPr>
            <w:r>
              <w:rPr>
                <w:color w:val="1C3A36"/>
                <w:sz w:val="14"/>
              </w:rPr>
              <w:t>0.776</w:t>
            </w:r>
          </w:p>
        </w:tc>
        <w:tc>
          <w:tcPr>
            <w:tcW w:type="dxa" w:w="1066"/>
          </w:tcPr>
          <w:p>
            <w:pPr>
              <w:spacing w:after="20"/>
            </w:pPr>
            <w:r>
              <w:rPr>
                <w:color w:val="1C3A36"/>
                <w:sz w:val="14"/>
              </w:rPr>
              <w:t>Company</w:t>
            </w:r>
          </w:p>
        </w:tc>
        <w:tc>
          <w:tcPr>
            <w:tcW w:type="dxa" w:w="7085"/>
          </w:tcPr>
          <w:p>
            <w:pPr>
              <w:spacing w:after="20"/>
            </w:pPr>
            <w:r>
              <w:rPr>
                <w:color w:val="1C3A36"/>
                <w:sz w:val="14"/>
              </w:rPr>
              <w:t>Vicat's holding through Vicat Egypt Cement Industries, from the Financial Regulatory Authority filing of the July 2025 mandatory tender offer for the remaining 58,416,664 shares (22.4%) at EGP 41.00 a share. REGISTERED rather than typed: it is quoted in nine places across the two delivered documents and a figure a reader sees must be computed, not typed, even when its source is an external filing rather than this model</w:t>
            </w:r>
          </w:p>
        </w:tc>
        <w:tc>
          <w:tcPr>
            <w:tcW w:type="dxa" w:w="1210"/>
          </w:tcPr>
          <w:p>
            <w:pPr>
              <w:spacing w:after="20"/>
            </w:pPr>
            <w:r>
              <w:rPr>
                <w:color w:val="1C3A36"/>
                <w:sz w:val="14"/>
              </w:rPr>
              <w:t>2025-07-28</w:t>
            </w:r>
          </w:p>
        </w:tc>
      </w:tr>
      <w:tr>
        <w:tc>
          <w:tcPr>
            <w:tcW w:type="dxa" w:w="518"/>
          </w:tcPr>
          <w:p>
            <w:pPr>
              <w:spacing w:after="20"/>
            </w:pPr>
            <w:r>
              <w:rPr>
                <w:color w:val="1C3A36"/>
                <w:sz w:val="14"/>
              </w:rPr>
              <w:t>41</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085"/>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518"/>
          </w:tcPr>
          <w:p>
            <w:pPr>
              <w:spacing w:after="20"/>
            </w:pPr>
            <w:r>
              <w:rPr>
                <w:color w:val="1C3A36"/>
                <w:sz w:val="14"/>
              </w:rPr>
              <w:t>42</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085"/>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518"/>
          </w:tcPr>
          <w:p>
            <w:pPr>
              <w:spacing w:after="20"/>
            </w:pPr>
            <w:r>
              <w:rPr>
                <w:color w:val="1C3A36"/>
                <w:sz w:val="14"/>
              </w:rPr>
              <w:t>43</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085"/>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518"/>
          </w:tcPr>
          <w:p>
            <w:pPr>
              <w:spacing w:after="20"/>
            </w:pPr>
            <w:r>
              <w:rPr>
                <w:color w:val="1C3A36"/>
                <w:sz w:val="14"/>
              </w:rPr>
              <w:t>44</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085"/>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518"/>
          </w:tcPr>
          <w:p>
            <w:pPr>
              <w:spacing w:after="20"/>
            </w:pPr>
            <w:r>
              <w:rPr>
                <w:color w:val="1C3A36"/>
                <w:sz w:val="14"/>
              </w:rPr>
              <w:t>45</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085"/>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518"/>
          </w:tcPr>
          <w:p>
            <w:pPr>
              <w:spacing w:after="20"/>
            </w:pPr>
            <w:r>
              <w:rPr>
                <w:color w:val="1C3A36"/>
                <w:sz w:val="14"/>
              </w:rPr>
              <w:t>46</w:t>
            </w:r>
          </w:p>
        </w:tc>
        <w:tc>
          <w:tcPr>
            <w:tcW w:type="dxa" w:w="2448"/>
          </w:tcPr>
          <w:p>
            <w:pPr>
              <w:spacing w:after="20"/>
            </w:pPr>
            <w:r>
              <w:rPr>
                <w:color w:val="1C3A36"/>
                <w:sz w:val="14"/>
              </w:rPr>
              <w:t>egy_new_licence_mt</w:t>
            </w:r>
          </w:p>
        </w:tc>
        <w:tc>
          <w:tcPr>
            <w:tcW w:type="dxa" w:w="1325"/>
          </w:tcPr>
          <w:p>
            <w:pPr>
              <w:spacing w:after="20"/>
            </w:pPr>
            <w:r>
              <w:rPr>
                <w:color w:val="1C3A36"/>
                <w:sz w:val="14"/>
              </w:rPr>
              <w:t>3.5</w:t>
            </w:r>
          </w:p>
        </w:tc>
        <w:tc>
          <w:tcPr>
            <w:tcW w:type="dxa" w:w="1066"/>
          </w:tcPr>
          <w:p>
            <w:pPr>
              <w:spacing w:after="20"/>
            </w:pPr>
            <w:r>
              <w:rPr>
                <w:color w:val="1C3A36"/>
                <w:sz w:val="14"/>
              </w:rPr>
              <w:t>Industry</w:t>
            </w:r>
          </w:p>
        </w:tc>
        <w:tc>
          <w:tcPr>
            <w:tcW w:type="dxa" w:w="7085"/>
          </w:tcPr>
          <w:p>
            <w:pPr>
              <w:spacing w:after="20"/>
            </w:pPr>
            <w:r>
              <w:rPr>
                <w:color w:val="1C3A36"/>
                <w:sz w:val="14"/>
              </w:rPr>
              <w:t>SECTOR SUPPLY THIS STUDY DID NOT CARRY: two Egyptian cement licences planned from October 2025 at 1.5-2.0 million tonnes a year each, 3.5 at the midpoint, on top of the dormant capacity already returning. Nothing was located awarding either to this company, so it is sector supply and never this company's volume. It bears on the price path rather than on the volume build, and the direction is against this study's answer rather than for it</w:t>
            </w:r>
          </w:p>
        </w:tc>
        <w:tc>
          <w:tcPr>
            <w:tcW w:type="dxa" w:w="1210"/>
          </w:tcPr>
          <w:p>
            <w:pPr>
              <w:spacing w:after="20"/>
            </w:pPr>
            <w:r>
              <w:rPr>
                <w:color w:val="1C3A36"/>
                <w:sz w:val="14"/>
              </w:rPr>
              <w:t>2025-10-19</w:t>
            </w:r>
          </w:p>
        </w:tc>
      </w:tr>
      <w:tr>
        <w:tc>
          <w:tcPr>
            <w:tcW w:type="dxa" w:w="518"/>
          </w:tcPr>
          <w:p>
            <w:pPr>
              <w:spacing w:after="20"/>
            </w:pPr>
            <w:r>
              <w:rPr>
                <w:color w:val="1C3A36"/>
                <w:sz w:val="14"/>
              </w:rPr>
              <w:t>47</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085"/>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518"/>
          </w:tcPr>
          <w:p>
            <w:pPr>
              <w:spacing w:after="20"/>
            </w:pPr>
            <w:r>
              <w:rPr>
                <w:color w:val="1C3A36"/>
                <w:sz w:val="14"/>
              </w:rPr>
              <w:t>48</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085"/>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518"/>
          </w:tcPr>
          <w:p>
            <w:pPr>
              <w:spacing w:after="20"/>
            </w:pPr>
            <w:r>
              <w:rPr>
                <w:color w:val="1C3A36"/>
                <w:sz w:val="14"/>
              </w:rPr>
              <w:t>49</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085"/>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518"/>
          </w:tcPr>
          <w:p>
            <w:pPr>
              <w:spacing w:after="20"/>
            </w:pPr>
            <w:r>
              <w:rPr>
                <w:color w:val="1C3A36"/>
                <w:sz w:val="14"/>
              </w:rPr>
              <w:t>50</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085"/>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518"/>
          </w:tcPr>
          <w:p>
            <w:pPr>
              <w:spacing w:after="20"/>
            </w:pPr>
            <w:r>
              <w:rPr>
                <w:color w:val="1C3A36"/>
                <w:sz w:val="14"/>
              </w:rPr>
              <w:t>51</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518"/>
          </w:tcPr>
          <w:p>
            <w:pPr>
              <w:spacing w:after="20"/>
            </w:pPr>
            <w:r>
              <w:rPr>
                <w:color w:val="1C3A36"/>
                <w:sz w:val="14"/>
              </w:rPr>
              <w:t>52</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518"/>
          </w:tcPr>
          <w:p>
            <w:pPr>
              <w:spacing w:after="20"/>
            </w:pPr>
            <w:r>
              <w:rPr>
                <w:color w:val="1C3A36"/>
                <w:sz w:val="14"/>
              </w:rPr>
              <w:t>53</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085"/>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518"/>
          </w:tcPr>
          <w:p>
            <w:pPr>
              <w:spacing w:after="20"/>
            </w:pPr>
            <w:r>
              <w:rPr>
                <w:color w:val="1C3A36"/>
                <w:sz w:val="14"/>
              </w:rPr>
              <w:t>54</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085"/>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518"/>
          </w:tcPr>
          <w:p>
            <w:pPr>
              <w:spacing w:after="20"/>
            </w:pPr>
            <w:r>
              <w:rPr>
                <w:color w:val="1C3A36"/>
                <w:sz w:val="14"/>
              </w:rPr>
              <w:t>55</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518"/>
          </w:tcPr>
          <w:p>
            <w:pPr>
              <w:spacing w:after="20"/>
            </w:pPr>
            <w:r>
              <w:rPr>
                <w:color w:val="1C3A36"/>
                <w:sz w:val="14"/>
              </w:rPr>
              <w:t>56</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085"/>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518"/>
          </w:tcPr>
          <w:p>
            <w:pPr>
              <w:spacing w:after="20"/>
            </w:pPr>
            <w:r>
              <w:rPr>
                <w:color w:val="1C3A36"/>
                <w:sz w:val="14"/>
              </w:rPr>
              <w:t>57</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085"/>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518"/>
          </w:tcPr>
          <w:p>
            <w:pPr>
              <w:spacing w:after="20"/>
            </w:pPr>
            <w:r>
              <w:rPr>
                <w:color w:val="1C3A36"/>
                <w:sz w:val="14"/>
              </w:rPr>
              <w:t>58</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085"/>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518"/>
          </w:tcPr>
          <w:p>
            <w:pPr>
              <w:spacing w:after="20"/>
            </w:pPr>
            <w:r>
              <w:rPr>
                <w:color w:val="1C3A36"/>
                <w:sz w:val="14"/>
              </w:rPr>
              <w:t>59</w:t>
            </w:r>
          </w:p>
        </w:tc>
        <w:tc>
          <w:tcPr>
            <w:tcW w:type="dxa" w:w="2448"/>
          </w:tcPr>
          <w:p>
            <w:pPr>
              <w:spacing w:after="20"/>
            </w:pPr>
            <w:r>
              <w:rPr>
                <w:color w:val="1C3A36"/>
                <w:sz w:val="14"/>
              </w:rPr>
              <w:t>price_dom_market_forecast_egp_t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085"/>
          </w:tcPr>
          <w:p>
            <w:pPr>
              <w:spacing w:after="20"/>
            </w:pPr>
            <w:r>
              <w:rPr>
                <w:color w:val="1C3A36"/>
                <w:sz w:val="14"/>
              </w:rPr>
              <w:t>A FORECAST, LABELLED AS ONE AND FEEDING NOTHING. Industry commentary of 1 February 2026 put the domestic market price easing toward EGP 3,600 a tonne as the returning supply arrives, against roughly EGP 4,000 in March 2026 and a 2025 peak near 5,000. THIS STUDY DOES NOT ASSUME IT: the realised ex-works price escalates on the house inflation ladder at zero real growth, so a fall to 3,600 in NOMINAL terms would be a real decline this study has not taken. Registered so the reader can see which way the unmodelled risk runs, and it runs against us</w:t>
            </w:r>
          </w:p>
        </w:tc>
        <w:tc>
          <w:tcPr>
            <w:tcW w:type="dxa" w:w="1210"/>
          </w:tcPr>
          <w:p>
            <w:pPr>
              <w:spacing w:after="20"/>
            </w:pPr>
            <w:r>
              <w:rPr>
                <w:color w:val="1C3A36"/>
                <w:sz w:val="14"/>
              </w:rPr>
              <w:t>2026-02-01</w:t>
            </w:r>
          </w:p>
        </w:tc>
      </w:tr>
      <w:tr>
        <w:tc>
          <w:tcPr>
            <w:tcW w:type="dxa" w:w="518"/>
          </w:tcPr>
          <w:p>
            <w:pPr>
              <w:spacing w:after="20"/>
            </w:pPr>
            <w:r>
              <w:rPr>
                <w:color w:val="1C3A36"/>
                <w:sz w:val="14"/>
              </w:rPr>
              <w:t>60</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085"/>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518"/>
          </w:tcPr>
          <w:p>
            <w:pPr>
              <w:spacing w:after="20"/>
            </w:pPr>
            <w:r>
              <w:rPr>
                <w:color w:val="1C3A36"/>
                <w:sz w:val="14"/>
              </w:rPr>
              <w:t>61</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085"/>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518"/>
          </w:tcPr>
          <w:p>
            <w:pPr>
              <w:spacing w:after="20"/>
            </w:pPr>
            <w:r>
              <w:rPr>
                <w:color w:val="1C3A36"/>
                <w:sz w:val="14"/>
              </w:rPr>
              <w:t>62</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085"/>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518"/>
          </w:tcPr>
          <w:p>
            <w:pPr>
              <w:spacing w:after="20"/>
            </w:pPr>
            <w:r>
              <w:rPr>
                <w:color w:val="1C3A36"/>
                <w:sz w:val="14"/>
              </w:rPr>
              <w:t>63</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085"/>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518"/>
          </w:tcPr>
          <w:p>
            <w:pPr>
              <w:spacing w:after="20"/>
            </w:pPr>
            <w:r>
              <w:rPr>
                <w:color w:val="1C3A36"/>
                <w:sz w:val="14"/>
              </w:rPr>
              <w:t>64</w:t>
            </w:r>
          </w:p>
        </w:tc>
        <w:tc>
          <w:tcPr>
            <w:tcW w:type="dxa" w:w="2448"/>
          </w:tcPr>
          <w:p>
            <w:pPr>
              <w:spacing w:after="20"/>
            </w:pPr>
            <w:r>
              <w:rPr>
                <w:color w:val="1C3A36"/>
                <w:sz w:val="14"/>
              </w:rPr>
              <w:t>cost_infl</w:t>
            </w:r>
          </w:p>
        </w:tc>
        <w:tc>
          <w:tcPr>
            <w:tcW w:type="dxa" w:w="1325"/>
          </w:tcPr>
          <w:p>
            <w:pPr>
              <w:spacing w:after="20"/>
            </w:pPr>
            <w:r>
              <w:rPr>
                <w:color w:val="1C3A36"/>
                <w:sz w:val="14"/>
              </w:rPr>
              <w:t>1, 1.16, 1.299, 1.416, 1.522, 1.629</w:t>
            </w:r>
          </w:p>
        </w:tc>
        <w:tc>
          <w:tcPr>
            <w:tcW w:type="dxa" w:w="1066"/>
          </w:tcPr>
          <w:p>
            <w:pPr>
              <w:spacing w:after="20"/>
            </w:pPr>
            <w:r>
              <w:rPr>
                <w:color w:val="1C3A36"/>
                <w:sz w:val="14"/>
              </w:rPr>
              <w:t>Country</w:t>
            </w:r>
          </w:p>
        </w:tc>
        <w:tc>
          <w:tcPr>
            <w:tcW w:type="dxa" w:w="7085"/>
          </w:tcPr>
          <w:p>
            <w:pPr>
              <w:spacing w:after="20"/>
            </w:pPr>
            <w:r>
              <w:rPr>
                <w:color w:val="1C3A36"/>
                <w:sz w:val="14"/>
              </w:rPr>
              <w:t>Cumulative local cost inflation index on the EGP cost lines, compounded from the HOUSE calendar ladder — 16.0/12.0/9.0/7.5/7.0 per cent for 2026-2030, sourced to the Central Bank of Egypt's own baseline and its published glide to the target band. Revision 3 typed 14.0/11.0/7.9/6.2/5.5, roughly two points a year below the house path, and no source in this study supported the gap</w:t>
            </w:r>
          </w:p>
        </w:tc>
        <w:tc>
          <w:tcPr>
            <w:tcW w:type="dxa" w:w="1210"/>
          </w:tcPr>
          <w:p>
            <w:pPr>
              <w:spacing w:after="20"/>
            </w:pPr>
            <w:r>
              <w:rPr>
                <w:color w:val="1C3A36"/>
                <w:sz w:val="14"/>
              </w:rPr>
              <w:t>2026-09-02</w:t>
            </w:r>
          </w:p>
        </w:tc>
      </w:tr>
      <w:tr>
        <w:tc>
          <w:tcPr>
            <w:tcW w:type="dxa" w:w="518"/>
          </w:tcPr>
          <w:p>
            <w:pPr>
              <w:spacing w:after="20"/>
            </w:pPr>
            <w:r>
              <w:rPr>
                <w:color w:val="1C3A36"/>
                <w:sz w:val="14"/>
              </w:rPr>
              <w:t>65</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085"/>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518"/>
          </w:tcPr>
          <w:p>
            <w:pPr>
              <w:spacing w:after="20"/>
            </w:pPr>
            <w:r>
              <w:rPr>
                <w:color w:val="1C3A36"/>
                <w:sz w:val="14"/>
              </w:rPr>
              <w:t>66</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085"/>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518"/>
          </w:tcPr>
          <w:p>
            <w:pPr>
              <w:spacing w:after="20"/>
            </w:pPr>
            <w:r>
              <w:rPr>
                <w:color w:val="1C3A36"/>
                <w:sz w:val="14"/>
              </w:rPr>
              <w:t>67</w:t>
            </w:r>
          </w:p>
        </w:tc>
        <w:tc>
          <w:tcPr>
            <w:tcW w:type="dxa" w:w="2448"/>
          </w:tcPr>
          <w:p>
            <w:pPr>
              <w:spacing w:after="20"/>
            </w:pPr>
            <w:r>
              <w:rPr>
                <w:color w:val="1C3A36"/>
                <w:sz w:val="14"/>
              </w:rPr>
              <w:t>erp_rating</w:t>
            </w:r>
          </w:p>
        </w:tc>
        <w:tc>
          <w:tcPr>
            <w:tcW w:type="dxa" w:w="1325"/>
          </w:tcPr>
          <w:p>
            <w:pPr>
              <w:spacing w:after="20"/>
            </w:pPr>
            <w:r>
              <w:rPr>
                <w:color w:val="1C3A36"/>
                <w:sz w:val="14"/>
              </w:rPr>
              <w:t>0.1394</w:t>
            </w:r>
          </w:p>
        </w:tc>
        <w:tc>
          <w:tcPr>
            <w:tcW w:type="dxa" w:w="1066"/>
          </w:tcPr>
          <w:p>
            <w:pPr>
              <w:spacing w:after="20"/>
            </w:pPr>
            <w:r>
              <w:rPr>
                <w:color w:val="1C3A36"/>
                <w:sz w:val="14"/>
              </w:rPr>
              <w:t>Country</w:t>
            </w:r>
          </w:p>
        </w:tc>
        <w:tc>
          <w:tcPr>
            <w:tcW w:type="dxa" w:w="7085"/>
          </w:tcPr>
          <w:p>
            <w:pPr>
              <w:spacing w:after="20"/>
            </w:pPr>
            <w:r>
              <w:rPr>
                <w:color w:val="1C3A36"/>
                <w:sz w:val="14"/>
              </w:rPr>
              <w:t>Damodaran Egypt, RATING-BASED, January-2026. The alternative premium basis, published beside the adopted CDS one under. Revision 1 cited 'Damodaran, Egypt row' without naming the variant, and a checker following that citation lands here rather than on the 9.41% actually used</w:t>
            </w:r>
          </w:p>
        </w:tc>
        <w:tc>
          <w:tcPr>
            <w:tcW w:type="dxa" w:w="1210"/>
          </w:tcPr>
          <w:p>
            <w:pPr>
              <w:spacing w:after="20"/>
            </w:pPr>
            <w:r>
              <w:rPr>
                <w:color w:val="1C3A36"/>
                <w:sz w:val="14"/>
              </w:rPr>
              <w:t>2026-01-05</w:t>
            </w:r>
          </w:p>
        </w:tc>
      </w:tr>
      <w:tr>
        <w:tc>
          <w:tcPr>
            <w:tcW w:type="dxa" w:w="518"/>
          </w:tcPr>
          <w:p>
            <w:pPr>
              <w:spacing w:after="20"/>
            </w:pPr>
            <w:r>
              <w:rPr>
                <w:color w:val="1C3A36"/>
                <w:sz w:val="14"/>
              </w:rPr>
              <w:t>68</w:t>
            </w:r>
          </w:p>
        </w:tc>
        <w:tc>
          <w:tcPr>
            <w:tcW w:type="dxa" w:w="2448"/>
          </w:tcPr>
          <w:p>
            <w:pPr>
              <w:spacing w:after="20"/>
            </w:pPr>
            <w:r>
              <w:rPr>
                <w:color w:val="1C3A36"/>
                <w:sz w:val="14"/>
              </w:rPr>
              <w:t>fx</w:t>
            </w:r>
          </w:p>
        </w:tc>
        <w:tc>
          <w:tcPr>
            <w:tcW w:type="dxa" w:w="1325"/>
          </w:tcPr>
          <w:p>
            <w:pPr>
              <w:spacing w:after="20"/>
            </w:pPr>
            <w:r>
              <w:rPr>
                <w:color w:val="1C3A36"/>
                <w:sz w:val="14"/>
              </w:rPr>
              <w:t>50.25</w:t>
            </w:r>
          </w:p>
        </w:tc>
        <w:tc>
          <w:tcPr>
            <w:tcW w:type="dxa" w:w="1066"/>
          </w:tcPr>
          <w:p>
            <w:pPr>
              <w:spacing w:after="20"/>
            </w:pPr>
            <w:r>
              <w:rPr>
                <w:color w:val="1C3A36"/>
                <w:sz w:val="14"/>
              </w:rPr>
              <w:t>Country</w:t>
            </w:r>
          </w:p>
        </w:tc>
        <w:tc>
          <w:tcPr>
            <w:tcW w:type="dxa" w:w="7085"/>
          </w:tcPr>
          <w:p>
            <w:pPr>
              <w:spacing w:after="20"/>
            </w:pPr>
            <w:r>
              <w:rPr>
                <w:color w:val="1C3A36"/>
                <w:sz w:val="14"/>
              </w:rPr>
              <w:t>USD/EGP spot, from the house macro path and not from this study. Revision 3 carried 49.80 for the 6-August-2026 quote and the house path carries 50.25 for the SAME quote on the same date — two numbers for one fact, which is the defect that rule was adopted on. The house figure governs</w:t>
            </w:r>
          </w:p>
        </w:tc>
        <w:tc>
          <w:tcPr>
            <w:tcW w:type="dxa" w:w="1210"/>
          </w:tcPr>
          <w:p>
            <w:pPr>
              <w:spacing w:after="20"/>
            </w:pPr>
            <w:r>
              <w:rPr>
                <w:color w:val="1C3A36"/>
                <w:sz w:val="14"/>
              </w:rPr>
              <w:t>2026-08-06</w:t>
            </w:r>
          </w:p>
        </w:tc>
      </w:tr>
      <w:tr>
        <w:tc>
          <w:tcPr>
            <w:tcW w:type="dxa" w:w="518"/>
          </w:tcPr>
          <w:p>
            <w:pPr>
              <w:spacing w:after="20"/>
            </w:pPr>
            <w:r>
              <w:rPr>
                <w:color w:val="1C3A36"/>
                <w:sz w:val="14"/>
              </w:rPr>
              <w:t>69</w:t>
            </w:r>
          </w:p>
        </w:tc>
        <w:tc>
          <w:tcPr>
            <w:tcW w:type="dxa" w:w="2448"/>
          </w:tcPr>
          <w:p>
            <w:pPr>
              <w:spacing w:after="20"/>
            </w:pPr>
            <w:r>
              <w:rPr>
                <w:color w:val="1C3A36"/>
                <w:sz w:val="14"/>
              </w:rPr>
              <w:t>fx_path</w:t>
            </w:r>
          </w:p>
        </w:tc>
        <w:tc>
          <w:tcPr>
            <w:tcW w:type="dxa" w:w="1325"/>
          </w:tcPr>
          <w:p>
            <w:pPr>
              <w:spacing w:after="20"/>
            </w:pPr>
            <w:r>
              <w:rPr>
                <w:color w:val="1C3A36"/>
                <w:sz w:val="14"/>
              </w:rPr>
              <w:t>50.25, 55.11, 60.22, 64.04, 67.17, 70.11</w:t>
            </w:r>
          </w:p>
        </w:tc>
        <w:tc>
          <w:tcPr>
            <w:tcW w:type="dxa" w:w="1066"/>
          </w:tcPr>
          <w:p>
            <w:pPr>
              <w:spacing w:after="20"/>
            </w:pPr>
            <w:r>
              <w:rPr>
                <w:color w:val="1C3A36"/>
                <w:sz w:val="14"/>
              </w:rPr>
              <w:t>Country</w:t>
            </w:r>
          </w:p>
        </w:tc>
        <w:tc>
          <w:tcPr>
            <w:tcW w:type="dxa" w:w="7085"/>
          </w:tcPr>
          <w:p>
            <w:pPr>
              <w:spacing w:after="20"/>
            </w:pPr>
            <w:r>
              <w:rPr>
                <w:color w:val="1C3A36"/>
                <w:sz w:val="14"/>
              </w:rPr>
              <w:t>USD/EGP path, the HOUSE derived purchasing-power path — relative PPP on the house inflation ladder against long-run United States inflation, read from this house's own committed record and not computed here. Revision 3 derived the same identity from THIS STUDY's own ladder, which was two points a year below the house one, so the pound slid more slowly than the house path says it does: one economy cannot have two inflations, and the currency is where that shows. Raises the EGP cost of imported fuel AND the EGP value of export revenue</w:t>
            </w:r>
          </w:p>
        </w:tc>
        <w:tc>
          <w:tcPr>
            <w:tcW w:type="dxa" w:w="1210"/>
          </w:tcPr>
          <w:p>
            <w:pPr>
              <w:spacing w:after="20"/>
            </w:pPr>
            <w:r>
              <w:rPr>
                <w:color w:val="1C3A36"/>
                <w:sz w:val="14"/>
              </w:rPr>
              <w:t>2026-09-02</w:t>
            </w:r>
          </w:p>
        </w:tc>
      </w:tr>
      <w:tr>
        <w:tc>
          <w:tcPr>
            <w:tcW w:type="dxa" w:w="518"/>
          </w:tcPr>
          <w:p>
            <w:pPr>
              <w:spacing w:after="20"/>
            </w:pPr>
            <w:r>
              <w:rPr>
                <w:color w:val="1C3A36"/>
                <w:sz w:val="14"/>
              </w:rPr>
              <w:t>70</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Country</w:t>
            </w:r>
          </w:p>
        </w:tc>
        <w:tc>
          <w:tcPr>
            <w:tcW w:type="dxa" w:w="7085"/>
          </w:tcPr>
          <w:p>
            <w:pPr>
              <w:spacing w:after="20"/>
            </w:pPr>
            <w:r>
              <w:rPr>
                <w:color w:val="1C3A36"/>
                <w:sz w:val="14"/>
              </w:rPr>
              <w:t>Terminal growth, DERIVED as the house terminal inflation of 7.0% plus a STATED real growth of ZERO. Revision 3 held 5% against a terminal risk-free rate of 12.5% built on that same 7% inflation — a perpetual REAL DECLINE of about two points a year that nothing in the study disclosed and nothing supports. Real decline in perpetuity stays permitted and must be written down as the real number it is; this study assumes none</w:t>
            </w:r>
          </w:p>
        </w:tc>
        <w:tc>
          <w:tcPr>
            <w:tcW w:type="dxa" w:w="1210"/>
          </w:tcPr>
          <w:p>
            <w:pPr>
              <w:spacing w:after="20"/>
            </w:pPr>
            <w:r>
              <w:rPr>
                <w:color w:val="1C3A36"/>
                <w:sz w:val="14"/>
              </w:rPr>
              <w:t>2026-09-02</w:t>
            </w:r>
          </w:p>
        </w:tc>
      </w:tr>
      <w:tr>
        <w:tc>
          <w:tcPr>
            <w:tcW w:type="dxa" w:w="518"/>
          </w:tcPr>
          <w:p>
            <w:pPr>
              <w:spacing w:after="20"/>
            </w:pPr>
            <w:r>
              <w:rPr>
                <w:color w:val="1C3A36"/>
                <w:sz w:val="14"/>
              </w:rPr>
              <w:t>71</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085"/>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518"/>
          </w:tcPr>
          <w:p>
            <w:pPr>
              <w:spacing w:after="20"/>
            </w:pPr>
            <w:r>
              <w:rPr>
                <w:color w:val="1C3A36"/>
                <w:sz w:val="14"/>
              </w:rPr>
              <w:t>72</w:t>
            </w:r>
          </w:p>
        </w:tc>
        <w:tc>
          <w:tcPr>
            <w:tcW w:type="dxa" w:w="2448"/>
          </w:tcPr>
          <w:p>
            <w:pPr>
              <w:spacing w:after="20"/>
            </w:pPr>
            <w:r>
              <w:rPr>
                <w:color w:val="1C3A36"/>
                <w:sz w:val="14"/>
              </w:rPr>
              <w:t>rf</w:t>
            </w:r>
          </w:p>
        </w:tc>
        <w:tc>
          <w:tcPr>
            <w:tcW w:type="dxa" w:w="1325"/>
          </w:tcPr>
          <w:p>
            <w:pPr>
              <w:spacing w:after="20"/>
            </w:pPr>
            <w:r>
              <w:rPr>
                <w:color w:val="1C3A36"/>
                <w:sz w:val="14"/>
              </w:rPr>
              <w:t>0.23</w:t>
            </w:r>
          </w:p>
        </w:tc>
        <w:tc>
          <w:tcPr>
            <w:tcW w:type="dxa" w:w="1066"/>
          </w:tcPr>
          <w:p>
            <w:pPr>
              <w:spacing w:after="20"/>
            </w:pPr>
            <w:r>
              <w:rPr>
                <w:color w:val="1C3A36"/>
                <w:sz w:val="14"/>
              </w:rPr>
              <w:t>Country</w:t>
            </w:r>
          </w:p>
        </w:tc>
        <w:tc>
          <w:tcPr>
            <w:tcW w:type="dxa" w:w="7085"/>
          </w:tcPr>
          <w:p>
            <w:pPr>
              <w:spacing w:after="20"/>
            </w:pPr>
            <w:r>
              <w:rPr>
                <w:color w:val="1C3A36"/>
                <w:sz w:val="14"/>
              </w:rPr>
              <w:t>Egypt 10-year local-currency government yield, from the HOUSE macro path and not from this study. Revision 3 carried 22.31% at a 21-July quote while the house path carries 23.00% at 6-August: one sovereign, one yield, and the later quote is the right one for a study struck in September. THE QUOTE IS OLDER THAN THE 14-DAY BOUND and is accepted deliberately with its age disclosed in the cost-of-capital record, rather than used quietly</w:t>
            </w:r>
          </w:p>
        </w:tc>
        <w:tc>
          <w:tcPr>
            <w:tcW w:type="dxa" w:w="1210"/>
          </w:tcPr>
          <w:p>
            <w:pPr>
              <w:spacing w:after="20"/>
            </w:pPr>
            <w:r>
              <w:rPr>
                <w:color w:val="1C3A36"/>
                <w:sz w:val="14"/>
              </w:rPr>
              <w:t>2026-08-06</w:t>
            </w:r>
          </w:p>
        </w:tc>
      </w:tr>
      <w:tr>
        <w:tc>
          <w:tcPr>
            <w:tcW w:type="dxa" w:w="518"/>
          </w:tcPr>
          <w:p>
            <w:pPr>
              <w:spacing w:after="20"/>
            </w:pPr>
            <w:r>
              <w:rPr>
                <w:color w:val="1C3A36"/>
                <w:sz w:val="14"/>
              </w:rPr>
              <w:t>73</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085"/>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518"/>
          </w:tcPr>
          <w:p>
            <w:pPr>
              <w:spacing w:after="20"/>
            </w:pPr>
            <w:r>
              <w:rPr>
                <w:color w:val="1C3A36"/>
                <w:sz w:val="14"/>
              </w:rPr>
              <w:t>74</w:t>
            </w:r>
          </w:p>
        </w:tc>
        <w:tc>
          <w:tcPr>
            <w:tcW w:type="dxa" w:w="2448"/>
          </w:tcPr>
          <w:p>
            <w:pPr>
              <w:spacing w:after="20"/>
            </w:pPr>
            <w:r>
              <w:rPr>
                <w:color w:val="1C3A36"/>
                <w:sz w:val="14"/>
              </w:rPr>
              <w:t>sov_spread_rating</w:t>
            </w:r>
          </w:p>
        </w:tc>
        <w:tc>
          <w:tcPr>
            <w:tcW w:type="dxa" w:w="1325"/>
          </w:tcPr>
          <w:p>
            <w:pPr>
              <w:spacing w:after="20"/>
            </w:pPr>
            <w:r>
              <w:rPr>
                <w:color w:val="1C3A36"/>
                <w:sz w:val="14"/>
              </w:rPr>
              <w:t>0.0637</w:t>
            </w:r>
          </w:p>
        </w:tc>
        <w:tc>
          <w:tcPr>
            <w:tcW w:type="dxa" w:w="1066"/>
          </w:tcPr>
          <w:p>
            <w:pPr>
              <w:spacing w:after="20"/>
            </w:pPr>
            <w:r>
              <w:rPr>
                <w:color w:val="1C3A36"/>
                <w:sz w:val="14"/>
              </w:rPr>
              <w:t>Country</w:t>
            </w:r>
          </w:p>
        </w:tc>
        <w:tc>
          <w:tcPr>
            <w:tcW w:type="dxa" w:w="7085"/>
          </w:tcPr>
          <w:p>
            <w:pPr>
              <w:spacing w:after="20"/>
            </w:pPr>
            <w:r>
              <w:rPr>
                <w:color w:val="1C3A36"/>
                <w:sz w:val="14"/>
              </w:rPr>
              <w:t>Egypt RATING-implied sovereign default spread, Damodaran January-2026, rating column. Published as the alternative basis to the adopted CDS one, never mixed with it: the spread netted out of the risk-free rate and the spread added back through the premium must be the SAME basis or the sovereign is counted one and a half times</w:t>
            </w:r>
          </w:p>
        </w:tc>
        <w:tc>
          <w:tcPr>
            <w:tcW w:type="dxa" w:w="1210"/>
          </w:tcPr>
          <w:p>
            <w:pPr>
              <w:spacing w:after="20"/>
            </w:pPr>
            <w:r>
              <w:rPr>
                <w:color w:val="1C3A36"/>
                <w:sz w:val="14"/>
              </w:rPr>
              <w:t>2026-01-05</w:t>
            </w:r>
          </w:p>
        </w:tc>
      </w:tr>
      <w:tr>
        <w:tc>
          <w:tcPr>
            <w:tcW w:type="dxa" w:w="518"/>
          </w:tcPr>
          <w:p>
            <w:pPr>
              <w:spacing w:after="20"/>
            </w:pPr>
            <w:r>
              <w:rPr>
                <w:color w:val="1C3A36"/>
                <w:sz w:val="14"/>
              </w:rPr>
              <w:t>75</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085"/>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518"/>
          </w:tcPr>
          <w:p>
            <w:pPr>
              <w:spacing w:after="20"/>
            </w:pPr>
            <w:r>
              <w:rPr>
                <w:color w:val="1C3A36"/>
                <w:sz w:val="14"/>
              </w:rPr>
              <w:t>76</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ADOPTED AT TIER 3. The own-stock regression against raw_indices/EG/EGX30.csv as at 2026-09-08 -- the published index of the exchange this stock is listed on, resolved by beta_regression.own_stock_beta -- gives 0.5910 with an R-squared of 0.024 over 255 weekly observations, and FAILS the usability gate: the index barely explains this stock's returns. TIER 1 UNAVAILABLE: R^2=0.024 &lt; minimum 0.05 — index barely explains the stock's returns. Tier 2 is a same-country peer beta, and the only other Egyptian cement issuer this repository holds a price library for is ARCC, whose own conforming regression fails the SAME gate (R-squared 0.047) — a peer beta built on an unusable regression is the same unusable number wearing another company's name, so tier 2 cannot be assembled from what is held rather than being skipped. TIER 3 is taken: beta = 1.00, which the conforming regression's own 90% interval [0.134, 1.048] contains. The point estimate of 0.5910 is published beside it and is NOT used. The point estimate is published beside the adopted figure and is not used, and the price of adopting 1.00 rather than the point estimate is computed in the beta sensitivity rather than asserted here. SUPERSEDED: the previous edition justified the same fallback on a 32-name equal-weight COMPOSITE of the covered library (R-squared 0.038) -- the right conclusion reached on a regression against something that is not a market.</w:t>
            </w:r>
          </w:p>
        </w:tc>
        <w:tc>
          <w:tcPr>
            <w:tcW w:type="dxa" w:w="1210"/>
          </w:tcPr>
          <w:p>
            <w:pPr>
              <w:spacing w:after="20"/>
            </w:pPr>
            <w:r>
              <w:rPr>
                <w:color w:val="1C3A36"/>
                <w:sz w:val="14"/>
              </w:rPr>
              <w:t>2026-09-08</w:t>
            </w:r>
          </w:p>
        </w:tc>
      </w:tr>
      <w:tr>
        <w:tc>
          <w:tcPr>
            <w:tcW w:type="dxa" w:w="518"/>
          </w:tcPr>
          <w:p>
            <w:pPr>
              <w:spacing w:after="20"/>
            </w:pPr>
            <w:r>
              <w:rPr>
                <w:color w:val="1C3A36"/>
                <w:sz w:val="14"/>
              </w:rPr>
              <w:t>77</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085"/>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518"/>
          </w:tcPr>
          <w:p>
            <w:pPr>
              <w:spacing w:after="20"/>
            </w:pPr>
            <w:r>
              <w:rPr>
                <w:color w:val="1C3A36"/>
                <w:sz w:val="14"/>
              </w:rPr>
              <w:t>78</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085"/>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518"/>
          </w:tcPr>
          <w:p>
            <w:pPr>
              <w:spacing w:after="20"/>
            </w:pPr>
            <w:r>
              <w:rPr>
                <w:color w:val="1C3A36"/>
                <w:sz w:val="14"/>
              </w:rPr>
              <w:t>79</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085"/>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518"/>
          </w:tcPr>
          <w:p>
            <w:pPr>
              <w:spacing w:after="20"/>
            </w:pPr>
            <w:r>
              <w:rPr>
                <w:color w:val="1C3A36"/>
                <w:sz w:val="14"/>
              </w:rPr>
              <w:t>80</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518"/>
          </w:tcPr>
          <w:p>
            <w:pPr>
              <w:spacing w:after="20"/>
            </w:pPr>
            <w:r>
              <w:rPr>
                <w:color w:val="1C3A36"/>
                <w:sz w:val="14"/>
              </w:rPr>
              <w:t>81</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085"/>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518"/>
          </w:tcPr>
          <w:p>
            <w:pPr>
              <w:spacing w:after="20"/>
            </w:pPr>
            <w:r>
              <w:rPr>
                <w:color w:val="1C3A36"/>
                <w:sz w:val="14"/>
              </w:rPr>
              <w:t>82</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085"/>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518"/>
          </w:tcPr>
          <w:p>
            <w:pPr>
              <w:spacing w:after="20"/>
            </w:pPr>
            <w:r>
              <w:rPr>
                <w:color w:val="1C3A36"/>
                <w:sz w:val="14"/>
              </w:rPr>
              <w:t>83</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085"/>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518"/>
          </w:tcPr>
          <w:p>
            <w:pPr>
              <w:spacing w:after="20"/>
            </w:pPr>
            <w:r>
              <w:rPr>
                <w:color w:val="1C3A36"/>
                <w:sz w:val="14"/>
              </w:rPr>
              <w:t>84</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085"/>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518"/>
          </w:tcPr>
          <w:p>
            <w:pPr>
              <w:spacing w:after="20"/>
            </w:pPr>
            <w:r>
              <w:rPr>
                <w:color w:val="1C3A36"/>
                <w:sz w:val="14"/>
              </w:rPr>
              <w:t>85</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085"/>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518"/>
          </w:tcPr>
          <w:p>
            <w:pPr>
              <w:spacing w:after="20"/>
            </w:pPr>
            <w:r>
              <w:rPr>
                <w:color w:val="1C3A36"/>
                <w:sz w:val="14"/>
              </w:rPr>
              <w:t>86</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085"/>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518"/>
          </w:tcPr>
          <w:p>
            <w:pPr>
              <w:spacing w:after="20"/>
            </w:pPr>
            <w:r>
              <w:rPr>
                <w:color w:val="1C3A36"/>
                <w:sz w:val="14"/>
              </w:rPr>
              <w:t>87</w:t>
            </w:r>
          </w:p>
        </w:tc>
        <w:tc>
          <w:tcPr>
            <w:tcW w:type="dxa" w:w="2448"/>
          </w:tcPr>
          <w:p>
            <w:pPr>
              <w:spacing w:after="20"/>
            </w:pPr>
            <w:r>
              <w:rPr>
                <w:color w:val="1C3A36"/>
                <w:sz w:val="14"/>
              </w:rPr>
              <w:t>kd</w:t>
            </w:r>
          </w:p>
        </w:tc>
        <w:tc>
          <w:tcPr>
            <w:tcW w:type="dxa" w:w="1325"/>
          </w:tcPr>
          <w:p>
            <w:pPr>
              <w:spacing w:after="20"/>
            </w:pPr>
            <w:r>
              <w:rPr>
                <w:color w:val="1C3A36"/>
                <w:sz w:val="14"/>
              </w:rPr>
              <w:t>0.25</w:t>
            </w:r>
          </w:p>
        </w:tc>
        <w:tc>
          <w:tcPr>
            <w:tcW w:type="dxa" w:w="1066"/>
          </w:tcPr>
          <w:p>
            <w:pPr>
              <w:spacing w:after="20"/>
            </w:pPr>
            <w:r>
              <w:rPr>
                <w:color w:val="1C3A36"/>
                <w:sz w:val="14"/>
              </w:rPr>
              <w:t>House</w:t>
            </w:r>
          </w:p>
        </w:tc>
        <w:tc>
          <w:tcPr>
            <w:tcW w:type="dxa" w:w="7085"/>
          </w:tcPr>
          <w:p>
            <w:pPr>
              <w:spacing w:after="20"/>
            </w:pPr>
            <w:r>
              <w:rPr>
                <w:color w:val="1C3A36"/>
                <w:sz w:val="14"/>
              </w:rPr>
              <w:t>PLACEHOLDER — replaced below by the sovereign-plus-spread construction, because a marginal cost of debt is not a free-standing input once the sovereign it must sit above comes from the house path</w:t>
            </w:r>
          </w:p>
        </w:tc>
        <w:tc>
          <w:tcPr>
            <w:tcW w:type="dxa" w:w="1210"/>
          </w:tcPr>
          <w:p>
            <w:pPr>
              <w:spacing w:after="20"/>
            </w:pPr>
            <w:r>
              <w:rPr>
                <w:color w:val="1C3A36"/>
                <w:sz w:val="14"/>
              </w:rPr>
              <w:t>2026-09-04</w:t>
            </w:r>
          </w:p>
        </w:tc>
      </w:tr>
      <w:tr>
        <w:tc>
          <w:tcPr>
            <w:tcW w:type="dxa" w:w="518"/>
          </w:tcPr>
          <w:p>
            <w:pPr>
              <w:spacing w:after="20"/>
            </w:pPr>
            <w:r>
              <w:rPr>
                <w:color w:val="1C3A36"/>
                <w:sz w:val="14"/>
              </w:rPr>
              <w:t>88</w:t>
            </w:r>
          </w:p>
        </w:tc>
        <w:tc>
          <w:tcPr>
            <w:tcW w:type="dxa" w:w="2448"/>
          </w:tcPr>
          <w:p>
            <w:pPr>
              <w:spacing w:after="20"/>
            </w:pPr>
            <w:r>
              <w:rPr>
                <w:color w:val="1C3A36"/>
                <w:sz w:val="14"/>
              </w:rPr>
              <w:t>kd_path</w:t>
            </w:r>
          </w:p>
        </w:tc>
        <w:tc>
          <w:tcPr>
            <w:tcW w:type="dxa" w:w="1325"/>
          </w:tcPr>
          <w:p>
            <w:pPr>
              <w:spacing w:after="20"/>
            </w:pPr>
            <w:r>
              <w:rPr>
                <w:color w:val="1C3A36"/>
                <w:sz w:val="14"/>
              </w:rPr>
              <w:t>0.25, 0.2143, 0.1857, 0.1643, 0.15</w:t>
            </w:r>
          </w:p>
        </w:tc>
        <w:tc>
          <w:tcPr>
            <w:tcW w:type="dxa" w:w="1066"/>
          </w:tcPr>
          <w:p>
            <w:pPr>
              <w:spacing w:after="20"/>
            </w:pPr>
            <w:r>
              <w:rPr>
                <w:color w:val="1C3A36"/>
                <w:sz w:val="14"/>
              </w:rPr>
              <w:t>House</w:t>
            </w:r>
          </w:p>
        </w:tc>
        <w:tc>
          <w:tcPr>
            <w:tcW w:type="dxa" w:w="7085"/>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518"/>
          </w:tcPr>
          <w:p>
            <w:pPr>
              <w:spacing w:after="20"/>
            </w:pPr>
            <w:r>
              <w:rPr>
                <w:color w:val="1C3A36"/>
                <w:sz w:val="14"/>
              </w:rPr>
              <w:t>89</w:t>
            </w:r>
          </w:p>
        </w:tc>
        <w:tc>
          <w:tcPr>
            <w:tcW w:type="dxa" w:w="2448"/>
          </w:tcPr>
          <w:p>
            <w:pPr>
              <w:spacing w:after="20"/>
            </w:pPr>
            <w:r>
              <w:rPr>
                <w:color w:val="1C3A36"/>
                <w:sz w:val="14"/>
              </w:rPr>
              <w:t>kd_spread</w:t>
            </w:r>
          </w:p>
        </w:tc>
        <w:tc>
          <w:tcPr>
            <w:tcW w:type="dxa" w:w="1325"/>
          </w:tcPr>
          <w:p>
            <w:pPr>
              <w:spacing w:after="20"/>
            </w:pPr>
            <w:r>
              <w:rPr>
                <w:color w:val="1C3A36"/>
                <w:sz w:val="14"/>
              </w:rPr>
              <w:t>0.02</w:t>
            </w:r>
          </w:p>
        </w:tc>
        <w:tc>
          <w:tcPr>
            <w:tcW w:type="dxa" w:w="1066"/>
          </w:tcPr>
          <w:p>
            <w:pPr>
              <w:spacing w:after="20"/>
            </w:pPr>
            <w:r>
              <w:rPr>
                <w:color w:val="1C3A36"/>
                <w:sz w:val="14"/>
              </w:rPr>
              <w:t>House</w:t>
            </w:r>
          </w:p>
        </w:tc>
        <w:tc>
          <w:tcPr>
            <w:tcW w:type="dxa" w:w="7085"/>
          </w:tcPr>
          <w:p>
            <w:pPr>
              <w:spacing w:after="20"/>
            </w:pPr>
            <w:r>
              <w:rPr>
                <w:color w:val="1C3A36"/>
                <w:sz w:val="14"/>
              </w:rPr>
              <w:t>Corporate credit spread over the local sovereign. THE ADOPTED COST OF DEBT IS THE SOVEREIGN PLUS THIS, and the sovereign comes from the house path, so the two cannot disagree. Revision 3 typed 21.50% against a sovereign of 22.31% IN THE SAME FILE — 81bp BELOW the government that taxes it, which this house's standing method refuses outright and which the gate found the hour this record was first committed. The audited statements disclose no rate on the EGP %s of borrowings, so the construction the protocol asks for is sovereign plus spread; 200bp is a STATED judgement and its price is 1 basis point of weighted cost of capital, because the book is 0.5%% of the capital structure</w:t>
            </w:r>
          </w:p>
        </w:tc>
        <w:tc>
          <w:tcPr>
            <w:tcW w:type="dxa" w:w="1210"/>
          </w:tcPr>
          <w:p>
            <w:pPr>
              <w:spacing w:after="20"/>
            </w:pPr>
            <w:r>
              <w:rPr>
                <w:color w:val="1C3A36"/>
                <w:sz w:val="14"/>
              </w:rPr>
              <w:t>2026-09-04</w:t>
            </w:r>
          </w:p>
        </w:tc>
      </w:tr>
      <w:tr>
        <w:tc>
          <w:tcPr>
            <w:tcW w:type="dxa" w:w="518"/>
          </w:tcPr>
          <w:p>
            <w:pPr>
              <w:spacing w:after="20"/>
            </w:pPr>
            <w:r>
              <w:rPr>
                <w:color w:val="1C3A36"/>
                <w:sz w:val="14"/>
              </w:rPr>
              <w:t>90</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085"/>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518"/>
          </w:tcPr>
          <w:p>
            <w:pPr>
              <w:spacing w:after="20"/>
            </w:pPr>
            <w:r>
              <w:rPr>
                <w:color w:val="1C3A36"/>
                <w:sz w:val="14"/>
              </w:rPr>
              <w:t>91</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085"/>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518"/>
          </w:tcPr>
          <w:p>
            <w:pPr>
              <w:spacing w:after="20"/>
            </w:pPr>
            <w:r>
              <w:rPr>
                <w:color w:val="1C3A36"/>
                <w:sz w:val="14"/>
              </w:rPr>
              <w:t>92</w:t>
            </w:r>
          </w:p>
        </w:tc>
        <w:tc>
          <w:tcPr>
            <w:tcW w:type="dxa" w:w="2448"/>
          </w:tcPr>
          <w:p>
            <w:pPr>
              <w:spacing w:after="20"/>
            </w:pPr>
            <w:r>
              <w:rPr>
                <w:color w:val="1C3A36"/>
                <w:sz w:val="14"/>
              </w:rPr>
              <w:t>materials_usd_share</w:t>
            </w:r>
          </w:p>
        </w:tc>
        <w:tc>
          <w:tcPr>
            <w:tcW w:type="dxa" w:w="1325"/>
          </w:tcPr>
          <w:p>
            <w:pPr>
              <w:spacing w:after="20"/>
            </w:pPr>
            <w:r>
              <w:rPr>
                <w:color w:val="1C3A36"/>
                <w:sz w:val="14"/>
              </w:rPr>
              <w:t>0.484</w:t>
            </w:r>
          </w:p>
        </w:tc>
        <w:tc>
          <w:tcPr>
            <w:tcW w:type="dxa" w:w="1066"/>
          </w:tcPr>
          <w:p>
            <w:pPr>
              <w:spacing w:after="20"/>
            </w:pPr>
            <w:r>
              <w:rPr>
                <w:color w:val="1C3A36"/>
                <w:sz w:val="14"/>
              </w:rPr>
              <w:t>House</w:t>
            </w:r>
          </w:p>
        </w:tc>
        <w:tc>
          <w:tcPr>
            <w:tcW w:type="dxa" w:w="7085"/>
          </w:tcPr>
          <w:p>
            <w:pPr>
              <w:spacing w:after="20"/>
            </w:pPr>
            <w:r>
              <w:rPr>
                <w:color w:val="1C3A36"/>
                <w:sz w:val="14"/>
              </w:rPr>
              <w:t>The dollar-linked share of the materials line. THE FILING DOES NOT SPLIT IT, so this is an ESTIMATE and is flagged as one: it is the fuel share of revision 2's own four-part stack (458.0 of 946.5 per tonne), which is the only evidenced split available. The rest escalates on the domestic cost path. Sensitised in section 6</w:t>
            </w:r>
          </w:p>
        </w:tc>
        <w:tc>
          <w:tcPr>
            <w:tcW w:type="dxa" w:w="1210"/>
          </w:tcPr>
          <w:p>
            <w:pPr>
              <w:spacing w:after="20"/>
            </w:pPr>
            <w:r>
              <w:rPr>
                <w:color w:val="1C3A36"/>
                <w:sz w:val="14"/>
              </w:rPr>
              <w:t>2026-08-06</w:t>
            </w:r>
          </w:p>
        </w:tc>
      </w:tr>
      <w:tr>
        <w:tc>
          <w:tcPr>
            <w:tcW w:type="dxa" w:w="518"/>
          </w:tcPr>
          <w:p>
            <w:pPr>
              <w:spacing w:after="20"/>
            </w:pPr>
            <w:r>
              <w:rPr>
                <w:color w:val="1C3A36"/>
                <w:sz w:val="14"/>
              </w:rPr>
              <w:t>93</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085"/>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518"/>
          </w:tcPr>
          <w:p>
            <w:pPr>
              <w:spacing w:after="20"/>
            </w:pPr>
            <w:r>
              <w:rPr>
                <w:color w:val="1C3A36"/>
                <w:sz w:val="14"/>
              </w:rPr>
              <w:t>94</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085"/>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518"/>
          </w:tcPr>
          <w:p>
            <w:pPr>
              <w:spacing w:after="20"/>
            </w:pPr>
            <w:r>
              <w:rPr>
                <w:color w:val="1C3A36"/>
                <w:sz w:val="14"/>
              </w:rPr>
              <w:t>95</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085"/>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518"/>
          </w:tcPr>
          <w:p>
            <w:pPr>
              <w:spacing w:after="20"/>
            </w:pPr>
            <w:r>
              <w:rPr>
                <w:color w:val="1C3A36"/>
                <w:sz w:val="14"/>
              </w:rPr>
              <w:t>96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085"/>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518"/>
          </w:tcPr>
          <w:p>
            <w:pPr>
              <w:spacing w:after="20"/>
            </w:pPr>
            <w:r>
              <w:rPr>
                <w:color w:val="1C3A36"/>
                <w:sz w:val="14"/>
              </w:rPr>
              <w:t>97</w:t>
            </w:r>
          </w:p>
        </w:tc>
        <w:tc>
          <w:tcPr>
            <w:tcW w:type="dxa" w:w="2448"/>
          </w:tcPr>
          <w:p>
            <w:pPr>
              <w:spacing w:after="20"/>
            </w:pPr>
            <w:r>
              <w:rPr>
                <w:color w:val="1C3A36"/>
                <w:sz w:val="14"/>
              </w:rPr>
              <w:t>price_dom_egp_t</w:t>
            </w:r>
          </w:p>
        </w:tc>
        <w:tc>
          <w:tcPr>
            <w:tcW w:type="dxa" w:w="1325"/>
          </w:tcPr>
          <w:p>
            <w:pPr>
              <w:spacing w:after="20"/>
            </w:pPr>
            <w:r>
              <w:rPr>
                <w:color w:val="1C3A36"/>
                <w:sz w:val="14"/>
              </w:rPr>
              <w:t>3,503, 4,063, 4,551, 4,961, 5,333, 5,706</w:t>
            </w:r>
          </w:p>
        </w:tc>
        <w:tc>
          <w:tcPr>
            <w:tcW w:type="dxa" w:w="1066"/>
          </w:tcPr>
          <w:p>
            <w:pPr>
              <w:spacing w:after="20"/>
            </w:pPr>
            <w:r>
              <w:rPr>
                <w:color w:val="1C3A36"/>
                <w:sz w:val="14"/>
              </w:rPr>
              <w:t>House</w:t>
            </w:r>
          </w:p>
        </w:tc>
        <w:tc>
          <w:tcPr>
            <w:tcW w:type="dxa" w:w="7085"/>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REAL SPREAD PER TONNE IS THEN HELD FLAT: price escalates on the HOUSE inflation ladder at zero real growth, the same index the domestic cost lines carry, so the margin is an OUTPUT of the two and neither side carries an inflation number of its own. Revision 3 typed the path, and a typed nominal rate is unfalsifiable — nobody can tell whether 14.0% meant inflation plus nothing or inflation minus two. The path before that grew nominal prices well below the domestic cost path this same model escalates costs on, and the register described it as 'a REAL decline against CBE inflation' while sourcing no mechanism for it. this house's standing method refuses that mechanism on the company's own measurement: cost per unit of revenue FELL across the reviewed quarter pair and the audited year between them, where the forecast needed it to rise, and a mechanism contradicted by the filings is the assumption wearing one. The 12.6Mt of dormant Egyptian capacity queuing to restart is a real risk to price; it belongs in the bear case and the sensitivity grid, which carry it, not in the base path</w:t>
            </w:r>
          </w:p>
        </w:tc>
        <w:tc>
          <w:tcPr>
            <w:tcW w:type="dxa" w:w="1210"/>
          </w:tcPr>
          <w:p>
            <w:pPr>
              <w:spacing w:after="20"/>
            </w:pPr>
            <w:r>
              <w:rPr>
                <w:color w:val="1C3A36"/>
                <w:sz w:val="14"/>
              </w:rPr>
              <w:t>2026-09-04</w:t>
            </w:r>
          </w:p>
        </w:tc>
      </w:tr>
      <w:tr>
        <w:tc>
          <w:tcPr>
            <w:tcW w:type="dxa" w:w="518"/>
          </w:tcPr>
          <w:p>
            <w:pPr>
              <w:spacing w:after="20"/>
            </w:pPr>
            <w:r>
              <w:rPr>
                <w:color w:val="1C3A36"/>
                <w:sz w:val="14"/>
              </w:rPr>
              <w:t>98</w:t>
            </w:r>
          </w:p>
        </w:tc>
        <w:tc>
          <w:tcPr>
            <w:tcW w:type="dxa" w:w="2448"/>
          </w:tcPr>
          <w:p>
            <w:pPr>
              <w:spacing w:after="20"/>
            </w:pPr>
            <w:r>
              <w:rPr>
                <w:color w:val="1C3A36"/>
                <w:sz w:val="14"/>
              </w:rPr>
              <w:t>rf_term</w:t>
            </w:r>
          </w:p>
        </w:tc>
        <w:tc>
          <w:tcPr>
            <w:tcW w:type="dxa" w:w="1325"/>
          </w:tcPr>
          <w:p>
            <w:pPr>
              <w:spacing w:after="20"/>
            </w:pPr>
            <w:r>
              <w:rPr>
                <w:color w:val="1C3A36"/>
                <w:sz w:val="14"/>
              </w:rPr>
              <w:t>0.105</w:t>
            </w:r>
          </w:p>
        </w:tc>
        <w:tc>
          <w:tcPr>
            <w:tcW w:type="dxa" w:w="1066"/>
          </w:tcPr>
          <w:p>
            <w:pPr>
              <w:spacing w:after="20"/>
            </w:pPr>
            <w:r>
              <w:rPr>
                <w:color w:val="1C3A36"/>
                <w:sz w:val="14"/>
              </w:rPr>
              <w:t>House</w:t>
            </w:r>
          </w:p>
        </w:tc>
        <w:tc>
          <w:tcPr>
            <w:tcW w:type="dxa" w:w="7085"/>
          </w:tcPr>
          <w:p>
            <w:pPr>
              <w:spacing w:after="20"/>
            </w:pPr>
            <w:r>
              <w:rPr>
                <w:color w:val="1C3A36"/>
                <w:sz w:val="14"/>
              </w:rPr>
              <w:t>Terminal risk-free rate, READ LIVE from the house macro path rather than typed here: the central bank's operative Q4-2026 inflation target plus the house real-rate convention. TWO EDITIONS OF THIS LINE ARE RETIRED. Revision 1 used the later 5% target while its own text cited 'the 7% and then 5% targets'. Revision 3 typed 12.5% into this file, built on a 5.5pp real convention, and flagged the alternative in its own note as a 'REVIEWABLE CHOICE' worth about 1.8% — which is a defect recorded rather than fixed. The house convention is 3.5%: the retired 5.5pp was a restrictive policy stance, not a long-run real rate, and a perpetuity does not live inside a policy stance. Two readers of one economy must not disagree</w:t>
            </w:r>
          </w:p>
        </w:tc>
        <w:tc>
          <w:tcPr>
            <w:tcW w:type="dxa" w:w="1210"/>
          </w:tcPr>
          <w:p>
            <w:pPr>
              <w:spacing w:after="20"/>
            </w:pPr>
            <w:r>
              <w:rPr>
                <w:color w:val="1C3A36"/>
                <w:sz w:val="14"/>
              </w:rPr>
              <w:t>2026-09-10</w:t>
            </w:r>
          </w:p>
        </w:tc>
      </w:tr>
      <w:tr>
        <w:tc>
          <w:tcPr>
            <w:tcW w:type="dxa" w:w="518"/>
          </w:tcPr>
          <w:p>
            <w:pPr>
              <w:spacing w:after="20"/>
            </w:pPr>
            <w:r>
              <w:rPr>
                <w:color w:val="1C3A36"/>
                <w:sz w:val="14"/>
              </w:rPr>
              <w:t>99</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085"/>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518"/>
          </w:tcPr>
          <w:p>
            <w:pPr>
              <w:spacing w:after="20"/>
            </w:pPr>
            <w:r>
              <w:rPr>
                <w:color w:val="1C3A36"/>
                <w:sz w:val="14"/>
              </w:rPr>
              <w:t>100</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085"/>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518"/>
          </w:tcPr>
          <w:p>
            <w:pPr>
              <w:spacing w:after="20"/>
            </w:pPr>
            <w:r>
              <w:rPr>
                <w:color w:val="1C3A36"/>
                <w:sz w:val="14"/>
              </w:rPr>
              <w:t>101</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085"/>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518"/>
          </w:tcPr>
          <w:p>
            <w:pPr>
              <w:spacing w:after="20"/>
            </w:pPr>
            <w:r>
              <w:rPr>
                <w:color w:val="1C3A36"/>
                <w:sz w:val="14"/>
              </w:rPr>
              <w:t>102</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518"/>
          </w:tcPr>
          <w:p>
            <w:pPr>
              <w:spacing w:after="20"/>
            </w:pPr>
            <w:r>
              <w:rPr>
                <w:color w:val="1C3A36"/>
                <w:sz w:val="14"/>
              </w:rPr>
              <w:t>103</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085"/>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518"/>
          </w:tcPr>
          <w:p>
            <w:pPr>
              <w:spacing w:after="20"/>
            </w:pPr>
            <w:r>
              <w:rPr>
                <w:color w:val="1C3A36"/>
                <w:sz w:val="14"/>
              </w:rPr>
              <w:t>104</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085"/>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518"/>
          </w:tcPr>
          <w:p>
            <w:pPr>
              <w:spacing w:after="20"/>
            </w:pPr>
            <w:r>
              <w:rPr>
                <w:color w:val="1C3A36"/>
                <w:sz w:val="14"/>
              </w:rPr>
              <w:t>105</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085"/>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518"/>
          </w:tcPr>
          <w:p>
            <w:pPr>
              <w:spacing w:after="20"/>
            </w:pPr>
            <w:r>
              <w:rPr>
                <w:color w:val="1C3A36"/>
                <w:sz w:val="14"/>
              </w:rPr>
              <w:t>106</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085"/>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518"/>
          </w:tcPr>
          <w:p>
            <w:pPr>
              <w:spacing w:after="20"/>
            </w:pPr>
            <w:r>
              <w:rPr>
                <w:color w:val="1C3A36"/>
                <w:sz w:val="14"/>
              </w:rPr>
              <w:t>107</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085"/>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The shares are regressed against raw_indices/EG/EGX30.csv, the published index of the exchange they are listed on, on weekly returns over 4.94 years to 2026-09-03, with a lead and a lag beside the contemporaneous term so that a thinly traded share is not read as insensitive. It returns 0.591 with an R-squared of 0.024 over 255 observations. That R-squared is below the 5% usability floor, so the regression result is NOT used, and a same-country peer beta cannot be built either — the only other Egyptian cement issuer with a price history here fails the same test. 1.00 is adopted at tier 3 and corroborated: it sits inside the regression's own 90% interval of 0.134 to 1.048, and the Blume adjustment carries the point estimate to 0.727. A previous edition regressed against a 32-name equal-weight composite of the covered EGX library, SCEM excluded from its own index, returning 0.485; that regressor is withdrawn.</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19.00% policy rate normalises</w:t>
            </w:r>
          </w:p>
        </w:tc>
        <w:tc>
          <w:tcPr>
            <w:tcW w:type="dxa" w:w="3053"/>
          </w:tcPr>
          <w:p>
            <w:pPr>
              <w:spacing w:after="20"/>
            </w:pPr>
            <w:r>
              <w:rPr>
                <w:color w:val="1C3A36"/>
                <w:sz w:val="14"/>
              </w:rPr>
              <w:t>US Federal Reserve, Federal Open Market Committee policy decisions and the published target range history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