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40" w:before="120"/>
      </w:pPr>
      <w:r>
        <w:rPr>
          <w:b/>
          <w:i w:val="0"/>
          <w:color w:val="1C3A36"/>
          <w:sz w:val="38"/>
        </w:rPr>
        <w:t>Abu Dhabi Commercial Bank PJSC (ADX: ADCB)</w:t>
      </w:r>
    </w:p>
    <w:p>
      <w:pPr>
        <w:spacing w:after="160" w:before="0"/>
      </w:pPr>
      <w:r>
        <w:rPr>
          <w:b w:val="0"/>
          <w:i w:val="0"/>
          <w:color w:val="6E7B77"/>
          <w:sz w:val="20"/>
        </w:rPr>
        <w:t xml:space="preserve">Independent valuation study · 10 July 2026 · </w:t>
      </w:r>
      <w:r>
        <w:rPr>
          <w:b w:val="0"/>
          <w:i w:val="0"/>
          <w:color w:val="896F36"/>
          <w:sz w:val="20"/>
        </w:rPr>
        <w:t>spot AED 15.10 (03-Jul close) · 7,912.2mn shares · market cap ~AED 119.5bn (~US$32.5bn) · third-largest UAE bank · newest name in Testahil’s UAE coverage</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READ FIRST. </w:t>
            </w:r>
            <w:r>
              <w:rPr>
                <w:color w:val="1C3A36"/>
                <w:sz w:val="19"/>
              </w:rPr>
              <w:t>This is an independent, educational valuation study published under the Testahil brand. It is not investment advice, not a recommendation, and contains no rating and no price target. It presents fair-value ranges and probability distributions — distributions, not tips.</w:t>
            </w:r>
          </w:p>
          <w:p>
            <w:pPr>
              <w:spacing w:after="100"/>
            </w:pPr>
            <w:r>
              <w:rPr>
                <w:b/>
                <w:color w:val="1C3A36"/>
                <w:sz w:val="19"/>
              </w:rPr>
              <w:t xml:space="preserve">Who we are not. </w:t>
            </w:r>
            <w:r>
              <w:rPr>
                <w:color w:val="1C3A36"/>
                <w:sz w:val="19"/>
              </w:rPr>
              <w:t>The preparer is not licensed by the FRA, the SCA, or any securities regulator, holds no CFA charter, and this document has not been reviewed by any authority.</w:t>
            </w:r>
          </w:p>
          <w:p>
            <w:pPr>
              <w:spacing w:after="100"/>
            </w:pPr>
            <w:r>
              <w:rPr>
                <w:b/>
                <w:color w:val="1C3A36"/>
                <w:sz w:val="19"/>
              </w:rPr>
              <w:t xml:space="preserve">What the numbers are. </w:t>
            </w:r>
            <w:r>
              <w:rPr>
                <w:color w:val="1C3A36"/>
                <w:sz w:val="19"/>
              </w:rPr>
              <w:t>Model outputs under stated assumptions — every input is disclosed, every unsourced driver is logged in a public ledger, and every published forecast is graded after the fact on the public Calibration Ledger.</w:t>
            </w:r>
          </w:p>
          <w:p>
            <w:pPr>
              <w:spacing w:after="100"/>
            </w:pPr>
            <w:r>
              <w:rPr>
                <w:b/>
                <w:color w:val="1C3A36"/>
                <w:sz w:val="19"/>
              </w:rPr>
              <w:t xml:space="preserve">The two clocks. </w:t>
            </w:r>
            <w:r>
              <w:rPr>
                <w:color w:val="1C3A36"/>
                <w:sz w:val="19"/>
              </w:rPr>
              <w:t>The weighted central (AED 19.7) is a risk-adjusted ~12-month anchor. The strategy-delivered value (AED 23.0 at a peace-time Ke) is a multi-year ceiling. The only genuinely 3-month figures in this study are the Monte Carlo percentiles in §3. Never read one clock as another.</w:t>
            </w:r>
          </w:p>
          <w:p>
            <w:pPr>
              <w:spacing w:after="100"/>
            </w:pPr>
            <w:r>
              <w:rPr>
                <w:b/>
                <w:color w:val="1C3A36"/>
                <w:sz w:val="19"/>
              </w:rPr>
              <w:t xml:space="preserve">Calibration tier. </w:t>
            </w:r>
            <w:r>
              <w:rPr>
                <w:color w:val="1C3A36"/>
                <w:sz w:val="19"/>
              </w:rPr>
              <w:t>Backtest verdict for ADCB: PASS — under the fitted UAE market model, ADCB’s own five-year backtest beats the naive benchmark with the margin holding across every resampling scheme. The §3 distribution is calibrated and carries a modest demonstrated edge — still read it as a base rate, not a promise.</w:t>
            </w:r>
          </w:p>
          <w:p>
            <w:pPr>
              <w:spacing w:after="100"/>
            </w:pPr>
            <w:r>
              <w:rPr>
                <w:b/>
                <w:color w:val="1C3A36"/>
                <w:sz w:val="19"/>
              </w:rPr>
              <w:t xml:space="preserve">Provenance flag. </w:t>
            </w:r>
            <w:r>
              <w:rPr>
                <w:color w:val="1C3A36"/>
                <w:sz w:val="19"/>
              </w:rPr>
              <w:t>ADCB’s own PDF filings were not machine-accessible during this work; financial-statement figures were taken from ADCB’s results releases as reproduced word-for-word on financial news wires and on the bank’s own news pages, and must be re-verified against the filed statements before any reliance. Figures we derived rather than took directly are flagged inline.</w:t>
            </w:r>
          </w:p>
        </w:tc>
      </w:tr>
    </w:tbl>
    <w:p>
      <w:pPr>
        <w:spacing w:after="40"/>
      </w:pPr>
    </w:p>
    <w:p>
      <w:pPr>
        <w:spacing w:after="120" w:before="280"/>
      </w:pPr>
      <w:r>
        <w:rPr>
          <w:b/>
          <w:i w:val="0"/>
          <w:color w:val="1C3A36"/>
          <w:sz w:val="30"/>
        </w:rPr>
        <w:t>The company</w:t>
      </w:r>
    </w:p>
    <w:p>
      <w:pPr>
        <w:spacing w:after="120" w:before="0"/>
      </w:pPr>
      <w:r>
        <w:rPr>
          <w:b w:val="0"/>
          <w:i w:val="0"/>
          <w:color w:val="1C3A36"/>
          <w:sz w:val="21"/>
        </w:rPr>
        <w:t>Abu Dhabi Commercial Bank is the UAE’s third-largest bank, with AED 809bn in assets at March 2026, formed in its current shape by the 2019 three-way merger of ADCB, Union National Bank and Al Hilal Bank. It makes money the way a classic universal bank does: it gathers AED 523bn of deposits (46.9% of them low-cost CASA), lends AED 426bn — roughly two-thirds of it in Abu Dhabi and Dubai — and earns the spread, layering fee income from cards, trade finance, capital markets and its growing international franchise (28% of loans, including a US$3.5bn Türkiye sovereign bond mandate won this year) on top. Its moat is structural rather than clever: majority ownership by Mubadala (60.69%) anchors it in Abu Dhabi’s government-related ecosystem, its funding base is granular and cheap, and its post-merger cost discipline shows in a cost-to-income ratio that fell to 25.6% in Q1-2026. Scale now compounds: nineteen consecutive quarters of rising profit before tax, an ROE above 16%, and a five-year plan targeting AED 20bn of annual net profit by 2030. A completed AED 6.1bn rights issue in December 2025 — the base-changer running through every per-share figure here — pre-funds that growth and lifts CET1 to 13.8%.</w:t>
      </w:r>
    </w:p>
    <w:p>
      <w:pPr>
        <w:spacing w:after="80" w:before="200"/>
      </w:pPr>
      <w:r>
        <w:rPr>
          <w:b/>
          <w:i w:val="0"/>
          <w:color w:val="1C3A36"/>
          <w:sz w:val="24"/>
        </w:rPr>
        <w:t>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520"/>
            <w:shd w:val="clear" w:color="auto" w:fill="EAF0EE"/>
          </w:tcPr>
          <w:p>
            <w:pPr>
              <w:spacing w:after="20"/>
            </w:pPr>
            <w:r>
              <w:rPr>
                <w:b/>
                <w:color w:val="1C3A36"/>
                <w:sz w:val="18"/>
              </w:rPr>
            </w:r>
          </w:p>
        </w:tc>
        <w:tc>
          <w:tcPr>
            <w:tcW w:type="dxa" w:w="2376"/>
            <w:shd w:val="clear" w:color="auto" w:fill="EAF0EE"/>
          </w:tcPr>
          <w:p>
            <w:pPr>
              <w:spacing w:after="20"/>
            </w:pPr>
            <w:r>
              <w:rPr>
                <w:b/>
                <w:color w:val="1C3A36"/>
                <w:sz w:val="18"/>
              </w:rPr>
              <w:t>Value</w:t>
            </w:r>
          </w:p>
        </w:tc>
        <w:tc>
          <w:tcPr>
            <w:tcW w:type="dxa" w:w="2664"/>
            <w:shd w:val="clear" w:color="auto" w:fill="EAF0EE"/>
          </w:tcPr>
          <w:p>
            <w:pPr>
              <w:spacing w:after="20"/>
            </w:pPr>
            <w:r>
              <w:rPr>
                <w:b/>
                <w:color w:val="1C3A36"/>
                <w:sz w:val="18"/>
              </w:rPr>
            </w:r>
          </w:p>
        </w:tc>
        <w:tc>
          <w:tcPr>
            <w:tcW w:type="dxa" w:w="2520"/>
            <w:shd w:val="clear" w:color="auto" w:fill="EAF0EE"/>
          </w:tcPr>
          <w:p>
            <w:pPr>
              <w:spacing w:after="20"/>
            </w:pPr>
            <w:r>
              <w:rPr>
                <w:b/>
                <w:color w:val="1C3A36"/>
                <w:sz w:val="18"/>
              </w:rPr>
              <w:t>Value</w:t>
            </w:r>
          </w:p>
        </w:tc>
      </w:tr>
      <w:tr>
        <w:tc>
          <w:tcPr>
            <w:tcW w:type="dxa" w:w="2520"/>
          </w:tcPr>
          <w:p>
            <w:pPr>
              <w:spacing w:after="20"/>
            </w:pPr>
            <w:r>
              <w:rPr>
                <w:b/>
                <w:color w:val="1C3A36"/>
                <w:sz w:val="18"/>
              </w:rPr>
              <w:t>Spot (03-Jul-2026)</w:t>
            </w:r>
          </w:p>
        </w:tc>
        <w:tc>
          <w:tcPr>
            <w:tcW w:type="dxa" w:w="2376"/>
          </w:tcPr>
          <w:p>
            <w:pPr>
              <w:spacing w:after="20"/>
              <w:jc w:val="right"/>
            </w:pPr>
            <w:r>
              <w:rPr>
                <w:color w:val="1C3A36"/>
                <w:sz w:val="18"/>
              </w:rPr>
              <w:t>AED 15.10</w:t>
            </w:r>
          </w:p>
        </w:tc>
        <w:tc>
          <w:tcPr>
            <w:tcW w:type="dxa" w:w="2664"/>
          </w:tcPr>
          <w:p>
            <w:pPr>
              <w:spacing w:after="20"/>
              <w:jc w:val="right"/>
            </w:pPr>
            <w:r>
              <w:rPr>
                <w:color w:val="1C3A36"/>
                <w:sz w:val="18"/>
              </w:rPr>
              <w:t>Weighted central</w:t>
            </w:r>
          </w:p>
        </w:tc>
        <w:tc>
          <w:tcPr>
            <w:tcW w:type="dxa" w:w="2520"/>
          </w:tcPr>
          <w:p>
            <w:pPr>
              <w:spacing w:after="20"/>
              <w:jc w:val="right"/>
            </w:pPr>
            <w:r>
              <w:rPr>
                <w:color w:val="1C3A36"/>
                <w:sz w:val="18"/>
              </w:rPr>
              <w:t>AED 19.7  (+31%)</w:t>
            </w:r>
          </w:p>
        </w:tc>
      </w:tr>
      <w:tr>
        <w:tc>
          <w:tcPr>
            <w:tcW w:type="dxa" w:w="2520"/>
          </w:tcPr>
          <w:p>
            <w:pPr>
              <w:spacing w:after="20"/>
            </w:pPr>
            <w:r>
              <w:rPr>
                <w:b/>
                <w:color w:val="1C3A36"/>
                <w:sz w:val="18"/>
              </w:rPr>
              <w:t>Shares out (post-rights)</w:t>
            </w:r>
          </w:p>
        </w:tc>
        <w:tc>
          <w:tcPr>
            <w:tcW w:type="dxa" w:w="2376"/>
          </w:tcPr>
          <w:p>
            <w:pPr>
              <w:spacing w:after="20"/>
              <w:jc w:val="right"/>
            </w:pPr>
            <w:r>
              <w:rPr>
                <w:color w:val="1C3A36"/>
                <w:sz w:val="18"/>
              </w:rPr>
              <w:t>7,912.2mn</w:t>
            </w:r>
          </w:p>
        </w:tc>
        <w:tc>
          <w:tcPr>
            <w:tcW w:type="dxa" w:w="2664"/>
          </w:tcPr>
          <w:p>
            <w:pPr>
              <w:spacing w:after="20"/>
              <w:jc w:val="right"/>
            </w:pPr>
            <w:r>
              <w:rPr>
                <w:color w:val="1C3A36"/>
                <w:sz w:val="18"/>
              </w:rPr>
              <w:t>Range across lenses</w:t>
            </w:r>
          </w:p>
        </w:tc>
        <w:tc>
          <w:tcPr>
            <w:tcW w:type="dxa" w:w="2520"/>
          </w:tcPr>
          <w:p>
            <w:pPr>
              <w:spacing w:after="20"/>
              <w:jc w:val="right"/>
            </w:pPr>
            <w:r>
              <w:rPr>
                <w:color w:val="1C3A36"/>
                <w:sz w:val="18"/>
              </w:rPr>
              <w:t>AED 14.3 – 23.3</w:t>
            </w:r>
          </w:p>
        </w:tc>
      </w:tr>
      <w:tr>
        <w:tc>
          <w:tcPr>
            <w:tcW w:type="dxa" w:w="2520"/>
          </w:tcPr>
          <w:p>
            <w:pPr>
              <w:spacing w:after="20"/>
            </w:pPr>
            <w:r>
              <w:rPr>
                <w:b/>
                <w:color w:val="1C3A36"/>
                <w:sz w:val="18"/>
              </w:rPr>
              <w:t>Market cap</w:t>
            </w:r>
          </w:p>
        </w:tc>
        <w:tc>
          <w:tcPr>
            <w:tcW w:type="dxa" w:w="2376"/>
          </w:tcPr>
          <w:p>
            <w:pPr>
              <w:spacing w:after="20"/>
              <w:jc w:val="right"/>
            </w:pPr>
            <w:r>
              <w:rPr>
                <w:color w:val="1C3A36"/>
                <w:sz w:val="18"/>
              </w:rPr>
              <w:t>AED 119.5bn (~US$32.5bn)</w:t>
            </w:r>
          </w:p>
        </w:tc>
        <w:tc>
          <w:tcPr>
            <w:tcW w:type="dxa" w:w="2664"/>
          </w:tcPr>
          <w:p>
            <w:pPr>
              <w:spacing w:after="20"/>
              <w:jc w:val="right"/>
            </w:pPr>
            <w:r>
              <w:rPr>
                <w:color w:val="1C3A36"/>
                <w:sz w:val="18"/>
              </w:rPr>
              <w:t>Ke (war-adjusted central)</w:t>
            </w:r>
          </w:p>
        </w:tc>
        <w:tc>
          <w:tcPr>
            <w:tcW w:type="dxa" w:w="2520"/>
          </w:tcPr>
          <w:p>
            <w:pPr>
              <w:spacing w:after="20"/>
              <w:jc w:val="right"/>
            </w:pPr>
            <w:r>
              <w:rPr>
                <w:color w:val="1C3A36"/>
                <w:sz w:val="18"/>
              </w:rPr>
              <w:t>10.57%  (rf 4.70% + β 1.00 × ERP 4.87% + 1.0pt)</w:t>
            </w:r>
          </w:p>
        </w:tc>
      </w:tr>
      <w:tr>
        <w:tc>
          <w:tcPr>
            <w:tcW w:type="dxa" w:w="2520"/>
          </w:tcPr>
          <w:p>
            <w:pPr>
              <w:spacing w:after="20"/>
            </w:pPr>
            <w:r>
              <w:rPr>
                <w:b/>
                <w:color w:val="1C3A36"/>
                <w:sz w:val="18"/>
              </w:rPr>
              <w:t>FY25 net profit</w:t>
            </w:r>
          </w:p>
        </w:tc>
        <w:tc>
          <w:tcPr>
            <w:tcW w:type="dxa" w:w="2376"/>
          </w:tcPr>
          <w:p>
            <w:pPr>
              <w:spacing w:after="20"/>
              <w:jc w:val="right"/>
            </w:pPr>
            <w:r>
              <w:rPr>
                <w:color w:val="1C3A36"/>
                <w:sz w:val="18"/>
              </w:rPr>
              <w:t>AED 11,445mn (+22%)</w:t>
            </w:r>
          </w:p>
        </w:tc>
        <w:tc>
          <w:tcPr>
            <w:tcW w:type="dxa" w:w="2664"/>
          </w:tcPr>
          <w:p>
            <w:pPr>
              <w:spacing w:after="20"/>
              <w:jc w:val="right"/>
            </w:pPr>
            <w:r>
              <w:rPr>
                <w:color w:val="1C3A36"/>
                <w:sz w:val="18"/>
              </w:rPr>
              <w:t>Trailing P/E · P/B</w:t>
            </w:r>
          </w:p>
        </w:tc>
        <w:tc>
          <w:tcPr>
            <w:tcW w:type="dxa" w:w="2520"/>
          </w:tcPr>
          <w:p>
            <w:pPr>
              <w:spacing w:after="20"/>
              <w:jc w:val="right"/>
            </w:pPr>
            <w:r>
              <w:rPr>
                <w:color w:val="1C3A36"/>
                <w:sz w:val="18"/>
              </w:rPr>
              <w:t>10.4x · 1.52x</w:t>
            </w:r>
          </w:p>
        </w:tc>
      </w:tr>
      <w:tr>
        <w:tc>
          <w:tcPr>
            <w:tcW w:type="dxa" w:w="2520"/>
          </w:tcPr>
          <w:p>
            <w:pPr>
              <w:spacing w:after="20"/>
            </w:pPr>
            <w:r>
              <w:rPr>
                <w:b/>
                <w:color w:val="1C3A36"/>
                <w:sz w:val="18"/>
              </w:rPr>
              <w:t>Q1-26 RoAE / RoTE</w:t>
            </w:r>
          </w:p>
        </w:tc>
        <w:tc>
          <w:tcPr>
            <w:tcW w:type="dxa" w:w="2376"/>
          </w:tcPr>
          <w:p>
            <w:pPr>
              <w:spacing w:after="20"/>
              <w:jc w:val="right"/>
            </w:pPr>
            <w:r>
              <w:rPr>
                <w:color w:val="1C3A36"/>
                <w:sz w:val="18"/>
              </w:rPr>
              <w:t>16.3% / 18.1%</w:t>
            </w:r>
          </w:p>
        </w:tc>
        <w:tc>
          <w:tcPr>
            <w:tcW w:type="dxa" w:w="2664"/>
          </w:tcPr>
          <w:p>
            <w:pPr>
              <w:spacing w:after="20"/>
              <w:jc w:val="right"/>
            </w:pPr>
            <w:r>
              <w:rPr>
                <w:color w:val="1C3A36"/>
                <w:sz w:val="18"/>
              </w:rPr>
              <w:t>FY25 DPS · yield</w:t>
            </w:r>
          </w:p>
        </w:tc>
        <w:tc>
          <w:tcPr>
            <w:tcW w:type="dxa" w:w="2520"/>
          </w:tcPr>
          <w:p>
            <w:pPr>
              <w:spacing w:after="20"/>
              <w:jc w:val="right"/>
            </w:pPr>
            <w:r>
              <w:rPr>
                <w:color w:val="1C3A36"/>
                <w:sz w:val="18"/>
              </w:rPr>
              <w:t>AED 0.63 · 4.2%</w:t>
            </w:r>
          </w:p>
        </w:tc>
      </w:tr>
      <w:tr>
        <w:tc>
          <w:tcPr>
            <w:tcW w:type="dxa" w:w="2520"/>
          </w:tcPr>
          <w:p>
            <w:pPr>
              <w:spacing w:after="20"/>
            </w:pPr>
            <w:r>
              <w:rPr>
                <w:b/>
                <w:color w:val="1C3A36"/>
                <w:sz w:val="18"/>
              </w:rPr>
              <w:t>CET1 / CAR (Mar-26)</w:t>
            </w:r>
          </w:p>
        </w:tc>
        <w:tc>
          <w:tcPr>
            <w:tcW w:type="dxa" w:w="2376"/>
          </w:tcPr>
          <w:p>
            <w:pPr>
              <w:spacing w:after="20"/>
              <w:jc w:val="right"/>
            </w:pPr>
            <w:r>
              <w:rPr>
                <w:color w:val="1C3A36"/>
                <w:sz w:val="18"/>
              </w:rPr>
              <w:t>13.82% / 16.95%</w:t>
            </w:r>
          </w:p>
        </w:tc>
        <w:tc>
          <w:tcPr>
            <w:tcW w:type="dxa" w:w="2664"/>
          </w:tcPr>
          <w:p>
            <w:pPr>
              <w:spacing w:after="20"/>
              <w:jc w:val="right"/>
            </w:pPr>
            <w:r>
              <w:rPr>
                <w:color w:val="1C3A36"/>
                <w:sz w:val="18"/>
              </w:rPr>
              <w:t>Backtest verdict</w:t>
            </w:r>
          </w:p>
        </w:tc>
        <w:tc>
          <w:tcPr>
            <w:tcW w:type="dxa" w:w="2520"/>
          </w:tcPr>
          <w:p>
            <w:pPr>
              <w:spacing w:after="20"/>
              <w:jc w:val="right"/>
            </w:pPr>
            <w:r>
              <w:rPr>
                <w:color w:val="1C3A36"/>
                <w:sz w:val="18"/>
              </w:rPr>
              <w:t>PASS (skill +0.023, 14 windows)</w:t>
            </w:r>
          </w:p>
        </w:tc>
      </w:tr>
      <w:tr>
        <w:tc>
          <w:tcPr>
            <w:tcW w:type="dxa" w:w="2520"/>
          </w:tcPr>
          <w:p>
            <w:pPr>
              <w:spacing w:after="20"/>
            </w:pPr>
            <w:r>
              <w:rPr>
                <w:b/>
                <w:color w:val="1C3A36"/>
                <w:sz w:val="18"/>
              </w:rPr>
              <w:t>NPL / coverage</w:t>
            </w:r>
          </w:p>
        </w:tc>
        <w:tc>
          <w:tcPr>
            <w:tcW w:type="dxa" w:w="2376"/>
          </w:tcPr>
          <w:p>
            <w:pPr>
              <w:spacing w:after="20"/>
              <w:jc w:val="right"/>
            </w:pPr>
            <w:r>
              <w:rPr>
                <w:color w:val="1C3A36"/>
                <w:sz w:val="18"/>
              </w:rPr>
              <w:t>1.76% / 151.8%</w:t>
            </w:r>
          </w:p>
        </w:tc>
        <w:tc>
          <w:tcPr>
            <w:tcW w:type="dxa" w:w="2664"/>
          </w:tcPr>
          <w:p>
            <w:pPr>
              <w:spacing w:after="20"/>
              <w:jc w:val="right"/>
            </w:pPr>
            <w:r>
              <w:rPr>
                <w:color w:val="1C3A36"/>
                <w:sz w:val="18"/>
              </w:rPr>
              <w:t>MC T+60 median</w:t>
            </w:r>
          </w:p>
        </w:tc>
        <w:tc>
          <w:tcPr>
            <w:tcW w:type="dxa" w:w="2520"/>
          </w:tcPr>
          <w:p>
            <w:pPr>
              <w:spacing w:after="20"/>
              <w:jc w:val="right"/>
            </w:pPr>
            <w:r>
              <w:rPr>
                <w:color w:val="1C3A36"/>
                <w:sz w:val="18"/>
              </w:rPr>
              <w:t>AED 15.09 (-0.1%)</w:t>
            </w:r>
          </w:p>
        </w:tc>
      </w:tr>
    </w:tbl>
    <w:p>
      <w:pPr>
        <w:spacing w:after="40"/>
      </w:pPr>
    </w:p>
    <w:p>
      <w:pPr>
        <w:spacing w:after="200" w:before="0"/>
      </w:pPr>
      <w:r>
        <w:rPr>
          <w:b w:val="0"/>
          <w:i/>
          <w:color w:val="6E7B77"/>
          <w:sz w:val="17"/>
        </w:rPr>
        <w:t>Sources: ADCB FY25 and Q1-2026 results releases and MD&amp;A; Testahil model. Per-share figures on the post-rights 7,912.2mn count throughout.</w:t>
      </w:r>
    </w:p>
    <w:p>
      <w:pPr>
        <w:spacing w:after="120" w:before="280"/>
      </w:pPr>
      <w:r>
        <w:rPr>
          <w:b/>
          <w:i w:val="0"/>
          <w:color w:val="1C3A36"/>
          <w:sz w:val="30"/>
        </w:rPr>
        <w:t>Headline</w:t>
      </w:r>
    </w:p>
    <w:p>
      <w:pPr>
        <w:spacing w:after="120" w:before="0"/>
      </w:pPr>
      <w:r>
        <w:rPr>
          <w:b w:val="0"/>
          <w:i w:val="0"/>
          <w:color w:val="1C3A36"/>
          <w:sz w:val="21"/>
        </w:rPr>
        <w:t>Five independent lenses put fair value between AED 14.3 (a conservative through-cycle value) and AED 23.3 (an equity DCF that credits the strategy), with a weighted central of AED 19.7 — +31% above the 03-July close of AED 15.10, even after charging a full percentage point of war-risk premium to the cost of equity. The market is pricing ADCB at roughly 1.5× book and ~10× trailing earnings, a multiple set during a regional war and a rights-issue digestion, for a bank compounding profit at 20%+ with a 16% ROE and a 4%+ dividend yield. The gap has one honest counter-argument — that the relative lens (AED 15.9) says the whole UAE bank complex is priced this way, so ADCB is cheap only if the sector re-rates or the strategy delivers. That tension is the study’s crux (§1.8).</w:t>
      </w:r>
    </w:p>
    <w:p>
      <w:pPr>
        <w:spacing w:after="120" w:before="280"/>
      </w:pPr>
      <w:r>
        <w:rPr>
          <w:b/>
          <w:i w:val="0"/>
          <w:color w:val="1C3A36"/>
          <w:sz w:val="30"/>
        </w:rPr>
        <w:t>Valuation summary</w:t>
      </w:r>
    </w:p>
    <w:p>
      <w:pPr>
        <w:spacing w:after="120" w:before="0"/>
      </w:pPr>
      <w:r>
        <w:rPr>
          <w:b w:val="0"/>
          <w:i w:val="0"/>
          <w:color w:val="1C3A36"/>
          <w:sz w:val="21"/>
        </w:rPr>
        <w:t>The whole answer in one view. Five independent methods value ADCB; the table below shows what each is worth, the weighted central that combines them, and how that sits against today’s price and against the two longer-dated reference points.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480"/>
            <w:shd w:val="clear" w:color="auto" w:fill="EAF0EE"/>
          </w:tcPr>
          <w:p>
            <w:pPr>
              <w:spacing w:after="20"/>
            </w:pPr>
            <w:r>
              <w:rPr>
                <w:b/>
                <w:color w:val="1C3A36"/>
                <w:sz w:val="18"/>
              </w:rPr>
              <w:t>The bottom line</w:t>
            </w:r>
          </w:p>
        </w:tc>
        <w:tc>
          <w:tcPr>
            <w:tcW w:type="dxa" w:w="3024"/>
            <w:shd w:val="clear" w:color="auto" w:fill="EAF0EE"/>
          </w:tcPr>
          <w:p>
            <w:pPr>
              <w:spacing w:after="20"/>
            </w:pPr>
            <w:r>
              <w:rPr>
                <w:b/>
                <w:color w:val="1C3A36"/>
                <w:sz w:val="18"/>
              </w:rPr>
            </w:r>
          </w:p>
        </w:tc>
      </w:tr>
      <w:tr>
        <w:tc>
          <w:tcPr>
            <w:tcW w:type="dxa" w:w="6480"/>
          </w:tcPr>
          <w:p>
            <w:pPr>
              <w:spacing w:after="20"/>
            </w:pPr>
            <w:r>
              <w:rPr>
                <w:b/>
                <w:color w:val="1C3A36"/>
                <w:sz w:val="18"/>
              </w:rPr>
              <w:t>Fair-value range across the five lenses</w:t>
            </w:r>
          </w:p>
        </w:tc>
        <w:tc>
          <w:tcPr>
            <w:tcW w:type="dxa" w:w="3024"/>
          </w:tcPr>
          <w:p>
            <w:pPr>
              <w:spacing w:after="20"/>
              <w:jc w:val="right"/>
            </w:pPr>
            <w:r>
              <w:rPr>
                <w:color w:val="1C3A36"/>
                <w:sz w:val="18"/>
              </w:rPr>
              <w:t>AED 14.3 – 23.3</w:t>
            </w:r>
          </w:p>
        </w:tc>
      </w:tr>
      <w:tr>
        <w:tc>
          <w:tcPr>
            <w:tcW w:type="dxa" w:w="6480"/>
          </w:tcPr>
          <w:p>
            <w:pPr>
              <w:spacing w:after="20"/>
            </w:pPr>
            <w:r>
              <w:rPr>
                <w:b/>
                <w:color w:val="1C3A36"/>
                <w:sz w:val="18"/>
              </w:rPr>
              <w:t>Weighted central (risk-adjusted, ~12-month anchor)</w:t>
            </w:r>
          </w:p>
        </w:tc>
        <w:tc>
          <w:tcPr>
            <w:tcW w:type="dxa" w:w="3024"/>
          </w:tcPr>
          <w:p>
            <w:pPr>
              <w:spacing w:after="20"/>
              <w:jc w:val="right"/>
            </w:pPr>
            <w:r>
              <w:rPr>
                <w:color w:val="1C3A36"/>
                <w:sz w:val="18"/>
              </w:rPr>
              <w:t>AED 19.7</w:t>
            </w:r>
          </w:p>
        </w:tc>
      </w:tr>
      <w:tr>
        <w:tc>
          <w:tcPr>
            <w:tcW w:type="dxa" w:w="6480"/>
            <w:shd w:val="clear" w:color="auto" w:fill="F6F1E6"/>
          </w:tcPr>
          <w:p>
            <w:pPr>
              <w:spacing w:after="20"/>
            </w:pPr>
            <w:r>
              <w:rPr>
                <w:b/>
                <w:color w:val="1C3A36"/>
                <w:sz w:val="18"/>
              </w:rPr>
              <w:t>Current price (03-Jul-2026 close)</w:t>
            </w:r>
          </w:p>
        </w:tc>
        <w:tc>
          <w:tcPr>
            <w:tcW w:type="dxa" w:w="3024"/>
            <w:shd w:val="clear" w:color="auto" w:fill="F6F1E6"/>
          </w:tcPr>
          <w:p>
            <w:pPr>
              <w:spacing w:after="20"/>
              <w:jc w:val="right"/>
            </w:pPr>
            <w:r>
              <w:rPr>
                <w:b/>
                <w:color w:val="1C3A36"/>
                <w:sz w:val="18"/>
              </w:rPr>
              <w:t>AED 15.10</w:t>
            </w:r>
          </w:p>
        </w:tc>
      </w:tr>
      <w:tr>
        <w:tc>
          <w:tcPr>
            <w:tcW w:type="dxa" w:w="6480"/>
          </w:tcPr>
          <w:p>
            <w:pPr>
              <w:spacing w:after="20"/>
            </w:pPr>
            <w:r>
              <w:rPr>
                <w:b/>
                <w:color w:val="1C3A36"/>
                <w:sz w:val="18"/>
              </w:rPr>
              <w:t>Implied gap to central</w:t>
            </w:r>
          </w:p>
        </w:tc>
        <w:tc>
          <w:tcPr>
            <w:tcW w:type="dxa" w:w="3024"/>
          </w:tcPr>
          <w:p>
            <w:pPr>
              <w:spacing w:after="20"/>
              <w:jc w:val="right"/>
            </w:pPr>
            <w:r>
              <w:rPr>
                <w:color w:val="1C3A36"/>
                <w:sz w:val="18"/>
              </w:rPr>
              <w:t>+31%</w:t>
            </w:r>
          </w:p>
        </w:tc>
      </w:tr>
      <w:tr>
        <w:tc>
          <w:tcPr>
            <w:tcW w:type="dxa" w:w="6480"/>
          </w:tcPr>
          <w:p>
            <w:pPr>
              <w:spacing w:after="20"/>
            </w:pPr>
            <w:r>
              <w:rPr>
                <w:b/>
                <w:color w:val="1C3A36"/>
                <w:sz w:val="18"/>
              </w:rPr>
              <w:t>Upper reference — strategy delivered, peace-time cost of equity</w:t>
            </w:r>
          </w:p>
        </w:tc>
        <w:tc>
          <w:tcPr>
            <w:tcW w:type="dxa" w:w="3024"/>
          </w:tcPr>
          <w:p>
            <w:pPr>
              <w:spacing w:after="20"/>
              <w:jc w:val="right"/>
            </w:pPr>
            <w:r>
              <w:rPr>
                <w:color w:val="1C3A36"/>
                <w:sz w:val="18"/>
              </w:rPr>
              <w:t>AED 23.0</w:t>
            </w:r>
          </w:p>
        </w:tc>
      </w:tr>
      <w:tr>
        <w:tc>
          <w:tcPr>
            <w:tcW w:type="dxa" w:w="6480"/>
          </w:tcPr>
          <w:p>
            <w:pPr>
              <w:spacing w:after="20"/>
            </w:pPr>
            <w:r>
              <w:rPr>
                <w:b/>
                <w:color w:val="1C3A36"/>
                <w:sz w:val="18"/>
              </w:rPr>
              <w:t>Lower reference — conservative through-cycle value</w:t>
            </w:r>
          </w:p>
        </w:tc>
        <w:tc>
          <w:tcPr>
            <w:tcW w:type="dxa" w:w="3024"/>
          </w:tcPr>
          <w:p>
            <w:pPr>
              <w:spacing w:after="20"/>
              <w:jc w:val="right"/>
            </w:pPr>
            <w:r>
              <w:rPr>
                <w:color w:val="1C3A36"/>
                <w:sz w:val="18"/>
              </w:rPr>
              <w:t>AED 14.3</w:t>
            </w:r>
          </w:p>
        </w:tc>
      </w:tr>
      <w:tr>
        <w:tc>
          <w:tcPr>
            <w:tcW w:type="dxa" w:w="6480"/>
          </w:tcPr>
          <w:p>
            <w:pPr>
              <w:spacing w:after="20"/>
            </w:pPr>
            <w:r>
              <w:rPr>
                <w:b/>
                <w:color w:val="1C3A36"/>
                <w:sz w:val="18"/>
              </w:rPr>
              <w:t>Three-month view — probability price is above today’s</w:t>
            </w:r>
          </w:p>
        </w:tc>
        <w:tc>
          <w:tcPr>
            <w:tcW w:type="dxa" w:w="3024"/>
          </w:tcPr>
          <w:p>
            <w:pPr>
              <w:spacing w:after="20"/>
              <w:jc w:val="right"/>
            </w:pPr>
            <w:r>
              <w:rPr>
                <w:color w:val="1C3A36"/>
                <w:sz w:val="18"/>
              </w:rPr>
              <w:t>50%</w:t>
            </w:r>
          </w:p>
        </w:tc>
      </w:tr>
      <w:tr>
        <w:tc>
          <w:tcPr>
            <w:tcW w:type="dxa" w:w="6480"/>
          </w:tcPr>
          <w:p>
            <w:pPr>
              <w:spacing w:after="20"/>
            </w:pPr>
            <w:r>
              <w:rPr>
                <w:b/>
                <w:color w:val="1C3A36"/>
                <w:sz w:val="18"/>
              </w:rPr>
              <w:t>Three-month view — median outcome</w:t>
            </w:r>
          </w:p>
        </w:tc>
        <w:tc>
          <w:tcPr>
            <w:tcW w:type="dxa" w:w="3024"/>
          </w:tcPr>
          <w:p>
            <w:pPr>
              <w:spacing w:after="20"/>
              <w:jc w:val="right"/>
            </w:pPr>
            <w:r>
              <w:rPr>
                <w:color w:val="1C3A36"/>
                <w:sz w:val="18"/>
              </w:rPr>
              <w:t>AED 15.09  (-0.1%)</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952"/>
            <w:shd w:val="clear" w:color="auto" w:fill="EAF0EE"/>
          </w:tcPr>
          <w:p>
            <w:pPr>
              <w:spacing w:after="20"/>
            </w:pPr>
            <w:r>
              <w:rPr>
                <w:b/>
                <w:color w:val="1C3A36"/>
                <w:sz w:val="17"/>
              </w:rPr>
              <w:t>Lens</w:t>
            </w:r>
          </w:p>
        </w:tc>
        <w:tc>
          <w:tcPr>
            <w:tcW w:type="dxa" w:w="1656"/>
            <w:shd w:val="clear" w:color="auto" w:fill="EAF0EE"/>
          </w:tcPr>
          <w:p>
            <w:pPr>
              <w:spacing w:after="20"/>
            </w:pPr>
            <w:r>
              <w:rPr>
                <w:b/>
                <w:color w:val="1C3A36"/>
                <w:sz w:val="17"/>
              </w:rPr>
              <w:t>Value (AED)</w:t>
            </w:r>
          </w:p>
        </w:tc>
        <w:tc>
          <w:tcPr>
            <w:tcW w:type="dxa" w:w="4896"/>
            <w:shd w:val="clear" w:color="auto" w:fill="EAF0EE"/>
          </w:tcPr>
          <w:p>
            <w:pPr>
              <w:spacing w:after="20"/>
            </w:pPr>
            <w:r>
              <w:rPr>
                <w:b/>
                <w:color w:val="1C3A36"/>
                <w:sz w:val="17"/>
              </w:rPr>
              <w:t>What it prices</w:t>
            </w:r>
          </w:p>
        </w:tc>
      </w:tr>
      <w:tr>
        <w:tc>
          <w:tcPr>
            <w:tcW w:type="dxa" w:w="2952"/>
          </w:tcPr>
          <w:p>
            <w:pPr>
              <w:spacing w:after="20"/>
            </w:pPr>
            <w:r>
              <w:rPr>
                <w:b/>
                <w:color w:val="1C3A36"/>
                <w:sz w:val="17"/>
              </w:rPr>
              <w:t>Equity DCF (FCFE)</w:t>
            </w:r>
          </w:p>
        </w:tc>
        <w:tc>
          <w:tcPr>
            <w:tcW w:type="dxa" w:w="1656"/>
          </w:tcPr>
          <w:p>
            <w:pPr>
              <w:spacing w:after="20"/>
              <w:jc w:val="right"/>
            </w:pPr>
            <w:r>
              <w:rPr>
                <w:color w:val="1C3A36"/>
                <w:sz w:val="17"/>
              </w:rPr>
              <w:t>23.3</w:t>
            </w:r>
          </w:p>
        </w:tc>
        <w:tc>
          <w:tcPr>
            <w:tcW w:type="dxa" w:w="4896"/>
          </w:tcPr>
          <w:p>
            <w:pPr>
              <w:spacing w:after="20"/>
              <w:jc w:val="right"/>
            </w:pPr>
            <w:r>
              <w:rPr>
                <w:color w:val="1C3A36"/>
                <w:sz w:val="17"/>
              </w:rPr>
              <w:t>Cash the bank could distribute after funding its own growth</w:t>
            </w:r>
          </w:p>
        </w:tc>
      </w:tr>
      <w:tr>
        <w:tc>
          <w:tcPr>
            <w:tcW w:type="dxa" w:w="2952"/>
          </w:tcPr>
          <w:p>
            <w:pPr>
              <w:spacing w:after="20"/>
            </w:pPr>
            <w:r>
              <w:rPr>
                <w:b/>
                <w:color w:val="1C3A36"/>
                <w:sz w:val="17"/>
              </w:rPr>
              <w:t>Residual income</w:t>
            </w:r>
          </w:p>
        </w:tc>
        <w:tc>
          <w:tcPr>
            <w:tcW w:type="dxa" w:w="1656"/>
          </w:tcPr>
          <w:p>
            <w:pPr>
              <w:spacing w:after="20"/>
              <w:jc w:val="right"/>
            </w:pPr>
            <w:r>
              <w:rPr>
                <w:color w:val="1C3A36"/>
                <w:sz w:val="17"/>
              </w:rPr>
              <w:t>22.7</w:t>
            </w:r>
          </w:p>
        </w:tc>
        <w:tc>
          <w:tcPr>
            <w:tcW w:type="dxa" w:w="4896"/>
          </w:tcPr>
          <w:p>
            <w:pPr>
              <w:spacing w:after="20"/>
              <w:jc w:val="right"/>
            </w:pPr>
            <w:r>
              <w:rPr>
                <w:color w:val="1C3A36"/>
                <w:sz w:val="17"/>
              </w:rPr>
              <w:t>Today’s book value plus the value of returns above the cost of equity</w:t>
            </w:r>
          </w:p>
        </w:tc>
      </w:tr>
      <w:tr>
        <w:tc>
          <w:tcPr>
            <w:tcW w:type="dxa" w:w="2952"/>
          </w:tcPr>
          <w:p>
            <w:pPr>
              <w:spacing w:after="20"/>
            </w:pPr>
            <w:r>
              <w:rPr>
                <w:b/>
                <w:color w:val="1C3A36"/>
                <w:sz w:val="17"/>
              </w:rPr>
              <w:t>Dividend discount model</w:t>
            </w:r>
          </w:p>
        </w:tc>
        <w:tc>
          <w:tcPr>
            <w:tcW w:type="dxa" w:w="1656"/>
          </w:tcPr>
          <w:p>
            <w:pPr>
              <w:spacing w:after="20"/>
              <w:jc w:val="right"/>
            </w:pPr>
            <w:r>
              <w:rPr>
                <w:color w:val="1C3A36"/>
                <w:sz w:val="17"/>
              </w:rPr>
              <w:t>21.2</w:t>
            </w:r>
          </w:p>
        </w:tc>
        <w:tc>
          <w:tcPr>
            <w:tcW w:type="dxa" w:w="4896"/>
          </w:tcPr>
          <w:p>
            <w:pPr>
              <w:spacing w:after="20"/>
              <w:jc w:val="right"/>
            </w:pPr>
            <w:r>
              <w:rPr>
                <w:color w:val="1C3A36"/>
                <w:sz w:val="17"/>
              </w:rPr>
              <w:t>The board’s explicit, progressive dividend policy</w:t>
            </w:r>
          </w:p>
        </w:tc>
      </w:tr>
      <w:tr>
        <w:tc>
          <w:tcPr>
            <w:tcW w:type="dxa" w:w="2952"/>
          </w:tcPr>
          <w:p>
            <w:pPr>
              <w:spacing w:after="20"/>
            </w:pPr>
            <w:r>
              <w:rPr>
                <w:b/>
                <w:color w:val="1C3A36"/>
                <w:sz w:val="17"/>
              </w:rPr>
              <w:t>Relative multiples</w:t>
            </w:r>
          </w:p>
        </w:tc>
        <w:tc>
          <w:tcPr>
            <w:tcW w:type="dxa" w:w="1656"/>
          </w:tcPr>
          <w:p>
            <w:pPr>
              <w:spacing w:after="20"/>
              <w:jc w:val="right"/>
            </w:pPr>
            <w:r>
              <w:rPr>
                <w:color w:val="1C3A36"/>
                <w:sz w:val="17"/>
              </w:rPr>
              <w:t>15.9</w:t>
            </w:r>
          </w:p>
        </w:tc>
        <w:tc>
          <w:tcPr>
            <w:tcW w:type="dxa" w:w="4896"/>
          </w:tcPr>
          <w:p>
            <w:pPr>
              <w:spacing w:after="20"/>
              <w:jc w:val="right"/>
            </w:pPr>
            <w:r>
              <w:rPr>
                <w:color w:val="1C3A36"/>
                <w:sz w:val="17"/>
              </w:rPr>
              <w:t>What comparable UAE banks trade at right now</w:t>
            </w:r>
          </w:p>
        </w:tc>
      </w:tr>
      <w:tr>
        <w:tc>
          <w:tcPr>
            <w:tcW w:type="dxa" w:w="2952"/>
          </w:tcPr>
          <w:p>
            <w:pPr>
              <w:spacing w:after="20"/>
            </w:pPr>
            <w:r>
              <w:rPr>
                <w:b/>
                <w:color w:val="1C3A36"/>
                <w:sz w:val="17"/>
              </w:rPr>
              <w:t>Normalized value (through-cycle)</w:t>
            </w:r>
          </w:p>
        </w:tc>
        <w:tc>
          <w:tcPr>
            <w:tcW w:type="dxa" w:w="1656"/>
          </w:tcPr>
          <w:p>
            <w:pPr>
              <w:spacing w:after="20"/>
              <w:jc w:val="right"/>
            </w:pPr>
            <w:r>
              <w:rPr>
                <w:color w:val="1C3A36"/>
                <w:sz w:val="17"/>
              </w:rPr>
              <w:t>14.3</w:t>
            </w:r>
          </w:p>
        </w:tc>
        <w:tc>
          <w:tcPr>
            <w:tcW w:type="dxa" w:w="4896"/>
          </w:tcPr>
          <w:p>
            <w:pPr>
              <w:spacing w:after="20"/>
              <w:jc w:val="right"/>
            </w:pPr>
            <w:r>
              <w:rPr>
                <w:color w:val="1C3A36"/>
                <w:sz w:val="17"/>
              </w:rPr>
              <w:t>Mid-cycle earnings valued at the multiple their return on equity warrants</w:t>
            </w:r>
          </w:p>
        </w:tc>
      </w:tr>
    </w:tbl>
    <w:p>
      <w:pPr>
        <w:spacing w:after="40"/>
      </w:pPr>
    </w:p>
    <w:p>
      <w:pPr>
        <w:spacing w:after="120" w:before="0"/>
      </w:pPr>
      <w:r>
        <w:rPr>
          <w:b w:val="0"/>
          <w:i w:val="0"/>
          <w:color w:val="1C3A36"/>
          <w:sz w:val="21"/>
        </w:rPr>
        <w:t>The two cash-flow methods and residual income cluster at AED 21–23; the market-anchored lens says AED 15.9, essentially today’s price. The weighted central of AED 19.7 sits between them and leans toward delivery — it is a probability-weighted judgement that the strategy-and-de-escalation outcome is more likely than the priced-in one, not a claim that the answer lies neatly in the middle. The three-month figures are a separate matter entirely and come only from the distribution in §3; they describe near-term noise around the current price, not this fair-value anchor. The remainder of this section builds each lens in full.</w:t>
      </w:r>
    </w:p>
    <w:p>
      <w:pPr>
        <w:spacing w:after="120" w:before="280"/>
      </w:pPr>
      <w:r>
        <w:rPr>
          <w:b/>
          <w:i w:val="0"/>
          <w:color w:val="1C3A36"/>
          <w:sz w:val="30"/>
        </w:rPr>
        <w:t>§1  Fundamental valuation</w:t>
      </w:r>
    </w:p>
    <w:p>
      <w:pPr>
        <w:spacing w:after="80" w:before="200"/>
      </w:pPr>
      <w:r>
        <w:rPr>
          <w:b/>
          <w:i w:val="0"/>
          <w:color w:val="1C3A36"/>
          <w:sz w:val="24"/>
        </w:rPr>
        <w:t>1.1  Dividend discount model — the primary lens</w:t>
      </w:r>
    </w:p>
    <w:p>
      <w:pPr>
        <w:spacing w:after="120" w:before="0"/>
      </w:pPr>
      <w:r>
        <w:rPr>
          <w:b w:val="0"/>
          <w:i w:val="0"/>
          <w:color w:val="1C3A36"/>
          <w:sz w:val="21"/>
        </w:rPr>
        <w:t>For a bank, deposits are an operating input, not a financing choice, so enterprise-value arithmetic is meaningless: everything discounts at the cost of equity. The DDM is primary because ADCB’s board has made distribution policy explicit — a progressive dividend, c.AED 25bn cumulative over the five-year plan — and because dividends are the one cash flow a minority shareholder actually receives. The schedule below runs the driver build of §1.7: payout glides from 38% to 33% as growth consumes capital, yet DPS still rises every year because earnings rise faster.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024"/>
            <w:shd w:val="clear" w:color="auto" w:fill="EAF0EE"/>
          </w:tcPr>
          <w:p>
            <w:pPr>
              <w:spacing w:after="20"/>
            </w:pPr>
            <w:r>
              <w:rPr>
                <w:b/>
                <w:color w:val="1C3A36"/>
                <w:sz w:val="18"/>
              </w:rPr>
              <w:t>AED / share</w:t>
            </w:r>
          </w:p>
        </w:tc>
        <w:tc>
          <w:tcPr>
            <w:tcW w:type="dxa" w:w="1411"/>
            <w:shd w:val="clear" w:color="auto" w:fill="EAF0EE"/>
          </w:tcPr>
          <w:p>
            <w:pPr>
              <w:spacing w:after="20"/>
            </w:pPr>
            <w:r>
              <w:rPr>
                <w:b/>
                <w:color w:val="1C3A36"/>
                <w:sz w:val="18"/>
              </w:rPr>
              <w:t>FY26E</w:t>
            </w:r>
          </w:p>
        </w:tc>
        <w:tc>
          <w:tcPr>
            <w:tcW w:type="dxa" w:w="1411"/>
            <w:shd w:val="clear" w:color="auto" w:fill="EAF0EE"/>
          </w:tcPr>
          <w:p>
            <w:pPr>
              <w:spacing w:after="20"/>
            </w:pPr>
            <w:r>
              <w:rPr>
                <w:b/>
                <w:color w:val="1C3A36"/>
                <w:sz w:val="18"/>
              </w:rPr>
              <w:t>FY27E</w:t>
            </w:r>
          </w:p>
        </w:tc>
        <w:tc>
          <w:tcPr>
            <w:tcW w:type="dxa" w:w="1411"/>
            <w:shd w:val="clear" w:color="auto" w:fill="EAF0EE"/>
          </w:tcPr>
          <w:p>
            <w:pPr>
              <w:spacing w:after="20"/>
            </w:pPr>
            <w:r>
              <w:rPr>
                <w:b/>
                <w:color w:val="1C3A36"/>
                <w:sz w:val="18"/>
              </w:rPr>
              <w:t>FY28E</w:t>
            </w:r>
          </w:p>
        </w:tc>
        <w:tc>
          <w:tcPr>
            <w:tcW w:type="dxa" w:w="1411"/>
            <w:shd w:val="clear" w:color="auto" w:fill="EAF0EE"/>
          </w:tcPr>
          <w:p>
            <w:pPr>
              <w:spacing w:after="20"/>
            </w:pPr>
            <w:r>
              <w:rPr>
                <w:b/>
                <w:color w:val="1C3A36"/>
                <w:sz w:val="18"/>
              </w:rPr>
              <w:t>FY29E</w:t>
            </w:r>
          </w:p>
        </w:tc>
        <w:tc>
          <w:tcPr>
            <w:tcW w:type="dxa" w:w="1411"/>
            <w:shd w:val="clear" w:color="auto" w:fill="EAF0EE"/>
          </w:tcPr>
          <w:p>
            <w:pPr>
              <w:spacing w:after="20"/>
            </w:pPr>
            <w:r>
              <w:rPr>
                <w:b/>
                <w:color w:val="1C3A36"/>
                <w:sz w:val="18"/>
              </w:rPr>
              <w:t>FY30E</w:t>
            </w:r>
          </w:p>
        </w:tc>
      </w:tr>
      <w:tr>
        <w:tc>
          <w:tcPr>
            <w:tcW w:type="dxa" w:w="3024"/>
          </w:tcPr>
          <w:p>
            <w:pPr>
              <w:spacing w:after="20"/>
            </w:pPr>
            <w:r>
              <w:rPr>
                <w:b/>
                <w:color w:val="1C3A36"/>
                <w:sz w:val="18"/>
              </w:rPr>
              <w:t>EPS</w:t>
            </w:r>
          </w:p>
        </w:tc>
        <w:tc>
          <w:tcPr>
            <w:tcW w:type="dxa" w:w="1411"/>
          </w:tcPr>
          <w:p>
            <w:pPr>
              <w:spacing w:after="20"/>
              <w:jc w:val="right"/>
            </w:pPr>
            <w:r>
              <w:rPr>
                <w:color w:val="1C3A36"/>
                <w:sz w:val="18"/>
              </w:rPr>
              <w:t>1.74</w:t>
            </w:r>
          </w:p>
        </w:tc>
        <w:tc>
          <w:tcPr>
            <w:tcW w:type="dxa" w:w="1411"/>
          </w:tcPr>
          <w:p>
            <w:pPr>
              <w:spacing w:after="20"/>
              <w:jc w:val="right"/>
            </w:pPr>
            <w:r>
              <w:rPr>
                <w:color w:val="1C3A36"/>
                <w:sz w:val="18"/>
              </w:rPr>
              <w:t>1.89</w:t>
            </w:r>
          </w:p>
        </w:tc>
        <w:tc>
          <w:tcPr>
            <w:tcW w:type="dxa" w:w="1411"/>
          </w:tcPr>
          <w:p>
            <w:pPr>
              <w:spacing w:after="20"/>
              <w:jc w:val="right"/>
            </w:pPr>
            <w:r>
              <w:rPr>
                <w:color w:val="1C3A36"/>
                <w:sz w:val="18"/>
              </w:rPr>
              <w:t>2.12</w:t>
            </w:r>
          </w:p>
        </w:tc>
        <w:tc>
          <w:tcPr>
            <w:tcW w:type="dxa" w:w="1411"/>
          </w:tcPr>
          <w:p>
            <w:pPr>
              <w:spacing w:after="20"/>
              <w:jc w:val="right"/>
            </w:pPr>
            <w:r>
              <w:rPr>
                <w:color w:val="1C3A36"/>
                <w:sz w:val="18"/>
              </w:rPr>
              <w:t>2.37</w:t>
            </w:r>
          </w:p>
        </w:tc>
        <w:tc>
          <w:tcPr>
            <w:tcW w:type="dxa" w:w="1411"/>
          </w:tcPr>
          <w:p>
            <w:pPr>
              <w:spacing w:after="20"/>
              <w:jc w:val="right"/>
            </w:pPr>
            <w:r>
              <w:rPr>
                <w:color w:val="1C3A36"/>
                <w:sz w:val="18"/>
              </w:rPr>
              <w:t>2.61</w:t>
            </w:r>
          </w:p>
        </w:tc>
      </w:tr>
      <w:tr>
        <w:tc>
          <w:tcPr>
            <w:tcW w:type="dxa" w:w="3024"/>
          </w:tcPr>
          <w:p>
            <w:pPr>
              <w:spacing w:after="20"/>
            </w:pPr>
            <w:r>
              <w:rPr>
                <w:b/>
                <w:color w:val="1C3A36"/>
                <w:sz w:val="18"/>
              </w:rPr>
              <w:t>Payout</w:t>
            </w:r>
          </w:p>
        </w:tc>
        <w:tc>
          <w:tcPr>
            <w:tcW w:type="dxa" w:w="1411"/>
          </w:tcPr>
          <w:p>
            <w:pPr>
              <w:spacing w:after="20"/>
              <w:jc w:val="right"/>
            </w:pPr>
            <w:r>
              <w:rPr>
                <w:color w:val="1C3A36"/>
                <w:sz w:val="18"/>
              </w:rPr>
              <w:t>38%</w:t>
            </w:r>
          </w:p>
        </w:tc>
        <w:tc>
          <w:tcPr>
            <w:tcW w:type="dxa" w:w="1411"/>
          </w:tcPr>
          <w:p>
            <w:pPr>
              <w:spacing w:after="20"/>
              <w:jc w:val="right"/>
            </w:pPr>
            <w:r>
              <w:rPr>
                <w:color w:val="1C3A36"/>
                <w:sz w:val="18"/>
              </w:rPr>
              <w:t>37%</w:t>
            </w:r>
          </w:p>
        </w:tc>
        <w:tc>
          <w:tcPr>
            <w:tcW w:type="dxa" w:w="1411"/>
          </w:tcPr>
          <w:p>
            <w:pPr>
              <w:spacing w:after="20"/>
              <w:jc w:val="right"/>
            </w:pPr>
            <w:r>
              <w:rPr>
                <w:color w:val="1C3A36"/>
                <w:sz w:val="18"/>
              </w:rPr>
              <w:t>36%</w:t>
            </w:r>
          </w:p>
        </w:tc>
        <w:tc>
          <w:tcPr>
            <w:tcW w:type="dxa" w:w="1411"/>
          </w:tcPr>
          <w:p>
            <w:pPr>
              <w:spacing w:after="20"/>
              <w:jc w:val="right"/>
            </w:pPr>
            <w:r>
              <w:rPr>
                <w:color w:val="1C3A36"/>
                <w:sz w:val="18"/>
              </w:rPr>
              <w:t>34%</w:t>
            </w:r>
          </w:p>
        </w:tc>
        <w:tc>
          <w:tcPr>
            <w:tcW w:type="dxa" w:w="1411"/>
          </w:tcPr>
          <w:p>
            <w:pPr>
              <w:spacing w:after="20"/>
              <w:jc w:val="right"/>
            </w:pPr>
            <w:r>
              <w:rPr>
                <w:color w:val="1C3A36"/>
                <w:sz w:val="18"/>
              </w:rPr>
              <w:t>33%</w:t>
            </w:r>
          </w:p>
        </w:tc>
      </w:tr>
      <w:tr>
        <w:tc>
          <w:tcPr>
            <w:tcW w:type="dxa" w:w="3024"/>
          </w:tcPr>
          <w:p>
            <w:pPr>
              <w:spacing w:after="20"/>
            </w:pPr>
            <w:r>
              <w:rPr>
                <w:b/>
                <w:color w:val="1C3A36"/>
                <w:sz w:val="18"/>
              </w:rPr>
              <w:t>DPS</w:t>
            </w:r>
          </w:p>
        </w:tc>
        <w:tc>
          <w:tcPr>
            <w:tcW w:type="dxa" w:w="1411"/>
          </w:tcPr>
          <w:p>
            <w:pPr>
              <w:spacing w:after="20"/>
              <w:jc w:val="right"/>
            </w:pPr>
            <w:r>
              <w:rPr>
                <w:color w:val="1C3A36"/>
                <w:sz w:val="18"/>
              </w:rPr>
              <w:t>0.66</w:t>
            </w:r>
          </w:p>
        </w:tc>
        <w:tc>
          <w:tcPr>
            <w:tcW w:type="dxa" w:w="1411"/>
          </w:tcPr>
          <w:p>
            <w:pPr>
              <w:spacing w:after="20"/>
              <w:jc w:val="right"/>
            </w:pPr>
            <w:r>
              <w:rPr>
                <w:color w:val="1C3A36"/>
                <w:sz w:val="18"/>
              </w:rPr>
              <w:t>0.70</w:t>
            </w:r>
          </w:p>
        </w:tc>
        <w:tc>
          <w:tcPr>
            <w:tcW w:type="dxa" w:w="1411"/>
          </w:tcPr>
          <w:p>
            <w:pPr>
              <w:spacing w:after="20"/>
              <w:jc w:val="right"/>
            </w:pPr>
            <w:r>
              <w:rPr>
                <w:color w:val="1C3A36"/>
                <w:sz w:val="18"/>
              </w:rPr>
              <w:t>0.76</w:t>
            </w:r>
          </w:p>
        </w:tc>
        <w:tc>
          <w:tcPr>
            <w:tcW w:type="dxa" w:w="1411"/>
          </w:tcPr>
          <w:p>
            <w:pPr>
              <w:spacing w:after="20"/>
              <w:jc w:val="right"/>
            </w:pPr>
            <w:r>
              <w:rPr>
                <w:color w:val="1C3A36"/>
                <w:sz w:val="18"/>
              </w:rPr>
              <w:t>0.80</w:t>
            </w:r>
          </w:p>
        </w:tc>
        <w:tc>
          <w:tcPr>
            <w:tcW w:type="dxa" w:w="1411"/>
          </w:tcPr>
          <w:p>
            <w:pPr>
              <w:spacing w:after="20"/>
              <w:jc w:val="right"/>
            </w:pPr>
            <w:r>
              <w:rPr>
                <w:color w:val="1C3A36"/>
                <w:sz w:val="18"/>
              </w:rPr>
              <w:t>0.86</w:t>
            </w:r>
          </w:p>
        </w:tc>
      </w:tr>
      <w:tr>
        <w:tc>
          <w:tcPr>
            <w:tcW w:type="dxa" w:w="3024"/>
          </w:tcPr>
          <w:p>
            <w:pPr>
              <w:spacing w:after="20"/>
            </w:pPr>
            <w:r>
              <w:rPr>
                <w:b/>
                <w:color w:val="1C3A36"/>
                <w:sz w:val="18"/>
              </w:rPr>
              <w:t>Discount factor @ Ke 10.57%</w:t>
            </w:r>
          </w:p>
        </w:tc>
        <w:tc>
          <w:tcPr>
            <w:tcW w:type="dxa" w:w="1411"/>
          </w:tcPr>
          <w:p>
            <w:pPr>
              <w:spacing w:after="20"/>
              <w:jc w:val="right"/>
            </w:pPr>
            <w:r>
              <w:rPr>
                <w:color w:val="1C3A36"/>
                <w:sz w:val="18"/>
              </w:rPr>
              <w:t>0.904</w:t>
            </w:r>
          </w:p>
        </w:tc>
        <w:tc>
          <w:tcPr>
            <w:tcW w:type="dxa" w:w="1411"/>
          </w:tcPr>
          <w:p>
            <w:pPr>
              <w:spacing w:after="20"/>
              <w:jc w:val="right"/>
            </w:pPr>
            <w:r>
              <w:rPr>
                <w:color w:val="1C3A36"/>
                <w:sz w:val="18"/>
              </w:rPr>
              <w:t>0.818</w:t>
            </w:r>
          </w:p>
        </w:tc>
        <w:tc>
          <w:tcPr>
            <w:tcW w:type="dxa" w:w="1411"/>
          </w:tcPr>
          <w:p>
            <w:pPr>
              <w:spacing w:after="20"/>
              <w:jc w:val="right"/>
            </w:pPr>
            <w:r>
              <w:rPr>
                <w:color w:val="1C3A36"/>
                <w:sz w:val="18"/>
              </w:rPr>
              <w:t>0.740</w:t>
            </w:r>
          </w:p>
        </w:tc>
        <w:tc>
          <w:tcPr>
            <w:tcW w:type="dxa" w:w="1411"/>
          </w:tcPr>
          <w:p>
            <w:pPr>
              <w:spacing w:after="20"/>
              <w:jc w:val="right"/>
            </w:pPr>
            <w:r>
              <w:rPr>
                <w:color w:val="1C3A36"/>
                <w:sz w:val="18"/>
              </w:rPr>
              <w:t>0.669</w:t>
            </w:r>
          </w:p>
        </w:tc>
        <w:tc>
          <w:tcPr>
            <w:tcW w:type="dxa" w:w="1411"/>
          </w:tcPr>
          <w:p>
            <w:pPr>
              <w:spacing w:after="20"/>
              <w:jc w:val="right"/>
            </w:pPr>
            <w:r>
              <w:rPr>
                <w:color w:val="1C3A36"/>
                <w:sz w:val="18"/>
              </w:rPr>
              <w:t>0.605</w:t>
            </w:r>
          </w:p>
        </w:tc>
      </w:tr>
      <w:tr>
        <w:tc>
          <w:tcPr>
            <w:tcW w:type="dxa" w:w="3024"/>
          </w:tcPr>
          <w:p>
            <w:pPr>
              <w:spacing w:after="20"/>
            </w:pPr>
            <w:r>
              <w:rPr>
                <w:b/>
                <w:color w:val="1C3A36"/>
                <w:sz w:val="18"/>
              </w:rPr>
              <w:t>PV of dividend</w:t>
            </w:r>
          </w:p>
        </w:tc>
        <w:tc>
          <w:tcPr>
            <w:tcW w:type="dxa" w:w="1411"/>
          </w:tcPr>
          <w:p>
            <w:pPr>
              <w:spacing w:after="20"/>
              <w:jc w:val="right"/>
            </w:pPr>
            <w:r>
              <w:rPr>
                <w:color w:val="1C3A36"/>
                <w:sz w:val="18"/>
              </w:rPr>
              <w:t>0.60</w:t>
            </w:r>
          </w:p>
        </w:tc>
        <w:tc>
          <w:tcPr>
            <w:tcW w:type="dxa" w:w="1411"/>
          </w:tcPr>
          <w:p>
            <w:pPr>
              <w:spacing w:after="20"/>
              <w:jc w:val="right"/>
            </w:pPr>
            <w:r>
              <w:rPr>
                <w:color w:val="1C3A36"/>
                <w:sz w:val="18"/>
              </w:rPr>
              <w:t>0.57</w:t>
            </w:r>
          </w:p>
        </w:tc>
        <w:tc>
          <w:tcPr>
            <w:tcW w:type="dxa" w:w="1411"/>
          </w:tcPr>
          <w:p>
            <w:pPr>
              <w:spacing w:after="20"/>
              <w:jc w:val="right"/>
            </w:pPr>
            <w:r>
              <w:rPr>
                <w:color w:val="1C3A36"/>
                <w:sz w:val="18"/>
              </w:rPr>
              <w:t>0.56</w:t>
            </w:r>
          </w:p>
        </w:tc>
        <w:tc>
          <w:tcPr>
            <w:tcW w:type="dxa" w:w="1411"/>
          </w:tcPr>
          <w:p>
            <w:pPr>
              <w:spacing w:after="20"/>
              <w:jc w:val="right"/>
            </w:pPr>
            <w:r>
              <w:rPr>
                <w:color w:val="1C3A36"/>
                <w:sz w:val="18"/>
              </w:rPr>
              <w:t>0.54</w:t>
            </w:r>
          </w:p>
        </w:tc>
        <w:tc>
          <w:tcPr>
            <w:tcW w:type="dxa" w:w="1411"/>
          </w:tcPr>
          <w:p>
            <w:pPr>
              <w:spacing w:after="20"/>
              <w:jc w:val="right"/>
            </w:pPr>
            <w:r>
              <w:rPr>
                <w:color w:val="1C3A36"/>
                <w:sz w:val="18"/>
              </w:rPr>
              <w:t>0.52</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048"/>
            <w:shd w:val="clear" w:color="auto" w:fill="EAF0EE"/>
          </w:tcPr>
          <w:p>
            <w:pPr>
              <w:spacing w:after="20"/>
            </w:pPr>
            <w:r>
              <w:rPr>
                <w:b/>
                <w:color w:val="1C3A36"/>
                <w:sz w:val="18"/>
              </w:rPr>
              <w:t>Terminal block</w:t>
            </w:r>
          </w:p>
        </w:tc>
        <w:tc>
          <w:tcPr>
            <w:tcW w:type="dxa" w:w="2304"/>
            <w:shd w:val="clear" w:color="auto" w:fill="EAF0EE"/>
          </w:tcPr>
          <w:p>
            <w:pPr>
              <w:spacing w:after="20"/>
            </w:pPr>
            <w:r>
              <w:rPr>
                <w:b/>
                <w:color w:val="1C3A36"/>
                <w:sz w:val="18"/>
              </w:rPr>
              <w:t>Value</w:t>
            </w:r>
          </w:p>
        </w:tc>
      </w:tr>
      <w:tr>
        <w:tc>
          <w:tcPr>
            <w:tcW w:type="dxa" w:w="6048"/>
          </w:tcPr>
          <w:p>
            <w:pPr>
              <w:spacing w:after="20"/>
            </w:pPr>
            <w:r>
              <w:rPr>
                <w:b/>
                <w:color w:val="1C3A36"/>
                <w:sz w:val="18"/>
              </w:rPr>
              <w:t>Terminal payout = 1 − g/ROE_t = 1 − 4.0/15.0</w:t>
            </w:r>
          </w:p>
        </w:tc>
        <w:tc>
          <w:tcPr>
            <w:tcW w:type="dxa" w:w="2304"/>
          </w:tcPr>
          <w:p>
            <w:pPr>
              <w:spacing w:after="20"/>
              <w:jc w:val="right"/>
            </w:pPr>
            <w:r>
              <w:rPr>
                <w:color w:val="1C3A36"/>
                <w:sz w:val="18"/>
              </w:rPr>
              <w:t>73%</w:t>
            </w:r>
          </w:p>
        </w:tc>
      </w:tr>
      <w:tr>
        <w:tc>
          <w:tcPr>
            <w:tcW w:type="dxa" w:w="6048"/>
          </w:tcPr>
          <w:p>
            <w:pPr>
              <w:spacing w:after="20"/>
            </w:pPr>
            <w:r>
              <w:rPr>
                <w:b/>
                <w:color w:val="1C3A36"/>
                <w:sz w:val="18"/>
              </w:rPr>
              <w:t>Terminal DPS (FY31)</w:t>
            </w:r>
          </w:p>
        </w:tc>
        <w:tc>
          <w:tcPr>
            <w:tcW w:type="dxa" w:w="2304"/>
          </w:tcPr>
          <w:p>
            <w:pPr>
              <w:spacing w:after="20"/>
              <w:jc w:val="right"/>
            </w:pPr>
            <w:r>
              <w:rPr>
                <w:color w:val="1C3A36"/>
                <w:sz w:val="18"/>
              </w:rPr>
              <w:t>AED 1.99</w:t>
            </w:r>
          </w:p>
        </w:tc>
      </w:tr>
      <w:tr>
        <w:tc>
          <w:tcPr>
            <w:tcW w:type="dxa" w:w="6048"/>
          </w:tcPr>
          <w:p>
            <w:pPr>
              <w:spacing w:after="20"/>
            </w:pPr>
            <w:r>
              <w:rPr>
                <w:b/>
                <w:color w:val="1C3A36"/>
                <w:sz w:val="18"/>
              </w:rPr>
              <w:t>Terminal value at (Ke − g)</w:t>
            </w:r>
          </w:p>
        </w:tc>
        <w:tc>
          <w:tcPr>
            <w:tcW w:type="dxa" w:w="2304"/>
          </w:tcPr>
          <w:p>
            <w:pPr>
              <w:spacing w:after="20"/>
              <w:jc w:val="right"/>
            </w:pPr>
            <w:r>
              <w:rPr>
                <w:color w:val="1C3A36"/>
                <w:sz w:val="18"/>
              </w:rPr>
              <w:t>AED 30.3</w:t>
            </w:r>
          </w:p>
        </w:tc>
      </w:tr>
      <w:tr>
        <w:tc>
          <w:tcPr>
            <w:tcW w:type="dxa" w:w="6048"/>
          </w:tcPr>
          <w:p>
            <w:pPr>
              <w:spacing w:after="20"/>
            </w:pPr>
            <w:r>
              <w:rPr>
                <w:b/>
                <w:color w:val="1C3A36"/>
                <w:sz w:val="18"/>
              </w:rPr>
              <w:t>PV of terminal value</w:t>
            </w:r>
          </w:p>
        </w:tc>
        <w:tc>
          <w:tcPr>
            <w:tcW w:type="dxa" w:w="2304"/>
          </w:tcPr>
          <w:p>
            <w:pPr>
              <w:spacing w:after="20"/>
              <w:jc w:val="right"/>
            </w:pPr>
            <w:r>
              <w:rPr>
                <w:color w:val="1C3A36"/>
                <w:sz w:val="18"/>
              </w:rPr>
              <w:t>AED 18.4</w:t>
            </w:r>
          </w:p>
        </w:tc>
      </w:tr>
      <w:tr>
        <w:tc>
          <w:tcPr>
            <w:tcW w:type="dxa" w:w="6048"/>
          </w:tcPr>
          <w:p>
            <w:pPr>
              <w:spacing w:after="20"/>
            </w:pPr>
            <w:r>
              <w:rPr>
                <w:b/>
                <w:color w:val="1C3A36"/>
                <w:sz w:val="18"/>
              </w:rPr>
              <w:t>Σ PV explicit dividends (FY26–30)</w:t>
            </w:r>
          </w:p>
        </w:tc>
        <w:tc>
          <w:tcPr>
            <w:tcW w:type="dxa" w:w="2304"/>
          </w:tcPr>
          <w:p>
            <w:pPr>
              <w:spacing w:after="20"/>
              <w:jc w:val="right"/>
            </w:pPr>
            <w:r>
              <w:rPr>
                <w:color w:val="1C3A36"/>
                <w:sz w:val="18"/>
              </w:rPr>
              <w:t>AED 2.8</w:t>
            </w:r>
          </w:p>
        </w:tc>
      </w:tr>
      <w:tr>
        <w:tc>
          <w:tcPr>
            <w:tcW w:type="dxa" w:w="6048"/>
            <w:shd w:val="clear" w:color="auto" w:fill="F6F1E6"/>
          </w:tcPr>
          <w:p>
            <w:pPr>
              <w:spacing w:after="20"/>
            </w:pPr>
            <w:r>
              <w:rPr>
                <w:b/>
                <w:color w:val="1C3A36"/>
                <w:sz w:val="18"/>
              </w:rPr>
              <w:t>DDM fair value</w:t>
            </w:r>
          </w:p>
        </w:tc>
        <w:tc>
          <w:tcPr>
            <w:tcW w:type="dxa" w:w="2304"/>
            <w:shd w:val="clear" w:color="auto" w:fill="F6F1E6"/>
          </w:tcPr>
          <w:p>
            <w:pPr>
              <w:spacing w:after="20"/>
              <w:jc w:val="right"/>
            </w:pPr>
            <w:r>
              <w:rPr>
                <w:b/>
                <w:color w:val="1C3A36"/>
                <w:sz w:val="18"/>
              </w:rPr>
              <w:t>AED 21.2</w:t>
            </w:r>
          </w:p>
        </w:tc>
      </w:tr>
      <w:tr>
        <w:tc>
          <w:tcPr>
            <w:tcW w:type="dxa" w:w="6048"/>
          </w:tcPr>
          <w:p>
            <w:pPr>
              <w:spacing w:after="20"/>
            </w:pPr>
            <w:r>
              <w:rPr>
                <w:b/>
                <w:color w:val="1C3A36"/>
                <w:sz w:val="18"/>
              </w:rPr>
              <w:t>Terminal value as % of total (dependency disclosure)</w:t>
            </w:r>
          </w:p>
        </w:tc>
        <w:tc>
          <w:tcPr>
            <w:tcW w:type="dxa" w:w="2304"/>
          </w:tcPr>
          <w:p>
            <w:pPr>
              <w:spacing w:after="20"/>
              <w:jc w:val="right"/>
            </w:pPr>
            <w:r>
              <w:rPr>
                <w:color w:val="1C3A36"/>
                <w:sz w:val="18"/>
              </w:rPr>
              <w:t>87%</w:t>
            </w:r>
          </w:p>
        </w:tc>
      </w:tr>
    </w:tbl>
    <w:p>
      <w:pPr>
        <w:spacing w:after="40"/>
      </w:pPr>
    </w:p>
    <w:p>
      <w:pPr>
        <w:spacing w:after="120" w:before="0"/>
      </w:pPr>
      <w:r>
        <w:rPr>
          <w:b w:val="0"/>
          <w:i w:val="0"/>
          <w:color w:val="1C3A36"/>
          <w:sz w:val="21"/>
        </w:rPr>
        <w:t>Terminal-value dependency: 87% of the DDM sits in the terminal block — normal for a growing bank at a 38%→33% payout, but it means the number is a claim about ADCB’s steady state (15% ROE, 4% growth), not about the next five dividends. §1.10 sensitizes exactly that claim.</w:t>
      </w:r>
    </w:p>
    <w:p>
      <w:pPr>
        <w:spacing w:after="80" w:before="200"/>
      </w:pPr>
      <w:r>
        <w:rPr>
          <w:b/>
          <w:i w:val="0"/>
          <w:color w:val="1C3A36"/>
          <w:sz w:val="24"/>
        </w:rPr>
        <w:t>1.2  Equity DCF (FCFE) — the full build, from revenue to cash</w:t>
      </w:r>
    </w:p>
    <w:p>
      <w:pPr>
        <w:spacing w:after="120" w:before="0"/>
      </w:pPr>
      <w:r>
        <w:rPr>
          <w:b w:val="0"/>
          <w:i w:val="0"/>
          <w:color w:val="1C3A36"/>
          <w:sz w:val="21"/>
        </w:rPr>
        <w:t>The equity DCF asks not what the board chooses to pay, but what the business could pay after funding its own growth. It is built from the top line down. For a bank the top line — total revenue — is operating income: net interest income (the spread earned on loans funded by deposits) plus non-interest income (fees, cards, trade, treasury). From there the waterfall runs through costs, loan-loss provisions and tax to net profit, and then subtracts the one item a bank cannot avoid: the fresh equity it must retain each year to keep its capital ratio intact as its balance sheet grows. What remains is free cash flow to equity — genuinely distributable, whether or not it is actually paid out. Every line below is driven off the build in §1.7.</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384"/>
            <w:shd w:val="clear" w:color="auto" w:fill="EAF0EE"/>
          </w:tcPr>
          <w:p>
            <w:pPr>
              <w:spacing w:after="20"/>
            </w:pPr>
            <w:r>
              <w:rPr>
                <w:b/>
                <w:color w:val="1C3A36"/>
                <w:sz w:val="17"/>
              </w:rPr>
              <w:t>AED mn</w:t>
            </w:r>
          </w:p>
        </w:tc>
        <w:tc>
          <w:tcPr>
            <w:tcW w:type="dxa" w:w="1339"/>
            <w:shd w:val="clear" w:color="auto" w:fill="EAF0EE"/>
          </w:tcPr>
          <w:p>
            <w:pPr>
              <w:spacing w:after="20"/>
            </w:pPr>
            <w:r>
              <w:rPr>
                <w:b/>
                <w:color w:val="1C3A36"/>
                <w:sz w:val="17"/>
              </w:rPr>
              <w:t>FY26E</w:t>
            </w:r>
          </w:p>
        </w:tc>
        <w:tc>
          <w:tcPr>
            <w:tcW w:type="dxa" w:w="1339"/>
            <w:shd w:val="clear" w:color="auto" w:fill="EAF0EE"/>
          </w:tcPr>
          <w:p>
            <w:pPr>
              <w:spacing w:after="20"/>
            </w:pPr>
            <w:r>
              <w:rPr>
                <w:b/>
                <w:color w:val="1C3A36"/>
                <w:sz w:val="17"/>
              </w:rPr>
              <w:t>FY27E</w:t>
            </w:r>
          </w:p>
        </w:tc>
        <w:tc>
          <w:tcPr>
            <w:tcW w:type="dxa" w:w="1339"/>
            <w:shd w:val="clear" w:color="auto" w:fill="EAF0EE"/>
          </w:tcPr>
          <w:p>
            <w:pPr>
              <w:spacing w:after="20"/>
            </w:pPr>
            <w:r>
              <w:rPr>
                <w:b/>
                <w:color w:val="1C3A36"/>
                <w:sz w:val="17"/>
              </w:rPr>
              <w:t>FY28E</w:t>
            </w:r>
          </w:p>
        </w:tc>
        <w:tc>
          <w:tcPr>
            <w:tcW w:type="dxa" w:w="1339"/>
            <w:shd w:val="clear" w:color="auto" w:fill="EAF0EE"/>
          </w:tcPr>
          <w:p>
            <w:pPr>
              <w:spacing w:after="20"/>
            </w:pPr>
            <w:r>
              <w:rPr>
                <w:b/>
                <w:color w:val="1C3A36"/>
                <w:sz w:val="17"/>
              </w:rPr>
              <w:t>FY29E</w:t>
            </w:r>
          </w:p>
        </w:tc>
        <w:tc>
          <w:tcPr>
            <w:tcW w:type="dxa" w:w="1339"/>
            <w:shd w:val="clear" w:color="auto" w:fill="EAF0EE"/>
          </w:tcPr>
          <w:p>
            <w:pPr>
              <w:spacing w:after="20"/>
            </w:pPr>
            <w:r>
              <w:rPr>
                <w:b/>
                <w:color w:val="1C3A36"/>
                <w:sz w:val="17"/>
              </w:rPr>
              <w:t>FY30E</w:t>
            </w:r>
          </w:p>
        </w:tc>
      </w:tr>
      <w:tr>
        <w:tc>
          <w:tcPr>
            <w:tcW w:type="dxa" w:w="3384"/>
          </w:tcPr>
          <w:p>
            <w:pPr>
              <w:spacing w:after="20"/>
            </w:pPr>
            <w:r>
              <w:rPr>
                <w:b/>
                <w:color w:val="1C3A36"/>
                <w:sz w:val="17"/>
              </w:rPr>
              <w:t>Net interest income</w:t>
            </w:r>
          </w:p>
        </w:tc>
        <w:tc>
          <w:tcPr>
            <w:tcW w:type="dxa" w:w="1339"/>
          </w:tcPr>
          <w:p>
            <w:pPr>
              <w:spacing w:after="20"/>
              <w:jc w:val="right"/>
            </w:pPr>
            <w:r>
              <w:rPr>
                <w:color w:val="1C3A36"/>
                <w:sz w:val="17"/>
              </w:rPr>
              <w:t>16,132</w:t>
            </w:r>
          </w:p>
        </w:tc>
        <w:tc>
          <w:tcPr>
            <w:tcW w:type="dxa" w:w="1339"/>
          </w:tcPr>
          <w:p>
            <w:pPr>
              <w:spacing w:after="20"/>
              <w:jc w:val="right"/>
            </w:pPr>
            <w:r>
              <w:rPr>
                <w:color w:val="1C3A36"/>
                <w:sz w:val="17"/>
              </w:rPr>
              <w:t>18,047</w:t>
            </w:r>
          </w:p>
        </w:tc>
        <w:tc>
          <w:tcPr>
            <w:tcW w:type="dxa" w:w="1339"/>
          </w:tcPr>
          <w:p>
            <w:pPr>
              <w:spacing w:after="20"/>
              <w:jc w:val="right"/>
            </w:pPr>
            <w:r>
              <w:rPr>
                <w:color w:val="1C3A36"/>
                <w:sz w:val="17"/>
              </w:rPr>
              <w:t>20,199</w:t>
            </w:r>
          </w:p>
        </w:tc>
        <w:tc>
          <w:tcPr>
            <w:tcW w:type="dxa" w:w="1339"/>
          </w:tcPr>
          <w:p>
            <w:pPr>
              <w:spacing w:after="20"/>
              <w:jc w:val="right"/>
            </w:pPr>
            <w:r>
              <w:rPr>
                <w:color w:val="1C3A36"/>
                <w:sz w:val="17"/>
              </w:rPr>
              <w:t>22,308</w:t>
            </w:r>
          </w:p>
        </w:tc>
        <w:tc>
          <w:tcPr>
            <w:tcW w:type="dxa" w:w="1339"/>
          </w:tcPr>
          <w:p>
            <w:pPr>
              <w:spacing w:after="20"/>
              <w:jc w:val="right"/>
            </w:pPr>
            <w:r>
              <w:rPr>
                <w:color w:val="1C3A36"/>
                <w:sz w:val="17"/>
              </w:rPr>
              <w:t>24,409</w:t>
            </w:r>
          </w:p>
        </w:tc>
      </w:tr>
      <w:tr>
        <w:tc>
          <w:tcPr>
            <w:tcW w:type="dxa" w:w="3384"/>
          </w:tcPr>
          <w:p>
            <w:pPr>
              <w:spacing w:after="20"/>
            </w:pPr>
            <w:r>
              <w:rPr>
                <w:b/>
                <w:color w:val="1C3A36"/>
                <w:sz w:val="17"/>
              </w:rPr>
              <w:t>Non-interest income</w:t>
            </w:r>
          </w:p>
        </w:tc>
        <w:tc>
          <w:tcPr>
            <w:tcW w:type="dxa" w:w="1339"/>
          </w:tcPr>
          <w:p>
            <w:pPr>
              <w:spacing w:after="20"/>
              <w:jc w:val="right"/>
            </w:pPr>
            <w:r>
              <w:rPr>
                <w:color w:val="1C3A36"/>
                <w:sz w:val="17"/>
              </w:rPr>
              <w:t>8,319</w:t>
            </w:r>
          </w:p>
        </w:tc>
        <w:tc>
          <w:tcPr>
            <w:tcW w:type="dxa" w:w="1339"/>
          </w:tcPr>
          <w:p>
            <w:pPr>
              <w:spacing w:after="20"/>
              <w:jc w:val="right"/>
            </w:pPr>
            <w:r>
              <w:rPr>
                <w:color w:val="1C3A36"/>
                <w:sz w:val="17"/>
              </w:rPr>
              <w:t>9,068</w:t>
            </w:r>
          </w:p>
        </w:tc>
        <w:tc>
          <w:tcPr>
            <w:tcW w:type="dxa" w:w="1339"/>
          </w:tcPr>
          <w:p>
            <w:pPr>
              <w:spacing w:after="20"/>
              <w:jc w:val="right"/>
            </w:pPr>
            <w:r>
              <w:rPr>
                <w:color w:val="1C3A36"/>
                <w:sz w:val="17"/>
              </w:rPr>
              <w:t>9,884</w:t>
            </w:r>
          </w:p>
        </w:tc>
        <w:tc>
          <w:tcPr>
            <w:tcW w:type="dxa" w:w="1339"/>
          </w:tcPr>
          <w:p>
            <w:pPr>
              <w:spacing w:after="20"/>
              <w:jc w:val="right"/>
            </w:pPr>
            <w:r>
              <w:rPr>
                <w:color w:val="1C3A36"/>
                <w:sz w:val="17"/>
              </w:rPr>
              <w:t>10,774</w:t>
            </w:r>
          </w:p>
        </w:tc>
        <w:tc>
          <w:tcPr>
            <w:tcW w:type="dxa" w:w="1339"/>
          </w:tcPr>
          <w:p>
            <w:pPr>
              <w:spacing w:after="20"/>
              <w:jc w:val="right"/>
            </w:pPr>
            <w:r>
              <w:rPr>
                <w:color w:val="1C3A36"/>
                <w:sz w:val="17"/>
              </w:rPr>
              <w:t>11,744</w:t>
            </w:r>
          </w:p>
        </w:tc>
      </w:tr>
      <w:tr>
        <w:tc>
          <w:tcPr>
            <w:tcW w:type="dxa" w:w="3384"/>
            <w:shd w:val="clear" w:color="auto" w:fill="F6F1E6"/>
          </w:tcPr>
          <w:p>
            <w:pPr>
              <w:spacing w:after="20"/>
            </w:pPr>
            <w:r>
              <w:rPr>
                <w:b/>
                <w:color w:val="1C3A36"/>
                <w:sz w:val="17"/>
              </w:rPr>
              <w:t>Operating income (total revenue)</w:t>
            </w:r>
          </w:p>
        </w:tc>
        <w:tc>
          <w:tcPr>
            <w:tcW w:type="dxa" w:w="1339"/>
            <w:shd w:val="clear" w:color="auto" w:fill="F6F1E6"/>
          </w:tcPr>
          <w:p>
            <w:pPr>
              <w:spacing w:after="20"/>
              <w:jc w:val="right"/>
            </w:pPr>
            <w:r>
              <w:rPr>
                <w:b/>
                <w:color w:val="1C3A36"/>
                <w:sz w:val="17"/>
              </w:rPr>
              <w:t>24,452</w:t>
            </w:r>
          </w:p>
        </w:tc>
        <w:tc>
          <w:tcPr>
            <w:tcW w:type="dxa" w:w="1339"/>
            <w:shd w:val="clear" w:color="auto" w:fill="F6F1E6"/>
          </w:tcPr>
          <w:p>
            <w:pPr>
              <w:spacing w:after="20"/>
              <w:jc w:val="right"/>
            </w:pPr>
            <w:r>
              <w:rPr>
                <w:b/>
                <w:color w:val="1C3A36"/>
                <w:sz w:val="17"/>
              </w:rPr>
              <w:t>27,115</w:t>
            </w:r>
          </w:p>
        </w:tc>
        <w:tc>
          <w:tcPr>
            <w:tcW w:type="dxa" w:w="1339"/>
            <w:shd w:val="clear" w:color="auto" w:fill="F6F1E6"/>
          </w:tcPr>
          <w:p>
            <w:pPr>
              <w:spacing w:after="20"/>
              <w:jc w:val="right"/>
            </w:pPr>
            <w:r>
              <w:rPr>
                <w:b/>
                <w:color w:val="1C3A36"/>
                <w:sz w:val="17"/>
              </w:rPr>
              <w:t>30,084</w:t>
            </w:r>
          </w:p>
        </w:tc>
        <w:tc>
          <w:tcPr>
            <w:tcW w:type="dxa" w:w="1339"/>
            <w:shd w:val="clear" w:color="auto" w:fill="F6F1E6"/>
          </w:tcPr>
          <w:p>
            <w:pPr>
              <w:spacing w:after="20"/>
              <w:jc w:val="right"/>
            </w:pPr>
            <w:r>
              <w:rPr>
                <w:b/>
                <w:color w:val="1C3A36"/>
                <w:sz w:val="17"/>
              </w:rPr>
              <w:t>33,081</w:t>
            </w:r>
          </w:p>
        </w:tc>
        <w:tc>
          <w:tcPr>
            <w:tcW w:type="dxa" w:w="1339"/>
            <w:shd w:val="clear" w:color="auto" w:fill="F6F1E6"/>
          </w:tcPr>
          <w:p>
            <w:pPr>
              <w:spacing w:after="20"/>
              <w:jc w:val="right"/>
            </w:pPr>
            <w:r>
              <w:rPr>
                <w:b/>
                <w:color w:val="1C3A36"/>
                <w:sz w:val="17"/>
              </w:rPr>
              <w:t>36,153</w:t>
            </w:r>
          </w:p>
        </w:tc>
      </w:tr>
      <w:tr>
        <w:tc>
          <w:tcPr>
            <w:tcW w:type="dxa" w:w="3384"/>
          </w:tcPr>
          <w:p>
            <w:pPr>
              <w:spacing w:after="20"/>
            </w:pPr>
            <w:r>
              <w:rPr>
                <w:b/>
                <w:color w:val="1C3A36"/>
                <w:sz w:val="17"/>
              </w:rPr>
              <w:t>Operating expenses</w:t>
            </w:r>
          </w:p>
        </w:tc>
        <w:tc>
          <w:tcPr>
            <w:tcW w:type="dxa" w:w="1339"/>
          </w:tcPr>
          <w:p>
            <w:pPr>
              <w:spacing w:after="20"/>
              <w:jc w:val="right"/>
            </w:pPr>
            <w:r>
              <w:rPr>
                <w:color w:val="1C3A36"/>
                <w:sz w:val="17"/>
              </w:rPr>
              <w:t>-6,602</w:t>
            </w:r>
          </w:p>
        </w:tc>
        <w:tc>
          <w:tcPr>
            <w:tcW w:type="dxa" w:w="1339"/>
          </w:tcPr>
          <w:p>
            <w:pPr>
              <w:spacing w:after="20"/>
              <w:jc w:val="right"/>
            </w:pPr>
            <w:r>
              <w:rPr>
                <w:color w:val="1C3A36"/>
                <w:sz w:val="17"/>
              </w:rPr>
              <w:t>-7,050</w:t>
            </w:r>
          </w:p>
        </w:tc>
        <w:tc>
          <w:tcPr>
            <w:tcW w:type="dxa" w:w="1339"/>
          </w:tcPr>
          <w:p>
            <w:pPr>
              <w:spacing w:after="20"/>
              <w:jc w:val="right"/>
            </w:pPr>
            <w:r>
              <w:rPr>
                <w:color w:val="1C3A36"/>
                <w:sz w:val="17"/>
              </w:rPr>
              <w:t>-7,671</w:t>
            </w:r>
          </w:p>
        </w:tc>
        <w:tc>
          <w:tcPr>
            <w:tcW w:type="dxa" w:w="1339"/>
          </w:tcPr>
          <w:p>
            <w:pPr>
              <w:spacing w:after="20"/>
              <w:jc w:val="right"/>
            </w:pPr>
            <w:r>
              <w:rPr>
                <w:color w:val="1C3A36"/>
                <w:sz w:val="17"/>
              </w:rPr>
              <w:t>-8,270</w:t>
            </w:r>
          </w:p>
        </w:tc>
        <w:tc>
          <w:tcPr>
            <w:tcW w:type="dxa" w:w="1339"/>
          </w:tcPr>
          <w:p>
            <w:pPr>
              <w:spacing w:after="20"/>
              <w:jc w:val="right"/>
            </w:pPr>
            <w:r>
              <w:rPr>
                <w:color w:val="1C3A36"/>
                <w:sz w:val="17"/>
              </w:rPr>
              <w:t>-8,857</w:t>
            </w:r>
          </w:p>
        </w:tc>
      </w:tr>
      <w:tr>
        <w:tc>
          <w:tcPr>
            <w:tcW w:type="dxa" w:w="3384"/>
          </w:tcPr>
          <w:p>
            <w:pPr>
              <w:spacing w:after="20"/>
            </w:pPr>
            <w:r>
              <w:rPr>
                <w:b/>
                <w:color w:val="1C3A36"/>
                <w:sz w:val="17"/>
              </w:rPr>
              <w:t>Pre-provision operating profit</w:t>
            </w:r>
          </w:p>
        </w:tc>
        <w:tc>
          <w:tcPr>
            <w:tcW w:type="dxa" w:w="1339"/>
          </w:tcPr>
          <w:p>
            <w:pPr>
              <w:spacing w:after="20"/>
              <w:jc w:val="right"/>
            </w:pPr>
            <w:r>
              <w:rPr>
                <w:color w:val="1C3A36"/>
                <w:sz w:val="17"/>
              </w:rPr>
              <w:t>17,850</w:t>
            </w:r>
          </w:p>
        </w:tc>
        <w:tc>
          <w:tcPr>
            <w:tcW w:type="dxa" w:w="1339"/>
          </w:tcPr>
          <w:p>
            <w:pPr>
              <w:spacing w:after="20"/>
              <w:jc w:val="right"/>
            </w:pPr>
            <w:r>
              <w:rPr>
                <w:color w:val="1C3A36"/>
                <w:sz w:val="17"/>
              </w:rPr>
              <w:t>20,065</w:t>
            </w:r>
          </w:p>
        </w:tc>
        <w:tc>
          <w:tcPr>
            <w:tcW w:type="dxa" w:w="1339"/>
          </w:tcPr>
          <w:p>
            <w:pPr>
              <w:spacing w:after="20"/>
              <w:jc w:val="right"/>
            </w:pPr>
            <w:r>
              <w:rPr>
                <w:color w:val="1C3A36"/>
                <w:sz w:val="17"/>
              </w:rPr>
              <w:t>22,412</w:t>
            </w:r>
          </w:p>
        </w:tc>
        <w:tc>
          <w:tcPr>
            <w:tcW w:type="dxa" w:w="1339"/>
          </w:tcPr>
          <w:p>
            <w:pPr>
              <w:spacing w:after="20"/>
              <w:jc w:val="right"/>
            </w:pPr>
            <w:r>
              <w:rPr>
                <w:color w:val="1C3A36"/>
                <w:sz w:val="17"/>
              </w:rPr>
              <w:t>24,811</w:t>
            </w:r>
          </w:p>
        </w:tc>
        <w:tc>
          <w:tcPr>
            <w:tcW w:type="dxa" w:w="1339"/>
          </w:tcPr>
          <w:p>
            <w:pPr>
              <w:spacing w:after="20"/>
              <w:jc w:val="right"/>
            </w:pPr>
            <w:r>
              <w:rPr>
                <w:color w:val="1C3A36"/>
                <w:sz w:val="17"/>
              </w:rPr>
              <w:t>27,295</w:t>
            </w:r>
          </w:p>
        </w:tc>
      </w:tr>
      <w:tr>
        <w:tc>
          <w:tcPr>
            <w:tcW w:type="dxa" w:w="3384"/>
          </w:tcPr>
          <w:p>
            <w:pPr>
              <w:spacing w:after="20"/>
            </w:pPr>
            <w:r>
              <w:rPr>
                <w:b/>
                <w:color w:val="1C3A36"/>
                <w:sz w:val="17"/>
              </w:rPr>
              <w:t>Impairment charge</w:t>
            </w:r>
          </w:p>
        </w:tc>
        <w:tc>
          <w:tcPr>
            <w:tcW w:type="dxa" w:w="1339"/>
          </w:tcPr>
          <w:p>
            <w:pPr>
              <w:spacing w:after="20"/>
              <w:jc w:val="right"/>
            </w:pPr>
            <w:r>
              <w:rPr>
                <w:color w:val="1C3A36"/>
                <w:sz w:val="17"/>
              </w:rPr>
              <w:t>-2,411</w:t>
            </w:r>
          </w:p>
        </w:tc>
        <w:tc>
          <w:tcPr>
            <w:tcW w:type="dxa" w:w="1339"/>
          </w:tcPr>
          <w:p>
            <w:pPr>
              <w:spacing w:after="20"/>
              <w:jc w:val="right"/>
            </w:pPr>
            <w:r>
              <w:rPr>
                <w:color w:val="1C3A36"/>
                <w:sz w:val="17"/>
              </w:rPr>
              <w:t>-2,496</w:t>
            </w:r>
          </w:p>
        </w:tc>
        <w:tc>
          <w:tcPr>
            <w:tcW w:type="dxa" w:w="1339"/>
          </w:tcPr>
          <w:p>
            <w:pPr>
              <w:spacing w:after="20"/>
              <w:jc w:val="right"/>
            </w:pPr>
            <w:r>
              <w:rPr>
                <w:color w:val="1C3A36"/>
                <w:sz w:val="17"/>
              </w:rPr>
              <w:t>-2,658</w:t>
            </w:r>
          </w:p>
        </w:tc>
        <w:tc>
          <w:tcPr>
            <w:tcW w:type="dxa" w:w="1339"/>
          </w:tcPr>
          <w:p>
            <w:pPr>
              <w:spacing w:after="20"/>
              <w:jc w:val="right"/>
            </w:pPr>
            <w:r>
              <w:rPr>
                <w:color w:val="1C3A36"/>
                <w:sz w:val="17"/>
              </w:rPr>
              <w:t>-2,789</w:t>
            </w:r>
          </w:p>
        </w:tc>
        <w:tc>
          <w:tcPr>
            <w:tcW w:type="dxa" w:w="1339"/>
          </w:tcPr>
          <w:p>
            <w:pPr>
              <w:spacing w:after="20"/>
              <w:jc w:val="right"/>
            </w:pPr>
            <w:r>
              <w:rPr>
                <w:color w:val="1C3A36"/>
                <w:sz w:val="17"/>
              </w:rPr>
              <w:t>-2,960</w:t>
            </w:r>
          </w:p>
        </w:tc>
      </w:tr>
      <w:tr>
        <w:tc>
          <w:tcPr>
            <w:tcW w:type="dxa" w:w="3384"/>
          </w:tcPr>
          <w:p>
            <w:pPr>
              <w:spacing w:after="20"/>
            </w:pPr>
            <w:r>
              <w:rPr>
                <w:b/>
                <w:color w:val="1C3A36"/>
                <w:sz w:val="17"/>
              </w:rPr>
              <w:t>Profit before tax</w:t>
            </w:r>
          </w:p>
        </w:tc>
        <w:tc>
          <w:tcPr>
            <w:tcW w:type="dxa" w:w="1339"/>
          </w:tcPr>
          <w:p>
            <w:pPr>
              <w:spacing w:after="20"/>
              <w:jc w:val="right"/>
            </w:pPr>
            <w:r>
              <w:rPr>
                <w:color w:val="1C3A36"/>
                <w:sz w:val="17"/>
              </w:rPr>
              <w:t>15,438</w:t>
            </w:r>
          </w:p>
        </w:tc>
        <w:tc>
          <w:tcPr>
            <w:tcW w:type="dxa" w:w="1339"/>
          </w:tcPr>
          <w:p>
            <w:pPr>
              <w:spacing w:after="20"/>
              <w:jc w:val="right"/>
            </w:pPr>
            <w:r>
              <w:rPr>
                <w:color w:val="1C3A36"/>
                <w:sz w:val="17"/>
              </w:rPr>
              <w:t>17,570</w:t>
            </w:r>
          </w:p>
        </w:tc>
        <w:tc>
          <w:tcPr>
            <w:tcW w:type="dxa" w:w="1339"/>
          </w:tcPr>
          <w:p>
            <w:pPr>
              <w:spacing w:after="20"/>
              <w:jc w:val="right"/>
            </w:pPr>
            <w:r>
              <w:rPr>
                <w:color w:val="1C3A36"/>
                <w:sz w:val="17"/>
              </w:rPr>
              <w:t>19,754</w:t>
            </w:r>
          </w:p>
        </w:tc>
        <w:tc>
          <w:tcPr>
            <w:tcW w:type="dxa" w:w="1339"/>
          </w:tcPr>
          <w:p>
            <w:pPr>
              <w:spacing w:after="20"/>
              <w:jc w:val="right"/>
            </w:pPr>
            <w:r>
              <w:rPr>
                <w:color w:val="1C3A36"/>
                <w:sz w:val="17"/>
              </w:rPr>
              <w:t>22,022</w:t>
            </w:r>
          </w:p>
        </w:tc>
        <w:tc>
          <w:tcPr>
            <w:tcW w:type="dxa" w:w="1339"/>
          </w:tcPr>
          <w:p>
            <w:pPr>
              <w:spacing w:after="20"/>
              <w:jc w:val="right"/>
            </w:pPr>
            <w:r>
              <w:rPr>
                <w:color w:val="1C3A36"/>
                <w:sz w:val="17"/>
              </w:rPr>
              <w:t>24,336</w:t>
            </w:r>
          </w:p>
        </w:tc>
      </w:tr>
      <w:tr>
        <w:tc>
          <w:tcPr>
            <w:tcW w:type="dxa" w:w="3384"/>
            <w:shd w:val="clear" w:color="auto" w:fill="F6F1E6"/>
          </w:tcPr>
          <w:p>
            <w:pPr>
              <w:spacing w:after="20"/>
            </w:pPr>
            <w:r>
              <w:rPr>
                <w:b/>
                <w:color w:val="1C3A36"/>
                <w:sz w:val="17"/>
              </w:rPr>
              <w:t>Tax</w:t>
            </w:r>
          </w:p>
        </w:tc>
        <w:tc>
          <w:tcPr>
            <w:tcW w:type="dxa" w:w="1339"/>
            <w:shd w:val="clear" w:color="auto" w:fill="F6F1E6"/>
          </w:tcPr>
          <w:p>
            <w:pPr>
              <w:spacing w:after="20"/>
              <w:jc w:val="right"/>
            </w:pPr>
            <w:r>
              <w:rPr>
                <w:b/>
                <w:color w:val="1C3A36"/>
                <w:sz w:val="17"/>
              </w:rPr>
              <w:t>-1,698</w:t>
            </w:r>
          </w:p>
        </w:tc>
        <w:tc>
          <w:tcPr>
            <w:tcW w:type="dxa" w:w="1339"/>
            <w:shd w:val="clear" w:color="auto" w:fill="F6F1E6"/>
          </w:tcPr>
          <w:p>
            <w:pPr>
              <w:spacing w:after="20"/>
              <w:jc w:val="right"/>
            </w:pPr>
            <w:r>
              <w:rPr>
                <w:b/>
                <w:color w:val="1C3A36"/>
                <w:sz w:val="17"/>
              </w:rPr>
              <w:t>-2,635</w:t>
            </w:r>
          </w:p>
        </w:tc>
        <w:tc>
          <w:tcPr>
            <w:tcW w:type="dxa" w:w="1339"/>
            <w:shd w:val="clear" w:color="auto" w:fill="F6F1E6"/>
          </w:tcPr>
          <w:p>
            <w:pPr>
              <w:spacing w:after="20"/>
              <w:jc w:val="right"/>
            </w:pPr>
            <w:r>
              <w:rPr>
                <w:b/>
                <w:color w:val="1C3A36"/>
                <w:sz w:val="17"/>
              </w:rPr>
              <w:t>-2,963</w:t>
            </w:r>
          </w:p>
        </w:tc>
        <w:tc>
          <w:tcPr>
            <w:tcW w:type="dxa" w:w="1339"/>
            <w:shd w:val="clear" w:color="auto" w:fill="F6F1E6"/>
          </w:tcPr>
          <w:p>
            <w:pPr>
              <w:spacing w:after="20"/>
              <w:jc w:val="right"/>
            </w:pPr>
            <w:r>
              <w:rPr>
                <w:b/>
                <w:color w:val="1C3A36"/>
                <w:sz w:val="17"/>
              </w:rPr>
              <w:t>-3,303</w:t>
            </w:r>
          </w:p>
        </w:tc>
        <w:tc>
          <w:tcPr>
            <w:tcW w:type="dxa" w:w="1339"/>
            <w:shd w:val="clear" w:color="auto" w:fill="F6F1E6"/>
          </w:tcPr>
          <w:p>
            <w:pPr>
              <w:spacing w:after="20"/>
              <w:jc w:val="right"/>
            </w:pPr>
            <w:r>
              <w:rPr>
                <w:b/>
                <w:color w:val="1C3A36"/>
                <w:sz w:val="17"/>
              </w:rPr>
              <w:t>-3,650</w:t>
            </w:r>
          </w:p>
        </w:tc>
      </w:tr>
      <w:tr>
        <w:tc>
          <w:tcPr>
            <w:tcW w:type="dxa" w:w="3384"/>
          </w:tcPr>
          <w:p>
            <w:pPr>
              <w:spacing w:after="20"/>
            </w:pPr>
            <w:r>
              <w:rPr>
                <w:b/>
                <w:color w:val="1C3A36"/>
                <w:sz w:val="17"/>
              </w:rPr>
              <w:t>Net profit after tax</w:t>
            </w:r>
          </w:p>
        </w:tc>
        <w:tc>
          <w:tcPr>
            <w:tcW w:type="dxa" w:w="1339"/>
          </w:tcPr>
          <w:p>
            <w:pPr>
              <w:spacing w:after="20"/>
              <w:jc w:val="right"/>
            </w:pPr>
            <w:r>
              <w:rPr>
                <w:color w:val="1C3A36"/>
                <w:sz w:val="17"/>
              </w:rPr>
              <w:t>13,740</w:t>
            </w:r>
          </w:p>
        </w:tc>
        <w:tc>
          <w:tcPr>
            <w:tcW w:type="dxa" w:w="1339"/>
          </w:tcPr>
          <w:p>
            <w:pPr>
              <w:spacing w:after="20"/>
              <w:jc w:val="right"/>
            </w:pPr>
            <w:r>
              <w:rPr>
                <w:color w:val="1C3A36"/>
                <w:sz w:val="17"/>
              </w:rPr>
              <w:t>14,934</w:t>
            </w:r>
          </w:p>
        </w:tc>
        <w:tc>
          <w:tcPr>
            <w:tcW w:type="dxa" w:w="1339"/>
          </w:tcPr>
          <w:p>
            <w:pPr>
              <w:spacing w:after="20"/>
              <w:jc w:val="right"/>
            </w:pPr>
            <w:r>
              <w:rPr>
                <w:color w:val="1C3A36"/>
                <w:sz w:val="17"/>
              </w:rPr>
              <w:t>16,791</w:t>
            </w:r>
          </w:p>
        </w:tc>
        <w:tc>
          <w:tcPr>
            <w:tcW w:type="dxa" w:w="1339"/>
          </w:tcPr>
          <w:p>
            <w:pPr>
              <w:spacing w:after="20"/>
              <w:jc w:val="right"/>
            </w:pPr>
            <w:r>
              <w:rPr>
                <w:color w:val="1C3A36"/>
                <w:sz w:val="17"/>
              </w:rPr>
              <w:t>18,719</w:t>
            </w:r>
          </w:p>
        </w:tc>
        <w:tc>
          <w:tcPr>
            <w:tcW w:type="dxa" w:w="1339"/>
          </w:tcPr>
          <w:p>
            <w:pPr>
              <w:spacing w:after="20"/>
              <w:jc w:val="right"/>
            </w:pPr>
            <w:r>
              <w:rPr>
                <w:color w:val="1C3A36"/>
                <w:sz w:val="17"/>
              </w:rPr>
              <w:t>20,685</w:t>
            </w:r>
          </w:p>
        </w:tc>
      </w:tr>
      <w:tr>
        <w:tc>
          <w:tcPr>
            <w:tcW w:type="dxa" w:w="3384"/>
            <w:shd w:val="clear" w:color="auto" w:fill="F6F1E6"/>
          </w:tcPr>
          <w:p>
            <w:pPr>
              <w:spacing w:after="20"/>
            </w:pPr>
            <w:r>
              <w:rPr>
                <w:b/>
                <w:color w:val="1C3A36"/>
                <w:sz w:val="17"/>
              </w:rPr>
              <w:t>less: equity retained for RWA growth</w:t>
            </w:r>
          </w:p>
        </w:tc>
        <w:tc>
          <w:tcPr>
            <w:tcW w:type="dxa" w:w="1339"/>
            <w:shd w:val="clear" w:color="auto" w:fill="F6F1E6"/>
          </w:tcPr>
          <w:p>
            <w:pPr>
              <w:spacing w:after="20"/>
              <w:jc w:val="right"/>
            </w:pPr>
            <w:r>
              <w:rPr>
                <w:b/>
                <w:color w:val="1C3A36"/>
                <w:sz w:val="17"/>
              </w:rPr>
              <w:t>-7,740</w:t>
            </w:r>
          </w:p>
        </w:tc>
        <w:tc>
          <w:tcPr>
            <w:tcW w:type="dxa" w:w="1339"/>
            <w:shd w:val="clear" w:color="auto" w:fill="F6F1E6"/>
          </w:tcPr>
          <w:p>
            <w:pPr>
              <w:spacing w:after="20"/>
              <w:jc w:val="right"/>
            </w:pPr>
            <w:r>
              <w:rPr>
                <w:b/>
                <w:color w:val="1C3A36"/>
                <w:sz w:val="17"/>
              </w:rPr>
              <w:t>-7,198</w:t>
            </w:r>
          </w:p>
        </w:tc>
        <w:tc>
          <w:tcPr>
            <w:tcW w:type="dxa" w:w="1339"/>
            <w:shd w:val="clear" w:color="auto" w:fill="F6F1E6"/>
          </w:tcPr>
          <w:p>
            <w:pPr>
              <w:spacing w:after="20"/>
              <w:jc w:val="right"/>
            </w:pPr>
            <w:r>
              <w:rPr>
                <w:b/>
                <w:color w:val="1C3A36"/>
                <w:sz w:val="17"/>
              </w:rPr>
              <w:t>-6,610</w:t>
            </w:r>
          </w:p>
        </w:tc>
        <w:tc>
          <w:tcPr>
            <w:tcW w:type="dxa" w:w="1339"/>
            <w:shd w:val="clear" w:color="auto" w:fill="F6F1E6"/>
          </w:tcPr>
          <w:p>
            <w:pPr>
              <w:spacing w:after="20"/>
              <w:jc w:val="right"/>
            </w:pPr>
            <w:r>
              <w:rPr>
                <w:b/>
                <w:color w:val="1C3A36"/>
                <w:sz w:val="17"/>
              </w:rPr>
              <w:t>-6,215</w:t>
            </w:r>
          </w:p>
        </w:tc>
        <w:tc>
          <w:tcPr>
            <w:tcW w:type="dxa" w:w="1339"/>
            <w:shd w:val="clear" w:color="auto" w:fill="F6F1E6"/>
          </w:tcPr>
          <w:p>
            <w:pPr>
              <w:spacing w:after="20"/>
              <w:jc w:val="right"/>
            </w:pPr>
            <w:r>
              <w:rPr>
                <w:b/>
                <w:color w:val="1C3A36"/>
                <w:sz w:val="17"/>
              </w:rPr>
              <w:t>-5,262</w:t>
            </w:r>
          </w:p>
        </w:tc>
      </w:tr>
      <w:tr>
        <w:tc>
          <w:tcPr>
            <w:tcW w:type="dxa" w:w="3384"/>
          </w:tcPr>
          <w:p>
            <w:pPr>
              <w:spacing w:after="20"/>
            </w:pPr>
            <w:r>
              <w:rPr>
                <w:b/>
                <w:color w:val="1C3A36"/>
                <w:sz w:val="17"/>
              </w:rPr>
              <w:t>Free cash flow to equity (FCFE)</w:t>
            </w:r>
          </w:p>
        </w:tc>
        <w:tc>
          <w:tcPr>
            <w:tcW w:type="dxa" w:w="1339"/>
          </w:tcPr>
          <w:p>
            <w:pPr>
              <w:spacing w:after="20"/>
              <w:jc w:val="right"/>
            </w:pPr>
            <w:r>
              <w:rPr>
                <w:color w:val="1C3A36"/>
                <w:sz w:val="17"/>
              </w:rPr>
              <w:t>6,000</w:t>
            </w:r>
          </w:p>
        </w:tc>
        <w:tc>
          <w:tcPr>
            <w:tcW w:type="dxa" w:w="1339"/>
          </w:tcPr>
          <w:p>
            <w:pPr>
              <w:spacing w:after="20"/>
              <w:jc w:val="right"/>
            </w:pPr>
            <w:r>
              <w:rPr>
                <w:color w:val="1C3A36"/>
                <w:sz w:val="17"/>
              </w:rPr>
              <w:t>7,736</w:t>
            </w:r>
          </w:p>
        </w:tc>
        <w:tc>
          <w:tcPr>
            <w:tcW w:type="dxa" w:w="1339"/>
          </w:tcPr>
          <w:p>
            <w:pPr>
              <w:spacing w:after="20"/>
              <w:jc w:val="right"/>
            </w:pPr>
            <w:r>
              <w:rPr>
                <w:color w:val="1C3A36"/>
                <w:sz w:val="17"/>
              </w:rPr>
              <w:t>10,181</w:t>
            </w:r>
          </w:p>
        </w:tc>
        <w:tc>
          <w:tcPr>
            <w:tcW w:type="dxa" w:w="1339"/>
          </w:tcPr>
          <w:p>
            <w:pPr>
              <w:spacing w:after="20"/>
              <w:jc w:val="right"/>
            </w:pPr>
            <w:r>
              <w:rPr>
                <w:color w:val="1C3A36"/>
                <w:sz w:val="17"/>
              </w:rPr>
              <w:t>12,504</w:t>
            </w:r>
          </w:p>
        </w:tc>
        <w:tc>
          <w:tcPr>
            <w:tcW w:type="dxa" w:w="1339"/>
          </w:tcPr>
          <w:p>
            <w:pPr>
              <w:spacing w:after="20"/>
              <w:jc w:val="right"/>
            </w:pPr>
            <w:r>
              <w:rPr>
                <w:color w:val="1C3A36"/>
                <w:sz w:val="17"/>
              </w:rPr>
              <w:t>15,423</w:t>
            </w:r>
          </w:p>
        </w:tc>
      </w:tr>
      <w:tr>
        <w:tc>
          <w:tcPr>
            <w:tcW w:type="dxa" w:w="3384"/>
            <w:shd w:val="clear" w:color="auto" w:fill="F6F1E6"/>
          </w:tcPr>
          <w:p>
            <w:pPr>
              <w:spacing w:after="20"/>
            </w:pPr>
            <w:r>
              <w:rPr>
                <w:b/>
                <w:color w:val="1C3A36"/>
                <w:sz w:val="17"/>
              </w:rPr>
              <w:t>Discount factor at Ke 10.57%</w:t>
            </w:r>
          </w:p>
        </w:tc>
        <w:tc>
          <w:tcPr>
            <w:tcW w:type="dxa" w:w="1339"/>
            <w:shd w:val="clear" w:color="auto" w:fill="F6F1E6"/>
          </w:tcPr>
          <w:p>
            <w:pPr>
              <w:spacing w:after="20"/>
              <w:jc w:val="right"/>
            </w:pPr>
            <w:r>
              <w:rPr>
                <w:b/>
                <w:color w:val="1C3A36"/>
                <w:sz w:val="17"/>
              </w:rPr>
              <w:t>0.904</w:t>
            </w:r>
          </w:p>
        </w:tc>
        <w:tc>
          <w:tcPr>
            <w:tcW w:type="dxa" w:w="1339"/>
            <w:shd w:val="clear" w:color="auto" w:fill="F6F1E6"/>
          </w:tcPr>
          <w:p>
            <w:pPr>
              <w:spacing w:after="20"/>
              <w:jc w:val="right"/>
            </w:pPr>
            <w:r>
              <w:rPr>
                <w:b/>
                <w:color w:val="1C3A36"/>
                <w:sz w:val="17"/>
              </w:rPr>
              <w:t>0.818</w:t>
            </w:r>
          </w:p>
        </w:tc>
        <w:tc>
          <w:tcPr>
            <w:tcW w:type="dxa" w:w="1339"/>
            <w:shd w:val="clear" w:color="auto" w:fill="F6F1E6"/>
          </w:tcPr>
          <w:p>
            <w:pPr>
              <w:spacing w:after="20"/>
              <w:jc w:val="right"/>
            </w:pPr>
            <w:r>
              <w:rPr>
                <w:b/>
                <w:color w:val="1C3A36"/>
                <w:sz w:val="17"/>
              </w:rPr>
              <w:t>0.740</w:t>
            </w:r>
          </w:p>
        </w:tc>
        <w:tc>
          <w:tcPr>
            <w:tcW w:type="dxa" w:w="1339"/>
            <w:shd w:val="clear" w:color="auto" w:fill="F6F1E6"/>
          </w:tcPr>
          <w:p>
            <w:pPr>
              <w:spacing w:after="20"/>
              <w:jc w:val="right"/>
            </w:pPr>
            <w:r>
              <w:rPr>
                <w:b/>
                <w:color w:val="1C3A36"/>
                <w:sz w:val="17"/>
              </w:rPr>
              <w:t>0.669</w:t>
            </w:r>
          </w:p>
        </w:tc>
        <w:tc>
          <w:tcPr>
            <w:tcW w:type="dxa" w:w="1339"/>
            <w:shd w:val="clear" w:color="auto" w:fill="F6F1E6"/>
          </w:tcPr>
          <w:p>
            <w:pPr>
              <w:spacing w:after="20"/>
              <w:jc w:val="right"/>
            </w:pPr>
            <w:r>
              <w:rPr>
                <w:b/>
                <w:color w:val="1C3A36"/>
                <w:sz w:val="17"/>
              </w:rPr>
              <w:t>0.605</w:t>
            </w:r>
          </w:p>
        </w:tc>
      </w:tr>
      <w:tr>
        <w:tc>
          <w:tcPr>
            <w:tcW w:type="dxa" w:w="3384"/>
          </w:tcPr>
          <w:p>
            <w:pPr>
              <w:spacing w:after="20"/>
            </w:pPr>
            <w:r>
              <w:rPr>
                <w:b/>
                <w:color w:val="1C3A36"/>
                <w:sz w:val="17"/>
              </w:rPr>
              <w:t>PV of FCFE</w:t>
            </w:r>
          </w:p>
        </w:tc>
        <w:tc>
          <w:tcPr>
            <w:tcW w:type="dxa" w:w="1339"/>
          </w:tcPr>
          <w:p>
            <w:pPr>
              <w:spacing w:after="20"/>
              <w:jc w:val="right"/>
            </w:pPr>
            <w:r>
              <w:rPr>
                <w:color w:val="1C3A36"/>
                <w:sz w:val="17"/>
              </w:rPr>
              <w:t>5,426</w:t>
            </w:r>
          </w:p>
        </w:tc>
        <w:tc>
          <w:tcPr>
            <w:tcW w:type="dxa" w:w="1339"/>
          </w:tcPr>
          <w:p>
            <w:pPr>
              <w:spacing w:after="20"/>
              <w:jc w:val="right"/>
            </w:pPr>
            <w:r>
              <w:rPr>
                <w:color w:val="1C3A36"/>
                <w:sz w:val="17"/>
              </w:rPr>
              <w:t>6,328</w:t>
            </w:r>
          </w:p>
        </w:tc>
        <w:tc>
          <w:tcPr>
            <w:tcW w:type="dxa" w:w="1339"/>
          </w:tcPr>
          <w:p>
            <w:pPr>
              <w:spacing w:after="20"/>
              <w:jc w:val="right"/>
            </w:pPr>
            <w:r>
              <w:rPr>
                <w:color w:val="1C3A36"/>
                <w:sz w:val="17"/>
              </w:rPr>
              <w:t>7,531</w:t>
            </w:r>
          </w:p>
        </w:tc>
        <w:tc>
          <w:tcPr>
            <w:tcW w:type="dxa" w:w="1339"/>
          </w:tcPr>
          <w:p>
            <w:pPr>
              <w:spacing w:after="20"/>
              <w:jc w:val="right"/>
            </w:pPr>
            <w:r>
              <w:rPr>
                <w:color w:val="1C3A36"/>
                <w:sz w:val="17"/>
              </w:rPr>
              <w:t>8,366</w:t>
            </w:r>
          </w:p>
        </w:tc>
        <w:tc>
          <w:tcPr>
            <w:tcW w:type="dxa" w:w="1339"/>
          </w:tcPr>
          <w:p>
            <w:pPr>
              <w:spacing w:after="20"/>
              <w:jc w:val="right"/>
            </w:pPr>
            <w:r>
              <w:rPr>
                <w:color w:val="1C3A36"/>
                <w:sz w:val="17"/>
              </w:rPr>
              <w:t>9,332</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048"/>
            <w:shd w:val="clear" w:color="auto" w:fill="EAF0EE"/>
          </w:tcPr>
          <w:p>
            <w:pPr>
              <w:spacing w:after="20"/>
            </w:pPr>
            <w:r>
              <w:rPr>
                <w:b/>
                <w:color w:val="1C3A36"/>
                <w:sz w:val="18"/>
              </w:rPr>
              <w:t>Terminal value &amp; bridge to per-share</w:t>
            </w:r>
          </w:p>
        </w:tc>
        <w:tc>
          <w:tcPr>
            <w:tcW w:type="dxa" w:w="2304"/>
            <w:shd w:val="clear" w:color="auto" w:fill="EAF0EE"/>
          </w:tcPr>
          <w:p>
            <w:pPr>
              <w:spacing w:after="20"/>
            </w:pPr>
            <w:r>
              <w:rPr>
                <w:b/>
                <w:color w:val="1C3A36"/>
                <w:sz w:val="18"/>
              </w:rPr>
              <w:t>AED mn</w:t>
            </w:r>
          </w:p>
        </w:tc>
      </w:tr>
      <w:tr>
        <w:tc>
          <w:tcPr>
            <w:tcW w:type="dxa" w:w="6048"/>
          </w:tcPr>
          <w:p>
            <w:pPr>
              <w:spacing w:after="20"/>
            </w:pPr>
            <w:r>
              <w:rPr>
                <w:b/>
                <w:color w:val="1C3A36"/>
                <w:sz w:val="18"/>
              </w:rPr>
              <w:t>Sum of PV of explicit FCFE (FY26–30)</w:t>
            </w:r>
          </w:p>
        </w:tc>
        <w:tc>
          <w:tcPr>
            <w:tcW w:type="dxa" w:w="2304"/>
          </w:tcPr>
          <w:p>
            <w:pPr>
              <w:spacing w:after="20"/>
              <w:jc w:val="right"/>
            </w:pPr>
            <w:r>
              <w:rPr>
                <w:color w:val="1C3A36"/>
                <w:sz w:val="18"/>
              </w:rPr>
              <w:t>36,983</w:t>
            </w:r>
          </w:p>
        </w:tc>
      </w:tr>
      <w:tr>
        <w:tc>
          <w:tcPr>
            <w:tcW w:type="dxa" w:w="6048"/>
          </w:tcPr>
          <w:p>
            <w:pPr>
              <w:spacing w:after="20"/>
            </w:pPr>
            <w:r>
              <w:rPr>
                <w:b/>
                <w:color w:val="1C3A36"/>
                <w:sz w:val="18"/>
              </w:rPr>
              <w:t>Terminal FCFE (FY31) = FY30 FCFE × (1 + g)</w:t>
            </w:r>
          </w:p>
        </w:tc>
        <w:tc>
          <w:tcPr>
            <w:tcW w:type="dxa" w:w="2304"/>
          </w:tcPr>
          <w:p>
            <w:pPr>
              <w:spacing w:after="20"/>
              <w:jc w:val="right"/>
            </w:pPr>
            <w:r>
              <w:rPr>
                <w:color w:val="1C3A36"/>
                <w:sz w:val="18"/>
              </w:rPr>
              <w:t>16,040</w:t>
            </w:r>
          </w:p>
        </w:tc>
      </w:tr>
      <w:tr>
        <w:tc>
          <w:tcPr>
            <w:tcW w:type="dxa" w:w="6048"/>
          </w:tcPr>
          <w:p>
            <w:pPr>
              <w:spacing w:after="20"/>
            </w:pPr>
            <w:r>
              <w:rPr>
                <w:b/>
                <w:color w:val="1C3A36"/>
                <w:sz w:val="18"/>
              </w:rPr>
              <w:t>Terminal value = terminal FCFE ÷ (Ke − g)</w:t>
            </w:r>
          </w:p>
        </w:tc>
        <w:tc>
          <w:tcPr>
            <w:tcW w:type="dxa" w:w="2304"/>
          </w:tcPr>
          <w:p>
            <w:pPr>
              <w:spacing w:after="20"/>
              <w:jc w:val="right"/>
            </w:pPr>
            <w:r>
              <w:rPr>
                <w:color w:val="1C3A36"/>
                <w:sz w:val="18"/>
              </w:rPr>
              <w:t>244,142</w:t>
            </w:r>
          </w:p>
        </w:tc>
      </w:tr>
      <w:tr>
        <w:tc>
          <w:tcPr>
            <w:tcW w:type="dxa" w:w="6048"/>
          </w:tcPr>
          <w:p>
            <w:pPr>
              <w:spacing w:after="20"/>
            </w:pPr>
            <w:r>
              <w:rPr>
                <w:b/>
                <w:color w:val="1C3A36"/>
                <w:sz w:val="18"/>
              </w:rPr>
              <w:t>PV of terminal value</w:t>
            </w:r>
          </w:p>
        </w:tc>
        <w:tc>
          <w:tcPr>
            <w:tcW w:type="dxa" w:w="2304"/>
          </w:tcPr>
          <w:p>
            <w:pPr>
              <w:spacing w:after="20"/>
              <w:jc w:val="right"/>
            </w:pPr>
            <w:r>
              <w:rPr>
                <w:color w:val="1C3A36"/>
                <w:sz w:val="18"/>
              </w:rPr>
              <w:t>147,726</w:t>
            </w:r>
          </w:p>
        </w:tc>
      </w:tr>
      <w:tr>
        <w:tc>
          <w:tcPr>
            <w:tcW w:type="dxa" w:w="6048"/>
          </w:tcPr>
          <w:p>
            <w:pPr>
              <w:spacing w:after="20"/>
            </w:pPr>
            <w:r>
              <w:rPr>
                <w:b/>
                <w:color w:val="1C3A36"/>
                <w:sz w:val="18"/>
              </w:rPr>
              <w:t>Equity value = Σ PV explicit + PV terminal</w:t>
            </w:r>
          </w:p>
        </w:tc>
        <w:tc>
          <w:tcPr>
            <w:tcW w:type="dxa" w:w="2304"/>
          </w:tcPr>
          <w:p>
            <w:pPr>
              <w:spacing w:after="20"/>
              <w:jc w:val="right"/>
            </w:pPr>
            <w:r>
              <w:rPr>
                <w:color w:val="1C3A36"/>
                <w:sz w:val="18"/>
              </w:rPr>
              <w:t>184,709</w:t>
            </w:r>
          </w:p>
        </w:tc>
      </w:tr>
      <w:tr>
        <w:tc>
          <w:tcPr>
            <w:tcW w:type="dxa" w:w="6048"/>
          </w:tcPr>
          <w:p>
            <w:pPr>
              <w:spacing w:after="20"/>
            </w:pPr>
            <w:r>
              <w:rPr>
                <w:b/>
                <w:color w:val="1C3A36"/>
                <w:sz w:val="18"/>
              </w:rPr>
              <w:t>÷ shares outstanding (mn)</w:t>
            </w:r>
          </w:p>
        </w:tc>
        <w:tc>
          <w:tcPr>
            <w:tcW w:type="dxa" w:w="2304"/>
          </w:tcPr>
          <w:p>
            <w:pPr>
              <w:spacing w:after="20"/>
              <w:jc w:val="right"/>
            </w:pPr>
            <w:r>
              <w:rPr>
                <w:color w:val="1C3A36"/>
                <w:sz w:val="18"/>
              </w:rPr>
              <w:t>7,912</w:t>
            </w:r>
          </w:p>
        </w:tc>
      </w:tr>
      <w:tr>
        <w:tc>
          <w:tcPr>
            <w:tcW w:type="dxa" w:w="6048"/>
          </w:tcPr>
          <w:p>
            <w:pPr>
              <w:spacing w:after="20"/>
            </w:pPr>
            <w:r>
              <w:rPr>
                <w:b/>
                <w:color w:val="1C3A36"/>
                <w:sz w:val="18"/>
              </w:rPr>
              <w:t>FCFE value per share</w:t>
            </w:r>
          </w:p>
        </w:tc>
        <w:tc>
          <w:tcPr>
            <w:tcW w:type="dxa" w:w="2304"/>
          </w:tcPr>
          <w:p>
            <w:pPr>
              <w:spacing w:after="20"/>
              <w:jc w:val="right"/>
            </w:pPr>
            <w:r>
              <w:rPr>
                <w:color w:val="1C3A36"/>
                <w:sz w:val="18"/>
              </w:rPr>
              <w:t>AED 23.3</w:t>
            </w:r>
          </w:p>
        </w:tc>
      </w:tr>
      <w:tr>
        <w:tc>
          <w:tcPr>
            <w:tcW w:type="dxa" w:w="6048"/>
            <w:shd w:val="clear" w:color="auto" w:fill="F6F1E6"/>
          </w:tcPr>
          <w:p>
            <w:pPr>
              <w:spacing w:after="20"/>
            </w:pPr>
            <w:r>
              <w:rPr>
                <w:b/>
                <w:color w:val="1C3A36"/>
                <w:sz w:val="18"/>
              </w:rPr>
              <w:t>Memo: terminal value as % of equity value</w:t>
            </w:r>
          </w:p>
        </w:tc>
        <w:tc>
          <w:tcPr>
            <w:tcW w:type="dxa" w:w="2304"/>
            <w:shd w:val="clear" w:color="auto" w:fill="F6F1E6"/>
          </w:tcPr>
          <w:p>
            <w:pPr>
              <w:spacing w:after="20"/>
              <w:jc w:val="right"/>
            </w:pPr>
            <w:r>
              <w:rPr>
                <w:b/>
                <w:color w:val="1C3A36"/>
                <w:sz w:val="18"/>
              </w:rPr>
              <w:t>80%</w:t>
            </w:r>
          </w:p>
        </w:tc>
      </w:tr>
    </w:tbl>
    <w:p>
      <w:pPr>
        <w:spacing w:after="40"/>
      </w:pPr>
    </w:p>
    <w:p>
      <w:pPr>
        <w:spacing w:after="120" w:before="0"/>
      </w:pPr>
      <w:r>
        <w:rPr>
          <w:b w:val="0"/>
          <w:i w:val="0"/>
          <w:color w:val="1C3A36"/>
          <w:sz w:val="21"/>
        </w:rPr>
        <w:t>The equity DCF lands at AED 23.3 — above the dividend model — for a specific reason: in FY26–27 the bank retains more capital than its declared dividend requires, because the December rights issue left it with surplus buffer. That surplus is distributable value the dividend model only collects years later in its terminal payout, whereas the equity DCF counts it as it is generated. The terminal block is 80% of the total, so this number is as much a claim about ADCB’s steady state (a mid-teens return on equity growing at 4%) as about the next five years — which is exactly what the sensitivity grid in §1.10 stresses.</w:t>
      </w:r>
    </w:p>
    <w:p>
      <w:pPr>
        <w:spacing w:after="80" w:before="200"/>
      </w:pPr>
      <w:r>
        <w:rPr>
          <w:b/>
          <w:i w:val="0"/>
          <w:color w:val="1C3A36"/>
          <w:sz w:val="24"/>
        </w:rPr>
        <w:t>1.3  Residual income — book value plus the value of excess returns</w:t>
      </w:r>
    </w:p>
    <w:p>
      <w:pPr>
        <w:spacing w:after="120" w:before="0"/>
      </w:pPr>
      <w:r>
        <w:rPr>
          <w:b w:val="0"/>
          <w:i w:val="0"/>
          <w:color w:val="1C3A36"/>
          <w:sz w:val="21"/>
        </w:rPr>
        <w:t>Residual income starts from what shareholders already own (common book value, AED 78.5bn at Dec-2025, post-rights, after deducting an estimated AED 6.0bn of Tier-1 capital notes — a split we derived rather than one the bank disclosed, and flagged as such) and adds only the present value of returns above the cost of equity. It is the lens least dependent on terminal assumptions and the natural cross-check on both DCFs.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024"/>
            <w:shd w:val="clear" w:color="auto" w:fill="EAF0EE"/>
          </w:tcPr>
          <w:p>
            <w:pPr>
              <w:spacing w:after="20"/>
            </w:pPr>
            <w:r>
              <w:rPr>
                <w:b/>
                <w:color w:val="1C3A36"/>
                <w:sz w:val="18"/>
              </w:rPr>
              <w:t>AED mn</w:t>
            </w:r>
          </w:p>
        </w:tc>
        <w:tc>
          <w:tcPr>
            <w:tcW w:type="dxa" w:w="1411"/>
            <w:shd w:val="clear" w:color="auto" w:fill="EAF0EE"/>
          </w:tcPr>
          <w:p>
            <w:pPr>
              <w:spacing w:after="20"/>
            </w:pPr>
            <w:r>
              <w:rPr>
                <w:b/>
                <w:color w:val="1C3A36"/>
                <w:sz w:val="18"/>
              </w:rPr>
              <w:t>FY26E</w:t>
            </w:r>
          </w:p>
        </w:tc>
        <w:tc>
          <w:tcPr>
            <w:tcW w:type="dxa" w:w="1411"/>
            <w:shd w:val="clear" w:color="auto" w:fill="EAF0EE"/>
          </w:tcPr>
          <w:p>
            <w:pPr>
              <w:spacing w:after="20"/>
            </w:pPr>
            <w:r>
              <w:rPr>
                <w:b/>
                <w:color w:val="1C3A36"/>
                <w:sz w:val="18"/>
              </w:rPr>
              <w:t>FY27E</w:t>
            </w:r>
          </w:p>
        </w:tc>
        <w:tc>
          <w:tcPr>
            <w:tcW w:type="dxa" w:w="1411"/>
            <w:shd w:val="clear" w:color="auto" w:fill="EAF0EE"/>
          </w:tcPr>
          <w:p>
            <w:pPr>
              <w:spacing w:after="20"/>
            </w:pPr>
            <w:r>
              <w:rPr>
                <w:b/>
                <w:color w:val="1C3A36"/>
                <w:sz w:val="18"/>
              </w:rPr>
              <w:t>FY28E</w:t>
            </w:r>
          </w:p>
        </w:tc>
        <w:tc>
          <w:tcPr>
            <w:tcW w:type="dxa" w:w="1411"/>
            <w:shd w:val="clear" w:color="auto" w:fill="EAF0EE"/>
          </w:tcPr>
          <w:p>
            <w:pPr>
              <w:spacing w:after="20"/>
            </w:pPr>
            <w:r>
              <w:rPr>
                <w:b/>
                <w:color w:val="1C3A36"/>
                <w:sz w:val="18"/>
              </w:rPr>
              <w:t>FY29E</w:t>
            </w:r>
          </w:p>
        </w:tc>
        <w:tc>
          <w:tcPr>
            <w:tcW w:type="dxa" w:w="1411"/>
            <w:shd w:val="clear" w:color="auto" w:fill="EAF0EE"/>
          </w:tcPr>
          <w:p>
            <w:pPr>
              <w:spacing w:after="20"/>
            </w:pPr>
            <w:r>
              <w:rPr>
                <w:b/>
                <w:color w:val="1C3A36"/>
                <w:sz w:val="18"/>
              </w:rPr>
              <w:t>FY30E</w:t>
            </w:r>
          </w:p>
        </w:tc>
      </w:tr>
      <w:tr>
        <w:tc>
          <w:tcPr>
            <w:tcW w:type="dxa" w:w="3024"/>
          </w:tcPr>
          <w:p>
            <w:pPr>
              <w:spacing w:after="20"/>
            </w:pPr>
            <w:r>
              <w:rPr>
                <w:b/>
                <w:color w:val="1C3A36"/>
                <w:sz w:val="18"/>
              </w:rPr>
              <w:t>Opening common equity</w:t>
            </w:r>
          </w:p>
        </w:tc>
        <w:tc>
          <w:tcPr>
            <w:tcW w:type="dxa" w:w="1411"/>
          </w:tcPr>
          <w:p>
            <w:pPr>
              <w:spacing w:after="20"/>
              <w:jc w:val="right"/>
            </w:pPr>
            <w:r>
              <w:rPr>
                <w:color w:val="1C3A36"/>
                <w:sz w:val="18"/>
              </w:rPr>
              <w:t>78,500</w:t>
            </w:r>
          </w:p>
        </w:tc>
        <w:tc>
          <w:tcPr>
            <w:tcW w:type="dxa" w:w="1411"/>
          </w:tcPr>
          <w:p>
            <w:pPr>
              <w:spacing w:after="20"/>
              <w:jc w:val="right"/>
            </w:pPr>
            <w:r>
              <w:rPr>
                <w:color w:val="1C3A36"/>
                <w:sz w:val="18"/>
              </w:rPr>
              <w:t>87,019</w:t>
            </w:r>
          </w:p>
        </w:tc>
        <w:tc>
          <w:tcPr>
            <w:tcW w:type="dxa" w:w="1411"/>
          </w:tcPr>
          <w:p>
            <w:pPr>
              <w:spacing w:after="20"/>
              <w:jc w:val="right"/>
            </w:pPr>
            <w:r>
              <w:rPr>
                <w:color w:val="1C3A36"/>
                <w:sz w:val="18"/>
              </w:rPr>
              <w:t>96,427</w:t>
            </w:r>
          </w:p>
        </w:tc>
        <w:tc>
          <w:tcPr>
            <w:tcW w:type="dxa" w:w="1411"/>
          </w:tcPr>
          <w:p>
            <w:pPr>
              <w:spacing w:after="20"/>
              <w:jc w:val="right"/>
            </w:pPr>
            <w:r>
              <w:rPr>
                <w:color w:val="1C3A36"/>
                <w:sz w:val="18"/>
              </w:rPr>
              <w:t>107,174</w:t>
            </w:r>
          </w:p>
        </w:tc>
        <w:tc>
          <w:tcPr>
            <w:tcW w:type="dxa" w:w="1411"/>
          </w:tcPr>
          <w:p>
            <w:pPr>
              <w:spacing w:after="20"/>
              <w:jc w:val="right"/>
            </w:pPr>
            <w:r>
              <w:rPr>
                <w:color w:val="1C3A36"/>
                <w:sz w:val="18"/>
              </w:rPr>
              <w:t>119,528</w:t>
            </w:r>
          </w:p>
        </w:tc>
      </w:tr>
      <w:tr>
        <w:tc>
          <w:tcPr>
            <w:tcW w:type="dxa" w:w="3024"/>
          </w:tcPr>
          <w:p>
            <w:pPr>
              <w:spacing w:after="20"/>
            </w:pPr>
            <w:r>
              <w:rPr>
                <w:b/>
                <w:color w:val="1C3A36"/>
                <w:sz w:val="18"/>
              </w:rPr>
              <w:t>Equity charge (Ke × opening)</w:t>
            </w:r>
          </w:p>
        </w:tc>
        <w:tc>
          <w:tcPr>
            <w:tcW w:type="dxa" w:w="1411"/>
          </w:tcPr>
          <w:p>
            <w:pPr>
              <w:spacing w:after="20"/>
              <w:jc w:val="right"/>
            </w:pPr>
            <w:r>
              <w:rPr>
                <w:color w:val="1C3A36"/>
                <w:sz w:val="18"/>
              </w:rPr>
              <w:t>-8,297</w:t>
            </w:r>
          </w:p>
        </w:tc>
        <w:tc>
          <w:tcPr>
            <w:tcW w:type="dxa" w:w="1411"/>
          </w:tcPr>
          <w:p>
            <w:pPr>
              <w:spacing w:after="20"/>
              <w:jc w:val="right"/>
            </w:pPr>
            <w:r>
              <w:rPr>
                <w:color w:val="1C3A36"/>
                <w:sz w:val="18"/>
              </w:rPr>
              <w:t>-9,198</w:t>
            </w:r>
          </w:p>
        </w:tc>
        <w:tc>
          <w:tcPr>
            <w:tcW w:type="dxa" w:w="1411"/>
          </w:tcPr>
          <w:p>
            <w:pPr>
              <w:spacing w:after="20"/>
              <w:jc w:val="right"/>
            </w:pPr>
            <w:r>
              <w:rPr>
                <w:color w:val="1C3A36"/>
                <w:sz w:val="18"/>
              </w:rPr>
              <w:t>-10,192</w:t>
            </w:r>
          </w:p>
        </w:tc>
        <w:tc>
          <w:tcPr>
            <w:tcW w:type="dxa" w:w="1411"/>
          </w:tcPr>
          <w:p>
            <w:pPr>
              <w:spacing w:after="20"/>
              <w:jc w:val="right"/>
            </w:pPr>
            <w:r>
              <w:rPr>
                <w:color w:val="1C3A36"/>
                <w:sz w:val="18"/>
              </w:rPr>
              <w:t>-11,328</w:t>
            </w:r>
          </w:p>
        </w:tc>
        <w:tc>
          <w:tcPr>
            <w:tcW w:type="dxa" w:w="1411"/>
          </w:tcPr>
          <w:p>
            <w:pPr>
              <w:spacing w:after="20"/>
              <w:jc w:val="right"/>
            </w:pPr>
            <w:r>
              <w:rPr>
                <w:color w:val="1C3A36"/>
                <w:sz w:val="18"/>
              </w:rPr>
              <w:t>-12,634</w:t>
            </w:r>
          </w:p>
        </w:tc>
      </w:tr>
      <w:tr>
        <w:tc>
          <w:tcPr>
            <w:tcW w:type="dxa" w:w="3024"/>
          </w:tcPr>
          <w:p>
            <w:pPr>
              <w:spacing w:after="20"/>
            </w:pPr>
            <w:r>
              <w:rPr>
                <w:b/>
                <w:color w:val="1C3A36"/>
                <w:sz w:val="18"/>
              </w:rPr>
              <w:t>Net profit</w:t>
            </w:r>
          </w:p>
        </w:tc>
        <w:tc>
          <w:tcPr>
            <w:tcW w:type="dxa" w:w="1411"/>
          </w:tcPr>
          <w:p>
            <w:pPr>
              <w:spacing w:after="20"/>
              <w:jc w:val="right"/>
            </w:pPr>
            <w:r>
              <w:rPr>
                <w:color w:val="1C3A36"/>
                <w:sz w:val="18"/>
              </w:rPr>
              <w:t>13,740</w:t>
            </w:r>
          </w:p>
        </w:tc>
        <w:tc>
          <w:tcPr>
            <w:tcW w:type="dxa" w:w="1411"/>
          </w:tcPr>
          <w:p>
            <w:pPr>
              <w:spacing w:after="20"/>
              <w:jc w:val="right"/>
            </w:pPr>
            <w:r>
              <w:rPr>
                <w:color w:val="1C3A36"/>
                <w:sz w:val="18"/>
              </w:rPr>
              <w:t>14,934</w:t>
            </w:r>
          </w:p>
        </w:tc>
        <w:tc>
          <w:tcPr>
            <w:tcW w:type="dxa" w:w="1411"/>
          </w:tcPr>
          <w:p>
            <w:pPr>
              <w:spacing w:after="20"/>
              <w:jc w:val="right"/>
            </w:pPr>
            <w:r>
              <w:rPr>
                <w:color w:val="1C3A36"/>
                <w:sz w:val="18"/>
              </w:rPr>
              <w:t>16,791</w:t>
            </w:r>
          </w:p>
        </w:tc>
        <w:tc>
          <w:tcPr>
            <w:tcW w:type="dxa" w:w="1411"/>
          </w:tcPr>
          <w:p>
            <w:pPr>
              <w:spacing w:after="20"/>
              <w:jc w:val="right"/>
            </w:pPr>
            <w:r>
              <w:rPr>
                <w:color w:val="1C3A36"/>
                <w:sz w:val="18"/>
              </w:rPr>
              <w:t>18,719</w:t>
            </w:r>
          </w:p>
        </w:tc>
        <w:tc>
          <w:tcPr>
            <w:tcW w:type="dxa" w:w="1411"/>
          </w:tcPr>
          <w:p>
            <w:pPr>
              <w:spacing w:after="20"/>
              <w:jc w:val="right"/>
            </w:pPr>
            <w:r>
              <w:rPr>
                <w:color w:val="1C3A36"/>
                <w:sz w:val="18"/>
              </w:rPr>
              <w:t>20,685</w:t>
            </w:r>
          </w:p>
        </w:tc>
      </w:tr>
      <w:tr>
        <w:tc>
          <w:tcPr>
            <w:tcW w:type="dxa" w:w="3024"/>
            <w:shd w:val="clear" w:color="auto" w:fill="F6F1E6"/>
          </w:tcPr>
          <w:p>
            <w:pPr>
              <w:spacing w:after="20"/>
            </w:pPr>
            <w:r>
              <w:rPr>
                <w:b/>
                <w:color w:val="1C3A36"/>
                <w:sz w:val="18"/>
              </w:rPr>
              <w:t>Residual income</w:t>
            </w:r>
          </w:p>
        </w:tc>
        <w:tc>
          <w:tcPr>
            <w:tcW w:type="dxa" w:w="1411"/>
            <w:shd w:val="clear" w:color="auto" w:fill="F6F1E6"/>
          </w:tcPr>
          <w:p>
            <w:pPr>
              <w:spacing w:after="20"/>
              <w:jc w:val="right"/>
            </w:pPr>
            <w:r>
              <w:rPr>
                <w:b/>
                <w:color w:val="1C3A36"/>
                <w:sz w:val="18"/>
              </w:rPr>
              <w:t>5,443</w:t>
            </w:r>
          </w:p>
        </w:tc>
        <w:tc>
          <w:tcPr>
            <w:tcW w:type="dxa" w:w="1411"/>
            <w:shd w:val="clear" w:color="auto" w:fill="F6F1E6"/>
          </w:tcPr>
          <w:p>
            <w:pPr>
              <w:spacing w:after="20"/>
              <w:jc w:val="right"/>
            </w:pPr>
            <w:r>
              <w:rPr>
                <w:b/>
                <w:color w:val="1C3A36"/>
                <w:sz w:val="18"/>
              </w:rPr>
              <w:t>5,736</w:t>
            </w:r>
          </w:p>
        </w:tc>
        <w:tc>
          <w:tcPr>
            <w:tcW w:type="dxa" w:w="1411"/>
            <w:shd w:val="clear" w:color="auto" w:fill="F6F1E6"/>
          </w:tcPr>
          <w:p>
            <w:pPr>
              <w:spacing w:after="20"/>
              <w:jc w:val="right"/>
            </w:pPr>
            <w:r>
              <w:rPr>
                <w:b/>
                <w:color w:val="1C3A36"/>
                <w:sz w:val="18"/>
              </w:rPr>
              <w:t>6,599</w:t>
            </w:r>
          </w:p>
        </w:tc>
        <w:tc>
          <w:tcPr>
            <w:tcW w:type="dxa" w:w="1411"/>
            <w:shd w:val="clear" w:color="auto" w:fill="F6F1E6"/>
          </w:tcPr>
          <w:p>
            <w:pPr>
              <w:spacing w:after="20"/>
              <w:jc w:val="right"/>
            </w:pPr>
            <w:r>
              <w:rPr>
                <w:b/>
                <w:color w:val="1C3A36"/>
                <w:sz w:val="18"/>
              </w:rPr>
              <w:t>7,391</w:t>
            </w:r>
          </w:p>
        </w:tc>
        <w:tc>
          <w:tcPr>
            <w:tcW w:type="dxa" w:w="1411"/>
            <w:shd w:val="clear" w:color="auto" w:fill="F6F1E6"/>
          </w:tcPr>
          <w:p>
            <w:pPr>
              <w:spacing w:after="20"/>
              <w:jc w:val="right"/>
            </w:pPr>
            <w:r>
              <w:rPr>
                <w:b/>
                <w:color w:val="1C3A36"/>
                <w:sz w:val="18"/>
              </w:rPr>
              <w:t>8,051</w:t>
            </w:r>
          </w:p>
        </w:tc>
      </w:tr>
    </w:tbl>
    <w:p>
      <w:pPr>
        <w:spacing w:after="40"/>
      </w:pPr>
    </w:p>
    <w:p>
      <w:pPr>
        <w:spacing w:after="120" w:before="0"/>
      </w:pPr>
      <w:r>
        <w:rPr>
          <w:b w:val="0"/>
          <w:i w:val="0"/>
          <w:color w:val="1C3A36"/>
          <w:sz w:val="21"/>
        </w:rPr>
        <w:t>Book AED 78.5bn + PV of explicit RI AED 24.3bn + PV of terminal RI AED 77.1bn = AED 179.9bn, or AED 22.7 per share — an implied 2.29× on current common book. Because ADCB earns ~15–16% against a ~10.6% Ke, more than half the RI value is already on the balance sheet today; the lens lands near the FCFE precisely because both are counting the same excess-return engine two different ways.</w:t>
      </w:r>
    </w:p>
    <w:p>
      <w:pPr>
        <w:spacing w:after="80" w:before="200"/>
      </w:pPr>
      <w:r>
        <w:rPr>
          <w:b/>
          <w:i w:val="0"/>
          <w:color w:val="1C3A36"/>
          <w:sz w:val="24"/>
        </w:rPr>
        <w:t>1.4  Relative multiples — what the sector will pay today</w:t>
      </w:r>
    </w:p>
    <w:p>
      <w:pPr>
        <w:spacing w:after="120" w:before="0"/>
      </w:pPr>
      <w:r>
        <w:rPr>
          <w:b w:val="0"/>
          <w:i w:val="0"/>
          <w:color w:val="1C3A36"/>
          <w:sz w:val="21"/>
        </w:rPr>
        <w:t>The disciplining lens. UAE large-cap banks trade around 1.55× book and ~9.5× forward earnings after the war-year de-rating. Applying those sector marks to ADCB’s own post-rights book (1.55× × BVPS 9.92 = AED 15.4) and FY26E EPS (9.5× × 1.74 = AED 16.5) blends to AED 15.9 — essentially the current price. The message is clean: ADCB is not mispriced against its peers; the entire complex is priced for a 10.5%+ cost of equity and no strategy delivery. The relative lens can only converge on the DCF family if the sector re-rates (de-escalation, rate cuts) or ADCB’s ROE visibly decouples.</w:t>
      </w:r>
    </w:p>
    <w:p>
      <w:pPr>
        <w:spacing w:after="80" w:before="200"/>
      </w:pPr>
      <w:r>
        <w:rPr>
          <w:b/>
          <w:i w:val="0"/>
          <w:color w:val="1C3A36"/>
          <w:sz w:val="24"/>
        </w:rPr>
        <w:t>1.5  Normalized-earnings value — the conservative, through-cycle case</w:t>
      </w:r>
    </w:p>
    <w:p>
      <w:pPr>
        <w:spacing w:after="120" w:before="0"/>
      </w:pPr>
      <w:r>
        <w:rPr>
          <w:b w:val="0"/>
          <w:i w:val="0"/>
          <w:color w:val="1C3A36"/>
          <w:sz w:val="21"/>
        </w:rPr>
        <w:t>This lens sets aside the current profitability surge and asks what ADCB is worth on mid-cycle earnings — but, crucially, values those earnings at the multiple they actually warrant rather than an arbitrarily low one. Through-cycle return on equity of 13.5% (the FY22–24 average, below the 15–16% run-rate) on post-rights book gives normalized earnings per share of AED 1.34. A bank that sustainably earns 13.5% and grows at 4% is worth a price-to-book of (13.5 − 4) ÷ (10.57 − 4) = 1.45×, which on book value per share of AED 9.92 is AED 14.3 — an implied 10.7× on those normalized earnings, and about 5% below today’s price. Valuing the earnings at the price-to-book their return justifies keeps this lens internally consistent with the others, which all discount at the same cost of equity. The reading is deliberately sober: even cutting the current run-rate back to mid-cycle and pricing it fairly, ADCB is close to fairly valued — so the upside to the cash-flow lenses rests specifically on the run-rate return on equity holding above the through-cycle 13.5%, not on any multiple re-rating. This value sits around the lower quartile of the three-month distribution in §3 (25th percentile AED 13.95), a reminder that the conservative case is a modestly-lower fair value, not a crash.</w:t>
      </w:r>
    </w:p>
    <w:p>
      <w:pPr>
        <w:spacing w:after="80" w:before="200"/>
      </w:pPr>
      <w:r>
        <w:rPr>
          <w:b/>
          <w:i w:val="0"/>
          <w:color w:val="1C3A36"/>
          <w:sz w:val="24"/>
        </w:rPr>
        <w:t>1.6  Synthesis — weights and the football field</w:t>
      </w:r>
    </w:p>
    <w:p>
      <w:pPr>
        <w:spacing w:after="120" w:before="0"/>
      </w:pPr>
      <w:r>
        <w:rPr>
          <w:b w:val="0"/>
          <w:i w:val="0"/>
          <w:color w:val="1C3A36"/>
          <w:sz w:val="21"/>
        </w:rPr>
        <w:t>Weights reflect how much each lens can be trusted for a bank of this kind: the dividend model leads because ADCB’s distribution policy is explicit and board-committed; residual income and the equity DCF share the fundamental weight because they value the same excess-return engine two ways; the relative lens earns real weight because it is the only one anchored to prices the market is setting today; and the normalized through-cycle value keeps the whole set honest against a cyclical-earnings reading.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880"/>
            <w:shd w:val="clear" w:color="auto" w:fill="EAF0EE"/>
          </w:tcPr>
          <w:p>
            <w:pPr>
              <w:spacing w:after="20"/>
            </w:pPr>
            <w:r>
              <w:rPr>
                <w:b/>
                <w:color w:val="1C3A36"/>
                <w:sz w:val="18"/>
              </w:rPr>
              <w:t>Lens</w:t>
            </w:r>
          </w:p>
        </w:tc>
        <w:tc>
          <w:tcPr>
            <w:tcW w:type="dxa" w:w="1872"/>
            <w:shd w:val="clear" w:color="auto" w:fill="EAF0EE"/>
          </w:tcPr>
          <w:p>
            <w:pPr>
              <w:spacing w:after="20"/>
            </w:pPr>
            <w:r>
              <w:rPr>
                <w:b/>
                <w:color w:val="1C3A36"/>
                <w:sz w:val="18"/>
              </w:rPr>
              <w:t>Value (AED)</w:t>
            </w:r>
          </w:p>
        </w:tc>
        <w:tc>
          <w:tcPr>
            <w:tcW w:type="dxa" w:w="1440"/>
            <w:shd w:val="clear" w:color="auto" w:fill="EAF0EE"/>
          </w:tcPr>
          <w:p>
            <w:pPr>
              <w:spacing w:after="20"/>
            </w:pPr>
            <w:r>
              <w:rPr>
                <w:b/>
                <w:color w:val="1C3A36"/>
                <w:sz w:val="18"/>
              </w:rPr>
              <w:t>Weight</w:t>
            </w:r>
          </w:p>
        </w:tc>
        <w:tc>
          <w:tcPr>
            <w:tcW w:type="dxa" w:w="2016"/>
            <w:shd w:val="clear" w:color="auto" w:fill="EAF0EE"/>
          </w:tcPr>
          <w:p>
            <w:pPr>
              <w:spacing w:after="20"/>
            </w:pPr>
            <w:r>
              <w:rPr>
                <w:b/>
                <w:color w:val="1C3A36"/>
                <w:sz w:val="18"/>
              </w:rPr>
              <w:t>Contribution</w:t>
            </w:r>
          </w:p>
        </w:tc>
      </w:tr>
      <w:tr>
        <w:tc>
          <w:tcPr>
            <w:tcW w:type="dxa" w:w="2880"/>
          </w:tcPr>
          <w:p>
            <w:pPr>
              <w:spacing w:after="20"/>
            </w:pPr>
            <w:r>
              <w:rPr>
                <w:b/>
                <w:color w:val="1C3A36"/>
                <w:sz w:val="18"/>
              </w:rPr>
              <w:t>DDM (primary)</w:t>
            </w:r>
          </w:p>
        </w:tc>
        <w:tc>
          <w:tcPr>
            <w:tcW w:type="dxa" w:w="1872"/>
          </w:tcPr>
          <w:p>
            <w:pPr>
              <w:spacing w:after="20"/>
              <w:jc w:val="right"/>
            </w:pPr>
            <w:r>
              <w:rPr>
                <w:color w:val="1C3A36"/>
                <w:sz w:val="18"/>
              </w:rPr>
              <w:t>21.2</w:t>
            </w:r>
          </w:p>
        </w:tc>
        <w:tc>
          <w:tcPr>
            <w:tcW w:type="dxa" w:w="1440"/>
          </w:tcPr>
          <w:p>
            <w:pPr>
              <w:spacing w:after="20"/>
              <w:jc w:val="right"/>
            </w:pPr>
            <w:r>
              <w:rPr>
                <w:color w:val="1C3A36"/>
                <w:sz w:val="18"/>
              </w:rPr>
              <w:t>30%</w:t>
            </w:r>
          </w:p>
        </w:tc>
        <w:tc>
          <w:tcPr>
            <w:tcW w:type="dxa" w:w="2016"/>
          </w:tcPr>
          <w:p>
            <w:pPr>
              <w:spacing w:after="20"/>
              <w:jc w:val="right"/>
            </w:pPr>
            <w:r>
              <w:rPr>
                <w:color w:val="1C3A36"/>
                <w:sz w:val="18"/>
              </w:rPr>
              <w:t>6.36</w:t>
            </w:r>
          </w:p>
        </w:tc>
      </w:tr>
      <w:tr>
        <w:tc>
          <w:tcPr>
            <w:tcW w:type="dxa" w:w="2880"/>
          </w:tcPr>
          <w:p>
            <w:pPr>
              <w:spacing w:after="20"/>
            </w:pPr>
            <w:r>
              <w:rPr>
                <w:b/>
                <w:color w:val="1C3A36"/>
                <w:sz w:val="18"/>
              </w:rPr>
              <w:t>Residual income</w:t>
            </w:r>
          </w:p>
        </w:tc>
        <w:tc>
          <w:tcPr>
            <w:tcW w:type="dxa" w:w="1872"/>
          </w:tcPr>
          <w:p>
            <w:pPr>
              <w:spacing w:after="20"/>
              <w:jc w:val="right"/>
            </w:pPr>
            <w:r>
              <w:rPr>
                <w:color w:val="1C3A36"/>
                <w:sz w:val="18"/>
              </w:rPr>
              <w:t>22.7</w:t>
            </w:r>
          </w:p>
        </w:tc>
        <w:tc>
          <w:tcPr>
            <w:tcW w:type="dxa" w:w="1440"/>
          </w:tcPr>
          <w:p>
            <w:pPr>
              <w:spacing w:after="20"/>
              <w:jc w:val="right"/>
            </w:pPr>
            <w:r>
              <w:rPr>
                <w:color w:val="1C3A36"/>
                <w:sz w:val="18"/>
              </w:rPr>
              <w:t>20%</w:t>
            </w:r>
          </w:p>
        </w:tc>
        <w:tc>
          <w:tcPr>
            <w:tcW w:type="dxa" w:w="2016"/>
          </w:tcPr>
          <w:p>
            <w:pPr>
              <w:spacing w:after="20"/>
              <w:jc w:val="right"/>
            </w:pPr>
            <w:r>
              <w:rPr>
                <w:color w:val="1C3A36"/>
                <w:sz w:val="18"/>
              </w:rPr>
              <w:t>4.54</w:t>
            </w:r>
          </w:p>
        </w:tc>
      </w:tr>
      <w:tr>
        <w:tc>
          <w:tcPr>
            <w:tcW w:type="dxa" w:w="2880"/>
          </w:tcPr>
          <w:p>
            <w:pPr>
              <w:spacing w:after="20"/>
            </w:pPr>
            <w:r>
              <w:rPr>
                <w:b/>
                <w:color w:val="1C3A36"/>
                <w:sz w:val="18"/>
              </w:rPr>
              <w:t>FCFE (equity DCF)</w:t>
            </w:r>
          </w:p>
        </w:tc>
        <w:tc>
          <w:tcPr>
            <w:tcW w:type="dxa" w:w="1872"/>
          </w:tcPr>
          <w:p>
            <w:pPr>
              <w:spacing w:after="20"/>
              <w:jc w:val="right"/>
            </w:pPr>
            <w:r>
              <w:rPr>
                <w:color w:val="1C3A36"/>
                <w:sz w:val="18"/>
              </w:rPr>
              <w:t>23.3</w:t>
            </w:r>
          </w:p>
        </w:tc>
        <w:tc>
          <w:tcPr>
            <w:tcW w:type="dxa" w:w="1440"/>
          </w:tcPr>
          <w:p>
            <w:pPr>
              <w:spacing w:after="20"/>
              <w:jc w:val="right"/>
            </w:pPr>
            <w:r>
              <w:rPr>
                <w:color w:val="1C3A36"/>
                <w:sz w:val="18"/>
              </w:rPr>
              <w:t>15%</w:t>
            </w:r>
          </w:p>
        </w:tc>
        <w:tc>
          <w:tcPr>
            <w:tcW w:type="dxa" w:w="2016"/>
          </w:tcPr>
          <w:p>
            <w:pPr>
              <w:spacing w:after="20"/>
              <w:jc w:val="right"/>
            </w:pPr>
            <w:r>
              <w:rPr>
                <w:color w:val="1C3A36"/>
                <w:sz w:val="18"/>
              </w:rPr>
              <w:t>3.50</w:t>
            </w:r>
          </w:p>
        </w:tc>
      </w:tr>
      <w:tr>
        <w:tc>
          <w:tcPr>
            <w:tcW w:type="dxa" w:w="2880"/>
          </w:tcPr>
          <w:p>
            <w:pPr>
              <w:spacing w:after="20"/>
            </w:pPr>
            <w:r>
              <w:rPr>
                <w:b/>
                <w:color w:val="1C3A36"/>
                <w:sz w:val="18"/>
              </w:rPr>
              <w:t>Relative multiples</w:t>
            </w:r>
          </w:p>
        </w:tc>
        <w:tc>
          <w:tcPr>
            <w:tcW w:type="dxa" w:w="1872"/>
          </w:tcPr>
          <w:p>
            <w:pPr>
              <w:spacing w:after="20"/>
              <w:jc w:val="right"/>
            </w:pPr>
            <w:r>
              <w:rPr>
                <w:color w:val="1C3A36"/>
                <w:sz w:val="18"/>
              </w:rPr>
              <w:t>15.9</w:t>
            </w:r>
          </w:p>
        </w:tc>
        <w:tc>
          <w:tcPr>
            <w:tcW w:type="dxa" w:w="1440"/>
          </w:tcPr>
          <w:p>
            <w:pPr>
              <w:spacing w:after="20"/>
              <w:jc w:val="right"/>
            </w:pPr>
            <w:r>
              <w:rPr>
                <w:color w:val="1C3A36"/>
                <w:sz w:val="18"/>
              </w:rPr>
              <w:t>20%</w:t>
            </w:r>
          </w:p>
        </w:tc>
        <w:tc>
          <w:tcPr>
            <w:tcW w:type="dxa" w:w="2016"/>
          </w:tcPr>
          <w:p>
            <w:pPr>
              <w:spacing w:after="20"/>
              <w:jc w:val="right"/>
            </w:pPr>
            <w:r>
              <w:rPr>
                <w:color w:val="1C3A36"/>
                <w:sz w:val="18"/>
              </w:rPr>
              <w:t>3.18</w:t>
            </w:r>
          </w:p>
        </w:tc>
      </w:tr>
      <w:tr>
        <w:tc>
          <w:tcPr>
            <w:tcW w:type="dxa" w:w="2880"/>
          </w:tcPr>
          <w:p>
            <w:pPr>
              <w:spacing w:after="20"/>
            </w:pPr>
            <w:r>
              <w:rPr>
                <w:b/>
                <w:color w:val="1C3A36"/>
                <w:sz w:val="18"/>
              </w:rPr>
              <w:t>Normalized value (through-cycle)</w:t>
            </w:r>
          </w:p>
        </w:tc>
        <w:tc>
          <w:tcPr>
            <w:tcW w:type="dxa" w:w="1872"/>
          </w:tcPr>
          <w:p>
            <w:pPr>
              <w:spacing w:after="20"/>
              <w:jc w:val="right"/>
            </w:pPr>
            <w:r>
              <w:rPr>
                <w:color w:val="1C3A36"/>
                <w:sz w:val="18"/>
              </w:rPr>
              <w:t>14.3</w:t>
            </w:r>
          </w:p>
        </w:tc>
        <w:tc>
          <w:tcPr>
            <w:tcW w:type="dxa" w:w="1440"/>
          </w:tcPr>
          <w:p>
            <w:pPr>
              <w:spacing w:after="20"/>
              <w:jc w:val="right"/>
            </w:pPr>
            <w:r>
              <w:rPr>
                <w:color w:val="1C3A36"/>
                <w:sz w:val="18"/>
              </w:rPr>
              <w:t>15%</w:t>
            </w:r>
          </w:p>
        </w:tc>
        <w:tc>
          <w:tcPr>
            <w:tcW w:type="dxa" w:w="2016"/>
          </w:tcPr>
          <w:p>
            <w:pPr>
              <w:spacing w:after="20"/>
              <w:jc w:val="right"/>
            </w:pPr>
            <w:r>
              <w:rPr>
                <w:color w:val="1C3A36"/>
                <w:sz w:val="18"/>
              </w:rPr>
              <w:t>2.15</w:t>
            </w:r>
          </w:p>
        </w:tc>
      </w:tr>
      <w:tr>
        <w:tc>
          <w:tcPr>
            <w:tcW w:type="dxa" w:w="2880"/>
            <w:shd w:val="clear" w:color="auto" w:fill="F6F1E6"/>
          </w:tcPr>
          <w:p>
            <w:pPr>
              <w:spacing w:after="20"/>
            </w:pPr>
            <w:r>
              <w:rPr>
                <w:b/>
                <w:color w:val="1C3A36"/>
                <w:sz w:val="18"/>
              </w:rPr>
              <w:t>Weighted central</w:t>
            </w:r>
          </w:p>
        </w:tc>
        <w:tc>
          <w:tcPr>
            <w:tcW w:type="dxa" w:w="1872"/>
            <w:shd w:val="clear" w:color="auto" w:fill="F6F1E6"/>
          </w:tcPr>
          <w:p>
            <w:pPr>
              <w:spacing w:after="20"/>
              <w:jc w:val="right"/>
            </w:pPr>
            <w:r>
              <w:rPr>
                <w:b/>
                <w:color w:val="1C3A36"/>
                <w:sz w:val="18"/>
              </w:rPr>
            </w:r>
          </w:p>
        </w:tc>
        <w:tc>
          <w:tcPr>
            <w:tcW w:type="dxa" w:w="1440"/>
            <w:shd w:val="clear" w:color="auto" w:fill="F6F1E6"/>
          </w:tcPr>
          <w:p>
            <w:pPr>
              <w:spacing w:after="20"/>
              <w:jc w:val="right"/>
            </w:pPr>
            <w:r>
              <w:rPr>
                <w:b/>
                <w:color w:val="1C3A36"/>
                <w:sz w:val="18"/>
              </w:rPr>
            </w:r>
          </w:p>
        </w:tc>
        <w:tc>
          <w:tcPr>
            <w:tcW w:type="dxa" w:w="2016"/>
            <w:shd w:val="clear" w:color="auto" w:fill="F6F1E6"/>
          </w:tcPr>
          <w:p>
            <w:pPr>
              <w:spacing w:after="20"/>
              <w:jc w:val="right"/>
            </w:pPr>
            <w:r>
              <w:rPr>
                <w:b/>
                <w:color w:val="1C3A36"/>
                <w:sz w:val="18"/>
              </w:rPr>
              <w:t>19.7</w:t>
            </w:r>
          </w:p>
        </w:tc>
      </w:tr>
    </w:tbl>
    <w:p>
      <w:pPr>
        <w:spacing w:after="40"/>
      </w:pPr>
    </w:p>
    <w:p>
      <w:pPr>
        <w:spacing w:after="120" w:before="0"/>
      </w:pPr>
      <w:r>
        <w:rPr>
          <w:b w:val="0"/>
          <w:i w:val="0"/>
          <w:color w:val="1C3A36"/>
          <w:sz w:val="21"/>
        </w:rPr>
        <w:t>The DCF family (21–23) and the market family (11–16) do not overlap — so they are not blended into a single point estimate dressed up as precision. The weighted central of AED 19.7 is a probability-weighted statement across regimes: it says the strategy-delivery world is more likely than the priced-in world, not that the truth lies politely in between.</w:t>
      </w:r>
    </w:p>
    <w:p>
      <w:pPr>
        <w:spacing w:after="40"/>
        <w:jc w:val="center"/>
      </w:pPr>
      <w:r>
        <w:drawing>
          <wp:inline xmlns:a="http://schemas.openxmlformats.org/drawingml/2006/main" xmlns:pic="http://schemas.openxmlformats.org/drawingml/2006/picture">
            <wp:extent cx="6217920" cy="2426506"/>
            <wp:docPr id="1" name="Picture 1"/>
            <wp:cNvGraphicFramePr>
              <a:graphicFrameLocks noChangeAspect="1"/>
            </wp:cNvGraphicFramePr>
            <a:graphic>
              <a:graphicData uri="http://schemas.openxmlformats.org/drawingml/2006/picture">
                <pic:pic>
                  <pic:nvPicPr>
                    <pic:cNvPr id="0" name="fig9_field.png"/>
                    <pic:cNvPicPr/>
                  </pic:nvPicPr>
                  <pic:blipFill>
                    <a:blip r:embed="rId9"/>
                    <a:stretch>
                      <a:fillRect/>
                    </a:stretch>
                  </pic:blipFill>
                  <pic:spPr>
                    <a:xfrm>
                      <a:off x="0" y="0"/>
                      <a:ext cx="6217920" cy="2426506"/>
                    </a:xfrm>
                    <a:prstGeom prst="rect"/>
                  </pic:spPr>
                </pic:pic>
              </a:graphicData>
            </a:graphic>
          </wp:inline>
        </w:drawing>
      </w:r>
    </w:p>
    <w:p>
      <w:pPr>
        <w:spacing w:after="200" w:before="0"/>
      </w:pPr>
      <w:r>
        <w:rPr>
          <w:b w:val="0"/>
          <w:i/>
          <w:color w:val="6E7B77"/>
          <w:sz w:val="17"/>
        </w:rPr>
        <w:t>Figure 9 — Five lenses versus spot. The gold span marks the full lens range; the dashed line is the weighted central (AED 19.7); spot in red. The relative lens sitting on top of spot is the market saying "prove it."</w:t>
      </w:r>
    </w:p>
    <w:p>
      <w:pPr>
        <w:spacing w:after="80" w:before="200"/>
      </w:pPr>
      <w:r>
        <w:rPr>
          <w:b/>
          <w:i w:val="0"/>
          <w:color w:val="1C3A36"/>
          <w:sz w:val="24"/>
        </w:rPr>
        <w:t>1.7  The driver build — how each assumption was set, then the machinery</w:t>
      </w:r>
    </w:p>
    <w:p>
      <w:pPr>
        <w:spacing w:after="120" w:before="0"/>
      </w:pPr>
      <w:r>
        <w:rPr>
          <w:b w:val="0"/>
          <w:i w:val="0"/>
          <w:color w:val="1C3A36"/>
          <w:sz w:val="21"/>
        </w:rPr>
        <w:t>Every forecast driver below is tagged by how it was derived. Where the bank discloses the underlying components, the driver is built up from them; where it does not, the driver is set top-down from the outcomes the bank does report and the guidance it has given. All eight of ADCB’s drivers are top-down, because the bank reports blended results — net interest margin, cost-to-income, cost of risk — rather than the deposit-repricing betas, fee volumes or product unit-economics a bottom-up build would need. Each row names the evidence it rests on; the full source list is in Appendix B.</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232"/>
            <w:shd w:val="clear" w:color="auto" w:fill="EAF0EE"/>
          </w:tcPr>
          <w:p>
            <w:pPr>
              <w:spacing w:after="20"/>
            </w:pPr>
            <w:r>
              <w:rPr>
                <w:b/>
                <w:color w:val="1C3A36"/>
                <w:sz w:val="17"/>
              </w:rPr>
              <w:t>Driver</w:t>
            </w:r>
          </w:p>
        </w:tc>
        <w:tc>
          <w:tcPr>
            <w:tcW w:type="dxa" w:w="1224"/>
            <w:shd w:val="clear" w:color="auto" w:fill="EAF0EE"/>
          </w:tcPr>
          <w:p>
            <w:pPr>
              <w:spacing w:after="20"/>
            </w:pPr>
            <w:r>
              <w:rPr>
                <w:b/>
                <w:color w:val="1C3A36"/>
                <w:sz w:val="17"/>
              </w:rPr>
              <w:t>How derived</w:t>
            </w:r>
          </w:p>
        </w:tc>
        <w:tc>
          <w:tcPr>
            <w:tcW w:type="dxa" w:w="6624"/>
            <w:shd w:val="clear" w:color="auto" w:fill="EAF0EE"/>
          </w:tcPr>
          <w:p>
            <w:pPr>
              <w:spacing w:after="20"/>
            </w:pPr>
            <w:r>
              <w:rPr>
                <w:b/>
                <w:color w:val="1C3A36"/>
                <w:sz w:val="17"/>
              </w:rPr>
              <w:t>Justification and supporting evidence</w:t>
            </w:r>
          </w:p>
        </w:tc>
      </w:tr>
      <w:tr>
        <w:tc>
          <w:tcPr>
            <w:tcW w:type="dxa" w:w="2232"/>
          </w:tcPr>
          <w:p>
            <w:pPr>
              <w:spacing w:after="20"/>
            </w:pPr>
            <w:r>
              <w:rPr>
                <w:b/>
                <w:color w:val="1C3A36"/>
                <w:sz w:val="17"/>
              </w:rPr>
              <w:t>Loan growth (FY26-30 glide 16%-&gt;8%)</w:t>
            </w:r>
          </w:p>
        </w:tc>
        <w:tc>
          <w:tcPr>
            <w:tcW w:type="dxa" w:w="1224"/>
          </w:tcPr>
          <w:p>
            <w:pPr>
              <w:spacing w:after="20"/>
              <w:jc w:val="right"/>
            </w:pPr>
            <w:r>
              <w:rPr>
                <w:color w:val="1C3A36"/>
                <w:sz w:val="17"/>
              </w:rPr>
              <w:t>Top-down</w:t>
            </w:r>
          </w:p>
        </w:tc>
        <w:tc>
          <w:tcPr>
            <w:tcW w:type="dxa" w:w="6624"/>
          </w:tcPr>
          <w:p>
            <w:pPr>
              <w:spacing w:after="20"/>
              <w:jc w:val="right"/>
            </w:pPr>
            <w:r>
              <w:rPr>
                <w:color w:val="1C3A36"/>
                <w:sz w:val="17"/>
              </w:rPr>
              <w:t>no unit-level pipeline disclosure; anchored to Q1'26 +18% YoY momentum, guidance 'above 16%', CBUAE 2026 macro cut  (evidence: F05,F08,F13,F21)</w:t>
            </w:r>
          </w:p>
        </w:tc>
      </w:tr>
      <w:tr>
        <w:tc>
          <w:tcPr>
            <w:tcW w:type="dxa" w:w="2232"/>
          </w:tcPr>
          <w:p>
            <w:pPr>
              <w:spacing w:after="20"/>
            </w:pPr>
            <w:r>
              <w:rPr>
                <w:b/>
                <w:color w:val="1C3A36"/>
                <w:sz w:val="17"/>
              </w:rPr>
              <w:t>NIM path (2.30 trough 2.26 -&gt; 2.32)</w:t>
            </w:r>
          </w:p>
        </w:tc>
        <w:tc>
          <w:tcPr>
            <w:tcW w:type="dxa" w:w="1224"/>
          </w:tcPr>
          <w:p>
            <w:pPr>
              <w:spacing w:after="20"/>
              <w:jc w:val="right"/>
            </w:pPr>
            <w:r>
              <w:rPr>
                <w:color w:val="1C3A36"/>
                <w:sz w:val="17"/>
              </w:rPr>
              <w:t>Top-down</w:t>
            </w:r>
          </w:p>
        </w:tc>
        <w:tc>
          <w:tcPr>
            <w:tcW w:type="dxa" w:w="6624"/>
          </w:tcPr>
          <w:p>
            <w:pPr>
              <w:spacing w:after="20"/>
              <w:jc w:val="right"/>
            </w:pPr>
            <w:r>
              <w:rPr>
                <w:color w:val="1C3A36"/>
                <w:sz w:val="17"/>
              </w:rPr>
              <w:t>rate-path-driven NIM bridge off disclosed quarterly NIM/asset-yield/CoF and Fed/CBUAE path; per-book repricing betas undisclosed  (evidence: F01,F09,F22)</w:t>
            </w:r>
          </w:p>
        </w:tc>
      </w:tr>
      <w:tr>
        <w:tc>
          <w:tcPr>
            <w:tcW w:type="dxa" w:w="2232"/>
          </w:tcPr>
          <w:p>
            <w:pPr>
              <w:spacing w:after="20"/>
            </w:pPr>
            <w:r>
              <w:rPr>
                <w:b/>
                <w:color w:val="1C3A36"/>
                <w:sz w:val="17"/>
              </w:rPr>
              <w:t>Non-interest income (+11% then +9%/yr)</w:t>
            </w:r>
          </w:p>
        </w:tc>
        <w:tc>
          <w:tcPr>
            <w:tcW w:type="dxa" w:w="1224"/>
          </w:tcPr>
          <w:p>
            <w:pPr>
              <w:spacing w:after="20"/>
              <w:jc w:val="right"/>
            </w:pPr>
            <w:r>
              <w:rPr>
                <w:color w:val="1C3A36"/>
                <w:sz w:val="17"/>
              </w:rPr>
              <w:t>Top-down</w:t>
            </w:r>
          </w:p>
        </w:tc>
        <w:tc>
          <w:tcPr>
            <w:tcW w:type="dxa" w:w="6624"/>
          </w:tcPr>
          <w:p>
            <w:pPr>
              <w:spacing w:after="20"/>
              <w:jc w:val="right"/>
            </w:pPr>
            <w:r>
              <w:rPr>
                <w:color w:val="1C3A36"/>
                <w:sz w:val="17"/>
              </w:rPr>
              <w:t>fee/trading split disclosed quarterly (Q1'26: fees 938, trading 959, other 299) but no volume drivers; war-vol trading gain haircut applied  (evidence: F14,F19,F23)</w:t>
            </w:r>
          </w:p>
        </w:tc>
      </w:tr>
      <w:tr>
        <w:tc>
          <w:tcPr>
            <w:tcW w:type="dxa" w:w="2232"/>
          </w:tcPr>
          <w:p>
            <w:pPr>
              <w:spacing w:after="20"/>
            </w:pPr>
            <w:r>
              <w:rPr>
                <w:b/>
                <w:color w:val="1C3A36"/>
                <w:sz w:val="17"/>
              </w:rPr>
              <w:t>Cost-to-income (27.0% -&gt; 24.5%)</w:t>
            </w:r>
          </w:p>
        </w:tc>
        <w:tc>
          <w:tcPr>
            <w:tcW w:type="dxa" w:w="1224"/>
          </w:tcPr>
          <w:p>
            <w:pPr>
              <w:spacing w:after="20"/>
              <w:jc w:val="right"/>
            </w:pPr>
            <w:r>
              <w:rPr>
                <w:color w:val="1C3A36"/>
                <w:sz w:val="17"/>
              </w:rPr>
              <w:t>Top-down</w:t>
            </w:r>
          </w:p>
        </w:tc>
        <w:tc>
          <w:tcPr>
            <w:tcW w:type="dxa" w:w="6624"/>
          </w:tcPr>
          <w:p>
            <w:pPr>
              <w:spacing w:after="20"/>
              <w:jc w:val="right"/>
            </w:pPr>
            <w:r>
              <w:rPr>
                <w:color w:val="1C3A36"/>
                <w:sz w:val="17"/>
              </w:rPr>
              <w:t>management AI-efficiency program direction disclosed, unit economics not; glide inside record 25.6% Q1 print  (evidence: F11,F13,F24)</w:t>
            </w:r>
          </w:p>
        </w:tc>
      </w:tr>
      <w:tr>
        <w:tc>
          <w:tcPr>
            <w:tcW w:type="dxa" w:w="2232"/>
          </w:tcPr>
          <w:p>
            <w:pPr>
              <w:spacing w:after="20"/>
            </w:pPr>
            <w:r>
              <w:rPr>
                <w:b/>
                <w:color w:val="1C3A36"/>
                <w:sz w:val="17"/>
              </w:rPr>
              <w:t>Cost of risk (55bp -&gt; 45bp)</w:t>
            </w:r>
          </w:p>
        </w:tc>
        <w:tc>
          <w:tcPr>
            <w:tcW w:type="dxa" w:w="1224"/>
          </w:tcPr>
          <w:p>
            <w:pPr>
              <w:spacing w:after="20"/>
              <w:jc w:val="right"/>
            </w:pPr>
            <w:r>
              <w:rPr>
                <w:color w:val="1C3A36"/>
                <w:sz w:val="17"/>
              </w:rPr>
              <w:t>Top-down</w:t>
            </w:r>
          </w:p>
        </w:tc>
        <w:tc>
          <w:tcPr>
            <w:tcW w:type="dxa" w:w="6624"/>
          </w:tcPr>
          <w:p>
            <w:pPr>
              <w:spacing w:after="20"/>
              <w:jc w:val="right"/>
            </w:pPr>
            <w:r>
              <w:rPr>
                <w:color w:val="1C3A36"/>
                <w:sz w:val="17"/>
              </w:rPr>
              <w:t>guide &lt;60bp; Q1'26 41bp incl 596mn overlays; NPL 1.76% coverage 152%; war-risk premium retained FY26  (evidence: F02,F13,F18,F21)</w:t>
            </w:r>
          </w:p>
        </w:tc>
      </w:tr>
      <w:tr>
        <w:tc>
          <w:tcPr>
            <w:tcW w:type="dxa" w:w="2232"/>
          </w:tcPr>
          <w:p>
            <w:pPr>
              <w:spacing w:after="20"/>
            </w:pPr>
            <w:r>
              <w:rPr>
                <w:b/>
                <w:color w:val="1C3A36"/>
                <w:sz w:val="17"/>
              </w:rPr>
              <w:t>Tax rate (11% -&gt; 15%)</w:t>
            </w:r>
          </w:p>
        </w:tc>
        <w:tc>
          <w:tcPr>
            <w:tcW w:type="dxa" w:w="1224"/>
          </w:tcPr>
          <w:p>
            <w:pPr>
              <w:spacing w:after="20"/>
              <w:jc w:val="right"/>
            </w:pPr>
            <w:r>
              <w:rPr>
                <w:color w:val="1C3A36"/>
                <w:sz w:val="17"/>
              </w:rPr>
              <w:t>Top-down</w:t>
            </w:r>
          </w:p>
        </w:tc>
        <w:tc>
          <w:tcPr>
            <w:tcW w:type="dxa" w:w="6624"/>
          </w:tcPr>
          <w:p>
            <w:pPr>
              <w:spacing w:after="20"/>
              <w:jc w:val="right"/>
            </w:pPr>
            <w:r>
              <w:rPr>
                <w:color w:val="1C3A36"/>
                <w:sz w:val="17"/>
              </w:rPr>
              <w:t>DMTT 15% statutory with IAE initial-phase 9% currently applied (note 3, Q1'26 FS); lapse timing undisclosed -&gt; conservative step-up, sensitized  (evidence: F06,F25)</w:t>
            </w:r>
          </w:p>
        </w:tc>
      </w:tr>
      <w:tr>
        <w:tc>
          <w:tcPr>
            <w:tcW w:type="dxa" w:w="2232"/>
          </w:tcPr>
          <w:p>
            <w:pPr>
              <w:spacing w:after="20"/>
            </w:pPr>
            <w:r>
              <w:rPr>
                <w:b/>
                <w:color w:val="1C3A36"/>
                <w:sz w:val="17"/>
              </w:rPr>
              <w:t>Dividend payout (38% -&gt; 33%)</w:t>
            </w:r>
          </w:p>
        </w:tc>
        <w:tc>
          <w:tcPr>
            <w:tcW w:type="dxa" w:w="1224"/>
          </w:tcPr>
          <w:p>
            <w:pPr>
              <w:spacing w:after="20"/>
              <w:jc w:val="right"/>
            </w:pPr>
            <w:r>
              <w:rPr>
                <w:color w:val="1C3A36"/>
                <w:sz w:val="17"/>
              </w:rPr>
              <w:t>Top-down</w:t>
            </w:r>
          </w:p>
        </w:tc>
        <w:tc>
          <w:tcPr>
            <w:tcW w:type="dxa" w:w="6624"/>
          </w:tcPr>
          <w:p>
            <w:pPr>
              <w:spacing w:after="20"/>
              <w:jc w:val="right"/>
            </w:pPr>
            <w:r>
              <w:rPr>
                <w:color w:val="1C3A36"/>
                <w:sz w:val="17"/>
              </w:rPr>
              <w:t>c.AED 25bn 5yr distribution guide + 'progressive' language + CET1&gt;12% floor; capital equation binds (see FCFE leg)  (evidence: F13,F16,F27)</w:t>
            </w:r>
          </w:p>
        </w:tc>
      </w:tr>
      <w:tr>
        <w:tc>
          <w:tcPr>
            <w:tcW w:type="dxa" w:w="2232"/>
          </w:tcPr>
          <w:p>
            <w:pPr>
              <w:spacing w:after="20"/>
            </w:pPr>
            <w:r>
              <w:rPr>
                <w:b/>
                <w:color w:val="1C3A36"/>
                <w:sz w:val="17"/>
              </w:rPr>
              <w:t>RWA path &amp; CET1 glide (13.8% -&gt; 12.75%)</w:t>
            </w:r>
          </w:p>
        </w:tc>
        <w:tc>
          <w:tcPr>
            <w:tcW w:type="dxa" w:w="1224"/>
          </w:tcPr>
          <w:p>
            <w:pPr>
              <w:spacing w:after="20"/>
              <w:jc w:val="right"/>
            </w:pPr>
            <w:r>
              <w:rPr>
                <w:color w:val="1C3A36"/>
                <w:sz w:val="17"/>
              </w:rPr>
              <w:t>Top-down</w:t>
            </w:r>
          </w:p>
        </w:tc>
        <w:tc>
          <w:tcPr>
            <w:tcW w:type="dxa" w:w="6624"/>
          </w:tcPr>
          <w:p>
            <w:pPr>
              <w:spacing w:after="20"/>
              <w:jc w:val="right"/>
            </w:pPr>
            <w:r>
              <w:rPr>
                <w:color w:val="1C3A36"/>
                <w:sz w:val="17"/>
              </w:rPr>
              <w:t>RWA level not disclosed in captured releases -&gt; derived from CET1 ratio (FLAGGED, ledger row); density and glide sensitized  (evidence: F19,F16,F26)</w:t>
            </w:r>
          </w:p>
        </w:tc>
      </w:tr>
    </w:tbl>
    <w:p>
      <w:pPr>
        <w:spacing w:after="40"/>
      </w:pPr>
    </w:p>
    <w:p>
      <w:pPr>
        <w:spacing w:after="120" w:before="0"/>
      </w:pPr>
      <w:r>
        <w:rPr>
          <w:b w:val="0"/>
          <w:i w:val="0"/>
          <w:color w:val="1C3A36"/>
          <w:sz w:val="21"/>
        </w:rPr>
        <w:t>The build itself (fully live in the companion Excel’s Driver Build sheet):</w:t>
      </w:r>
    </w:p>
    <w:p>
      <w:pPr>
        <w:pStyle w:val="ListBullet"/>
        <w:spacing w:after="60"/>
      </w:pPr>
      <w:r>
        <w:rPr>
          <w:b/>
          <w:color w:val="1C3A36"/>
          <w:sz w:val="21"/>
        </w:rPr>
        <w:t xml:space="preserve">NIM path — </w:t>
      </w:r>
      <w:r>
        <w:rPr>
          <w:color w:val="1C3A36"/>
          <w:sz w:val="21"/>
        </w:rPr>
        <w:t>anchors on Q1-26 exit NIM of 2.32% and CBUAE’s two anticipated 2026 cuts (management’s own rate call): 2.30% FY26, trough 2.26% FY27, then a slow recovery to 2.32% as deposits reprice down and CASA (46.9%) cushions the fall;</w:t>
      </w:r>
    </w:p>
    <w:p>
      <w:pPr>
        <w:pStyle w:val="ListBullet"/>
        <w:spacing w:after="60"/>
      </w:pPr>
      <w:r>
        <w:rPr>
          <w:b/>
          <w:color w:val="1C3A36"/>
          <w:sz w:val="21"/>
        </w:rPr>
        <w:t xml:space="preserve">Loan growth — </w:t>
      </w:r>
      <w:r>
        <w:rPr>
          <w:color w:val="1C3A36"/>
          <w:sz w:val="21"/>
        </w:rPr>
        <w:t>16% in FY26 (management: "above 16%"), fading to 8% by FY30 as the base compounds; average interest-earning assets held at 1.60× net loans (Dec-25 ratio);</w:t>
      </w:r>
    </w:p>
    <w:p>
      <w:pPr>
        <w:pStyle w:val="ListBullet"/>
        <w:spacing w:after="60"/>
      </w:pPr>
      <w:r>
        <w:rPr>
          <w:b/>
          <w:color w:val="1C3A36"/>
          <w:sz w:val="21"/>
        </w:rPr>
        <w:t xml:space="preserve">Cost-to-income — </w:t>
      </w:r>
      <w:r>
        <w:rPr>
          <w:color w:val="1C3A36"/>
          <w:sz w:val="21"/>
        </w:rPr>
        <w:t>27.0% → 24.5% — slower than the Q1-26 print suggests, deliberately conservative on AI-led saves that gate top-down (n4);</w:t>
      </w:r>
    </w:p>
    <w:p>
      <w:pPr>
        <w:pStyle w:val="ListBullet"/>
        <w:spacing w:after="60"/>
      </w:pPr>
      <w:r>
        <w:rPr>
          <w:b/>
          <w:color w:val="1C3A36"/>
          <w:sz w:val="21"/>
        </w:rPr>
        <w:t xml:space="preserve">Cost of risk — </w:t>
      </w:r>
      <w:r>
        <w:rPr>
          <w:color w:val="1C3A36"/>
          <w:sz w:val="21"/>
        </w:rPr>
        <w:t>55bp FY26 (Q1 ran 41bp plus AED 596mn of geopolitical overlays — the war is provisioned, not just priced), gliding to 45bp; NPL 1.76% with 151.8% coverage gives room;</w:t>
      </w:r>
    </w:p>
    <w:p>
      <w:pPr>
        <w:pStyle w:val="ListBullet"/>
        <w:spacing w:after="60"/>
      </w:pPr>
      <w:r>
        <w:rPr>
          <w:b/>
          <w:color w:val="1C3A36"/>
          <w:sz w:val="21"/>
        </w:rPr>
        <w:t xml:space="preserve">Tax — </w:t>
      </w:r>
      <w:r>
        <w:rPr>
          <w:color w:val="1C3A36"/>
          <w:sz w:val="21"/>
        </w:rPr>
        <w:t>9% while the Initial-Phase International Activity Exclusion holds, stepping to 15% DMTT from FY27 — the lapse date is undisclosed (n5), so the step is placed early and §1.10 sensitizes it;</w:t>
      </w:r>
    </w:p>
    <w:p>
      <w:pPr>
        <w:pStyle w:val="ListBullet"/>
        <w:spacing w:after="60"/>
      </w:pPr>
      <w:r>
        <w:rPr>
          <w:b/>
          <w:color w:val="1C3A36"/>
          <w:sz w:val="21"/>
        </w:rPr>
        <w:t xml:space="preserve">Capital — </w:t>
      </w:r>
      <w:r>
        <w:rPr>
          <w:color w:val="1C3A36"/>
          <w:sz w:val="21"/>
        </w:rPr>
        <w:t>RWA growing ~1–2pt below loans (mix drift), CET1 gliding 13.6% → 12.75% against the &gt;12% floor; payout 38% → 33%. This is the machinery that decides how much profit is distributable versus retained.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024"/>
            <w:shd w:val="clear" w:color="auto" w:fill="EAF0EE"/>
          </w:tcPr>
          <w:p>
            <w:pPr>
              <w:spacing w:after="20"/>
            </w:pPr>
            <w:r>
              <w:rPr>
                <w:b/>
                <w:color w:val="1C3A36"/>
                <w:sz w:val="18"/>
              </w:rPr>
              <w:t>Driver Build (AED mn)</w:t>
            </w:r>
          </w:p>
        </w:tc>
        <w:tc>
          <w:tcPr>
            <w:tcW w:type="dxa" w:w="1411"/>
            <w:shd w:val="clear" w:color="auto" w:fill="EAF0EE"/>
          </w:tcPr>
          <w:p>
            <w:pPr>
              <w:spacing w:after="20"/>
            </w:pPr>
            <w:r>
              <w:rPr>
                <w:b/>
                <w:color w:val="1C3A36"/>
                <w:sz w:val="18"/>
              </w:rPr>
              <w:t>FY26E</w:t>
            </w:r>
          </w:p>
        </w:tc>
        <w:tc>
          <w:tcPr>
            <w:tcW w:type="dxa" w:w="1411"/>
            <w:shd w:val="clear" w:color="auto" w:fill="EAF0EE"/>
          </w:tcPr>
          <w:p>
            <w:pPr>
              <w:spacing w:after="20"/>
            </w:pPr>
            <w:r>
              <w:rPr>
                <w:b/>
                <w:color w:val="1C3A36"/>
                <w:sz w:val="18"/>
              </w:rPr>
              <w:t>FY27E</w:t>
            </w:r>
          </w:p>
        </w:tc>
        <w:tc>
          <w:tcPr>
            <w:tcW w:type="dxa" w:w="1411"/>
            <w:shd w:val="clear" w:color="auto" w:fill="EAF0EE"/>
          </w:tcPr>
          <w:p>
            <w:pPr>
              <w:spacing w:after="20"/>
            </w:pPr>
            <w:r>
              <w:rPr>
                <w:b/>
                <w:color w:val="1C3A36"/>
                <w:sz w:val="18"/>
              </w:rPr>
              <w:t>FY28E</w:t>
            </w:r>
          </w:p>
        </w:tc>
        <w:tc>
          <w:tcPr>
            <w:tcW w:type="dxa" w:w="1411"/>
            <w:shd w:val="clear" w:color="auto" w:fill="EAF0EE"/>
          </w:tcPr>
          <w:p>
            <w:pPr>
              <w:spacing w:after="20"/>
            </w:pPr>
            <w:r>
              <w:rPr>
                <w:b/>
                <w:color w:val="1C3A36"/>
                <w:sz w:val="18"/>
              </w:rPr>
              <w:t>FY29E</w:t>
            </w:r>
          </w:p>
        </w:tc>
        <w:tc>
          <w:tcPr>
            <w:tcW w:type="dxa" w:w="1411"/>
            <w:shd w:val="clear" w:color="auto" w:fill="EAF0EE"/>
          </w:tcPr>
          <w:p>
            <w:pPr>
              <w:spacing w:after="20"/>
            </w:pPr>
            <w:r>
              <w:rPr>
                <w:b/>
                <w:color w:val="1C3A36"/>
                <w:sz w:val="18"/>
              </w:rPr>
              <w:t>FY30E</w:t>
            </w:r>
          </w:p>
        </w:tc>
      </w:tr>
      <w:tr>
        <w:tc>
          <w:tcPr>
            <w:tcW w:type="dxa" w:w="3024"/>
          </w:tcPr>
          <w:p>
            <w:pPr>
              <w:spacing w:after="20"/>
            </w:pPr>
            <w:r>
              <w:rPr>
                <w:b/>
                <w:color w:val="1C3A36"/>
                <w:sz w:val="18"/>
              </w:rPr>
              <w:t>Net loans</w:t>
            </w:r>
          </w:p>
        </w:tc>
        <w:tc>
          <w:tcPr>
            <w:tcW w:type="dxa" w:w="1411"/>
          </w:tcPr>
          <w:p>
            <w:pPr>
              <w:spacing w:after="20"/>
              <w:jc w:val="right"/>
            </w:pPr>
            <w:r>
              <w:rPr>
                <w:color w:val="1C3A36"/>
                <w:sz w:val="18"/>
              </w:rPr>
              <w:t>470,922</w:t>
            </w:r>
          </w:p>
        </w:tc>
        <w:tc>
          <w:tcPr>
            <w:tcW w:type="dxa" w:w="1411"/>
          </w:tcPr>
          <w:p>
            <w:pPr>
              <w:spacing w:after="20"/>
              <w:jc w:val="right"/>
            </w:pPr>
            <w:r>
              <w:rPr>
                <w:color w:val="1C3A36"/>
                <w:sz w:val="18"/>
              </w:rPr>
              <w:t>527,432</w:t>
            </w:r>
          </w:p>
        </w:tc>
        <w:tc>
          <w:tcPr>
            <w:tcW w:type="dxa" w:w="1411"/>
          </w:tcPr>
          <w:p>
            <w:pPr>
              <w:spacing w:after="20"/>
              <w:jc w:val="right"/>
            </w:pPr>
            <w:r>
              <w:rPr>
                <w:color w:val="1C3A36"/>
                <w:sz w:val="18"/>
              </w:rPr>
              <w:t>580,176</w:t>
            </w:r>
          </w:p>
        </w:tc>
        <w:tc>
          <w:tcPr>
            <w:tcW w:type="dxa" w:w="1411"/>
          </w:tcPr>
          <w:p>
            <w:pPr>
              <w:spacing w:after="20"/>
              <w:jc w:val="right"/>
            </w:pPr>
            <w:r>
              <w:rPr>
                <w:color w:val="1C3A36"/>
                <w:sz w:val="18"/>
              </w:rPr>
              <w:t>632,391</w:t>
            </w:r>
          </w:p>
        </w:tc>
        <w:tc>
          <w:tcPr>
            <w:tcW w:type="dxa" w:w="1411"/>
          </w:tcPr>
          <w:p>
            <w:pPr>
              <w:spacing w:after="20"/>
              <w:jc w:val="right"/>
            </w:pPr>
            <w:r>
              <w:rPr>
                <w:color w:val="1C3A36"/>
                <w:sz w:val="18"/>
              </w:rPr>
              <w:t>682,983</w:t>
            </w:r>
          </w:p>
        </w:tc>
      </w:tr>
      <w:tr>
        <w:tc>
          <w:tcPr>
            <w:tcW w:type="dxa" w:w="3024"/>
          </w:tcPr>
          <w:p>
            <w:pPr>
              <w:spacing w:after="20"/>
            </w:pPr>
            <w:r>
              <w:rPr>
                <w:b/>
                <w:color w:val="1C3A36"/>
                <w:sz w:val="18"/>
              </w:rPr>
              <w:t>Net interest income</w:t>
            </w:r>
          </w:p>
        </w:tc>
        <w:tc>
          <w:tcPr>
            <w:tcW w:type="dxa" w:w="1411"/>
          </w:tcPr>
          <w:p>
            <w:pPr>
              <w:spacing w:after="20"/>
              <w:jc w:val="right"/>
            </w:pPr>
            <w:r>
              <w:rPr>
                <w:color w:val="1C3A36"/>
                <w:sz w:val="18"/>
              </w:rPr>
              <w:t>16,132</w:t>
            </w:r>
          </w:p>
        </w:tc>
        <w:tc>
          <w:tcPr>
            <w:tcW w:type="dxa" w:w="1411"/>
          </w:tcPr>
          <w:p>
            <w:pPr>
              <w:spacing w:after="20"/>
              <w:jc w:val="right"/>
            </w:pPr>
            <w:r>
              <w:rPr>
                <w:color w:val="1C3A36"/>
                <w:sz w:val="18"/>
              </w:rPr>
              <w:t>18,047</w:t>
            </w:r>
          </w:p>
        </w:tc>
        <w:tc>
          <w:tcPr>
            <w:tcW w:type="dxa" w:w="1411"/>
          </w:tcPr>
          <w:p>
            <w:pPr>
              <w:spacing w:after="20"/>
              <w:jc w:val="right"/>
            </w:pPr>
            <w:r>
              <w:rPr>
                <w:color w:val="1C3A36"/>
                <w:sz w:val="18"/>
              </w:rPr>
              <w:t>20,199</w:t>
            </w:r>
          </w:p>
        </w:tc>
        <w:tc>
          <w:tcPr>
            <w:tcW w:type="dxa" w:w="1411"/>
          </w:tcPr>
          <w:p>
            <w:pPr>
              <w:spacing w:after="20"/>
              <w:jc w:val="right"/>
            </w:pPr>
            <w:r>
              <w:rPr>
                <w:color w:val="1C3A36"/>
                <w:sz w:val="18"/>
              </w:rPr>
              <w:t>22,308</w:t>
            </w:r>
          </w:p>
        </w:tc>
        <w:tc>
          <w:tcPr>
            <w:tcW w:type="dxa" w:w="1411"/>
          </w:tcPr>
          <w:p>
            <w:pPr>
              <w:spacing w:after="20"/>
              <w:jc w:val="right"/>
            </w:pPr>
            <w:r>
              <w:rPr>
                <w:color w:val="1C3A36"/>
                <w:sz w:val="18"/>
              </w:rPr>
              <w:t>24,409</w:t>
            </w:r>
          </w:p>
        </w:tc>
      </w:tr>
      <w:tr>
        <w:tc>
          <w:tcPr>
            <w:tcW w:type="dxa" w:w="3024"/>
          </w:tcPr>
          <w:p>
            <w:pPr>
              <w:spacing w:after="20"/>
            </w:pPr>
            <w:r>
              <w:rPr>
                <w:b/>
                <w:color w:val="1C3A36"/>
                <w:sz w:val="18"/>
              </w:rPr>
              <w:t>Non-interest income</w:t>
            </w:r>
          </w:p>
        </w:tc>
        <w:tc>
          <w:tcPr>
            <w:tcW w:type="dxa" w:w="1411"/>
          </w:tcPr>
          <w:p>
            <w:pPr>
              <w:spacing w:after="20"/>
              <w:jc w:val="right"/>
            </w:pPr>
            <w:r>
              <w:rPr>
                <w:color w:val="1C3A36"/>
                <w:sz w:val="18"/>
              </w:rPr>
              <w:t>8,319</w:t>
            </w:r>
          </w:p>
        </w:tc>
        <w:tc>
          <w:tcPr>
            <w:tcW w:type="dxa" w:w="1411"/>
          </w:tcPr>
          <w:p>
            <w:pPr>
              <w:spacing w:after="20"/>
              <w:jc w:val="right"/>
            </w:pPr>
            <w:r>
              <w:rPr>
                <w:color w:val="1C3A36"/>
                <w:sz w:val="18"/>
              </w:rPr>
              <w:t>9,068</w:t>
            </w:r>
          </w:p>
        </w:tc>
        <w:tc>
          <w:tcPr>
            <w:tcW w:type="dxa" w:w="1411"/>
          </w:tcPr>
          <w:p>
            <w:pPr>
              <w:spacing w:after="20"/>
              <w:jc w:val="right"/>
            </w:pPr>
            <w:r>
              <w:rPr>
                <w:color w:val="1C3A36"/>
                <w:sz w:val="18"/>
              </w:rPr>
              <w:t>9,884</w:t>
            </w:r>
          </w:p>
        </w:tc>
        <w:tc>
          <w:tcPr>
            <w:tcW w:type="dxa" w:w="1411"/>
          </w:tcPr>
          <w:p>
            <w:pPr>
              <w:spacing w:after="20"/>
              <w:jc w:val="right"/>
            </w:pPr>
            <w:r>
              <w:rPr>
                <w:color w:val="1C3A36"/>
                <w:sz w:val="18"/>
              </w:rPr>
              <w:t>10,774</w:t>
            </w:r>
          </w:p>
        </w:tc>
        <w:tc>
          <w:tcPr>
            <w:tcW w:type="dxa" w:w="1411"/>
          </w:tcPr>
          <w:p>
            <w:pPr>
              <w:spacing w:after="20"/>
              <w:jc w:val="right"/>
            </w:pPr>
            <w:r>
              <w:rPr>
                <w:color w:val="1C3A36"/>
                <w:sz w:val="18"/>
              </w:rPr>
              <w:t>11,744</w:t>
            </w:r>
          </w:p>
        </w:tc>
      </w:tr>
      <w:tr>
        <w:tc>
          <w:tcPr>
            <w:tcW w:type="dxa" w:w="3024"/>
          </w:tcPr>
          <w:p>
            <w:pPr>
              <w:spacing w:after="20"/>
            </w:pPr>
            <w:r>
              <w:rPr>
                <w:b/>
                <w:color w:val="1C3A36"/>
                <w:sz w:val="18"/>
              </w:rPr>
              <w:t>Operating income</w:t>
            </w:r>
          </w:p>
        </w:tc>
        <w:tc>
          <w:tcPr>
            <w:tcW w:type="dxa" w:w="1411"/>
          </w:tcPr>
          <w:p>
            <w:pPr>
              <w:spacing w:after="20"/>
              <w:jc w:val="right"/>
            </w:pPr>
            <w:r>
              <w:rPr>
                <w:color w:val="1C3A36"/>
                <w:sz w:val="18"/>
              </w:rPr>
              <w:t>24,452</w:t>
            </w:r>
          </w:p>
        </w:tc>
        <w:tc>
          <w:tcPr>
            <w:tcW w:type="dxa" w:w="1411"/>
          </w:tcPr>
          <w:p>
            <w:pPr>
              <w:spacing w:after="20"/>
              <w:jc w:val="right"/>
            </w:pPr>
            <w:r>
              <w:rPr>
                <w:color w:val="1C3A36"/>
                <w:sz w:val="18"/>
              </w:rPr>
              <w:t>27,115</w:t>
            </w:r>
          </w:p>
        </w:tc>
        <w:tc>
          <w:tcPr>
            <w:tcW w:type="dxa" w:w="1411"/>
          </w:tcPr>
          <w:p>
            <w:pPr>
              <w:spacing w:after="20"/>
              <w:jc w:val="right"/>
            </w:pPr>
            <w:r>
              <w:rPr>
                <w:color w:val="1C3A36"/>
                <w:sz w:val="18"/>
              </w:rPr>
              <w:t>30,084</w:t>
            </w:r>
          </w:p>
        </w:tc>
        <w:tc>
          <w:tcPr>
            <w:tcW w:type="dxa" w:w="1411"/>
          </w:tcPr>
          <w:p>
            <w:pPr>
              <w:spacing w:after="20"/>
              <w:jc w:val="right"/>
            </w:pPr>
            <w:r>
              <w:rPr>
                <w:color w:val="1C3A36"/>
                <w:sz w:val="18"/>
              </w:rPr>
              <w:t>33,081</w:t>
            </w:r>
          </w:p>
        </w:tc>
        <w:tc>
          <w:tcPr>
            <w:tcW w:type="dxa" w:w="1411"/>
          </w:tcPr>
          <w:p>
            <w:pPr>
              <w:spacing w:after="20"/>
              <w:jc w:val="right"/>
            </w:pPr>
            <w:r>
              <w:rPr>
                <w:color w:val="1C3A36"/>
                <w:sz w:val="18"/>
              </w:rPr>
              <w:t>36,153</w:t>
            </w:r>
          </w:p>
        </w:tc>
      </w:tr>
      <w:tr>
        <w:tc>
          <w:tcPr>
            <w:tcW w:type="dxa" w:w="3024"/>
          </w:tcPr>
          <w:p>
            <w:pPr>
              <w:spacing w:after="20"/>
            </w:pPr>
            <w:r>
              <w:rPr>
                <w:b/>
                <w:color w:val="1C3A36"/>
                <w:sz w:val="18"/>
              </w:rPr>
              <w:t>Operating expenses</w:t>
            </w:r>
          </w:p>
        </w:tc>
        <w:tc>
          <w:tcPr>
            <w:tcW w:type="dxa" w:w="1411"/>
          </w:tcPr>
          <w:p>
            <w:pPr>
              <w:spacing w:after="20"/>
              <w:jc w:val="right"/>
            </w:pPr>
            <w:r>
              <w:rPr>
                <w:color w:val="1C3A36"/>
                <w:sz w:val="18"/>
              </w:rPr>
              <w:t>-6,602</w:t>
            </w:r>
          </w:p>
        </w:tc>
        <w:tc>
          <w:tcPr>
            <w:tcW w:type="dxa" w:w="1411"/>
          </w:tcPr>
          <w:p>
            <w:pPr>
              <w:spacing w:after="20"/>
              <w:jc w:val="right"/>
            </w:pPr>
            <w:r>
              <w:rPr>
                <w:color w:val="1C3A36"/>
                <w:sz w:val="18"/>
              </w:rPr>
              <w:t>-7,050</w:t>
            </w:r>
          </w:p>
        </w:tc>
        <w:tc>
          <w:tcPr>
            <w:tcW w:type="dxa" w:w="1411"/>
          </w:tcPr>
          <w:p>
            <w:pPr>
              <w:spacing w:after="20"/>
              <w:jc w:val="right"/>
            </w:pPr>
            <w:r>
              <w:rPr>
                <w:color w:val="1C3A36"/>
                <w:sz w:val="18"/>
              </w:rPr>
              <w:t>-7,671</w:t>
            </w:r>
          </w:p>
        </w:tc>
        <w:tc>
          <w:tcPr>
            <w:tcW w:type="dxa" w:w="1411"/>
          </w:tcPr>
          <w:p>
            <w:pPr>
              <w:spacing w:after="20"/>
              <w:jc w:val="right"/>
            </w:pPr>
            <w:r>
              <w:rPr>
                <w:color w:val="1C3A36"/>
                <w:sz w:val="18"/>
              </w:rPr>
              <w:t>-8,270</w:t>
            </w:r>
          </w:p>
        </w:tc>
        <w:tc>
          <w:tcPr>
            <w:tcW w:type="dxa" w:w="1411"/>
          </w:tcPr>
          <w:p>
            <w:pPr>
              <w:spacing w:after="20"/>
              <w:jc w:val="right"/>
            </w:pPr>
            <w:r>
              <w:rPr>
                <w:color w:val="1C3A36"/>
                <w:sz w:val="18"/>
              </w:rPr>
              <w:t>-8,857</w:t>
            </w:r>
          </w:p>
        </w:tc>
      </w:tr>
      <w:tr>
        <w:tc>
          <w:tcPr>
            <w:tcW w:type="dxa" w:w="3024"/>
          </w:tcPr>
          <w:p>
            <w:pPr>
              <w:spacing w:after="20"/>
            </w:pPr>
            <w:r>
              <w:rPr>
                <w:b/>
                <w:color w:val="1C3A36"/>
                <w:sz w:val="18"/>
              </w:rPr>
              <w:t>Impairment charge</w:t>
            </w:r>
          </w:p>
        </w:tc>
        <w:tc>
          <w:tcPr>
            <w:tcW w:type="dxa" w:w="1411"/>
          </w:tcPr>
          <w:p>
            <w:pPr>
              <w:spacing w:after="20"/>
              <w:jc w:val="right"/>
            </w:pPr>
            <w:r>
              <w:rPr>
                <w:color w:val="1C3A36"/>
                <w:sz w:val="18"/>
              </w:rPr>
              <w:t>-2,411</w:t>
            </w:r>
          </w:p>
        </w:tc>
        <w:tc>
          <w:tcPr>
            <w:tcW w:type="dxa" w:w="1411"/>
          </w:tcPr>
          <w:p>
            <w:pPr>
              <w:spacing w:after="20"/>
              <w:jc w:val="right"/>
            </w:pPr>
            <w:r>
              <w:rPr>
                <w:color w:val="1C3A36"/>
                <w:sz w:val="18"/>
              </w:rPr>
              <w:t>-2,496</w:t>
            </w:r>
          </w:p>
        </w:tc>
        <w:tc>
          <w:tcPr>
            <w:tcW w:type="dxa" w:w="1411"/>
          </w:tcPr>
          <w:p>
            <w:pPr>
              <w:spacing w:after="20"/>
              <w:jc w:val="right"/>
            </w:pPr>
            <w:r>
              <w:rPr>
                <w:color w:val="1C3A36"/>
                <w:sz w:val="18"/>
              </w:rPr>
              <w:t>-2,658</w:t>
            </w:r>
          </w:p>
        </w:tc>
        <w:tc>
          <w:tcPr>
            <w:tcW w:type="dxa" w:w="1411"/>
          </w:tcPr>
          <w:p>
            <w:pPr>
              <w:spacing w:after="20"/>
              <w:jc w:val="right"/>
            </w:pPr>
            <w:r>
              <w:rPr>
                <w:color w:val="1C3A36"/>
                <w:sz w:val="18"/>
              </w:rPr>
              <w:t>-2,789</w:t>
            </w:r>
          </w:p>
        </w:tc>
        <w:tc>
          <w:tcPr>
            <w:tcW w:type="dxa" w:w="1411"/>
          </w:tcPr>
          <w:p>
            <w:pPr>
              <w:spacing w:after="20"/>
              <w:jc w:val="right"/>
            </w:pPr>
            <w:r>
              <w:rPr>
                <w:color w:val="1C3A36"/>
                <w:sz w:val="18"/>
              </w:rPr>
              <w:t>-2,960</w:t>
            </w:r>
          </w:p>
        </w:tc>
      </w:tr>
      <w:tr>
        <w:tc>
          <w:tcPr>
            <w:tcW w:type="dxa" w:w="3024"/>
          </w:tcPr>
          <w:p>
            <w:pPr>
              <w:spacing w:after="20"/>
            </w:pPr>
            <w:r>
              <w:rPr>
                <w:b/>
                <w:color w:val="1C3A36"/>
                <w:sz w:val="18"/>
              </w:rPr>
              <w:t>Profit before tax</w:t>
            </w:r>
          </w:p>
        </w:tc>
        <w:tc>
          <w:tcPr>
            <w:tcW w:type="dxa" w:w="1411"/>
          </w:tcPr>
          <w:p>
            <w:pPr>
              <w:spacing w:after="20"/>
              <w:jc w:val="right"/>
            </w:pPr>
            <w:r>
              <w:rPr>
                <w:color w:val="1C3A36"/>
                <w:sz w:val="18"/>
              </w:rPr>
              <w:t>15,438</w:t>
            </w:r>
          </w:p>
        </w:tc>
        <w:tc>
          <w:tcPr>
            <w:tcW w:type="dxa" w:w="1411"/>
          </w:tcPr>
          <w:p>
            <w:pPr>
              <w:spacing w:after="20"/>
              <w:jc w:val="right"/>
            </w:pPr>
            <w:r>
              <w:rPr>
                <w:color w:val="1C3A36"/>
                <w:sz w:val="18"/>
              </w:rPr>
              <w:t>17,570</w:t>
            </w:r>
          </w:p>
        </w:tc>
        <w:tc>
          <w:tcPr>
            <w:tcW w:type="dxa" w:w="1411"/>
          </w:tcPr>
          <w:p>
            <w:pPr>
              <w:spacing w:after="20"/>
              <w:jc w:val="right"/>
            </w:pPr>
            <w:r>
              <w:rPr>
                <w:color w:val="1C3A36"/>
                <w:sz w:val="18"/>
              </w:rPr>
              <w:t>19,754</w:t>
            </w:r>
          </w:p>
        </w:tc>
        <w:tc>
          <w:tcPr>
            <w:tcW w:type="dxa" w:w="1411"/>
          </w:tcPr>
          <w:p>
            <w:pPr>
              <w:spacing w:after="20"/>
              <w:jc w:val="right"/>
            </w:pPr>
            <w:r>
              <w:rPr>
                <w:color w:val="1C3A36"/>
                <w:sz w:val="18"/>
              </w:rPr>
              <w:t>22,022</w:t>
            </w:r>
          </w:p>
        </w:tc>
        <w:tc>
          <w:tcPr>
            <w:tcW w:type="dxa" w:w="1411"/>
          </w:tcPr>
          <w:p>
            <w:pPr>
              <w:spacing w:after="20"/>
              <w:jc w:val="right"/>
            </w:pPr>
            <w:r>
              <w:rPr>
                <w:color w:val="1C3A36"/>
                <w:sz w:val="18"/>
              </w:rPr>
              <w:t>24,336</w:t>
            </w:r>
          </w:p>
        </w:tc>
      </w:tr>
      <w:tr>
        <w:tc>
          <w:tcPr>
            <w:tcW w:type="dxa" w:w="3024"/>
            <w:shd w:val="clear" w:color="auto" w:fill="F6F1E6"/>
          </w:tcPr>
          <w:p>
            <w:pPr>
              <w:spacing w:after="20"/>
            </w:pPr>
            <w:r>
              <w:rPr>
                <w:b/>
                <w:color w:val="1C3A36"/>
                <w:sz w:val="18"/>
              </w:rPr>
              <w:t>Net profit after tax</w:t>
            </w:r>
          </w:p>
        </w:tc>
        <w:tc>
          <w:tcPr>
            <w:tcW w:type="dxa" w:w="1411"/>
            <w:shd w:val="clear" w:color="auto" w:fill="F6F1E6"/>
          </w:tcPr>
          <w:p>
            <w:pPr>
              <w:spacing w:after="20"/>
              <w:jc w:val="right"/>
            </w:pPr>
            <w:r>
              <w:rPr>
                <w:b/>
                <w:color w:val="1C3A36"/>
                <w:sz w:val="18"/>
              </w:rPr>
              <w:t>13,740</w:t>
            </w:r>
          </w:p>
        </w:tc>
        <w:tc>
          <w:tcPr>
            <w:tcW w:type="dxa" w:w="1411"/>
            <w:shd w:val="clear" w:color="auto" w:fill="F6F1E6"/>
          </w:tcPr>
          <w:p>
            <w:pPr>
              <w:spacing w:after="20"/>
              <w:jc w:val="right"/>
            </w:pPr>
            <w:r>
              <w:rPr>
                <w:b/>
                <w:color w:val="1C3A36"/>
                <w:sz w:val="18"/>
              </w:rPr>
              <w:t>14,934</w:t>
            </w:r>
          </w:p>
        </w:tc>
        <w:tc>
          <w:tcPr>
            <w:tcW w:type="dxa" w:w="1411"/>
            <w:shd w:val="clear" w:color="auto" w:fill="F6F1E6"/>
          </w:tcPr>
          <w:p>
            <w:pPr>
              <w:spacing w:after="20"/>
              <w:jc w:val="right"/>
            </w:pPr>
            <w:r>
              <w:rPr>
                <w:b/>
                <w:color w:val="1C3A36"/>
                <w:sz w:val="18"/>
              </w:rPr>
              <w:t>16,791</w:t>
            </w:r>
          </w:p>
        </w:tc>
        <w:tc>
          <w:tcPr>
            <w:tcW w:type="dxa" w:w="1411"/>
            <w:shd w:val="clear" w:color="auto" w:fill="F6F1E6"/>
          </w:tcPr>
          <w:p>
            <w:pPr>
              <w:spacing w:after="20"/>
              <w:jc w:val="right"/>
            </w:pPr>
            <w:r>
              <w:rPr>
                <w:b/>
                <w:color w:val="1C3A36"/>
                <w:sz w:val="18"/>
              </w:rPr>
              <w:t>18,719</w:t>
            </w:r>
          </w:p>
        </w:tc>
        <w:tc>
          <w:tcPr>
            <w:tcW w:type="dxa" w:w="1411"/>
            <w:shd w:val="clear" w:color="auto" w:fill="F6F1E6"/>
          </w:tcPr>
          <w:p>
            <w:pPr>
              <w:spacing w:after="20"/>
              <w:jc w:val="right"/>
            </w:pPr>
            <w:r>
              <w:rPr>
                <w:b/>
                <w:color w:val="1C3A36"/>
                <w:sz w:val="18"/>
              </w:rPr>
              <w:t>20,685</w:t>
            </w:r>
          </w:p>
        </w:tc>
      </w:tr>
      <w:tr>
        <w:tc>
          <w:tcPr>
            <w:tcW w:type="dxa" w:w="3024"/>
          </w:tcPr>
          <w:p>
            <w:pPr>
              <w:spacing w:after="20"/>
            </w:pPr>
            <w:r>
              <w:rPr>
                <w:b/>
                <w:color w:val="1C3A36"/>
                <w:sz w:val="18"/>
              </w:rPr>
              <w:t>ROE %</w:t>
            </w:r>
          </w:p>
        </w:tc>
        <w:tc>
          <w:tcPr>
            <w:tcW w:type="dxa" w:w="1411"/>
          </w:tcPr>
          <w:p>
            <w:pPr>
              <w:spacing w:after="20"/>
              <w:jc w:val="right"/>
            </w:pPr>
            <w:r>
              <w:rPr>
                <w:color w:val="1C3A36"/>
                <w:sz w:val="18"/>
              </w:rPr>
              <w:t>16.6%</w:t>
            </w:r>
          </w:p>
        </w:tc>
        <w:tc>
          <w:tcPr>
            <w:tcW w:type="dxa" w:w="1411"/>
          </w:tcPr>
          <w:p>
            <w:pPr>
              <w:spacing w:after="20"/>
              <w:jc w:val="right"/>
            </w:pPr>
            <w:r>
              <w:rPr>
                <w:color w:val="1C3A36"/>
                <w:sz w:val="18"/>
              </w:rPr>
              <w:t>16.3%</w:t>
            </w:r>
          </w:p>
        </w:tc>
        <w:tc>
          <w:tcPr>
            <w:tcW w:type="dxa" w:w="1411"/>
          </w:tcPr>
          <w:p>
            <w:pPr>
              <w:spacing w:after="20"/>
              <w:jc w:val="right"/>
            </w:pPr>
            <w:r>
              <w:rPr>
                <w:color w:val="1C3A36"/>
                <w:sz w:val="18"/>
              </w:rPr>
              <w:t>16.5%</w:t>
            </w:r>
          </w:p>
        </w:tc>
        <w:tc>
          <w:tcPr>
            <w:tcW w:type="dxa" w:w="1411"/>
          </w:tcPr>
          <w:p>
            <w:pPr>
              <w:spacing w:after="20"/>
              <w:jc w:val="right"/>
            </w:pPr>
            <w:r>
              <w:rPr>
                <w:color w:val="1C3A36"/>
                <w:sz w:val="18"/>
              </w:rPr>
              <w:t>16.5%</w:t>
            </w:r>
          </w:p>
        </w:tc>
        <w:tc>
          <w:tcPr>
            <w:tcW w:type="dxa" w:w="1411"/>
          </w:tcPr>
          <w:p>
            <w:pPr>
              <w:spacing w:after="20"/>
              <w:jc w:val="right"/>
            </w:pPr>
            <w:r>
              <w:rPr>
                <w:color w:val="1C3A36"/>
                <w:sz w:val="18"/>
              </w:rPr>
              <w:t>16.4%</w:t>
            </w:r>
          </w:p>
        </w:tc>
      </w:tr>
    </w:tbl>
    <w:p>
      <w:pPr>
        <w:spacing w:after="40"/>
      </w:pPr>
    </w:p>
    <w:p>
      <w:pPr>
        <w:spacing w:after="200" w:before="0"/>
      </w:pPr>
      <w:r>
        <w:rPr>
          <w:b w:val="0"/>
          <w:i/>
          <w:color w:val="6E7B77"/>
          <w:sz w:val="17"/>
        </w:rPr>
        <w:t>Fig. 6–8 below chart the same build: the income stack and NIM path, the profit trajectory against the AED 20bn 2030 target, and the CET1 walk.</w:t>
      </w:r>
    </w:p>
    <w:p>
      <w:pPr>
        <w:spacing w:after="40"/>
        <w:jc w:val="center"/>
      </w:pPr>
      <w:r>
        <w:drawing>
          <wp:inline xmlns:a="http://schemas.openxmlformats.org/drawingml/2006/main" xmlns:pic="http://schemas.openxmlformats.org/drawingml/2006/picture">
            <wp:extent cx="6126480" cy="2390822"/>
            <wp:docPr id="2" name="Picture 2"/>
            <wp:cNvGraphicFramePr>
              <a:graphicFrameLocks noChangeAspect="1"/>
            </wp:cNvGraphicFramePr>
            <a:graphic>
              <a:graphicData uri="http://schemas.openxmlformats.org/drawingml/2006/picture">
                <pic:pic>
                  <pic:nvPicPr>
                    <pic:cNvPr id="0" name="fig6_nii.png"/>
                    <pic:cNvPicPr/>
                  </pic:nvPicPr>
                  <pic:blipFill>
                    <a:blip r:embed="rId10"/>
                    <a:stretch>
                      <a:fillRect/>
                    </a:stretch>
                  </pic:blipFill>
                  <pic:spPr>
                    <a:xfrm>
                      <a:off x="0" y="0"/>
                      <a:ext cx="6126480" cy="2390822"/>
                    </a:xfrm>
                    <a:prstGeom prst="rect"/>
                  </pic:spPr>
                </pic:pic>
              </a:graphicData>
            </a:graphic>
          </wp:inline>
        </w:drawing>
      </w:r>
    </w:p>
    <w:p>
      <w:pPr>
        <w:spacing w:after="200" w:before="0"/>
      </w:pPr>
      <w:r>
        <w:rPr>
          <w:b w:val="0"/>
          <w:i/>
          <w:color w:val="6E7B77"/>
          <w:sz w:val="17"/>
        </w:rPr>
        <w:t>Figure 6 — Operating income build: NII plus non-interest income, with the NIM path (right axis). The FY27 NIM trough is the single most consequential assumption in the model.</w:t>
      </w:r>
    </w:p>
    <w:p>
      <w:pPr>
        <w:spacing w:after="40"/>
        <w:jc w:val="center"/>
      </w:pPr>
      <w:r>
        <w:drawing>
          <wp:inline xmlns:a="http://schemas.openxmlformats.org/drawingml/2006/main" xmlns:pic="http://schemas.openxmlformats.org/drawingml/2006/picture">
            <wp:extent cx="6126480" cy="2241395"/>
            <wp:docPr id="3" name="Picture 3"/>
            <wp:cNvGraphicFramePr>
              <a:graphicFrameLocks noChangeAspect="1"/>
            </wp:cNvGraphicFramePr>
            <a:graphic>
              <a:graphicData uri="http://schemas.openxmlformats.org/drawingml/2006/picture">
                <pic:pic>
                  <pic:nvPicPr>
                    <pic:cNvPr id="0" name="fig7_profit.png"/>
                    <pic:cNvPicPr/>
                  </pic:nvPicPr>
                  <pic:blipFill>
                    <a:blip r:embed="rId11"/>
                    <a:stretch>
                      <a:fillRect/>
                    </a:stretch>
                  </pic:blipFill>
                  <pic:spPr>
                    <a:xfrm>
                      <a:off x="0" y="0"/>
                      <a:ext cx="6126480" cy="2241395"/>
                    </a:xfrm>
                    <a:prstGeom prst="rect"/>
                  </pic:spPr>
                </pic:pic>
              </a:graphicData>
            </a:graphic>
          </wp:inline>
        </w:drawing>
      </w:r>
    </w:p>
    <w:p>
      <w:pPr>
        <w:spacing w:after="200" w:before="0"/>
      </w:pPr>
      <w:r>
        <w:rPr>
          <w:b w:val="0"/>
          <w:i/>
          <w:color w:val="6E7B77"/>
          <w:sz w:val="17"/>
        </w:rPr>
        <w:t>Figure 7 — Net profit, history and model, against the strategy’s AED 20bn 2030 target. The model lands at AED 20.7bn without ever assuming the verbatim "c.20%/yr" — compounding does the work.</w:t>
      </w:r>
    </w:p>
    <w:p>
      <w:pPr>
        <w:spacing w:after="40"/>
        <w:jc w:val="center"/>
      </w:pPr>
      <w:r>
        <w:drawing>
          <wp:inline xmlns:a="http://schemas.openxmlformats.org/drawingml/2006/main" xmlns:pic="http://schemas.openxmlformats.org/drawingml/2006/picture">
            <wp:extent cx="6126480" cy="2241395"/>
            <wp:docPr id="4" name="Picture 4"/>
            <wp:cNvGraphicFramePr>
              <a:graphicFrameLocks noChangeAspect="1"/>
            </wp:cNvGraphicFramePr>
            <a:graphic>
              <a:graphicData uri="http://schemas.openxmlformats.org/drawingml/2006/picture">
                <pic:pic>
                  <pic:nvPicPr>
                    <pic:cNvPr id="0" name="fig8_cet1.png"/>
                    <pic:cNvPicPr/>
                  </pic:nvPicPr>
                  <pic:blipFill>
                    <a:blip r:embed="rId12"/>
                    <a:stretch>
                      <a:fillRect/>
                    </a:stretch>
                  </pic:blipFill>
                  <pic:spPr>
                    <a:xfrm>
                      <a:off x="0" y="0"/>
                      <a:ext cx="6126480" cy="2241395"/>
                    </a:xfrm>
                    <a:prstGeom prst="rect"/>
                  </pic:spPr>
                </pic:pic>
              </a:graphicData>
            </a:graphic>
          </wp:inline>
        </w:drawing>
      </w:r>
    </w:p>
    <w:p>
      <w:pPr>
        <w:spacing w:after="200" w:before="0"/>
      </w:pPr>
      <w:r>
        <w:rPr>
          <w:b w:val="0"/>
          <w:i/>
          <w:color w:val="6E7B77"/>
          <w:sz w:val="17"/>
        </w:rPr>
        <w:t>Figure 8 — CET1 walk: the rights issue buys ~120bp of buffer; growth then consumes it toward the &gt;12% floor. This glide is what makes 16% growth, a rising dividend and the capital floor simultaneously affordable — barely.</w:t>
      </w:r>
    </w:p>
    <w:p>
      <w:pPr>
        <w:spacing w:after="120" w:before="0"/>
      </w:pPr>
      <w:r>
        <w:rPr>
          <w:b w:val="0"/>
          <w:i w:val="0"/>
          <w:color w:val="1C3A36"/>
          <w:sz w:val="21"/>
        </w:rPr>
        <w:t>The bank also runs four disclosed lines plus two subsidiaries: Corporate &amp; Investment Banking, Retail, Treasury &amp; Investments and Private Banking split Q1’26 operating income roughly 36/33/25/6%; Al Hilal Bank (Islamic banking) is folded into these on a product basis, not broken out separately, and ADCB Egypt contributed a Q1’26 net profit of EGP 1.1bn (RoE 24%) — about 1% of group profit, immaterial to the AED model but growing faster than the core. Full segment detail is in the companion Excel’s Segments sheet.</w:t>
      </w:r>
    </w:p>
    <w:p>
      <w:pPr>
        <w:spacing w:after="60" w:before="160"/>
      </w:pPr>
      <w:r>
        <w:rPr>
          <w:b/>
          <w:i w:val="0"/>
          <w:color w:val="1C3A36"/>
          <w:sz w:val="21"/>
        </w:rPr>
        <w:t>DuPont — the anatomy of the 16%–ROE reads: margin and efficiency, not leverage</w:t>
      </w:r>
    </w:p>
    <w:p>
      <w:pPr>
        <w:spacing w:after="120" w:before="0"/>
      </w:pPr>
      <w:r>
        <w:rPr>
          <w:b w:val="0"/>
          <w:i w:val="0"/>
          <w:color w:val="1C3A36"/>
          <w:sz w:val="21"/>
        </w:rPr>
        <w:t>The protocol calls for a DuPont decomposition on every bank study so a reader can see whether a projected ROE comes from genuine operating quality or from balance-sheet leverage. Decomposed to average assets, ADCB’s FY26E return on average assets of 1.65% comes almost entirely from the operating income line (NII 1.93% plus fees 1.00% of assets) net of a lean cost base (opex 0.79% of assets) and a modest credit charge (0.29% of assets) — not from a rising equity multiplier. The leverage line (avg assets ÷ avg common equity, ~10.1× in FY26E, easing to ~9.9× by FY30E) is held essentially flat by the CET1 floor across the whole forecast, so when ROE glides from 16.6% toward 16.4% it is doing so on RoAA holding almost exactly flat (1.65% both years) while the mix shifts slightly toward fee income, not on the bank taking on more balance-sheet risk per dollar of equity. That is the answer to the question a DuPont table exists to ask.</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4176"/>
            <w:shd w:val="clear" w:color="auto" w:fill="EAF0EE"/>
          </w:tcPr>
          <w:p>
            <w:pPr>
              <w:spacing w:after="20"/>
            </w:pPr>
            <w:r>
              <w:rPr>
                <w:b/>
                <w:color w:val="1C3A36"/>
                <w:sz w:val="17"/>
              </w:rPr>
              <w:t>DuPont — RoAA decomposition</w:t>
            </w:r>
          </w:p>
        </w:tc>
        <w:tc>
          <w:tcPr>
            <w:tcW w:type="dxa" w:w="1656"/>
            <w:shd w:val="clear" w:color="auto" w:fill="EAF0EE"/>
          </w:tcPr>
          <w:p>
            <w:pPr>
              <w:spacing w:after="20"/>
            </w:pPr>
            <w:r>
              <w:rPr>
                <w:b/>
                <w:color w:val="1C3A36"/>
                <w:sz w:val="17"/>
              </w:rPr>
              <w:t>FY26E</w:t>
            </w:r>
          </w:p>
        </w:tc>
        <w:tc>
          <w:tcPr>
            <w:tcW w:type="dxa" w:w="1656"/>
            <w:shd w:val="clear" w:color="auto" w:fill="EAF0EE"/>
          </w:tcPr>
          <w:p>
            <w:pPr>
              <w:spacing w:after="20"/>
            </w:pPr>
            <w:r>
              <w:rPr>
                <w:b/>
                <w:color w:val="1C3A36"/>
                <w:sz w:val="17"/>
              </w:rPr>
              <w:t>FY30E</w:t>
            </w:r>
          </w:p>
        </w:tc>
      </w:tr>
      <w:tr>
        <w:tc>
          <w:tcPr>
            <w:tcW w:type="dxa" w:w="4176"/>
          </w:tcPr>
          <w:p>
            <w:pPr>
              <w:spacing w:after="20"/>
            </w:pPr>
            <w:r>
              <w:rPr>
                <w:b/>
                <w:color w:val="1C3A36"/>
                <w:sz w:val="17"/>
              </w:rPr>
              <w:t>Net interest income / avg assets</w:t>
            </w:r>
          </w:p>
        </w:tc>
        <w:tc>
          <w:tcPr>
            <w:tcW w:type="dxa" w:w="1656"/>
          </w:tcPr>
          <w:p>
            <w:pPr>
              <w:spacing w:after="20"/>
              <w:jc w:val="right"/>
            </w:pPr>
            <w:r>
              <w:rPr>
                <w:color w:val="1C3A36"/>
                <w:sz w:val="17"/>
              </w:rPr>
              <w:t>1.93%</w:t>
            </w:r>
          </w:p>
        </w:tc>
        <w:tc>
          <w:tcPr>
            <w:tcW w:type="dxa" w:w="1656"/>
          </w:tcPr>
          <w:p>
            <w:pPr>
              <w:spacing w:after="20"/>
              <w:jc w:val="right"/>
            </w:pPr>
            <w:r>
              <w:rPr>
                <w:color w:val="1C3A36"/>
                <w:sz w:val="17"/>
              </w:rPr>
              <w:t>1.95%</w:t>
            </w:r>
          </w:p>
        </w:tc>
      </w:tr>
      <w:tr>
        <w:tc>
          <w:tcPr>
            <w:tcW w:type="dxa" w:w="4176"/>
          </w:tcPr>
          <w:p>
            <w:pPr>
              <w:spacing w:after="20"/>
            </w:pPr>
            <w:r>
              <w:rPr>
                <w:b/>
                <w:color w:val="1C3A36"/>
                <w:sz w:val="17"/>
              </w:rPr>
              <w:t>+ Non-interest income / avg assets</w:t>
            </w:r>
          </w:p>
        </w:tc>
        <w:tc>
          <w:tcPr>
            <w:tcW w:type="dxa" w:w="1656"/>
          </w:tcPr>
          <w:p>
            <w:pPr>
              <w:spacing w:after="20"/>
              <w:jc w:val="right"/>
            </w:pPr>
            <w:r>
              <w:rPr>
                <w:color w:val="1C3A36"/>
                <w:sz w:val="17"/>
              </w:rPr>
              <w:t>1.00%</w:t>
            </w:r>
          </w:p>
        </w:tc>
        <w:tc>
          <w:tcPr>
            <w:tcW w:type="dxa" w:w="1656"/>
          </w:tcPr>
          <w:p>
            <w:pPr>
              <w:spacing w:after="20"/>
              <w:jc w:val="right"/>
            </w:pPr>
            <w:r>
              <w:rPr>
                <w:color w:val="1C3A36"/>
                <w:sz w:val="17"/>
              </w:rPr>
              <w:t>0.94%</w:t>
            </w:r>
          </w:p>
        </w:tc>
      </w:tr>
      <w:tr>
        <w:tc>
          <w:tcPr>
            <w:tcW w:type="dxa" w:w="4176"/>
          </w:tcPr>
          <w:p>
            <w:pPr>
              <w:spacing w:after="20"/>
            </w:pPr>
            <w:r>
              <w:rPr>
                <w:b/>
                <w:color w:val="1C3A36"/>
                <w:sz w:val="17"/>
              </w:rPr>
              <w:t>− Operating expense / avg assets</w:t>
            </w:r>
          </w:p>
        </w:tc>
        <w:tc>
          <w:tcPr>
            <w:tcW w:type="dxa" w:w="1656"/>
          </w:tcPr>
          <w:p>
            <w:pPr>
              <w:spacing w:after="20"/>
              <w:jc w:val="right"/>
            </w:pPr>
            <w:r>
              <w:rPr>
                <w:color w:val="1C3A36"/>
                <w:sz w:val="17"/>
              </w:rPr>
              <w:t>(0.79%)</w:t>
            </w:r>
          </w:p>
        </w:tc>
        <w:tc>
          <w:tcPr>
            <w:tcW w:type="dxa" w:w="1656"/>
          </w:tcPr>
          <w:p>
            <w:pPr>
              <w:spacing w:after="20"/>
              <w:jc w:val="right"/>
            </w:pPr>
            <w:r>
              <w:rPr>
                <w:color w:val="1C3A36"/>
                <w:sz w:val="17"/>
              </w:rPr>
              <w:t>(0.71%)</w:t>
            </w:r>
          </w:p>
        </w:tc>
      </w:tr>
      <w:tr>
        <w:tc>
          <w:tcPr>
            <w:tcW w:type="dxa" w:w="4176"/>
          </w:tcPr>
          <w:p>
            <w:pPr>
              <w:spacing w:after="20"/>
            </w:pPr>
            <w:r>
              <w:rPr>
                <w:b/>
                <w:color w:val="1C3A36"/>
                <w:sz w:val="17"/>
              </w:rPr>
              <w:t>− Impairment charge / avg assets</w:t>
            </w:r>
          </w:p>
        </w:tc>
        <w:tc>
          <w:tcPr>
            <w:tcW w:type="dxa" w:w="1656"/>
          </w:tcPr>
          <w:p>
            <w:pPr>
              <w:spacing w:after="20"/>
              <w:jc w:val="right"/>
            </w:pPr>
            <w:r>
              <w:rPr>
                <w:color w:val="1C3A36"/>
                <w:sz w:val="17"/>
              </w:rPr>
              <w:t>(0.29%)</w:t>
            </w:r>
          </w:p>
        </w:tc>
        <w:tc>
          <w:tcPr>
            <w:tcW w:type="dxa" w:w="1656"/>
          </w:tcPr>
          <w:p>
            <w:pPr>
              <w:spacing w:after="20"/>
              <w:jc w:val="right"/>
            </w:pPr>
            <w:r>
              <w:rPr>
                <w:color w:val="1C3A36"/>
                <w:sz w:val="17"/>
              </w:rPr>
              <w:t>(0.24%)</w:t>
            </w:r>
          </w:p>
        </w:tc>
      </w:tr>
      <w:tr>
        <w:tc>
          <w:tcPr>
            <w:tcW w:type="dxa" w:w="4176"/>
          </w:tcPr>
          <w:p>
            <w:pPr>
              <w:spacing w:after="20"/>
            </w:pPr>
            <w:r>
              <w:rPr>
                <w:b/>
                <w:color w:val="1C3A36"/>
                <w:sz w:val="17"/>
              </w:rPr>
              <w:t>− Tax / avg assets</w:t>
            </w:r>
          </w:p>
        </w:tc>
        <w:tc>
          <w:tcPr>
            <w:tcW w:type="dxa" w:w="1656"/>
          </w:tcPr>
          <w:p>
            <w:pPr>
              <w:spacing w:after="20"/>
              <w:jc w:val="right"/>
            </w:pPr>
            <w:r>
              <w:rPr>
                <w:color w:val="1C3A36"/>
                <w:sz w:val="17"/>
              </w:rPr>
              <w:t>(0.20%)</w:t>
            </w:r>
          </w:p>
        </w:tc>
        <w:tc>
          <w:tcPr>
            <w:tcW w:type="dxa" w:w="1656"/>
          </w:tcPr>
          <w:p>
            <w:pPr>
              <w:spacing w:after="20"/>
              <w:jc w:val="right"/>
            </w:pPr>
            <w:r>
              <w:rPr>
                <w:color w:val="1C3A36"/>
                <w:sz w:val="17"/>
              </w:rPr>
              <w:t>(0.29%)</w:t>
            </w:r>
          </w:p>
        </w:tc>
      </w:tr>
      <w:tr>
        <w:tc>
          <w:tcPr>
            <w:tcW w:type="dxa" w:w="4176"/>
            <w:shd w:val="clear" w:color="auto" w:fill="F6F1E6"/>
          </w:tcPr>
          <w:p>
            <w:pPr>
              <w:spacing w:after="20"/>
            </w:pPr>
            <w:r>
              <w:rPr>
                <w:b/>
                <w:color w:val="1C3A36"/>
                <w:sz w:val="17"/>
              </w:rPr>
              <w:t>= Return on average assets (RoAA)</w:t>
            </w:r>
          </w:p>
        </w:tc>
        <w:tc>
          <w:tcPr>
            <w:tcW w:type="dxa" w:w="1656"/>
            <w:shd w:val="clear" w:color="auto" w:fill="F6F1E6"/>
          </w:tcPr>
          <w:p>
            <w:pPr>
              <w:spacing w:after="20"/>
              <w:jc w:val="right"/>
            </w:pPr>
            <w:r>
              <w:rPr>
                <w:b/>
                <w:color w:val="1C3A36"/>
                <w:sz w:val="17"/>
              </w:rPr>
              <w:t>1.65%</w:t>
            </w:r>
          </w:p>
        </w:tc>
        <w:tc>
          <w:tcPr>
            <w:tcW w:type="dxa" w:w="1656"/>
            <w:shd w:val="clear" w:color="auto" w:fill="F6F1E6"/>
          </w:tcPr>
          <w:p>
            <w:pPr>
              <w:spacing w:after="20"/>
              <w:jc w:val="right"/>
            </w:pPr>
            <w:r>
              <w:rPr>
                <w:b/>
                <w:color w:val="1C3A36"/>
                <w:sz w:val="17"/>
              </w:rPr>
              <w:t>1.65%</w:t>
            </w:r>
          </w:p>
        </w:tc>
      </w:tr>
      <w:tr>
        <w:tc>
          <w:tcPr>
            <w:tcW w:type="dxa" w:w="4176"/>
          </w:tcPr>
          <w:p>
            <w:pPr>
              <w:spacing w:after="20"/>
            </w:pPr>
            <w:r>
              <w:rPr>
                <w:b/>
                <w:color w:val="1C3A36"/>
                <w:sz w:val="17"/>
              </w:rPr>
              <w:t>× Equity multiplier (avg assets / avg common equity)</w:t>
            </w:r>
          </w:p>
        </w:tc>
        <w:tc>
          <w:tcPr>
            <w:tcW w:type="dxa" w:w="1656"/>
          </w:tcPr>
          <w:p>
            <w:pPr>
              <w:spacing w:after="20"/>
              <w:jc w:val="right"/>
            </w:pPr>
            <w:r>
              <w:rPr>
                <w:color w:val="1C3A36"/>
                <w:sz w:val="17"/>
              </w:rPr>
              <w:t>10.09×</w:t>
            </w:r>
          </w:p>
        </w:tc>
        <w:tc>
          <w:tcPr>
            <w:tcW w:type="dxa" w:w="1656"/>
          </w:tcPr>
          <w:p>
            <w:pPr>
              <w:spacing w:after="20"/>
              <w:jc w:val="right"/>
            </w:pPr>
            <w:r>
              <w:rPr>
                <w:color w:val="1C3A36"/>
                <w:sz w:val="17"/>
              </w:rPr>
              <w:t>9.91×</w:t>
            </w:r>
          </w:p>
        </w:tc>
      </w:tr>
      <w:tr>
        <w:tc>
          <w:tcPr>
            <w:tcW w:type="dxa" w:w="4176"/>
            <w:shd w:val="clear" w:color="auto" w:fill="F6F1E6"/>
          </w:tcPr>
          <w:p>
            <w:pPr>
              <w:spacing w:after="20"/>
            </w:pPr>
            <w:r>
              <w:rPr>
                <w:b/>
                <w:color w:val="1C3A36"/>
                <w:sz w:val="17"/>
              </w:rPr>
              <w:t>= Return on average equity (ROE)</w:t>
            </w:r>
          </w:p>
        </w:tc>
        <w:tc>
          <w:tcPr>
            <w:tcW w:type="dxa" w:w="1656"/>
            <w:shd w:val="clear" w:color="auto" w:fill="F6F1E6"/>
          </w:tcPr>
          <w:p>
            <w:pPr>
              <w:spacing w:after="20"/>
              <w:jc w:val="right"/>
            </w:pPr>
            <w:r>
              <w:rPr>
                <w:b/>
                <w:color w:val="1C3A36"/>
                <w:sz w:val="17"/>
              </w:rPr>
              <w:t>16.6%</w:t>
            </w:r>
          </w:p>
        </w:tc>
        <w:tc>
          <w:tcPr>
            <w:tcW w:type="dxa" w:w="1656"/>
            <w:shd w:val="clear" w:color="auto" w:fill="F6F1E6"/>
          </w:tcPr>
          <w:p>
            <w:pPr>
              <w:spacing w:after="20"/>
              <w:jc w:val="right"/>
            </w:pPr>
            <w:r>
              <w:rPr>
                <w:b/>
                <w:color w:val="1C3A36"/>
                <w:sz w:val="17"/>
              </w:rPr>
              <w:t>16.4%</w:t>
            </w:r>
          </w:p>
        </w:tc>
      </w:tr>
    </w:tbl>
    <w:p>
      <w:pPr>
        <w:spacing w:after="40"/>
      </w:pPr>
    </w:p>
    <w:p>
      <w:pPr>
        <w:spacing w:after="200" w:before="0"/>
      </w:pPr>
      <w:r>
        <w:rPr>
          <w:b w:val="0"/>
          <w:i/>
          <w:color w:val="6E7B77"/>
          <w:sz w:val="17"/>
        </w:rPr>
        <w:t>Full year-by-year DuPont build (FY26E–FY30E) is live in the companion Excel’s Driver Build sheet.</w:t>
      </w:r>
    </w:p>
    <w:p>
      <w:pPr>
        <w:spacing w:after="80" w:before="200"/>
      </w:pPr>
      <w:r>
        <w:rPr>
          <w:b/>
          <w:i w:val="0"/>
          <w:color w:val="1C3A36"/>
          <w:sz w:val="24"/>
        </w:rPr>
        <w:t>1.8  The crux — the capital equation cannot maximize everything</w:t>
      </w:r>
    </w:p>
    <w:p>
      <w:pPr>
        <w:spacing w:after="120" w:before="0"/>
      </w:pPr>
      <w:r>
        <w:rPr>
          <w:b w:val="0"/>
          <w:i w:val="0"/>
          <w:color w:val="1C3A36"/>
          <w:sz w:val="21"/>
        </w:rPr>
        <w:t>Every bank study has one load-bearing tension. ADCB’s is arithmetic: management has promised, simultaneously, loan growth "above 16%", CET1 "above 12%", and "c.AED 25bn" of dividends over five years — on top of a war it does not control. Retained earnings must fund RWA growth; the same dirham cannot also be a dividend; the rights issue bought slack, not immunity. In real units:</w:t>
      </w:r>
    </w:p>
    <w:p>
      <w:pPr>
        <w:pStyle w:val="ListBullet"/>
        <w:spacing w:after="60"/>
      </w:pPr>
      <w:r>
        <w:rPr>
          <w:color w:val="1C3A36"/>
          <w:sz w:val="21"/>
        </w:rPr>
        <w:t>16% loan growth in FY26 alone adds ~AED 65bn of loans and ~AED 60bn of RWA, consuming ~AED 8bn of CET1 at the 13.6% target — versus ~AED 12.9bn of profit. Distribution capacity in the high-growth years is real but thin: the model’s FY26 FCFE is AED 6.0bn against a declared dividend of ~AED 5.2bn.</w:t>
      </w:r>
    </w:p>
    <w:p>
      <w:pPr>
        <w:pStyle w:val="ListBullet"/>
        <w:spacing w:after="60"/>
      </w:pPr>
      <w:r>
        <w:rPr>
          <w:color w:val="1C3A36"/>
          <w:sz w:val="21"/>
        </w:rPr>
        <w:t>If growth runs at the top of guidance for longer, either the payout glide steepens (DDM value falls toward AED 19) or CET1 approaches the floor faster (FCFE value falls); if growth disappoints, dividends are safer but the AED 20bn target slips past 2030. The promises are jointly affordable only on the narrow path §1.7 draws — which is exactly why the model draws it.</w:t>
      </w:r>
    </w:p>
    <w:p>
      <w:pPr>
        <w:pStyle w:val="ListBullet"/>
        <w:spacing w:after="60"/>
      </w:pPr>
      <w:r>
        <w:rPr>
          <w:color w:val="1C3A36"/>
          <w:sz w:val="21"/>
        </w:rPr>
        <w:t>The war premium is the second crux: strip the 1.0pt conflict adder and the central rises to AED 23.0; harden it to 2.5pt (renewed Hormuz closure) and the central falls to ~AED 16.3. About AED 3 of value per share — a fifth of the price — is a pure geopolitics bet neither management nor this model controls.</w:t>
      </w:r>
    </w:p>
    <w:p>
      <w:pPr>
        <w:spacing w:after="80" w:before="200"/>
      </w:pPr>
      <w:r>
        <w:rPr>
          <w:b/>
          <w:i w:val="0"/>
          <w:color w:val="1C3A36"/>
          <w:sz w:val="24"/>
        </w:rPr>
        <w:t>1.9  Macro &amp; regime</w:t>
      </w:r>
    </w:p>
    <w:p>
      <w:pPr>
        <w:spacing w:after="120" w:before="0"/>
      </w:pPr>
      <w:r>
        <w:rPr>
          <w:b w:val="0"/>
          <w:i w:val="0"/>
          <w:color w:val="1C3A36"/>
          <w:sz w:val="21"/>
        </w:rPr>
        <w:t>The operating backdrop is a peculiar mix of strong micro and bruised macro. The UAE grew 6.2% in 2025; the central bank now forecasts 1.7% for 2026 — the war’s bill. Oil traded to war highs and back; the Strait of Hormuz was effectively closed for parts of March–May (the largest supply disruption on record) before the April ceasefire; Jebel Ali took physical debris. Yet system credit demand stayed robust, UAE bank assets reached AED 4.97tn by mid-2025, and ADCB itself booked the disruption as AED 596mn of precautionary overlays rather than actual losses. The rate cycle matters more for the model: the CBUAE base rate (3.65%, pegged to the Fed corridor) is expected by ADCB’s own management to fall twice in 2026 — the source of the FY27 NIM trough. S&amp;P’s upgrade of ADCB to A+ (2025) and the Aa2 sovereign keep funding costs anchored; the constructed AED 10-year risk-free of 4.70% (UST 4.58% + ~12bp AED T-bond spread, from the Ministry of Finance’s May-2026 auctions) is itself an estimate, flagged as such, until a longer AED government curve is available.</w:t>
      </w:r>
    </w:p>
    <w:p>
      <w:pPr>
        <w:spacing w:after="80" w:before="200"/>
      </w:pPr>
      <w:r>
        <w:rPr>
          <w:b/>
          <w:i w:val="0"/>
          <w:color w:val="1C3A36"/>
          <w:sz w:val="24"/>
        </w:rPr>
        <w:t>1.10  Sensitivity — Ke × terminal growth, and the crux in real units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2448"/>
            <w:shd w:val="clear" w:color="auto" w:fill="EAF0EE"/>
          </w:tcPr>
          <w:p>
            <w:pPr>
              <w:spacing w:after="20"/>
            </w:pPr>
            <w:r>
              <w:rPr>
                <w:b/>
                <w:color w:val="1C3A36"/>
                <w:sz w:val="18"/>
              </w:rPr>
              <w:t>Weighted central (AED)</w:t>
            </w:r>
          </w:p>
        </w:tc>
        <w:tc>
          <w:tcPr>
            <w:tcW w:type="dxa" w:w="1526"/>
            <w:shd w:val="clear" w:color="auto" w:fill="EAF0EE"/>
          </w:tcPr>
          <w:p>
            <w:pPr>
              <w:spacing w:after="20"/>
            </w:pPr>
            <w:r>
              <w:rPr>
                <w:b/>
                <w:color w:val="1C3A36"/>
                <w:sz w:val="18"/>
              </w:rPr>
              <w:t>g 3.0%</w:t>
            </w:r>
          </w:p>
        </w:tc>
        <w:tc>
          <w:tcPr>
            <w:tcW w:type="dxa" w:w="1526"/>
            <w:shd w:val="clear" w:color="auto" w:fill="EAF0EE"/>
          </w:tcPr>
          <w:p>
            <w:pPr>
              <w:spacing w:after="20"/>
            </w:pPr>
            <w:r>
              <w:rPr>
                <w:b/>
                <w:color w:val="1C3A36"/>
                <w:sz w:val="18"/>
              </w:rPr>
              <w:t>g 3.5%</w:t>
            </w:r>
          </w:p>
        </w:tc>
        <w:tc>
          <w:tcPr>
            <w:tcW w:type="dxa" w:w="1526"/>
            <w:shd w:val="clear" w:color="auto" w:fill="EAF0EE"/>
          </w:tcPr>
          <w:p>
            <w:pPr>
              <w:spacing w:after="20"/>
            </w:pPr>
            <w:r>
              <w:rPr>
                <w:b/>
                <w:color w:val="1C3A36"/>
                <w:sz w:val="18"/>
              </w:rPr>
              <w:t>g 4.0%</w:t>
            </w:r>
          </w:p>
        </w:tc>
        <w:tc>
          <w:tcPr>
            <w:tcW w:type="dxa" w:w="1526"/>
            <w:shd w:val="clear" w:color="auto" w:fill="EAF0EE"/>
          </w:tcPr>
          <w:p>
            <w:pPr>
              <w:spacing w:after="20"/>
            </w:pPr>
            <w:r>
              <w:rPr>
                <w:b/>
                <w:color w:val="1C3A36"/>
                <w:sz w:val="18"/>
              </w:rPr>
              <w:t>g 4.5%</w:t>
            </w:r>
          </w:p>
        </w:tc>
      </w:tr>
      <w:tr>
        <w:tc>
          <w:tcPr>
            <w:tcW w:type="dxa" w:w="2448"/>
          </w:tcPr>
          <w:p>
            <w:pPr>
              <w:spacing w:after="20"/>
            </w:pPr>
            <w:r>
              <w:rPr>
                <w:b/>
                <w:color w:val="1C3A36"/>
                <w:sz w:val="18"/>
              </w:rPr>
              <w:t>Ke 9.6%</w:t>
            </w:r>
          </w:p>
        </w:tc>
        <w:tc>
          <w:tcPr>
            <w:tcW w:type="dxa" w:w="1526"/>
          </w:tcPr>
          <w:p>
            <w:pPr>
              <w:spacing w:after="20"/>
              <w:jc w:val="right"/>
            </w:pPr>
            <w:r>
              <w:rPr>
                <w:color w:val="1C3A36"/>
                <w:sz w:val="18"/>
              </w:rPr>
              <w:t>21.2</w:t>
            </w:r>
          </w:p>
        </w:tc>
        <w:tc>
          <w:tcPr>
            <w:tcW w:type="dxa" w:w="1526"/>
          </w:tcPr>
          <w:p>
            <w:pPr>
              <w:spacing w:after="20"/>
              <w:jc w:val="right"/>
            </w:pPr>
            <w:r>
              <w:rPr>
                <w:color w:val="1C3A36"/>
                <w:sz w:val="18"/>
              </w:rPr>
              <w:t>22.0</w:t>
            </w:r>
          </w:p>
        </w:tc>
        <w:tc>
          <w:tcPr>
            <w:tcW w:type="dxa" w:w="1526"/>
          </w:tcPr>
          <w:p>
            <w:pPr>
              <w:spacing w:after="20"/>
              <w:jc w:val="right"/>
            </w:pPr>
            <w:r>
              <w:rPr>
                <w:color w:val="1C3A36"/>
                <w:sz w:val="18"/>
              </w:rPr>
              <w:t>22.9</w:t>
            </w:r>
          </w:p>
        </w:tc>
        <w:tc>
          <w:tcPr>
            <w:tcW w:type="dxa" w:w="1526"/>
          </w:tcPr>
          <w:p>
            <w:pPr>
              <w:spacing w:after="20"/>
              <w:jc w:val="right"/>
            </w:pPr>
            <w:r>
              <w:rPr>
                <w:color w:val="1C3A36"/>
                <w:sz w:val="18"/>
              </w:rPr>
              <w:t>24.0</w:t>
            </w:r>
          </w:p>
        </w:tc>
      </w:tr>
      <w:tr>
        <w:tc>
          <w:tcPr>
            <w:tcW w:type="dxa" w:w="2448"/>
          </w:tcPr>
          <w:p>
            <w:pPr>
              <w:spacing w:after="20"/>
            </w:pPr>
            <w:r>
              <w:rPr>
                <w:b/>
                <w:color w:val="1C3A36"/>
                <w:sz w:val="18"/>
              </w:rPr>
              <w:t>Ke 10.1%</w:t>
            </w:r>
          </w:p>
        </w:tc>
        <w:tc>
          <w:tcPr>
            <w:tcW w:type="dxa" w:w="1526"/>
          </w:tcPr>
          <w:p>
            <w:pPr>
              <w:spacing w:after="20"/>
              <w:jc w:val="right"/>
            </w:pPr>
            <w:r>
              <w:rPr>
                <w:color w:val="1C3A36"/>
                <w:sz w:val="18"/>
              </w:rPr>
              <w:t>19.8</w:t>
            </w:r>
          </w:p>
        </w:tc>
        <w:tc>
          <w:tcPr>
            <w:tcW w:type="dxa" w:w="1526"/>
          </w:tcPr>
          <w:p>
            <w:pPr>
              <w:spacing w:after="20"/>
              <w:jc w:val="right"/>
            </w:pPr>
            <w:r>
              <w:rPr>
                <w:color w:val="1C3A36"/>
                <w:sz w:val="18"/>
              </w:rPr>
              <w:t>20.4</w:t>
            </w:r>
          </w:p>
        </w:tc>
        <w:tc>
          <w:tcPr>
            <w:tcW w:type="dxa" w:w="1526"/>
          </w:tcPr>
          <w:p>
            <w:pPr>
              <w:spacing w:after="20"/>
              <w:jc w:val="right"/>
            </w:pPr>
            <w:r>
              <w:rPr>
                <w:color w:val="1C3A36"/>
                <w:sz w:val="18"/>
              </w:rPr>
              <w:t>21.2</w:t>
            </w:r>
          </w:p>
        </w:tc>
        <w:tc>
          <w:tcPr>
            <w:tcW w:type="dxa" w:w="1526"/>
          </w:tcPr>
          <w:p>
            <w:pPr>
              <w:spacing w:after="20"/>
              <w:jc w:val="right"/>
            </w:pPr>
            <w:r>
              <w:rPr>
                <w:color w:val="1C3A36"/>
                <w:sz w:val="18"/>
              </w:rPr>
              <w:t>22.0</w:t>
            </w:r>
          </w:p>
        </w:tc>
      </w:tr>
      <w:tr>
        <w:tc>
          <w:tcPr>
            <w:tcW w:type="dxa" w:w="2448"/>
            <w:shd w:val="clear" w:color="auto" w:fill="F6F1E6"/>
          </w:tcPr>
          <w:p>
            <w:pPr>
              <w:spacing w:after="20"/>
            </w:pPr>
            <w:r>
              <w:rPr>
                <w:b/>
                <w:color w:val="1C3A36"/>
                <w:sz w:val="18"/>
              </w:rPr>
              <w:t>Ke 10.6%</w:t>
            </w:r>
          </w:p>
        </w:tc>
        <w:tc>
          <w:tcPr>
            <w:tcW w:type="dxa" w:w="1526"/>
            <w:shd w:val="clear" w:color="auto" w:fill="F6F1E6"/>
          </w:tcPr>
          <w:p>
            <w:pPr>
              <w:spacing w:after="20"/>
              <w:jc w:val="right"/>
            </w:pPr>
            <w:r>
              <w:rPr>
                <w:b/>
                <w:color w:val="1C3A36"/>
                <w:sz w:val="18"/>
              </w:rPr>
              <w:t>18.6</w:t>
            </w:r>
          </w:p>
        </w:tc>
        <w:tc>
          <w:tcPr>
            <w:tcW w:type="dxa" w:w="1526"/>
            <w:shd w:val="clear" w:color="auto" w:fill="F6F1E6"/>
          </w:tcPr>
          <w:p>
            <w:pPr>
              <w:spacing w:after="20"/>
              <w:jc w:val="right"/>
            </w:pPr>
            <w:r>
              <w:rPr>
                <w:b/>
                <w:color w:val="1C3A36"/>
                <w:sz w:val="18"/>
              </w:rPr>
              <w:t>19.1</w:t>
            </w:r>
          </w:p>
        </w:tc>
        <w:tc>
          <w:tcPr>
            <w:tcW w:type="dxa" w:w="1526"/>
            <w:shd w:val="clear" w:color="auto" w:fill="F6F1E6"/>
          </w:tcPr>
          <w:p>
            <w:pPr>
              <w:spacing w:after="20"/>
              <w:jc w:val="right"/>
            </w:pPr>
            <w:r>
              <w:rPr>
                <w:b/>
                <w:color w:val="1C3A36"/>
                <w:sz w:val="18"/>
              </w:rPr>
              <w:t>19.7</w:t>
            </w:r>
          </w:p>
        </w:tc>
        <w:tc>
          <w:tcPr>
            <w:tcW w:type="dxa" w:w="1526"/>
            <w:shd w:val="clear" w:color="auto" w:fill="F6F1E6"/>
          </w:tcPr>
          <w:p>
            <w:pPr>
              <w:spacing w:after="20"/>
              <w:jc w:val="right"/>
            </w:pPr>
            <w:r>
              <w:rPr>
                <w:b/>
                <w:color w:val="1C3A36"/>
                <w:sz w:val="18"/>
              </w:rPr>
              <w:t>20.3</w:t>
            </w:r>
          </w:p>
        </w:tc>
      </w:tr>
      <w:tr>
        <w:tc>
          <w:tcPr>
            <w:tcW w:type="dxa" w:w="2448"/>
          </w:tcPr>
          <w:p>
            <w:pPr>
              <w:spacing w:after="20"/>
            </w:pPr>
            <w:r>
              <w:rPr>
                <w:b/>
                <w:color w:val="1C3A36"/>
                <w:sz w:val="18"/>
              </w:rPr>
              <w:t>Ke 11.1%</w:t>
            </w:r>
          </w:p>
        </w:tc>
        <w:tc>
          <w:tcPr>
            <w:tcW w:type="dxa" w:w="1526"/>
          </w:tcPr>
          <w:p>
            <w:pPr>
              <w:spacing w:after="20"/>
              <w:jc w:val="right"/>
            </w:pPr>
            <w:r>
              <w:rPr>
                <w:color w:val="1C3A36"/>
                <w:sz w:val="18"/>
              </w:rPr>
              <w:t>17.5</w:t>
            </w:r>
          </w:p>
        </w:tc>
        <w:tc>
          <w:tcPr>
            <w:tcW w:type="dxa" w:w="1526"/>
          </w:tcPr>
          <w:p>
            <w:pPr>
              <w:spacing w:after="20"/>
              <w:jc w:val="right"/>
            </w:pPr>
            <w:r>
              <w:rPr>
                <w:color w:val="1C3A36"/>
                <w:sz w:val="18"/>
              </w:rPr>
              <w:t>17.9</w:t>
            </w:r>
          </w:p>
        </w:tc>
        <w:tc>
          <w:tcPr>
            <w:tcW w:type="dxa" w:w="1526"/>
          </w:tcPr>
          <w:p>
            <w:pPr>
              <w:spacing w:after="20"/>
              <w:jc w:val="right"/>
            </w:pPr>
            <w:r>
              <w:rPr>
                <w:color w:val="1C3A36"/>
                <w:sz w:val="18"/>
              </w:rPr>
              <w:t>18.4</w:t>
            </w:r>
          </w:p>
        </w:tc>
        <w:tc>
          <w:tcPr>
            <w:tcW w:type="dxa" w:w="1526"/>
          </w:tcPr>
          <w:p>
            <w:pPr>
              <w:spacing w:after="20"/>
              <w:jc w:val="right"/>
            </w:pPr>
            <w:r>
              <w:rPr>
                <w:color w:val="1C3A36"/>
                <w:sz w:val="18"/>
              </w:rPr>
              <w:t>18.9</w:t>
            </w:r>
          </w:p>
        </w:tc>
      </w:tr>
      <w:tr>
        <w:tc>
          <w:tcPr>
            <w:tcW w:type="dxa" w:w="2448"/>
          </w:tcPr>
          <w:p>
            <w:pPr>
              <w:spacing w:after="20"/>
            </w:pPr>
            <w:r>
              <w:rPr>
                <w:b/>
                <w:color w:val="1C3A36"/>
                <w:sz w:val="18"/>
              </w:rPr>
              <w:t>Ke 11.6%</w:t>
            </w:r>
          </w:p>
        </w:tc>
        <w:tc>
          <w:tcPr>
            <w:tcW w:type="dxa" w:w="1526"/>
          </w:tcPr>
          <w:p>
            <w:pPr>
              <w:spacing w:after="20"/>
              <w:jc w:val="right"/>
            </w:pPr>
            <w:r>
              <w:rPr>
                <w:color w:val="1C3A36"/>
                <w:sz w:val="18"/>
              </w:rPr>
              <w:t>16.5</w:t>
            </w:r>
          </w:p>
        </w:tc>
        <w:tc>
          <w:tcPr>
            <w:tcW w:type="dxa" w:w="1526"/>
          </w:tcPr>
          <w:p>
            <w:pPr>
              <w:spacing w:after="20"/>
              <w:jc w:val="right"/>
            </w:pPr>
            <w:r>
              <w:rPr>
                <w:color w:val="1C3A36"/>
                <w:sz w:val="18"/>
              </w:rPr>
              <w:t>16.9</w:t>
            </w:r>
          </w:p>
        </w:tc>
        <w:tc>
          <w:tcPr>
            <w:tcW w:type="dxa" w:w="1526"/>
          </w:tcPr>
          <w:p>
            <w:pPr>
              <w:spacing w:after="20"/>
              <w:jc w:val="right"/>
            </w:pPr>
            <w:r>
              <w:rPr>
                <w:color w:val="1C3A36"/>
                <w:sz w:val="18"/>
              </w:rPr>
              <w:t>17.3</w:t>
            </w:r>
          </w:p>
        </w:tc>
        <w:tc>
          <w:tcPr>
            <w:tcW w:type="dxa" w:w="1526"/>
          </w:tcPr>
          <w:p>
            <w:pPr>
              <w:spacing w:after="20"/>
              <w:jc w:val="right"/>
            </w:pPr>
            <w:r>
              <w:rPr>
                <w:color w:val="1C3A36"/>
                <w:sz w:val="18"/>
              </w:rPr>
              <w:t>17.7</w:t>
            </w:r>
          </w:p>
        </w:tc>
      </w:tr>
      <w:tr>
        <w:tc>
          <w:tcPr>
            <w:tcW w:type="dxa" w:w="2448"/>
          </w:tcPr>
          <w:p>
            <w:pPr>
              <w:spacing w:after="20"/>
            </w:pPr>
            <w:r>
              <w:rPr>
                <w:b/>
                <w:color w:val="1C3A36"/>
                <w:sz w:val="18"/>
              </w:rPr>
              <w:t>Ke 12.1%</w:t>
            </w:r>
          </w:p>
        </w:tc>
        <w:tc>
          <w:tcPr>
            <w:tcW w:type="dxa" w:w="1526"/>
          </w:tcPr>
          <w:p>
            <w:pPr>
              <w:spacing w:after="20"/>
              <w:jc w:val="right"/>
            </w:pPr>
            <w:r>
              <w:rPr>
                <w:color w:val="1C3A36"/>
                <w:sz w:val="18"/>
              </w:rPr>
              <w:t>15.7</w:t>
            </w:r>
          </w:p>
        </w:tc>
        <w:tc>
          <w:tcPr>
            <w:tcW w:type="dxa" w:w="1526"/>
          </w:tcPr>
          <w:p>
            <w:pPr>
              <w:spacing w:after="20"/>
              <w:jc w:val="right"/>
            </w:pPr>
            <w:r>
              <w:rPr>
                <w:color w:val="1C3A36"/>
                <w:sz w:val="18"/>
              </w:rPr>
              <w:t>16.0</w:t>
            </w:r>
          </w:p>
        </w:tc>
        <w:tc>
          <w:tcPr>
            <w:tcW w:type="dxa" w:w="1526"/>
          </w:tcPr>
          <w:p>
            <w:pPr>
              <w:spacing w:after="20"/>
              <w:jc w:val="right"/>
            </w:pPr>
            <w:r>
              <w:rPr>
                <w:color w:val="1C3A36"/>
                <w:sz w:val="18"/>
              </w:rPr>
              <w:t>16.3</w:t>
            </w:r>
          </w:p>
        </w:tc>
        <w:tc>
          <w:tcPr>
            <w:tcW w:type="dxa" w:w="1526"/>
          </w:tcPr>
          <w:p>
            <w:pPr>
              <w:spacing w:after="20"/>
              <w:jc w:val="right"/>
            </w:pPr>
            <w:r>
              <w:rPr>
                <w:color w:val="1C3A36"/>
                <w:sz w:val="18"/>
              </w:rPr>
              <w:t>16.6</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2448"/>
            <w:shd w:val="clear" w:color="auto" w:fill="EAF0EE"/>
          </w:tcPr>
          <w:p>
            <w:pPr>
              <w:spacing w:after="20"/>
            </w:pPr>
            <w:r>
              <w:rPr>
                <w:b/>
                <w:color w:val="1C3A36"/>
                <w:sz w:val="18"/>
              </w:rPr>
              <w:t>DDM alone (AED)</w:t>
            </w:r>
          </w:p>
        </w:tc>
        <w:tc>
          <w:tcPr>
            <w:tcW w:type="dxa" w:w="1526"/>
            <w:shd w:val="clear" w:color="auto" w:fill="EAF0EE"/>
          </w:tcPr>
          <w:p>
            <w:pPr>
              <w:spacing w:after="20"/>
            </w:pPr>
            <w:r>
              <w:rPr>
                <w:b/>
                <w:color w:val="1C3A36"/>
                <w:sz w:val="18"/>
              </w:rPr>
              <w:t>g 3.0%</w:t>
            </w:r>
          </w:p>
        </w:tc>
        <w:tc>
          <w:tcPr>
            <w:tcW w:type="dxa" w:w="1526"/>
            <w:shd w:val="clear" w:color="auto" w:fill="EAF0EE"/>
          </w:tcPr>
          <w:p>
            <w:pPr>
              <w:spacing w:after="20"/>
            </w:pPr>
            <w:r>
              <w:rPr>
                <w:b/>
                <w:color w:val="1C3A36"/>
                <w:sz w:val="18"/>
              </w:rPr>
              <w:t>g 3.5%</w:t>
            </w:r>
          </w:p>
        </w:tc>
        <w:tc>
          <w:tcPr>
            <w:tcW w:type="dxa" w:w="1526"/>
            <w:shd w:val="clear" w:color="auto" w:fill="EAF0EE"/>
          </w:tcPr>
          <w:p>
            <w:pPr>
              <w:spacing w:after="20"/>
            </w:pPr>
            <w:r>
              <w:rPr>
                <w:b/>
                <w:color w:val="1C3A36"/>
                <w:sz w:val="18"/>
              </w:rPr>
              <w:t>g 4.0%</w:t>
            </w:r>
          </w:p>
        </w:tc>
        <w:tc>
          <w:tcPr>
            <w:tcW w:type="dxa" w:w="1526"/>
            <w:shd w:val="clear" w:color="auto" w:fill="EAF0EE"/>
          </w:tcPr>
          <w:p>
            <w:pPr>
              <w:spacing w:after="20"/>
            </w:pPr>
            <w:r>
              <w:rPr>
                <w:b/>
                <w:color w:val="1C3A36"/>
                <w:sz w:val="18"/>
              </w:rPr>
              <w:t>g 4.5%</w:t>
            </w:r>
          </w:p>
        </w:tc>
      </w:tr>
      <w:tr>
        <w:tc>
          <w:tcPr>
            <w:tcW w:type="dxa" w:w="2448"/>
          </w:tcPr>
          <w:p>
            <w:pPr>
              <w:spacing w:after="20"/>
            </w:pPr>
            <w:r>
              <w:rPr>
                <w:b/>
                <w:color w:val="1C3A36"/>
                <w:sz w:val="18"/>
              </w:rPr>
              <w:t>Ke 9.6%</w:t>
            </w:r>
          </w:p>
        </w:tc>
        <w:tc>
          <w:tcPr>
            <w:tcW w:type="dxa" w:w="1526"/>
          </w:tcPr>
          <w:p>
            <w:pPr>
              <w:spacing w:after="20"/>
              <w:jc w:val="right"/>
            </w:pPr>
            <w:r>
              <w:rPr>
                <w:color w:val="1C3A36"/>
                <w:sz w:val="18"/>
              </w:rPr>
              <w:t>23.5</w:t>
            </w:r>
          </w:p>
        </w:tc>
        <w:tc>
          <w:tcPr>
            <w:tcW w:type="dxa" w:w="1526"/>
          </w:tcPr>
          <w:p>
            <w:pPr>
              <w:spacing w:after="20"/>
              <w:jc w:val="right"/>
            </w:pPr>
            <w:r>
              <w:rPr>
                <w:color w:val="1C3A36"/>
                <w:sz w:val="18"/>
              </w:rPr>
              <w:t>24.4</w:t>
            </w:r>
          </w:p>
        </w:tc>
        <w:tc>
          <w:tcPr>
            <w:tcW w:type="dxa" w:w="1526"/>
          </w:tcPr>
          <w:p>
            <w:pPr>
              <w:spacing w:after="20"/>
              <w:jc w:val="right"/>
            </w:pPr>
            <w:r>
              <w:rPr>
                <w:color w:val="1C3A36"/>
                <w:sz w:val="18"/>
              </w:rPr>
              <w:t>25.4</w:t>
            </w:r>
          </w:p>
        </w:tc>
        <w:tc>
          <w:tcPr>
            <w:tcW w:type="dxa" w:w="1526"/>
          </w:tcPr>
          <w:p>
            <w:pPr>
              <w:spacing w:after="20"/>
              <w:jc w:val="right"/>
            </w:pPr>
            <w:r>
              <w:rPr>
                <w:color w:val="1C3A36"/>
                <w:sz w:val="18"/>
              </w:rPr>
              <w:t>26.6</w:t>
            </w:r>
          </w:p>
        </w:tc>
      </w:tr>
      <w:tr>
        <w:tc>
          <w:tcPr>
            <w:tcW w:type="dxa" w:w="2448"/>
          </w:tcPr>
          <w:p>
            <w:pPr>
              <w:spacing w:after="20"/>
            </w:pPr>
            <w:r>
              <w:rPr>
                <w:b/>
                <w:color w:val="1C3A36"/>
                <w:sz w:val="18"/>
              </w:rPr>
              <w:t>Ke 10.1%</w:t>
            </w:r>
          </w:p>
        </w:tc>
        <w:tc>
          <w:tcPr>
            <w:tcW w:type="dxa" w:w="1526"/>
          </w:tcPr>
          <w:p>
            <w:pPr>
              <w:spacing w:after="20"/>
              <w:jc w:val="right"/>
            </w:pPr>
            <w:r>
              <w:rPr>
                <w:color w:val="1C3A36"/>
                <w:sz w:val="18"/>
              </w:rPr>
              <w:t>21.6</w:t>
            </w:r>
          </w:p>
        </w:tc>
        <w:tc>
          <w:tcPr>
            <w:tcW w:type="dxa" w:w="1526"/>
          </w:tcPr>
          <w:p>
            <w:pPr>
              <w:spacing w:after="20"/>
              <w:jc w:val="right"/>
            </w:pPr>
            <w:r>
              <w:rPr>
                <w:color w:val="1C3A36"/>
                <w:sz w:val="18"/>
              </w:rPr>
              <w:t>22.3</w:t>
            </w:r>
          </w:p>
        </w:tc>
        <w:tc>
          <w:tcPr>
            <w:tcW w:type="dxa" w:w="1526"/>
          </w:tcPr>
          <w:p>
            <w:pPr>
              <w:spacing w:after="20"/>
              <w:jc w:val="right"/>
            </w:pPr>
            <w:r>
              <w:rPr>
                <w:color w:val="1C3A36"/>
                <w:sz w:val="18"/>
              </w:rPr>
              <w:t>23.0</w:t>
            </w:r>
          </w:p>
        </w:tc>
        <w:tc>
          <w:tcPr>
            <w:tcW w:type="dxa" w:w="1526"/>
          </w:tcPr>
          <w:p>
            <w:pPr>
              <w:spacing w:after="20"/>
              <w:jc w:val="right"/>
            </w:pPr>
            <w:r>
              <w:rPr>
                <w:color w:val="1C3A36"/>
                <w:sz w:val="18"/>
              </w:rPr>
              <w:t>23.9</w:t>
            </w:r>
          </w:p>
        </w:tc>
      </w:tr>
      <w:tr>
        <w:tc>
          <w:tcPr>
            <w:tcW w:type="dxa" w:w="2448"/>
          </w:tcPr>
          <w:p>
            <w:pPr>
              <w:spacing w:after="20"/>
            </w:pPr>
            <w:r>
              <w:rPr>
                <w:b/>
                <w:color w:val="1C3A36"/>
                <w:sz w:val="18"/>
              </w:rPr>
              <w:t>Ke 10.6%</w:t>
            </w:r>
          </w:p>
        </w:tc>
        <w:tc>
          <w:tcPr>
            <w:tcW w:type="dxa" w:w="1526"/>
          </w:tcPr>
          <w:p>
            <w:pPr>
              <w:spacing w:after="20"/>
              <w:jc w:val="right"/>
            </w:pPr>
            <w:r>
              <w:rPr>
                <w:color w:val="1C3A36"/>
                <w:sz w:val="18"/>
              </w:rPr>
              <w:t>19.9</w:t>
            </w:r>
          </w:p>
        </w:tc>
        <w:tc>
          <w:tcPr>
            <w:tcW w:type="dxa" w:w="1526"/>
          </w:tcPr>
          <w:p>
            <w:pPr>
              <w:spacing w:after="20"/>
              <w:jc w:val="right"/>
            </w:pPr>
            <w:r>
              <w:rPr>
                <w:color w:val="1C3A36"/>
                <w:sz w:val="18"/>
              </w:rPr>
              <w:t>20.4</w:t>
            </w:r>
          </w:p>
        </w:tc>
        <w:tc>
          <w:tcPr>
            <w:tcW w:type="dxa" w:w="1526"/>
          </w:tcPr>
          <w:p>
            <w:pPr>
              <w:spacing w:after="20"/>
              <w:jc w:val="right"/>
            </w:pPr>
            <w:r>
              <w:rPr>
                <w:color w:val="1C3A36"/>
                <w:sz w:val="18"/>
              </w:rPr>
              <w:t>21.0</w:t>
            </w:r>
          </w:p>
        </w:tc>
        <w:tc>
          <w:tcPr>
            <w:tcW w:type="dxa" w:w="1526"/>
          </w:tcPr>
          <w:p>
            <w:pPr>
              <w:spacing w:after="20"/>
              <w:jc w:val="right"/>
            </w:pPr>
            <w:r>
              <w:rPr>
                <w:color w:val="1C3A36"/>
                <w:sz w:val="18"/>
              </w:rPr>
              <w:t>21.7</w:t>
            </w:r>
          </w:p>
        </w:tc>
      </w:tr>
      <w:tr>
        <w:tc>
          <w:tcPr>
            <w:tcW w:type="dxa" w:w="2448"/>
          </w:tcPr>
          <w:p>
            <w:pPr>
              <w:spacing w:after="20"/>
            </w:pPr>
            <w:r>
              <w:rPr>
                <w:b/>
                <w:color w:val="1C3A36"/>
                <w:sz w:val="18"/>
              </w:rPr>
              <w:t>Ke 11.1%</w:t>
            </w:r>
          </w:p>
        </w:tc>
        <w:tc>
          <w:tcPr>
            <w:tcW w:type="dxa" w:w="1526"/>
          </w:tcPr>
          <w:p>
            <w:pPr>
              <w:spacing w:after="20"/>
              <w:jc w:val="right"/>
            </w:pPr>
            <w:r>
              <w:rPr>
                <w:color w:val="1C3A36"/>
                <w:sz w:val="18"/>
              </w:rPr>
              <w:t>18.5</w:t>
            </w:r>
          </w:p>
        </w:tc>
        <w:tc>
          <w:tcPr>
            <w:tcW w:type="dxa" w:w="1526"/>
          </w:tcPr>
          <w:p>
            <w:pPr>
              <w:spacing w:after="20"/>
              <w:jc w:val="right"/>
            </w:pPr>
            <w:r>
              <w:rPr>
                <w:color w:val="1C3A36"/>
                <w:sz w:val="18"/>
              </w:rPr>
              <w:t>18.9</w:t>
            </w:r>
          </w:p>
        </w:tc>
        <w:tc>
          <w:tcPr>
            <w:tcW w:type="dxa" w:w="1526"/>
          </w:tcPr>
          <w:p>
            <w:pPr>
              <w:spacing w:after="20"/>
              <w:jc w:val="right"/>
            </w:pPr>
            <w:r>
              <w:rPr>
                <w:color w:val="1C3A36"/>
                <w:sz w:val="18"/>
              </w:rPr>
              <w:t>19.3</w:t>
            </w:r>
          </w:p>
        </w:tc>
        <w:tc>
          <w:tcPr>
            <w:tcW w:type="dxa" w:w="1526"/>
          </w:tcPr>
          <w:p>
            <w:pPr>
              <w:spacing w:after="20"/>
              <w:jc w:val="right"/>
            </w:pPr>
            <w:r>
              <w:rPr>
                <w:color w:val="1C3A36"/>
                <w:sz w:val="18"/>
              </w:rPr>
              <w:t>19.9</w:t>
            </w:r>
          </w:p>
        </w:tc>
      </w:tr>
      <w:tr>
        <w:tc>
          <w:tcPr>
            <w:tcW w:type="dxa" w:w="2448"/>
          </w:tcPr>
          <w:p>
            <w:pPr>
              <w:spacing w:after="20"/>
            </w:pPr>
            <w:r>
              <w:rPr>
                <w:b/>
                <w:color w:val="1C3A36"/>
                <w:sz w:val="18"/>
              </w:rPr>
              <w:t>Ke 11.6%</w:t>
            </w:r>
          </w:p>
        </w:tc>
        <w:tc>
          <w:tcPr>
            <w:tcW w:type="dxa" w:w="1526"/>
          </w:tcPr>
          <w:p>
            <w:pPr>
              <w:spacing w:after="20"/>
              <w:jc w:val="right"/>
            </w:pPr>
            <w:r>
              <w:rPr>
                <w:color w:val="1C3A36"/>
                <w:sz w:val="18"/>
              </w:rPr>
              <w:t>17.2</w:t>
            </w:r>
          </w:p>
        </w:tc>
        <w:tc>
          <w:tcPr>
            <w:tcW w:type="dxa" w:w="1526"/>
          </w:tcPr>
          <w:p>
            <w:pPr>
              <w:spacing w:after="20"/>
              <w:jc w:val="right"/>
            </w:pPr>
            <w:r>
              <w:rPr>
                <w:color w:val="1C3A36"/>
                <w:sz w:val="18"/>
              </w:rPr>
              <w:t>17.5</w:t>
            </w:r>
          </w:p>
        </w:tc>
        <w:tc>
          <w:tcPr>
            <w:tcW w:type="dxa" w:w="1526"/>
          </w:tcPr>
          <w:p>
            <w:pPr>
              <w:spacing w:after="20"/>
              <w:jc w:val="right"/>
            </w:pPr>
            <w:r>
              <w:rPr>
                <w:color w:val="1C3A36"/>
                <w:sz w:val="18"/>
              </w:rPr>
              <w:t>17.9</w:t>
            </w:r>
          </w:p>
        </w:tc>
        <w:tc>
          <w:tcPr>
            <w:tcW w:type="dxa" w:w="1526"/>
          </w:tcPr>
          <w:p>
            <w:pPr>
              <w:spacing w:after="20"/>
              <w:jc w:val="right"/>
            </w:pPr>
            <w:r>
              <w:rPr>
                <w:color w:val="1C3A36"/>
                <w:sz w:val="18"/>
              </w:rPr>
              <w:t>18.3</w:t>
            </w:r>
          </w:p>
        </w:tc>
      </w:tr>
      <w:tr>
        <w:tc>
          <w:tcPr>
            <w:tcW w:type="dxa" w:w="2448"/>
          </w:tcPr>
          <w:p>
            <w:pPr>
              <w:spacing w:after="20"/>
            </w:pPr>
            <w:r>
              <w:rPr>
                <w:b/>
                <w:color w:val="1C3A36"/>
                <w:sz w:val="18"/>
              </w:rPr>
              <w:t>Ke 12.1%</w:t>
            </w:r>
          </w:p>
        </w:tc>
        <w:tc>
          <w:tcPr>
            <w:tcW w:type="dxa" w:w="1526"/>
          </w:tcPr>
          <w:p>
            <w:pPr>
              <w:spacing w:after="20"/>
              <w:jc w:val="right"/>
            </w:pPr>
            <w:r>
              <w:rPr>
                <w:color w:val="1C3A36"/>
                <w:sz w:val="18"/>
              </w:rPr>
              <w:t>16.1</w:t>
            </w:r>
          </w:p>
        </w:tc>
        <w:tc>
          <w:tcPr>
            <w:tcW w:type="dxa" w:w="1526"/>
          </w:tcPr>
          <w:p>
            <w:pPr>
              <w:spacing w:after="20"/>
              <w:jc w:val="right"/>
            </w:pPr>
            <w:r>
              <w:rPr>
                <w:color w:val="1C3A36"/>
                <w:sz w:val="18"/>
              </w:rPr>
              <w:t>16.3</w:t>
            </w:r>
          </w:p>
        </w:tc>
        <w:tc>
          <w:tcPr>
            <w:tcW w:type="dxa" w:w="1526"/>
          </w:tcPr>
          <w:p>
            <w:pPr>
              <w:spacing w:after="20"/>
              <w:jc w:val="right"/>
            </w:pPr>
            <w:r>
              <w:rPr>
                <w:color w:val="1C3A36"/>
                <w:sz w:val="18"/>
              </w:rPr>
              <w:t>16.6</w:t>
            </w:r>
          </w:p>
        </w:tc>
        <w:tc>
          <w:tcPr>
            <w:tcW w:type="dxa" w:w="1526"/>
          </w:tcPr>
          <w:p>
            <w:pPr>
              <w:spacing w:after="20"/>
              <w:jc w:val="right"/>
            </w:pPr>
            <w:r>
              <w:rPr>
                <w:color w:val="1C3A36"/>
                <w:sz w:val="18"/>
              </w:rPr>
              <w:t>16.9</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192"/>
            <w:shd w:val="clear" w:color="auto" w:fill="EAF0EE"/>
          </w:tcPr>
          <w:p>
            <w:pPr>
              <w:spacing w:after="20"/>
            </w:pPr>
            <w:r>
              <w:rPr>
                <w:b/>
                <w:color w:val="1C3A36"/>
                <w:sz w:val="18"/>
              </w:rPr>
              <w:t>Crux swing (real units)</w:t>
            </w:r>
          </w:p>
        </w:tc>
        <w:tc>
          <w:tcPr>
            <w:tcW w:type="dxa" w:w="3024"/>
            <w:shd w:val="clear" w:color="auto" w:fill="EAF0EE"/>
          </w:tcPr>
          <w:p>
            <w:pPr>
              <w:spacing w:after="20"/>
            </w:pPr>
            <w:r>
              <w:rPr>
                <w:b/>
                <w:color w:val="1C3A36"/>
                <w:sz w:val="18"/>
              </w:rPr>
              <w:t>Effect on central</w:t>
            </w:r>
          </w:p>
        </w:tc>
      </w:tr>
      <w:tr>
        <w:tc>
          <w:tcPr>
            <w:tcW w:type="dxa" w:w="6192"/>
          </w:tcPr>
          <w:p>
            <w:pPr>
              <w:spacing w:after="20"/>
            </w:pPr>
            <w:r>
              <w:rPr>
                <w:b/>
                <w:color w:val="1C3A36"/>
                <w:sz w:val="18"/>
              </w:rPr>
              <w:t>NIM ±10bp across the path (≈ AED 0.9bn NPAT/yr by FY28)</w:t>
            </w:r>
          </w:p>
        </w:tc>
        <w:tc>
          <w:tcPr>
            <w:tcW w:type="dxa" w:w="3024"/>
          </w:tcPr>
          <w:p>
            <w:pPr>
              <w:spacing w:after="20"/>
              <w:jc w:val="right"/>
            </w:pPr>
            <w:r>
              <w:rPr>
                <w:color w:val="1C3A36"/>
                <w:sz w:val="18"/>
              </w:rPr>
              <w:t>≈ ±AED 1.0/share</w:t>
            </w:r>
          </w:p>
        </w:tc>
      </w:tr>
      <w:tr>
        <w:tc>
          <w:tcPr>
            <w:tcW w:type="dxa" w:w="6192"/>
          </w:tcPr>
          <w:p>
            <w:pPr>
              <w:spacing w:after="20"/>
            </w:pPr>
            <w:r>
              <w:rPr>
                <w:b/>
                <w:color w:val="1C3A36"/>
                <w:sz w:val="18"/>
              </w:rPr>
              <w:t>Cost of risk ±10bp (≈ AED 0.55bn pre-tax/yr mid-path)</w:t>
            </w:r>
          </w:p>
        </w:tc>
        <w:tc>
          <w:tcPr>
            <w:tcW w:type="dxa" w:w="3024"/>
          </w:tcPr>
          <w:p>
            <w:pPr>
              <w:spacing w:after="20"/>
              <w:jc w:val="right"/>
            </w:pPr>
            <w:r>
              <w:rPr>
                <w:color w:val="1C3A36"/>
                <w:sz w:val="18"/>
              </w:rPr>
              <w:t>≈ ∓AED 0.5/share</w:t>
            </w:r>
          </w:p>
        </w:tc>
      </w:tr>
      <w:tr>
        <w:tc>
          <w:tcPr>
            <w:tcW w:type="dxa" w:w="6192"/>
          </w:tcPr>
          <w:p>
            <w:pPr>
              <w:spacing w:after="20"/>
            </w:pPr>
            <w:r>
              <w:rPr>
                <w:b/>
                <w:color w:val="1C3A36"/>
                <w:sz w:val="18"/>
              </w:rPr>
              <w:t>Tax: IAE 9% persists through FY28 (vs 15% step in FY27)</w:t>
            </w:r>
          </w:p>
        </w:tc>
        <w:tc>
          <w:tcPr>
            <w:tcW w:type="dxa" w:w="3024"/>
          </w:tcPr>
          <w:p>
            <w:pPr>
              <w:spacing w:after="20"/>
              <w:jc w:val="right"/>
            </w:pPr>
            <w:r>
              <w:rPr>
                <w:color w:val="1C3A36"/>
                <w:sz w:val="18"/>
              </w:rPr>
              <w:t>+AED 1.3–1.5/share</w:t>
            </w:r>
          </w:p>
        </w:tc>
      </w:tr>
      <w:tr>
        <w:tc>
          <w:tcPr>
            <w:tcW w:type="dxa" w:w="6192"/>
          </w:tcPr>
          <w:p>
            <w:pPr>
              <w:spacing w:after="20"/>
            </w:pPr>
            <w:r>
              <w:rPr>
                <w:b/>
                <w:color w:val="1C3A36"/>
                <w:sz w:val="18"/>
              </w:rPr>
              <w:t>Conflict adder 0pt ↔ 2.5pt on Ke</w:t>
            </w:r>
          </w:p>
        </w:tc>
        <w:tc>
          <w:tcPr>
            <w:tcW w:type="dxa" w:w="3024"/>
          </w:tcPr>
          <w:p>
            <w:pPr>
              <w:spacing w:after="20"/>
              <w:jc w:val="right"/>
            </w:pPr>
            <w:r>
              <w:rPr>
                <w:color w:val="1C3A36"/>
                <w:sz w:val="18"/>
              </w:rPr>
              <w:t>AED 23.0 ↔ ~AED 16.3</w:t>
            </w:r>
          </w:p>
        </w:tc>
      </w:tr>
      <w:tr>
        <w:tc>
          <w:tcPr>
            <w:tcW w:type="dxa" w:w="6192"/>
          </w:tcPr>
          <w:p>
            <w:pPr>
              <w:spacing w:after="20"/>
            </w:pPr>
            <w:r>
              <w:rPr>
                <w:b/>
                <w:color w:val="1C3A36"/>
                <w:sz w:val="18"/>
              </w:rPr>
              <w:t>Loan growth −4pt across the path</w:t>
            </w:r>
          </w:p>
        </w:tc>
        <w:tc>
          <w:tcPr>
            <w:tcW w:type="dxa" w:w="3024"/>
          </w:tcPr>
          <w:p>
            <w:pPr>
              <w:spacing w:after="20"/>
              <w:jc w:val="right"/>
            </w:pPr>
            <w:r>
              <w:rPr>
                <w:color w:val="1C3A36"/>
                <w:sz w:val="18"/>
              </w:rPr>
              <w:t>≈ −AED 1.5/share (NII/FCFE, partly offset by lower retention)</w:t>
            </w:r>
          </w:p>
        </w:tc>
      </w:tr>
    </w:tbl>
    <w:p>
      <w:pPr>
        <w:spacing w:after="40"/>
      </w:pPr>
    </w:p>
    <w:p>
      <w:pPr>
        <w:spacing w:after="200" w:before="0"/>
      </w:pPr>
      <w:r>
        <w:rPr>
          <w:b w:val="0"/>
          <w:i/>
          <w:color w:val="6E7B77"/>
          <w:sz w:val="17"/>
        </w:rPr>
        <w:t>Both ERP bases are carried: rating-based Ke 9.57% and CDS-based 9.63% pre-adder; the published central uses the rating basis + 1.0pt conflict adder = 10.57%. The full grids are live in the companion Excel.</w:t>
      </w:r>
    </w:p>
    <w:p>
      <w:pPr>
        <w:spacing w:after="120" w:before="280"/>
      </w:pPr>
      <w:r>
        <w:rPr>
          <w:b/>
          <w:i w:val="0"/>
          <w:color w:val="1C3A36"/>
          <w:sz w:val="30"/>
        </w:rPr>
        <w:t>§2  Technical and price structure</w:t>
      </w:r>
    </w:p>
    <w:p>
      <w:pPr>
        <w:spacing w:after="40"/>
        <w:jc w:val="center"/>
      </w:pPr>
      <w:r>
        <w:drawing>
          <wp:inline xmlns:a="http://schemas.openxmlformats.org/drawingml/2006/main" xmlns:pic="http://schemas.openxmlformats.org/drawingml/2006/picture">
            <wp:extent cx="6309360" cy="2616076"/>
            <wp:docPr id="5" name="Picture 5"/>
            <wp:cNvGraphicFramePr>
              <a:graphicFrameLocks noChangeAspect="1"/>
            </wp:cNvGraphicFramePr>
            <a:graphic>
              <a:graphicData uri="http://schemas.openxmlformats.org/drawingml/2006/picture">
                <pic:pic>
                  <pic:nvPicPr>
                    <pic:cNvPr id="0" name="fig1_price.png"/>
                    <pic:cNvPicPr/>
                  </pic:nvPicPr>
                  <pic:blipFill>
                    <a:blip r:embed="rId13"/>
                    <a:stretch>
                      <a:fillRect/>
                    </a:stretch>
                  </pic:blipFill>
                  <pic:spPr>
                    <a:xfrm>
                      <a:off x="0" y="0"/>
                      <a:ext cx="6309360" cy="2616076"/>
                    </a:xfrm>
                    <a:prstGeom prst="rect"/>
                  </pic:spPr>
                </pic:pic>
              </a:graphicData>
            </a:graphic>
          </wp:inline>
        </w:drawing>
      </w:r>
    </w:p>
    <w:p>
      <w:pPr>
        <w:spacing w:after="200" w:before="0"/>
      </w:pPr>
      <w:r>
        <w:rPr>
          <w:b w:val="0"/>
          <w:i/>
          <w:color w:val="6E7B77"/>
          <w:sz w:val="17"/>
        </w:rPr>
        <w:t>Figure 1 — Five years of ADCB: the 2024–25 re-rating, the rights-issue digestion, the FY25-results all-time high (AED 16.54), the war drawdown to ~12, and the recovery — including the +4.3% de-escalation session of 03-July that set the study’s spot.</w:t>
      </w:r>
    </w:p>
    <w:p>
      <w:pPr>
        <w:spacing w:after="120" w:before="0"/>
      </w:pPr>
      <w:r>
        <w:rPr>
          <w:b w:val="0"/>
          <w:i w:val="0"/>
          <w:color w:val="1C3A36"/>
          <w:sz w:val="21"/>
        </w:rPr>
        <w:t>Price sits above every major moving average (MA20 14.40, MA50 13.90, MA100 13.92, MA200 14.26) — a fully repaired trend just 9% below the all-time high. RSI-14 at 65 is warm but not stretched; MACD (12,26,9) reads 0.287 / 0.304 / -0.018 — the line is above zero (bullish regime) with the histogram marginally negative, i.e. momentum is pausing after the July pop rather than reversing. The 52-week range is 11.98–16.42; YTD +5.6%, one-year +12.0%. Positioning context: the December rights added 592mn shares at AED 10.30 — everyone who took up rights is sitting on ~+47%, and the stock reclaimed the pre-war shelf in seven weeks. The technical read and the §1 value gap point the same way, which is precisely when the discipline of §3 matters most.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592"/>
            <w:shd w:val="clear" w:color="auto" w:fill="EAF0EE"/>
          </w:tcPr>
          <w:p>
            <w:pPr>
              <w:spacing w:after="20"/>
            </w:pPr>
            <w:r>
              <w:rPr>
                <w:b/>
                <w:color w:val="1C3A36"/>
                <w:sz w:val="18"/>
              </w:rPr>
              <w:t>Indicator</w:t>
            </w:r>
          </w:p>
        </w:tc>
        <w:tc>
          <w:tcPr>
            <w:tcW w:type="dxa" w:w="2592"/>
            <w:shd w:val="clear" w:color="auto" w:fill="EAF0EE"/>
          </w:tcPr>
          <w:p>
            <w:pPr>
              <w:spacing w:after="20"/>
            </w:pPr>
            <w:r>
              <w:rPr>
                <w:b/>
                <w:color w:val="1C3A36"/>
                <w:sz w:val="18"/>
              </w:rPr>
              <w:t>Level</w:t>
            </w:r>
          </w:p>
        </w:tc>
        <w:tc>
          <w:tcPr>
            <w:tcW w:type="dxa" w:w="4608"/>
            <w:shd w:val="clear" w:color="auto" w:fill="EAF0EE"/>
          </w:tcPr>
          <w:p>
            <w:pPr>
              <w:spacing w:after="20"/>
            </w:pPr>
            <w:r>
              <w:rPr>
                <w:b/>
                <w:color w:val="1C3A36"/>
                <w:sz w:val="18"/>
              </w:rPr>
              <w:t>Read</w:t>
            </w:r>
          </w:p>
        </w:tc>
      </w:tr>
      <w:tr>
        <w:tc>
          <w:tcPr>
            <w:tcW w:type="dxa" w:w="2592"/>
          </w:tcPr>
          <w:p>
            <w:pPr>
              <w:spacing w:after="20"/>
            </w:pPr>
            <w:r>
              <w:rPr>
                <w:b/>
                <w:color w:val="1C3A36"/>
                <w:sz w:val="18"/>
              </w:rPr>
              <w:t>MA20 / MA50 / MA200</w:t>
            </w:r>
          </w:p>
        </w:tc>
        <w:tc>
          <w:tcPr>
            <w:tcW w:type="dxa" w:w="2592"/>
          </w:tcPr>
          <w:p>
            <w:pPr>
              <w:spacing w:after="20"/>
              <w:jc w:val="right"/>
            </w:pPr>
            <w:r>
              <w:rPr>
                <w:color w:val="1C3A36"/>
                <w:sz w:val="18"/>
              </w:rPr>
              <w:t>14.40 / 13.90 / 14.26</w:t>
            </w:r>
          </w:p>
        </w:tc>
        <w:tc>
          <w:tcPr>
            <w:tcW w:type="dxa" w:w="4608"/>
          </w:tcPr>
          <w:p>
            <w:pPr>
              <w:spacing w:after="20"/>
              <w:jc w:val="right"/>
            </w:pPr>
            <w:r>
              <w:rPr>
                <w:color w:val="1C3A36"/>
                <w:sz w:val="18"/>
              </w:rPr>
              <w:t>Price above all; MA50 curling up through MA200</w:t>
            </w:r>
          </w:p>
        </w:tc>
      </w:tr>
      <w:tr>
        <w:tc>
          <w:tcPr>
            <w:tcW w:type="dxa" w:w="2592"/>
          </w:tcPr>
          <w:p>
            <w:pPr>
              <w:spacing w:after="20"/>
            </w:pPr>
            <w:r>
              <w:rPr>
                <w:b/>
                <w:color w:val="1C3A36"/>
                <w:sz w:val="18"/>
              </w:rPr>
              <w:t>RSI-14</w:t>
            </w:r>
          </w:p>
        </w:tc>
        <w:tc>
          <w:tcPr>
            <w:tcW w:type="dxa" w:w="2592"/>
          </w:tcPr>
          <w:p>
            <w:pPr>
              <w:spacing w:after="20"/>
              <w:jc w:val="right"/>
            </w:pPr>
            <w:r>
              <w:rPr>
                <w:color w:val="1C3A36"/>
                <w:sz w:val="18"/>
              </w:rPr>
              <w:t>65</w:t>
            </w:r>
          </w:p>
        </w:tc>
        <w:tc>
          <w:tcPr>
            <w:tcW w:type="dxa" w:w="4608"/>
          </w:tcPr>
          <w:p>
            <w:pPr>
              <w:spacing w:after="20"/>
              <w:jc w:val="right"/>
            </w:pPr>
            <w:r>
              <w:rPr>
                <w:color w:val="1C3A36"/>
                <w:sz w:val="18"/>
              </w:rPr>
              <w:t>Warm; room before the 70 line</w:t>
            </w:r>
          </w:p>
        </w:tc>
      </w:tr>
      <w:tr>
        <w:tc>
          <w:tcPr>
            <w:tcW w:type="dxa" w:w="2592"/>
          </w:tcPr>
          <w:p>
            <w:pPr>
              <w:spacing w:after="20"/>
            </w:pPr>
            <w:r>
              <w:rPr>
                <w:b/>
                <w:color w:val="1C3A36"/>
                <w:sz w:val="18"/>
              </w:rPr>
              <w:t>MACD 12 26 9</w:t>
            </w:r>
          </w:p>
        </w:tc>
        <w:tc>
          <w:tcPr>
            <w:tcW w:type="dxa" w:w="2592"/>
          </w:tcPr>
          <w:p>
            <w:pPr>
              <w:spacing w:after="20"/>
              <w:jc w:val="right"/>
            </w:pPr>
            <w:r>
              <w:rPr>
                <w:color w:val="1C3A36"/>
                <w:sz w:val="18"/>
              </w:rPr>
              <w:t>0.287 / 0.304 / -0.018</w:t>
            </w:r>
          </w:p>
        </w:tc>
        <w:tc>
          <w:tcPr>
            <w:tcW w:type="dxa" w:w="4608"/>
          </w:tcPr>
          <w:p>
            <w:pPr>
              <w:spacing w:after="20"/>
              <w:jc w:val="right"/>
            </w:pPr>
            <w:r>
              <w:rPr>
                <w:color w:val="1C3A36"/>
                <w:sz w:val="18"/>
              </w:rPr>
              <w:t>Positive regime, momentum pausing</w:t>
            </w:r>
          </w:p>
        </w:tc>
      </w:tr>
      <w:tr>
        <w:tc>
          <w:tcPr>
            <w:tcW w:type="dxa" w:w="2592"/>
          </w:tcPr>
          <w:p>
            <w:pPr>
              <w:spacing w:after="20"/>
            </w:pPr>
            <w:r>
              <w:rPr>
                <w:b/>
                <w:color w:val="1C3A36"/>
                <w:sz w:val="18"/>
              </w:rPr>
              <w:t>52-week range</w:t>
            </w:r>
          </w:p>
        </w:tc>
        <w:tc>
          <w:tcPr>
            <w:tcW w:type="dxa" w:w="2592"/>
          </w:tcPr>
          <w:p>
            <w:pPr>
              <w:spacing w:after="20"/>
              <w:jc w:val="right"/>
            </w:pPr>
            <w:r>
              <w:rPr>
                <w:color w:val="1C3A36"/>
                <w:sz w:val="18"/>
              </w:rPr>
              <w:t>11.98 – 16.42</w:t>
            </w:r>
          </w:p>
        </w:tc>
        <w:tc>
          <w:tcPr>
            <w:tcW w:type="dxa" w:w="4608"/>
          </w:tcPr>
          <w:p>
            <w:pPr>
              <w:spacing w:after="20"/>
              <w:jc w:val="right"/>
            </w:pPr>
            <w:r>
              <w:rPr>
                <w:color w:val="1C3A36"/>
                <w:sz w:val="18"/>
              </w:rPr>
              <w:t>Spot 70% up the range</w:t>
            </w:r>
          </w:p>
        </w:tc>
      </w:tr>
      <w:tr>
        <w:tc>
          <w:tcPr>
            <w:tcW w:type="dxa" w:w="2592"/>
          </w:tcPr>
          <w:p>
            <w:pPr>
              <w:spacing w:after="20"/>
            </w:pPr>
            <w:r>
              <w:rPr>
                <w:b/>
                <w:color w:val="1C3A36"/>
                <w:sz w:val="18"/>
              </w:rPr>
              <w:t>All-time high</w:t>
            </w:r>
          </w:p>
        </w:tc>
        <w:tc>
          <w:tcPr>
            <w:tcW w:type="dxa" w:w="2592"/>
          </w:tcPr>
          <w:p>
            <w:pPr>
              <w:spacing w:after="20"/>
              <w:jc w:val="right"/>
            </w:pPr>
            <w:r>
              <w:rPr>
                <w:color w:val="1C3A36"/>
                <w:sz w:val="18"/>
              </w:rPr>
              <w:t>16.54 (2026-01-29)</w:t>
            </w:r>
          </w:p>
        </w:tc>
        <w:tc>
          <w:tcPr>
            <w:tcW w:type="dxa" w:w="4608"/>
          </w:tcPr>
          <w:p>
            <w:pPr>
              <w:spacing w:after="20"/>
              <w:jc w:val="right"/>
            </w:pPr>
            <w:r>
              <w:rPr>
                <w:color w:val="1C3A36"/>
                <w:sz w:val="18"/>
              </w:rPr>
              <w:t>-8.7% below</w:t>
            </w:r>
          </w:p>
        </w:tc>
      </w:tr>
    </w:tbl>
    <w:p>
      <w:pPr>
        <w:spacing w:after="40"/>
      </w:pPr>
    </w:p>
    <w:p>
      <w:pPr>
        <w:spacing w:after="120" w:before="280"/>
      </w:pPr>
      <w:r>
        <w:rPr>
          <w:b/>
          <w:i w:val="0"/>
          <w:color w:val="1C3A36"/>
          <w:sz w:val="30"/>
        </w:rPr>
        <w:t>§3  Monte Carlo</w:t>
      </w:r>
    </w:p>
    <w:p>
      <w:pPr>
        <w:spacing w:after="80" w:before="0"/>
      </w:pPr>
      <w:r>
        <w:rPr>
          <w:b w:val="0"/>
          <w:i w:val="0"/>
          <w:color w:val="1C3A36"/>
          <w:sz w:val="21"/>
        </w:rPr>
        <w:t>The probability read comes first; the machinery follows. These five rows are the only genuinely 3-month statements in this study.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336"/>
            <w:shd w:val="clear" w:color="auto" w:fill="EAF0EE"/>
          </w:tcPr>
          <w:p>
            <w:pPr>
              <w:spacing w:after="20"/>
            </w:pPr>
            <w:r>
              <w:rPr>
                <w:b/>
                <w:color w:val="1C3A36"/>
                <w:sz w:val="18"/>
              </w:rPr>
              <w:t>Probability read (T+60 trading days ≈ 3 months)</w:t>
            </w:r>
          </w:p>
        </w:tc>
        <w:tc>
          <w:tcPr>
            <w:tcW w:type="dxa" w:w="3168"/>
            <w:shd w:val="clear" w:color="auto" w:fill="EAF0EE"/>
          </w:tcPr>
          <w:p>
            <w:pPr>
              <w:spacing w:after="20"/>
            </w:pPr>
            <w:r>
              <w:rPr>
                <w:b/>
                <w:color w:val="1C3A36"/>
                <w:sz w:val="18"/>
              </w:rPr>
            </w:r>
          </w:p>
        </w:tc>
      </w:tr>
      <w:tr>
        <w:tc>
          <w:tcPr>
            <w:tcW w:type="dxa" w:w="6336"/>
          </w:tcPr>
          <w:p>
            <w:pPr>
              <w:spacing w:after="20"/>
            </w:pPr>
            <w:r>
              <w:rPr>
                <w:b/>
                <w:color w:val="1C3A36"/>
                <w:sz w:val="18"/>
              </w:rPr>
              <w:t>P(price above spot AED 15.10)</w:t>
            </w:r>
          </w:p>
        </w:tc>
        <w:tc>
          <w:tcPr>
            <w:tcW w:type="dxa" w:w="3168"/>
          </w:tcPr>
          <w:p>
            <w:pPr>
              <w:spacing w:after="20"/>
              <w:jc w:val="right"/>
            </w:pPr>
            <w:r>
              <w:rPr>
                <w:color w:val="1C3A36"/>
                <w:sz w:val="18"/>
              </w:rPr>
              <w:t>50%</w:t>
            </w:r>
          </w:p>
        </w:tc>
      </w:tr>
      <w:tr>
        <w:tc>
          <w:tcPr>
            <w:tcW w:type="dxa" w:w="6336"/>
          </w:tcPr>
          <w:p>
            <w:pPr>
              <w:spacing w:after="20"/>
            </w:pPr>
            <w:r>
              <w:rPr>
                <w:b/>
                <w:color w:val="1C3A36"/>
                <w:sz w:val="18"/>
              </w:rPr>
              <w:t>P(+10% or better) vs P(−10% or worse)</w:t>
            </w:r>
          </w:p>
        </w:tc>
        <w:tc>
          <w:tcPr>
            <w:tcW w:type="dxa" w:w="3168"/>
          </w:tcPr>
          <w:p>
            <w:pPr>
              <w:spacing w:after="20"/>
              <w:jc w:val="right"/>
            </w:pPr>
            <w:r>
              <w:rPr>
                <w:color w:val="1C3A36"/>
                <w:sz w:val="18"/>
              </w:rPr>
              <w:t>21% vs 19%  (odds 1.10×)</w:t>
            </w:r>
          </w:p>
        </w:tc>
      </w:tr>
      <w:tr>
        <w:tc>
          <w:tcPr>
            <w:tcW w:type="dxa" w:w="6336"/>
          </w:tcPr>
          <w:p>
            <w:pPr>
              <w:spacing w:after="20"/>
            </w:pPr>
            <w:r>
              <w:rPr>
                <w:b/>
                <w:color w:val="1C3A36"/>
                <w:sz w:val="18"/>
              </w:rPr>
              <w:t>Median path</w:t>
            </w:r>
          </w:p>
        </w:tc>
        <w:tc>
          <w:tcPr>
            <w:tcW w:type="dxa" w:w="3168"/>
          </w:tcPr>
          <w:p>
            <w:pPr>
              <w:spacing w:after="20"/>
              <w:jc w:val="right"/>
            </w:pPr>
            <w:r>
              <w:rPr>
                <w:color w:val="1C3A36"/>
                <w:sz w:val="18"/>
              </w:rPr>
              <w:t>AED 15.09  (-0.1%)</w:t>
            </w:r>
          </w:p>
        </w:tc>
      </w:tr>
      <w:tr>
        <w:tc>
          <w:tcPr>
            <w:tcW w:type="dxa" w:w="6336"/>
          </w:tcPr>
          <w:p>
            <w:pPr>
              <w:spacing w:after="20"/>
            </w:pPr>
            <w:r>
              <w:rPr>
                <w:b/>
                <w:color w:val="1C3A36"/>
                <w:sz w:val="18"/>
              </w:rPr>
              <w:t>Central 50% of outcomes (25th–75th)</w:t>
            </w:r>
          </w:p>
        </w:tc>
        <w:tc>
          <w:tcPr>
            <w:tcW w:type="dxa" w:w="3168"/>
          </w:tcPr>
          <w:p>
            <w:pPr>
              <w:spacing w:after="20"/>
              <w:jc w:val="right"/>
            </w:pPr>
            <w:r>
              <w:rPr>
                <w:color w:val="1C3A36"/>
                <w:sz w:val="18"/>
              </w:rPr>
              <w:t>AED 13.95 – 16.32</w:t>
            </w:r>
          </w:p>
        </w:tc>
      </w:tr>
      <w:tr>
        <w:tc>
          <w:tcPr>
            <w:tcW w:type="dxa" w:w="6336"/>
          </w:tcPr>
          <w:p>
            <w:pPr>
              <w:spacing w:after="20"/>
            </w:pPr>
            <w:r>
              <w:rPr>
                <w:b/>
                <w:color w:val="1C3A36"/>
                <w:sz w:val="18"/>
              </w:rPr>
              <w:t>Touch probability: ±10% at any point within the horizon</w:t>
            </w:r>
          </w:p>
        </w:tc>
        <w:tc>
          <w:tcPr>
            <w:tcW w:type="dxa" w:w="3168"/>
          </w:tcPr>
          <w:p>
            <w:pPr>
              <w:spacing w:after="20"/>
              <w:jc w:val="right"/>
            </w:pPr>
            <w:r>
              <w:rPr>
                <w:color w:val="1C3A36"/>
                <w:sz w:val="18"/>
              </w:rPr>
              <w:t>38% up · 34% down</w:t>
            </w:r>
          </w:p>
        </w:tc>
      </w:tr>
    </w:tbl>
    <w:p>
      <w:pPr>
        <w:spacing w:after="40"/>
      </w:pPr>
    </w:p>
    <w:p>
      <w:pPr>
        <w:spacing w:after="120" w:before="0"/>
      </w:pPr>
      <w:r>
        <w:rPr>
          <w:b w:val="0"/>
          <w:i w:val="0"/>
          <w:color w:val="1C3A36"/>
          <w:sz w:val="21"/>
        </w:rPr>
        <w:t>Lens independence note: the Monte Carlo drift never sees §1. Its anchor is pure carry — ln(1+rf 3.65%) − ln(1+dividend yield 4.17%) ≈ -0.12% over 60 days. For this dividend-payer, carry is a hair negative in price terms: the expected total return ≈ the risk-free rate, delivered as dividend rather than drift. The §1 value gap lives in §1 only; if it closes, it closes as a surprise to this distribution, not inside it.</w:t>
      </w:r>
    </w:p>
    <w:p>
      <w:pPr>
        <w:spacing w:after="40"/>
        <w:jc w:val="center"/>
      </w:pPr>
      <w:r>
        <w:drawing>
          <wp:inline xmlns:a="http://schemas.openxmlformats.org/drawingml/2006/main" xmlns:pic="http://schemas.openxmlformats.org/drawingml/2006/picture">
            <wp:extent cx="6309360" cy="2769963"/>
            <wp:docPr id="6" name="Picture 6"/>
            <wp:cNvGraphicFramePr>
              <a:graphicFrameLocks noChangeAspect="1"/>
            </wp:cNvGraphicFramePr>
            <a:graphic>
              <a:graphicData uri="http://schemas.openxmlformats.org/drawingml/2006/picture">
                <pic:pic>
                  <pic:nvPicPr>
                    <pic:cNvPr id="0" name="fig2_fan60.png"/>
                    <pic:cNvPicPr/>
                  </pic:nvPicPr>
                  <pic:blipFill>
                    <a:blip r:embed="rId14"/>
                    <a:stretch>
                      <a:fillRect/>
                    </a:stretch>
                  </pic:blipFill>
                  <pic:spPr>
                    <a:xfrm>
                      <a:off x="0" y="0"/>
                      <a:ext cx="6309360" cy="2769963"/>
                    </a:xfrm>
                    <a:prstGeom prst="rect"/>
                  </pic:spPr>
                </pic:pic>
              </a:graphicData>
            </a:graphic>
          </wp:inline>
        </w:drawing>
      </w:r>
    </w:p>
    <w:p>
      <w:pPr>
        <w:spacing w:after="200" w:before="0"/>
      </w:pPr>
      <w:r>
        <w:rPr>
          <w:b w:val="0"/>
          <w:i/>
          <w:color w:val="6E7B77"/>
          <w:sz w:val="17"/>
        </w:rPr>
        <w:t>Figure 2 — T+60 fan: 50,000 simulated price paths. Gold band spans the 5th to 95th percentile, brass the 25th to 75th, the white line the median.</w:t>
      </w:r>
    </w:p>
    <w:p>
      <w:pPr>
        <w:spacing w:after="40"/>
        <w:jc w:val="center"/>
      </w:pPr>
      <w:r>
        <w:drawing>
          <wp:inline xmlns:a="http://schemas.openxmlformats.org/drawingml/2006/main" xmlns:pic="http://schemas.openxmlformats.org/drawingml/2006/picture">
            <wp:extent cx="6309360" cy="2769963"/>
            <wp:docPr id="7" name="Picture 7"/>
            <wp:cNvGraphicFramePr>
              <a:graphicFrameLocks noChangeAspect="1"/>
            </wp:cNvGraphicFramePr>
            <a:graphic>
              <a:graphicData uri="http://schemas.openxmlformats.org/drawingml/2006/picture">
                <pic:pic>
                  <pic:nvPicPr>
                    <pic:cNvPr id="0" name="fig3_fan20.png"/>
                    <pic:cNvPicPr/>
                  </pic:nvPicPr>
                  <pic:blipFill>
                    <a:blip r:embed="rId15"/>
                    <a:stretch>
                      <a:fillRect/>
                    </a:stretch>
                  </pic:blipFill>
                  <pic:spPr>
                    <a:xfrm>
                      <a:off x="0" y="0"/>
                      <a:ext cx="6309360" cy="2769963"/>
                    </a:xfrm>
                    <a:prstGeom prst="rect"/>
                  </pic:spPr>
                </pic:pic>
              </a:graphicData>
            </a:graphic>
          </wp:inline>
        </w:drawing>
      </w:r>
    </w:p>
    <w:p>
      <w:pPr>
        <w:spacing w:after="200" w:before="0"/>
      </w:pPr>
      <w:r>
        <w:rPr>
          <w:b w:val="0"/>
          <w:i/>
          <w:color w:val="6E7B77"/>
          <w:sz w:val="17"/>
        </w:rPr>
        <w:t>Figure 3 — T+20 fan (≈ one month): the near-term cohort the Calibration Ledger will grade first, on 05-Aug-2026.</w:t>
      </w:r>
    </w:p>
    <w:p>
      <w:pPr>
        <w:spacing w:after="40"/>
        <w:jc w:val="center"/>
      </w:pPr>
      <w:r>
        <w:drawing>
          <wp:inline xmlns:a="http://schemas.openxmlformats.org/drawingml/2006/main" xmlns:pic="http://schemas.openxmlformats.org/drawingml/2006/picture">
            <wp:extent cx="6309360" cy="2616076"/>
            <wp:docPr id="8" name="Picture 8"/>
            <wp:cNvGraphicFramePr>
              <a:graphicFrameLocks noChangeAspect="1"/>
            </wp:cNvGraphicFramePr>
            <a:graphic>
              <a:graphicData uri="http://schemas.openxmlformats.org/drawingml/2006/picture">
                <pic:pic>
                  <pic:nvPicPr>
                    <pic:cNvPr id="0" name="fig4_hist.png"/>
                    <pic:cNvPicPr/>
                  </pic:nvPicPr>
                  <pic:blipFill>
                    <a:blip r:embed="rId16"/>
                    <a:stretch>
                      <a:fillRect/>
                    </a:stretch>
                  </pic:blipFill>
                  <pic:spPr>
                    <a:xfrm>
                      <a:off x="0" y="0"/>
                      <a:ext cx="6309360" cy="2616076"/>
                    </a:xfrm>
                    <a:prstGeom prst="rect"/>
                  </pic:spPr>
                </pic:pic>
              </a:graphicData>
            </a:graphic>
          </wp:inline>
        </w:drawing>
      </w:r>
    </w:p>
    <w:p>
      <w:pPr>
        <w:spacing w:after="200" w:before="0"/>
      </w:pPr>
      <w:r>
        <w:rPr>
          <w:b w:val="0"/>
          <w:i/>
          <w:color w:val="6E7B77"/>
          <w:sz w:val="17"/>
        </w:rPr>
        <w:t>Figure 4 — Terminal T+60 price distribution with percentile markers; spot dashed red. The right tail is fatter than the left in AED terms — the arithmetic of lognormality, not a view.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304"/>
            <w:shd w:val="clear" w:color="auto" w:fill="EAF0EE"/>
          </w:tcPr>
          <w:p>
            <w:pPr>
              <w:spacing w:after="20"/>
            </w:pPr>
            <w:r>
              <w:rPr>
                <w:b/>
                <w:color w:val="1C3A36"/>
                <w:sz w:val="18"/>
              </w:rPr>
              <w:t>Percentile</w:t>
            </w:r>
          </w:p>
        </w:tc>
        <w:tc>
          <w:tcPr>
            <w:tcW w:type="dxa" w:w="2448"/>
            <w:shd w:val="clear" w:color="auto" w:fill="EAF0EE"/>
          </w:tcPr>
          <w:p>
            <w:pPr>
              <w:spacing w:after="20"/>
            </w:pPr>
            <w:r>
              <w:rPr>
                <w:b/>
                <w:color w:val="1C3A36"/>
                <w:sz w:val="18"/>
              </w:rPr>
              <w:t>T+20 (AED)</w:t>
            </w:r>
          </w:p>
        </w:tc>
        <w:tc>
          <w:tcPr>
            <w:tcW w:type="dxa" w:w="2448"/>
            <w:shd w:val="clear" w:color="auto" w:fill="EAF0EE"/>
          </w:tcPr>
          <w:p>
            <w:pPr>
              <w:spacing w:after="20"/>
            </w:pPr>
            <w:r>
              <w:rPr>
                <w:b/>
                <w:color w:val="1C3A36"/>
                <w:sz w:val="18"/>
              </w:rPr>
              <w:t>T+60 (AED)</w:t>
            </w:r>
          </w:p>
        </w:tc>
      </w:tr>
      <w:tr>
        <w:tc>
          <w:tcPr>
            <w:tcW w:type="dxa" w:w="2304"/>
          </w:tcPr>
          <w:p>
            <w:pPr>
              <w:spacing w:after="20"/>
            </w:pPr>
            <w:r>
              <w:rPr>
                <w:b/>
                <w:color w:val="1C3A36"/>
                <w:sz w:val="18"/>
              </w:rPr>
              <w:t>5th</w:t>
            </w:r>
          </w:p>
        </w:tc>
        <w:tc>
          <w:tcPr>
            <w:tcW w:type="dxa" w:w="2448"/>
          </w:tcPr>
          <w:p>
            <w:pPr>
              <w:spacing w:after="20"/>
              <w:jc w:val="right"/>
            </w:pPr>
            <w:r>
              <w:rPr>
                <w:color w:val="1C3A36"/>
                <w:sz w:val="18"/>
              </w:rPr>
              <w:t>13.28</w:t>
            </w:r>
          </w:p>
        </w:tc>
        <w:tc>
          <w:tcPr>
            <w:tcW w:type="dxa" w:w="2448"/>
          </w:tcPr>
          <w:p>
            <w:pPr>
              <w:spacing w:after="20"/>
              <w:jc w:val="right"/>
            </w:pPr>
            <w:r>
              <w:rPr>
                <w:color w:val="1C3A36"/>
                <w:sz w:val="18"/>
              </w:rPr>
              <w:t>12.04</w:t>
            </w:r>
          </w:p>
        </w:tc>
      </w:tr>
      <w:tr>
        <w:tc>
          <w:tcPr>
            <w:tcW w:type="dxa" w:w="2304"/>
          </w:tcPr>
          <w:p>
            <w:pPr>
              <w:spacing w:after="20"/>
            </w:pPr>
            <w:r>
              <w:rPr>
                <w:b/>
                <w:color w:val="1C3A36"/>
                <w:sz w:val="18"/>
              </w:rPr>
              <w:t>25th</w:t>
            </w:r>
          </w:p>
        </w:tc>
        <w:tc>
          <w:tcPr>
            <w:tcW w:type="dxa" w:w="2448"/>
          </w:tcPr>
          <w:p>
            <w:pPr>
              <w:spacing w:after="20"/>
              <w:jc w:val="right"/>
            </w:pPr>
            <w:r>
              <w:rPr>
                <w:color w:val="1C3A36"/>
                <w:sz w:val="18"/>
              </w:rPr>
              <w:t>14.43</w:t>
            </w:r>
          </w:p>
        </w:tc>
        <w:tc>
          <w:tcPr>
            <w:tcW w:type="dxa" w:w="2448"/>
          </w:tcPr>
          <w:p>
            <w:pPr>
              <w:spacing w:after="20"/>
              <w:jc w:val="right"/>
            </w:pPr>
            <w:r>
              <w:rPr>
                <w:color w:val="1C3A36"/>
                <w:sz w:val="18"/>
              </w:rPr>
              <w:t>13.95</w:t>
            </w:r>
          </w:p>
        </w:tc>
      </w:tr>
      <w:tr>
        <w:tc>
          <w:tcPr>
            <w:tcW w:type="dxa" w:w="2304"/>
          </w:tcPr>
          <w:p>
            <w:pPr>
              <w:spacing w:after="20"/>
            </w:pPr>
            <w:r>
              <w:rPr>
                <w:b/>
                <w:color w:val="1C3A36"/>
                <w:sz w:val="18"/>
              </w:rPr>
              <w:t>50th</w:t>
            </w:r>
          </w:p>
        </w:tc>
        <w:tc>
          <w:tcPr>
            <w:tcW w:type="dxa" w:w="2448"/>
          </w:tcPr>
          <w:p>
            <w:pPr>
              <w:spacing w:after="20"/>
              <w:jc w:val="right"/>
            </w:pPr>
            <w:r>
              <w:rPr>
                <w:color w:val="1C3A36"/>
                <w:sz w:val="18"/>
              </w:rPr>
              <w:t>15.09</w:t>
            </w:r>
          </w:p>
        </w:tc>
        <w:tc>
          <w:tcPr>
            <w:tcW w:type="dxa" w:w="2448"/>
          </w:tcPr>
          <w:p>
            <w:pPr>
              <w:spacing w:after="20"/>
              <w:jc w:val="right"/>
            </w:pPr>
            <w:r>
              <w:rPr>
                <w:color w:val="1C3A36"/>
                <w:sz w:val="18"/>
              </w:rPr>
              <w:t>15.09</w:t>
            </w:r>
          </w:p>
        </w:tc>
      </w:tr>
      <w:tr>
        <w:tc>
          <w:tcPr>
            <w:tcW w:type="dxa" w:w="2304"/>
          </w:tcPr>
          <w:p>
            <w:pPr>
              <w:spacing w:after="20"/>
            </w:pPr>
            <w:r>
              <w:rPr>
                <w:b/>
                <w:color w:val="1C3A36"/>
                <w:sz w:val="18"/>
              </w:rPr>
              <w:t>75th</w:t>
            </w:r>
          </w:p>
        </w:tc>
        <w:tc>
          <w:tcPr>
            <w:tcW w:type="dxa" w:w="2448"/>
          </w:tcPr>
          <w:p>
            <w:pPr>
              <w:spacing w:after="20"/>
              <w:jc w:val="right"/>
            </w:pPr>
            <w:r>
              <w:rPr>
                <w:color w:val="1C3A36"/>
                <w:sz w:val="18"/>
              </w:rPr>
              <w:t>15.79</w:t>
            </w:r>
          </w:p>
        </w:tc>
        <w:tc>
          <w:tcPr>
            <w:tcW w:type="dxa" w:w="2448"/>
          </w:tcPr>
          <w:p>
            <w:pPr>
              <w:spacing w:after="20"/>
              <w:jc w:val="right"/>
            </w:pPr>
            <w:r>
              <w:rPr>
                <w:color w:val="1C3A36"/>
                <w:sz w:val="18"/>
              </w:rPr>
              <w:t>16.32</w:t>
            </w:r>
          </w:p>
        </w:tc>
      </w:tr>
      <w:tr>
        <w:tc>
          <w:tcPr>
            <w:tcW w:type="dxa" w:w="2304"/>
          </w:tcPr>
          <w:p>
            <w:pPr>
              <w:spacing w:after="20"/>
            </w:pPr>
            <w:r>
              <w:rPr>
                <w:b/>
                <w:color w:val="1C3A36"/>
                <w:sz w:val="18"/>
              </w:rPr>
              <w:t>95th</w:t>
            </w:r>
          </w:p>
        </w:tc>
        <w:tc>
          <w:tcPr>
            <w:tcW w:type="dxa" w:w="2448"/>
          </w:tcPr>
          <w:p>
            <w:pPr>
              <w:spacing w:after="20"/>
              <w:jc w:val="right"/>
            </w:pPr>
            <w:r>
              <w:rPr>
                <w:color w:val="1C3A36"/>
                <w:sz w:val="18"/>
              </w:rPr>
              <w:t>17.20</w:t>
            </w:r>
          </w:p>
        </w:tc>
        <w:tc>
          <w:tcPr>
            <w:tcW w:type="dxa" w:w="2448"/>
          </w:tcPr>
          <w:p>
            <w:pPr>
              <w:spacing w:after="20"/>
              <w:jc w:val="right"/>
            </w:pPr>
            <w:r>
              <w:rPr>
                <w:color w:val="1C3A36"/>
                <w:sz w:val="18"/>
              </w:rPr>
              <w:t>18.87</w:t>
            </w:r>
          </w:p>
        </w:tc>
      </w:tr>
    </w:tbl>
    <w:p>
      <w:pPr>
        <w:spacing w:after="40"/>
      </w:pPr>
    </w:p>
    <w:p>
      <w:pPr>
        <w:spacing w:after="80" w:before="200"/>
      </w:pPr>
      <w:r>
        <w:rPr>
          <w:b/>
          <w:i w:val="0"/>
          <w:color w:val="1C3A36"/>
          <w:sz w:val="24"/>
        </w:rPr>
        <w:t>3.1  Engine &amp; calibration — the backtest in the open</w:t>
      </w:r>
    </w:p>
    <w:p>
      <w:pPr>
        <w:spacing w:after="120" w:before="0"/>
      </w:pPr>
      <w:r>
        <w:rPr>
          <w:b w:val="0"/>
          <w:i w:val="0"/>
          <w:color w:val="1C3A36"/>
          <w:sz w:val="21"/>
        </w:rPr>
        <w:t>The engine models daily volatility with a gap-aware Yang-Zhang estimator and a heterogeneous-autoregressive forecast, draws shocks from a fat-tailed Student-t distribution to respect crash risk, and centres the paths on carry alone — no momentum or trend signal is used, because none tested reliably for this market. The tail heaviness and cone width are fitted to a panel of nine UAE names (this bank together with its ADX and DFM peers), so the calibration reflects the market as a whole rather than any single stock; interestingly the UAE panel is genuinely fat-tailed, unlike its thinner-tailed Gulf neighbours. The history used starts in January 2022, after the UAE moved its trading week to Monday–Friday, so the volatility estimate rests on a consistent calendar.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5616"/>
            <w:shd w:val="clear" w:color="auto" w:fill="EAF0EE"/>
          </w:tcPr>
          <w:p>
            <w:pPr>
              <w:spacing w:after="20"/>
            </w:pPr>
            <w:r>
              <w:rPr>
                <w:b/>
                <w:color w:val="1C3A36"/>
                <w:sz w:val="18"/>
              </w:rPr>
              <w:t>Five-year backtest — walk-forward, 60-day horizon, non-overlapping</w:t>
            </w:r>
          </w:p>
        </w:tc>
        <w:tc>
          <w:tcPr>
            <w:tcW w:type="dxa" w:w="3888"/>
            <w:shd w:val="clear" w:color="auto" w:fill="EAF0EE"/>
          </w:tcPr>
          <w:p>
            <w:pPr>
              <w:spacing w:after="20"/>
            </w:pPr>
            <w:r>
              <w:rPr>
                <w:b/>
                <w:color w:val="1C3A36"/>
                <w:sz w:val="18"/>
              </w:rPr>
            </w:r>
          </w:p>
        </w:tc>
      </w:tr>
      <w:tr>
        <w:tc>
          <w:tcPr>
            <w:tcW w:type="dxa" w:w="5616"/>
          </w:tcPr>
          <w:p>
            <w:pPr>
              <w:spacing w:after="20"/>
            </w:pPr>
            <w:r>
              <w:rPr>
                <w:b/>
                <w:color w:val="1C3A36"/>
                <w:sz w:val="18"/>
              </w:rPr>
              <w:t>Windows</w:t>
            </w:r>
          </w:p>
        </w:tc>
        <w:tc>
          <w:tcPr>
            <w:tcW w:type="dxa" w:w="3888"/>
          </w:tcPr>
          <w:p>
            <w:pPr>
              <w:spacing w:after="20"/>
              <w:jc w:val="right"/>
            </w:pPr>
            <w:r>
              <w:rPr>
                <w:color w:val="1C3A36"/>
                <w:sz w:val="18"/>
              </w:rPr>
              <w:t>14 (post-2022 break)</w:t>
            </w:r>
          </w:p>
        </w:tc>
      </w:tr>
      <w:tr>
        <w:tc>
          <w:tcPr>
            <w:tcW w:type="dxa" w:w="5616"/>
          </w:tcPr>
          <w:p>
            <w:pPr>
              <w:spacing w:after="20"/>
            </w:pPr>
            <w:r>
              <w:rPr>
                <w:b/>
                <w:color w:val="1C3A36"/>
                <w:sz w:val="18"/>
              </w:rPr>
              <w:t>CRPS skill vs zero-drift random walk</w:t>
            </w:r>
          </w:p>
        </w:tc>
        <w:tc>
          <w:tcPr>
            <w:tcW w:type="dxa" w:w="3888"/>
          </w:tcPr>
          <w:p>
            <w:pPr>
              <w:spacing w:after="20"/>
              <w:jc w:val="right"/>
            </w:pPr>
            <w:r>
              <w:rPr>
                <w:color w:val="1C3A36"/>
                <w:sz w:val="18"/>
              </w:rPr>
              <w:t>+0.0232</w:t>
            </w:r>
          </w:p>
        </w:tc>
      </w:tr>
      <w:tr>
        <w:tc>
          <w:tcPr>
            <w:tcW w:type="dxa" w:w="5616"/>
          </w:tcPr>
          <w:p>
            <w:pPr>
              <w:spacing w:after="20"/>
            </w:pPr>
            <w:r>
              <w:rPr>
                <w:b/>
                <w:color w:val="1C3A36"/>
                <w:sz w:val="18"/>
              </w:rPr>
              <w:t>Pinball-0.50 skill / Winkler-90 skill</w:t>
            </w:r>
          </w:p>
        </w:tc>
        <w:tc>
          <w:tcPr>
            <w:tcW w:type="dxa" w:w="3888"/>
          </w:tcPr>
          <w:p>
            <w:pPr>
              <w:spacing w:after="20"/>
              <w:jc w:val="right"/>
            </w:pPr>
            <w:r>
              <w:rPr>
                <w:color w:val="1C3A36"/>
                <w:sz w:val="18"/>
              </w:rPr>
              <w:t>+0.0019 / +0.0780</w:t>
            </w:r>
          </w:p>
        </w:tc>
      </w:tr>
      <w:tr>
        <w:tc>
          <w:tcPr>
            <w:tcW w:type="dxa" w:w="5616"/>
          </w:tcPr>
          <w:p>
            <w:pPr>
              <w:spacing w:after="20"/>
            </w:pPr>
            <w:r>
              <w:rPr>
                <w:b/>
                <w:color w:val="1C3A36"/>
                <w:sz w:val="18"/>
              </w:rPr>
              <w:t>Coverage 50 / 80 / 90</w:t>
            </w:r>
          </w:p>
        </w:tc>
        <w:tc>
          <w:tcPr>
            <w:tcW w:type="dxa" w:w="3888"/>
          </w:tcPr>
          <w:p>
            <w:pPr>
              <w:spacing w:after="20"/>
              <w:jc w:val="right"/>
            </w:pPr>
            <w:r>
              <w:rPr>
                <w:color w:val="1C3A36"/>
                <w:sz w:val="18"/>
              </w:rPr>
              <w:t>0.64 / 0.86 / 0.86</w:t>
            </w:r>
          </w:p>
        </w:tc>
      </w:tr>
      <w:tr>
        <w:tc>
          <w:tcPr>
            <w:tcW w:type="dxa" w:w="5616"/>
          </w:tcPr>
          <w:p>
            <w:pPr>
              <w:spacing w:after="20"/>
            </w:pPr>
            <w:r>
              <w:rPr>
                <w:b/>
                <w:color w:val="1C3A36"/>
                <w:sz w:val="18"/>
              </w:rPr>
              <w:t>PIT mean</w:t>
            </w:r>
          </w:p>
        </w:tc>
        <w:tc>
          <w:tcPr>
            <w:tcW w:type="dxa" w:w="3888"/>
          </w:tcPr>
          <w:p>
            <w:pPr>
              <w:spacing w:after="20"/>
              <w:jc w:val="right"/>
            </w:pPr>
            <w:r>
              <w:rPr>
                <w:color w:val="1C3A36"/>
                <w:sz w:val="18"/>
              </w:rPr>
              <w:t>0.54</w:t>
            </w:r>
          </w:p>
        </w:tc>
      </w:tr>
      <w:tr>
        <w:tc>
          <w:tcPr>
            <w:tcW w:type="dxa" w:w="5616"/>
          </w:tcPr>
          <w:p>
            <w:pPr>
              <w:spacing w:after="20"/>
            </w:pPr>
            <w:r>
              <w:rPr>
                <w:b/>
                <w:color w:val="1C3A36"/>
                <w:sz w:val="18"/>
              </w:rPr>
              <w:t>Bootstrap CI, block 2 / 3 / 4</w:t>
            </w:r>
          </w:p>
        </w:tc>
        <w:tc>
          <w:tcPr>
            <w:tcW w:type="dxa" w:w="3888"/>
          </w:tcPr>
          <w:p>
            <w:pPr>
              <w:spacing w:after="20"/>
              <w:jc w:val="right"/>
            </w:pPr>
            <w:r>
              <w:rPr>
                <w:color w:val="1C3A36"/>
                <w:sz w:val="18"/>
              </w:rPr>
              <w:t>[0.004, 0.035] · [0.002, 0.04] · [0.003, 0.032]</w:t>
            </w:r>
          </w:p>
        </w:tc>
      </w:tr>
      <w:tr>
        <w:tc>
          <w:tcPr>
            <w:tcW w:type="dxa" w:w="5616"/>
          </w:tcPr>
          <w:p>
            <w:pPr>
              <w:spacing w:after="20"/>
            </w:pPr>
            <w:r>
              <w:rPr>
                <w:b/>
                <w:color w:val="1C3A36"/>
                <w:sz w:val="18"/>
              </w:rPr>
              <w:t>Robust verdict (all blocks agree)</w:t>
            </w:r>
          </w:p>
        </w:tc>
        <w:tc>
          <w:tcPr>
            <w:tcW w:type="dxa" w:w="3888"/>
          </w:tcPr>
          <w:p>
            <w:pPr>
              <w:spacing w:after="20"/>
              <w:jc w:val="right"/>
            </w:pPr>
            <w:r>
              <w:rPr>
                <w:color w:val="1C3A36"/>
                <w:sz w:val="18"/>
              </w:rPr>
              <w:t>PASS</w:t>
            </w:r>
          </w:p>
        </w:tc>
      </w:tr>
    </w:tbl>
    <w:p>
      <w:pPr>
        <w:spacing w:after="40"/>
      </w:pPr>
    </w:p>
    <w:p>
      <w:pPr>
        <w:spacing w:after="40"/>
        <w:jc w:val="center"/>
      </w:pPr>
      <w:r>
        <w:drawing>
          <wp:inline xmlns:a="http://schemas.openxmlformats.org/drawingml/2006/main" xmlns:pic="http://schemas.openxmlformats.org/drawingml/2006/picture">
            <wp:extent cx="6400800" cy="2000250"/>
            <wp:docPr id="9" name="Picture 9"/>
            <wp:cNvGraphicFramePr>
              <a:graphicFrameLocks noChangeAspect="1"/>
            </wp:cNvGraphicFramePr>
            <a:graphic>
              <a:graphicData uri="http://schemas.openxmlformats.org/drawingml/2006/picture">
                <pic:pic>
                  <pic:nvPicPr>
                    <pic:cNvPr id="0" name="fig5_calibration.png"/>
                    <pic:cNvPicPr/>
                  </pic:nvPicPr>
                  <pic:blipFill>
                    <a:blip r:embed="rId17"/>
                    <a:stretch>
                      <a:fillRect/>
                    </a:stretch>
                  </pic:blipFill>
                  <pic:spPr>
                    <a:xfrm>
                      <a:off x="0" y="0"/>
                      <a:ext cx="6400800" cy="2000250"/>
                    </a:xfrm>
                    <a:prstGeom prst="rect"/>
                  </pic:spPr>
                </pic:pic>
              </a:graphicData>
            </a:graphic>
          </wp:inline>
        </w:drawing>
      </w:r>
    </w:p>
    <w:p>
      <w:pPr>
        <w:spacing w:after="200" w:before="0"/>
      </w:pPr>
      <w:r>
        <w:rPr>
          <w:b w:val="0"/>
          <w:i/>
          <w:color w:val="6E7B77"/>
          <w:sz w:val="17"/>
        </w:rPr>
        <w:t>Figure 5 — Calibration three-panel: realized vs model median per window; cumulative CRPS skill; PIT histogram. The two 90%-band misses are the Oct-24 (+23%) and Jun-25 (+30%) rallies — the model under-called upside, never downside.</w:t>
      </w:r>
    </w:p>
    <w:p>
      <w:pPr>
        <w:spacing w:after="120" w:before="0"/>
      </w:pPr>
      <w:r>
        <w:rPr>
          <w:b w:val="0"/>
          <w:i w:val="0"/>
          <w:color w:val="1C3A36"/>
          <w:sz w:val="21"/>
        </w:rPr>
        <w:t>A PASS means two things at once: the distribution is honest (coverage near nominal, PIT centred) AND it beats the naive benchmark, with the CRPS-skill margin (+0.023) staying above zero across every block-resampling scheme tested — a demonstrated, if modest, edge on this name rather than mere calibration. The published T+20/T+60 cohorts (grading 05-Aug and 02-Oct-2026) now carry that record into live, out-of-sample territory, where it can be confirmed or corrected.</w:t>
      </w:r>
    </w:p>
    <w:p>
      <w:pPr>
        <w:spacing w:after="120" w:before="280"/>
      </w:pPr>
      <w:r>
        <w:rPr>
          <w:b/>
          <w:i w:val="0"/>
          <w:color w:val="1C3A36"/>
          <w:sz w:val="30"/>
        </w:rPr>
        <w:t>4. What would change our mind</w:t>
      </w:r>
    </w:p>
    <w:p>
      <w:pPr>
        <w:pStyle w:val="ListBullet"/>
        <w:spacing w:after="60"/>
      </w:pPr>
      <w:r>
        <w:rPr>
          <w:b/>
          <w:color w:val="1C3A36"/>
          <w:sz w:val="21"/>
        </w:rPr>
        <w:t xml:space="preserve">Falsifier 1 — </w:t>
      </w:r>
      <w:r>
        <w:rPr>
          <w:color w:val="1C3A36"/>
          <w:sz w:val="21"/>
        </w:rPr>
        <w:t>Q2-2026 results (due 16-July — six days after this study) printing NIM below 2.25% or CoR above 70bp: the FY27 trough assumption is too kind; central falls ~AED 1–1.5.</w:t>
      </w:r>
    </w:p>
    <w:p>
      <w:pPr>
        <w:pStyle w:val="ListBullet"/>
        <w:spacing w:after="60"/>
      </w:pPr>
      <w:r>
        <w:rPr>
          <w:b/>
          <w:color w:val="1C3A36"/>
          <w:sz w:val="21"/>
        </w:rPr>
        <w:t xml:space="preserve">Falsifier 2 — </w:t>
      </w:r>
      <w:r>
        <w:rPr>
          <w:color w:val="1C3A36"/>
          <w:sz w:val="21"/>
        </w:rPr>
        <w:t>CET1 printing below 13.3% by year-end without a corresponding RWA surge: the dividend-growth-capital triangle is tighter than modeled; the payout glide steepens.</w:t>
      </w:r>
    </w:p>
    <w:p>
      <w:pPr>
        <w:pStyle w:val="ListBullet"/>
        <w:spacing w:after="60"/>
      </w:pPr>
      <w:r>
        <w:rPr>
          <w:b/>
          <w:color w:val="1C3A36"/>
          <w:sz w:val="21"/>
        </w:rPr>
        <w:t xml:space="preserve">Falsifier 3 — </w:t>
      </w:r>
      <w:r>
        <w:rPr>
          <w:color w:val="1C3A36"/>
          <w:sz w:val="21"/>
        </w:rPr>
        <w:t>The IAE tax exclusion formally lapsing for FY26: −AED 0.5–0.7 versus the base path (the model already steps to 15% in FY27).</w:t>
      </w:r>
    </w:p>
    <w:p>
      <w:pPr>
        <w:pStyle w:val="ListBullet"/>
        <w:spacing w:after="60"/>
      </w:pPr>
      <w:r>
        <w:rPr>
          <w:b/>
          <w:color w:val="1C3A36"/>
          <w:sz w:val="21"/>
        </w:rPr>
        <w:t xml:space="preserve">Falsifier 4 — </w:t>
      </w:r>
      <w:r>
        <w:rPr>
          <w:color w:val="1C3A36"/>
          <w:sz w:val="21"/>
        </w:rPr>
        <w:t>Renewed Hormuz closure or direct UAE escalation: the 1.0pt adder is a ceasefire-holding assumption; the sensitivity row (§1.10) is the honest map, not a tail footnote.</w:t>
      </w:r>
    </w:p>
    <w:p>
      <w:pPr>
        <w:pStyle w:val="ListBullet"/>
        <w:spacing w:after="60"/>
      </w:pPr>
      <w:r>
        <w:rPr>
          <w:b/>
          <w:color w:val="1C3A36"/>
          <w:sz w:val="21"/>
        </w:rPr>
        <w:t xml:space="preserve">Falsifier 5 — </w:t>
      </w:r>
      <w:r>
        <w:rPr>
          <w:color w:val="1C3A36"/>
          <w:sz w:val="21"/>
        </w:rPr>
        <w:t>Sector P/B re-rating above ~1.8× while ADCB merely tracks: the relative lens converges upward on the DCFs and the thesis resolves without ADCB doing anything — the pleasant failure mode.</w:t>
      </w:r>
    </w:p>
    <w:p>
      <w:pPr>
        <w:spacing w:after="120" w:before="280"/>
      </w:pPr>
      <w:r>
        <w:rPr>
          <w:b/>
          <w:i w:val="0"/>
          <w:color w:val="1C3A36"/>
          <w:sz w:val="30"/>
        </w:rPr>
        <w:t>5. How to use this study</w:t>
      </w:r>
    </w:p>
    <w:p>
      <w:pPr>
        <w:spacing w:after="120" w:before="0"/>
      </w:pPr>
      <w:r>
        <w:rPr>
          <w:b w:val="0"/>
          <w:i w:val="0"/>
          <w:color w:val="1C3A36"/>
          <w:sz w:val="21"/>
        </w:rPr>
        <w:t>Read the central as a probability-weighted anchor, not a target. If you need a 3-month view, use §3 and nothing else. If you disagree with an input, the companion Excel reprices the whole study from one blue cell — that is the point of it. Grade us: every forecast in this document is on the public Calibration Ledger with a maturity date, and the graded record — not the prose — is the product.</w:t>
      </w:r>
    </w:p>
    <w:p>
      <w:pPr>
        <w:spacing w:after="120" w:before="280"/>
      </w:pPr>
      <w:r>
        <w:rPr>
          <w:b/>
          <w:i w:val="0"/>
          <w:color w:val="1C3A36"/>
          <w:sz w:val="30"/>
        </w:rPr>
        <w:t>6. Coverage &amp; ledger integration</w:t>
      </w:r>
    </w:p>
    <w:p>
      <w:pPr>
        <w:spacing w:after="120" w:before="0"/>
      </w:pPr>
      <w:r>
        <w:rPr>
          <w:b w:val="0"/>
          <w:i w:val="0"/>
          <w:color w:val="1C3A36"/>
          <w:sz w:val="21"/>
        </w:rPr>
        <w:t>ADCB joins Testahil’s UAE coverage alongside its ADX and DFM peers. Two forecast cohorts are registered today — one maturing 05 August 2026, one 02 October 2026 — each recorded with its full set of percentiles so it can be graded after the fact. When a cohort matures it is scored against the same naive benchmark used in the backtest, its result is added to the UAE sample the market calibration is estimated on, and a fresh forecast is issued in its place. The graded record, published openly, is the point of the exercise.</w:t>
      </w:r>
    </w:p>
    <w:p>
      <w:pPr>
        <w:spacing w:after="120" w:before="280"/>
      </w:pPr>
      <w:r>
        <w:rPr>
          <w:b/>
          <w:i w:val="0"/>
          <w:color w:val="1C3A36"/>
          <w:sz w:val="30"/>
        </w:rPr>
        <w:t>7. The one-paragraph version</w:t>
      </w:r>
    </w:p>
    <w:p>
      <w:pPr>
        <w:spacing w:after="120" w:before="0"/>
      </w:pPr>
      <w:r>
        <w:rPr>
          <w:b w:val="0"/>
          <w:i w:val="0"/>
          <w:color w:val="1C3A36"/>
          <w:sz w:val="21"/>
        </w:rPr>
        <w:t>ADCB is a 16%-ROE bank compounding profit at 20%+, pre-funded by a rights issue, guided by an explicit five-year plan, priced at ~1.5× book and ~9× forward earnings because it lives in a war zone and just asked shareholders for AED 6.1bn. Five lenses say AED 14.3–23.3 with a weighted central of AED 19.7 (+31%); the honest counter is that the whole UAE sector is priced this way and ADCB must out-deliver it. The 3-month distribution is essentially balanced (P(above spot) 50%, median -0.1%); the value gap, if it closes, closes on delivery and de-escalation — the two things the next four quarters will grade.</w:t>
      </w:r>
    </w:p>
    <w:p>
      <w:r>
        <w:br w:type="page"/>
      </w:r>
    </w:p>
    <w:p>
      <w:pPr>
        <w:spacing w:after="120" w:before="280"/>
      </w:pPr>
      <w:r>
        <w:rPr>
          <w:b/>
          <w:i w:val="0"/>
          <w:color w:val="1C3A36"/>
          <w:sz w:val="30"/>
        </w:rPr>
        <w:t>Appendix A — Financials (3-year history + 5-year model)</w:t>
      </w:r>
    </w:p>
    <w:p>
      <w:pPr>
        <w:spacing w:after="120" w:before="0"/>
      </w:pPr>
      <w:r>
        <w:rPr>
          <w:b w:val="0"/>
          <w:i w:val="0"/>
          <w:color w:val="1C3A36"/>
          <w:sz w:val="21"/>
        </w:rPr>
        <w:t>AED mn unless noted. History from ADCB’s results releases; FY24 opex/impairment and FY23 balance-sheet lines derived to disclosed totals (flagged); forecast lines follow the driver build in §1.7. FY23 is shown both ways — as reported (including the AED 490mn gain on the 80% sale of ADCP, and before UAE corporate tax) and excluding that one-off — so the underlying trend is not distorted by a single transaction.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120"/>
        <w:gridCol w:w="1120"/>
        <w:gridCol w:w="1120"/>
        <w:gridCol w:w="1120"/>
        <w:gridCol w:w="1120"/>
        <w:gridCol w:w="1120"/>
        <w:gridCol w:w="1120"/>
        <w:gridCol w:w="1120"/>
        <w:gridCol w:w="1120"/>
      </w:tblGrid>
      <w:tr>
        <w:tc>
          <w:tcPr>
            <w:tcW w:type="dxa" w:w="2448"/>
            <w:shd w:val="clear" w:color="auto" w:fill="EAF0EE"/>
          </w:tcPr>
          <w:p>
            <w:pPr>
              <w:spacing w:after="20"/>
            </w:pPr>
            <w:r>
              <w:rPr>
                <w:b/>
                <w:color w:val="1C3A36"/>
                <w:sz w:val="16"/>
              </w:rPr>
              <w:t>Income statement</w:t>
            </w:r>
          </w:p>
        </w:tc>
        <w:tc>
          <w:tcPr>
            <w:tcW w:type="dxa" w:w="950"/>
            <w:shd w:val="clear" w:color="auto" w:fill="EAF0EE"/>
          </w:tcPr>
          <w:p>
            <w:pPr>
              <w:spacing w:after="20"/>
            </w:pPr>
            <w:r>
              <w:rPr>
                <w:b/>
                <w:color w:val="1C3A36"/>
                <w:sz w:val="16"/>
              </w:rPr>
              <w:t>FY23</w:t>
            </w:r>
          </w:p>
        </w:tc>
        <w:tc>
          <w:tcPr>
            <w:tcW w:type="dxa" w:w="950"/>
            <w:shd w:val="clear" w:color="auto" w:fill="EAF0EE"/>
          </w:tcPr>
          <w:p>
            <w:pPr>
              <w:spacing w:after="20"/>
            </w:pPr>
            <w:r>
              <w:rPr>
                <w:b/>
                <w:color w:val="1C3A36"/>
                <w:sz w:val="16"/>
              </w:rPr>
              <w:t>FY24</w:t>
            </w:r>
          </w:p>
        </w:tc>
        <w:tc>
          <w:tcPr>
            <w:tcW w:type="dxa" w:w="950"/>
            <w:shd w:val="clear" w:color="auto" w:fill="EAF0EE"/>
          </w:tcPr>
          <w:p>
            <w:pPr>
              <w:spacing w:after="20"/>
            </w:pPr>
            <w:r>
              <w:rPr>
                <w:b/>
                <w:color w:val="1C3A36"/>
                <w:sz w:val="16"/>
              </w:rPr>
              <w:t>FY25</w:t>
            </w:r>
          </w:p>
        </w:tc>
        <w:tc>
          <w:tcPr>
            <w:tcW w:type="dxa" w:w="950"/>
            <w:shd w:val="clear" w:color="auto" w:fill="EAF0EE"/>
          </w:tcPr>
          <w:p>
            <w:pPr>
              <w:spacing w:after="20"/>
            </w:pPr>
            <w:r>
              <w:rPr>
                <w:b/>
                <w:color w:val="1C3A36"/>
                <w:sz w:val="16"/>
              </w:rPr>
              <w:t>FY26E</w:t>
            </w:r>
          </w:p>
        </w:tc>
        <w:tc>
          <w:tcPr>
            <w:tcW w:type="dxa" w:w="950"/>
            <w:shd w:val="clear" w:color="auto" w:fill="EAF0EE"/>
          </w:tcPr>
          <w:p>
            <w:pPr>
              <w:spacing w:after="20"/>
            </w:pPr>
            <w:r>
              <w:rPr>
                <w:b/>
                <w:color w:val="1C3A36"/>
                <w:sz w:val="16"/>
              </w:rPr>
              <w:t>FY27E</w:t>
            </w:r>
          </w:p>
        </w:tc>
        <w:tc>
          <w:tcPr>
            <w:tcW w:type="dxa" w:w="950"/>
            <w:shd w:val="clear" w:color="auto" w:fill="EAF0EE"/>
          </w:tcPr>
          <w:p>
            <w:pPr>
              <w:spacing w:after="20"/>
            </w:pPr>
            <w:r>
              <w:rPr>
                <w:b/>
                <w:color w:val="1C3A36"/>
                <w:sz w:val="16"/>
              </w:rPr>
              <w:t>FY28E</w:t>
            </w:r>
          </w:p>
        </w:tc>
        <w:tc>
          <w:tcPr>
            <w:tcW w:type="dxa" w:w="950"/>
            <w:shd w:val="clear" w:color="auto" w:fill="EAF0EE"/>
          </w:tcPr>
          <w:p>
            <w:pPr>
              <w:spacing w:after="20"/>
            </w:pPr>
            <w:r>
              <w:rPr>
                <w:b/>
                <w:color w:val="1C3A36"/>
                <w:sz w:val="16"/>
              </w:rPr>
              <w:t>FY29E</w:t>
            </w:r>
          </w:p>
        </w:tc>
        <w:tc>
          <w:tcPr>
            <w:tcW w:type="dxa" w:w="950"/>
            <w:shd w:val="clear" w:color="auto" w:fill="EAF0EE"/>
          </w:tcPr>
          <w:p>
            <w:pPr>
              <w:spacing w:after="20"/>
            </w:pPr>
            <w:r>
              <w:rPr>
                <w:b/>
                <w:color w:val="1C3A36"/>
                <w:sz w:val="16"/>
              </w:rPr>
              <w:t>FY30E</w:t>
            </w:r>
          </w:p>
        </w:tc>
      </w:tr>
      <w:tr>
        <w:tc>
          <w:tcPr>
            <w:tcW w:type="dxa" w:w="2448"/>
          </w:tcPr>
          <w:p>
            <w:pPr>
              <w:spacing w:after="20"/>
            </w:pPr>
            <w:r>
              <w:rPr>
                <w:b/>
                <w:color w:val="1C3A36"/>
                <w:sz w:val="16"/>
              </w:rPr>
              <w:t>Net interest income</w:t>
            </w:r>
          </w:p>
        </w:tc>
        <w:tc>
          <w:tcPr>
            <w:tcW w:type="dxa" w:w="950"/>
          </w:tcPr>
          <w:p>
            <w:pPr>
              <w:spacing w:after="20"/>
              <w:jc w:val="right"/>
            </w:pPr>
            <w:r>
              <w:rPr>
                <w:color w:val="1C3A36"/>
                <w:sz w:val="16"/>
              </w:rPr>
              <w:t>12,370</w:t>
            </w:r>
          </w:p>
        </w:tc>
        <w:tc>
          <w:tcPr>
            <w:tcW w:type="dxa" w:w="950"/>
          </w:tcPr>
          <w:p>
            <w:pPr>
              <w:spacing w:after="20"/>
              <w:jc w:val="right"/>
            </w:pPr>
            <w:r>
              <w:rPr>
                <w:color w:val="1C3A36"/>
                <w:sz w:val="16"/>
              </w:rPr>
              <w:t>13,232</w:t>
            </w:r>
          </w:p>
        </w:tc>
        <w:tc>
          <w:tcPr>
            <w:tcW w:type="dxa" w:w="950"/>
          </w:tcPr>
          <w:p>
            <w:pPr>
              <w:spacing w:after="20"/>
              <w:jc w:val="right"/>
            </w:pPr>
            <w:r>
              <w:rPr>
                <w:color w:val="1C3A36"/>
                <w:sz w:val="16"/>
              </w:rPr>
              <w:t>14,688</w:t>
            </w:r>
          </w:p>
        </w:tc>
        <w:tc>
          <w:tcPr>
            <w:tcW w:type="dxa" w:w="950"/>
          </w:tcPr>
          <w:p>
            <w:pPr>
              <w:spacing w:after="20"/>
              <w:jc w:val="right"/>
            </w:pPr>
            <w:r>
              <w:rPr>
                <w:color w:val="1C3A36"/>
                <w:sz w:val="16"/>
              </w:rPr>
              <w:t>16,132</w:t>
            </w:r>
          </w:p>
        </w:tc>
        <w:tc>
          <w:tcPr>
            <w:tcW w:type="dxa" w:w="950"/>
          </w:tcPr>
          <w:p>
            <w:pPr>
              <w:spacing w:after="20"/>
              <w:jc w:val="right"/>
            </w:pPr>
            <w:r>
              <w:rPr>
                <w:color w:val="1C3A36"/>
                <w:sz w:val="16"/>
              </w:rPr>
              <w:t>18,047</w:t>
            </w:r>
          </w:p>
        </w:tc>
        <w:tc>
          <w:tcPr>
            <w:tcW w:type="dxa" w:w="950"/>
          </w:tcPr>
          <w:p>
            <w:pPr>
              <w:spacing w:after="20"/>
              <w:jc w:val="right"/>
            </w:pPr>
            <w:r>
              <w:rPr>
                <w:color w:val="1C3A36"/>
                <w:sz w:val="16"/>
              </w:rPr>
              <w:t>20,199</w:t>
            </w:r>
          </w:p>
        </w:tc>
        <w:tc>
          <w:tcPr>
            <w:tcW w:type="dxa" w:w="950"/>
          </w:tcPr>
          <w:p>
            <w:pPr>
              <w:spacing w:after="20"/>
              <w:jc w:val="right"/>
            </w:pPr>
            <w:r>
              <w:rPr>
                <w:color w:val="1C3A36"/>
                <w:sz w:val="16"/>
              </w:rPr>
              <w:t>22,308</w:t>
            </w:r>
          </w:p>
        </w:tc>
        <w:tc>
          <w:tcPr>
            <w:tcW w:type="dxa" w:w="950"/>
          </w:tcPr>
          <w:p>
            <w:pPr>
              <w:spacing w:after="20"/>
              <w:jc w:val="right"/>
            </w:pPr>
            <w:r>
              <w:rPr>
                <w:color w:val="1C3A36"/>
                <w:sz w:val="16"/>
              </w:rPr>
              <w:t>24,409</w:t>
            </w:r>
          </w:p>
        </w:tc>
      </w:tr>
      <w:tr>
        <w:tc>
          <w:tcPr>
            <w:tcW w:type="dxa" w:w="2448"/>
          </w:tcPr>
          <w:p>
            <w:pPr>
              <w:spacing w:after="20"/>
            </w:pPr>
            <w:r>
              <w:rPr>
                <w:b/>
                <w:color w:val="1C3A36"/>
                <w:sz w:val="16"/>
              </w:rPr>
              <w:t>Non-interest income</w:t>
            </w:r>
          </w:p>
        </w:tc>
        <w:tc>
          <w:tcPr>
            <w:tcW w:type="dxa" w:w="950"/>
          </w:tcPr>
          <w:p>
            <w:pPr>
              <w:spacing w:after="20"/>
              <w:jc w:val="right"/>
            </w:pPr>
            <w:r>
              <w:rPr>
                <w:color w:val="1C3A36"/>
                <w:sz w:val="16"/>
              </w:rPr>
              <w:t>4,490</w:t>
            </w:r>
          </w:p>
        </w:tc>
        <w:tc>
          <w:tcPr>
            <w:tcW w:type="dxa" w:w="950"/>
          </w:tcPr>
          <w:p>
            <w:pPr>
              <w:spacing w:after="20"/>
              <w:jc w:val="right"/>
            </w:pPr>
            <w:r>
              <w:rPr>
                <w:color w:val="1C3A36"/>
                <w:sz w:val="16"/>
              </w:rPr>
              <w:t>6,227</w:t>
            </w:r>
          </w:p>
        </w:tc>
        <w:tc>
          <w:tcPr>
            <w:tcW w:type="dxa" w:w="950"/>
          </w:tcPr>
          <w:p>
            <w:pPr>
              <w:spacing w:after="20"/>
              <w:jc w:val="right"/>
            </w:pPr>
            <w:r>
              <w:rPr>
                <w:color w:val="1C3A36"/>
                <w:sz w:val="16"/>
              </w:rPr>
              <w:t>7,495</w:t>
            </w:r>
          </w:p>
        </w:tc>
        <w:tc>
          <w:tcPr>
            <w:tcW w:type="dxa" w:w="950"/>
          </w:tcPr>
          <w:p>
            <w:pPr>
              <w:spacing w:after="20"/>
              <w:jc w:val="right"/>
            </w:pPr>
            <w:r>
              <w:rPr>
                <w:color w:val="1C3A36"/>
                <w:sz w:val="16"/>
              </w:rPr>
              <w:t>8,319</w:t>
            </w:r>
          </w:p>
        </w:tc>
        <w:tc>
          <w:tcPr>
            <w:tcW w:type="dxa" w:w="950"/>
          </w:tcPr>
          <w:p>
            <w:pPr>
              <w:spacing w:after="20"/>
              <w:jc w:val="right"/>
            </w:pPr>
            <w:r>
              <w:rPr>
                <w:color w:val="1C3A36"/>
                <w:sz w:val="16"/>
              </w:rPr>
              <w:t>9,068</w:t>
            </w:r>
          </w:p>
        </w:tc>
        <w:tc>
          <w:tcPr>
            <w:tcW w:type="dxa" w:w="950"/>
          </w:tcPr>
          <w:p>
            <w:pPr>
              <w:spacing w:after="20"/>
              <w:jc w:val="right"/>
            </w:pPr>
            <w:r>
              <w:rPr>
                <w:color w:val="1C3A36"/>
                <w:sz w:val="16"/>
              </w:rPr>
              <w:t>9,884</w:t>
            </w:r>
          </w:p>
        </w:tc>
        <w:tc>
          <w:tcPr>
            <w:tcW w:type="dxa" w:w="950"/>
          </w:tcPr>
          <w:p>
            <w:pPr>
              <w:spacing w:after="20"/>
              <w:jc w:val="right"/>
            </w:pPr>
            <w:r>
              <w:rPr>
                <w:color w:val="1C3A36"/>
                <w:sz w:val="16"/>
              </w:rPr>
              <w:t>10,774</w:t>
            </w:r>
          </w:p>
        </w:tc>
        <w:tc>
          <w:tcPr>
            <w:tcW w:type="dxa" w:w="950"/>
          </w:tcPr>
          <w:p>
            <w:pPr>
              <w:spacing w:after="20"/>
              <w:jc w:val="right"/>
            </w:pPr>
            <w:r>
              <w:rPr>
                <w:color w:val="1C3A36"/>
                <w:sz w:val="16"/>
              </w:rPr>
              <w:t>11,744</w:t>
            </w:r>
          </w:p>
        </w:tc>
      </w:tr>
      <w:tr>
        <w:tc>
          <w:tcPr>
            <w:tcW w:type="dxa" w:w="2448"/>
          </w:tcPr>
          <w:p>
            <w:pPr>
              <w:spacing w:after="20"/>
            </w:pPr>
            <w:r>
              <w:rPr>
                <w:b/>
                <w:color w:val="1C3A36"/>
                <w:sz w:val="16"/>
              </w:rPr>
              <w:t>Operating income</w:t>
            </w:r>
          </w:p>
        </w:tc>
        <w:tc>
          <w:tcPr>
            <w:tcW w:type="dxa" w:w="950"/>
          </w:tcPr>
          <w:p>
            <w:pPr>
              <w:spacing w:after="20"/>
              <w:jc w:val="right"/>
            </w:pPr>
            <w:r>
              <w:rPr>
                <w:color w:val="1C3A36"/>
                <w:sz w:val="16"/>
              </w:rPr>
              <w:t>16,860</w:t>
            </w:r>
          </w:p>
        </w:tc>
        <w:tc>
          <w:tcPr>
            <w:tcW w:type="dxa" w:w="950"/>
          </w:tcPr>
          <w:p>
            <w:pPr>
              <w:spacing w:after="20"/>
              <w:jc w:val="right"/>
            </w:pPr>
            <w:r>
              <w:rPr>
                <w:color w:val="1C3A36"/>
                <w:sz w:val="16"/>
              </w:rPr>
              <w:t>19,459</w:t>
            </w:r>
          </w:p>
        </w:tc>
        <w:tc>
          <w:tcPr>
            <w:tcW w:type="dxa" w:w="950"/>
          </w:tcPr>
          <w:p>
            <w:pPr>
              <w:spacing w:after="20"/>
              <w:jc w:val="right"/>
            </w:pPr>
            <w:r>
              <w:rPr>
                <w:color w:val="1C3A36"/>
                <w:sz w:val="16"/>
              </w:rPr>
              <w:t>22,183</w:t>
            </w:r>
          </w:p>
        </w:tc>
        <w:tc>
          <w:tcPr>
            <w:tcW w:type="dxa" w:w="950"/>
          </w:tcPr>
          <w:p>
            <w:pPr>
              <w:spacing w:after="20"/>
              <w:jc w:val="right"/>
            </w:pPr>
            <w:r>
              <w:rPr>
                <w:color w:val="1C3A36"/>
                <w:sz w:val="16"/>
              </w:rPr>
              <w:t>24,452</w:t>
            </w:r>
          </w:p>
        </w:tc>
        <w:tc>
          <w:tcPr>
            <w:tcW w:type="dxa" w:w="950"/>
          </w:tcPr>
          <w:p>
            <w:pPr>
              <w:spacing w:after="20"/>
              <w:jc w:val="right"/>
            </w:pPr>
            <w:r>
              <w:rPr>
                <w:color w:val="1C3A36"/>
                <w:sz w:val="16"/>
              </w:rPr>
              <w:t>27,115</w:t>
            </w:r>
          </w:p>
        </w:tc>
        <w:tc>
          <w:tcPr>
            <w:tcW w:type="dxa" w:w="950"/>
          </w:tcPr>
          <w:p>
            <w:pPr>
              <w:spacing w:after="20"/>
              <w:jc w:val="right"/>
            </w:pPr>
            <w:r>
              <w:rPr>
                <w:color w:val="1C3A36"/>
                <w:sz w:val="16"/>
              </w:rPr>
              <w:t>30,084</w:t>
            </w:r>
          </w:p>
        </w:tc>
        <w:tc>
          <w:tcPr>
            <w:tcW w:type="dxa" w:w="950"/>
          </w:tcPr>
          <w:p>
            <w:pPr>
              <w:spacing w:after="20"/>
              <w:jc w:val="right"/>
            </w:pPr>
            <w:r>
              <w:rPr>
                <w:color w:val="1C3A36"/>
                <w:sz w:val="16"/>
              </w:rPr>
              <w:t>33,081</w:t>
            </w:r>
          </w:p>
        </w:tc>
        <w:tc>
          <w:tcPr>
            <w:tcW w:type="dxa" w:w="950"/>
          </w:tcPr>
          <w:p>
            <w:pPr>
              <w:spacing w:after="20"/>
              <w:jc w:val="right"/>
            </w:pPr>
            <w:r>
              <w:rPr>
                <w:color w:val="1C3A36"/>
                <w:sz w:val="16"/>
              </w:rPr>
              <w:t>36,153</w:t>
            </w:r>
          </w:p>
        </w:tc>
      </w:tr>
      <w:tr>
        <w:tc>
          <w:tcPr>
            <w:tcW w:type="dxa" w:w="2448"/>
          </w:tcPr>
          <w:p>
            <w:pPr>
              <w:spacing w:after="20"/>
            </w:pPr>
            <w:r>
              <w:rPr>
                <w:b/>
                <w:color w:val="1C3A36"/>
                <w:sz w:val="16"/>
              </w:rPr>
              <w:t>Operating expenses</w:t>
            </w:r>
          </w:p>
        </w:tc>
        <w:tc>
          <w:tcPr>
            <w:tcW w:type="dxa" w:w="950"/>
          </w:tcPr>
          <w:p>
            <w:pPr>
              <w:spacing w:after="20"/>
              <w:jc w:val="right"/>
            </w:pPr>
            <w:r>
              <w:rPr>
                <w:color w:val="1C3A36"/>
                <w:sz w:val="16"/>
              </w:rPr>
              <w:t>-5,176</w:t>
            </w:r>
          </w:p>
        </w:tc>
        <w:tc>
          <w:tcPr>
            <w:tcW w:type="dxa" w:w="950"/>
          </w:tcPr>
          <w:p>
            <w:pPr>
              <w:spacing w:after="20"/>
              <w:jc w:val="right"/>
            </w:pPr>
            <w:r>
              <w:rPr>
                <w:color w:val="1C3A36"/>
                <w:sz w:val="16"/>
              </w:rPr>
              <w:t>-6,032</w:t>
            </w:r>
          </w:p>
        </w:tc>
        <w:tc>
          <w:tcPr>
            <w:tcW w:type="dxa" w:w="950"/>
          </w:tcPr>
          <w:p>
            <w:pPr>
              <w:spacing w:after="20"/>
              <w:jc w:val="right"/>
            </w:pPr>
            <w:r>
              <w:rPr>
                <w:color w:val="1C3A36"/>
                <w:sz w:val="16"/>
              </w:rPr>
              <w:t>-6,256</w:t>
            </w:r>
          </w:p>
        </w:tc>
        <w:tc>
          <w:tcPr>
            <w:tcW w:type="dxa" w:w="950"/>
          </w:tcPr>
          <w:p>
            <w:pPr>
              <w:spacing w:after="20"/>
              <w:jc w:val="right"/>
            </w:pPr>
            <w:r>
              <w:rPr>
                <w:color w:val="1C3A36"/>
                <w:sz w:val="16"/>
              </w:rPr>
              <w:t>-6,602</w:t>
            </w:r>
          </w:p>
        </w:tc>
        <w:tc>
          <w:tcPr>
            <w:tcW w:type="dxa" w:w="950"/>
          </w:tcPr>
          <w:p>
            <w:pPr>
              <w:spacing w:after="20"/>
              <w:jc w:val="right"/>
            </w:pPr>
            <w:r>
              <w:rPr>
                <w:color w:val="1C3A36"/>
                <w:sz w:val="16"/>
              </w:rPr>
              <w:t>-7,050</w:t>
            </w:r>
          </w:p>
        </w:tc>
        <w:tc>
          <w:tcPr>
            <w:tcW w:type="dxa" w:w="950"/>
          </w:tcPr>
          <w:p>
            <w:pPr>
              <w:spacing w:after="20"/>
              <w:jc w:val="right"/>
            </w:pPr>
            <w:r>
              <w:rPr>
                <w:color w:val="1C3A36"/>
                <w:sz w:val="16"/>
              </w:rPr>
              <w:t>-7,671</w:t>
            </w:r>
          </w:p>
        </w:tc>
        <w:tc>
          <w:tcPr>
            <w:tcW w:type="dxa" w:w="950"/>
          </w:tcPr>
          <w:p>
            <w:pPr>
              <w:spacing w:after="20"/>
              <w:jc w:val="right"/>
            </w:pPr>
            <w:r>
              <w:rPr>
                <w:color w:val="1C3A36"/>
                <w:sz w:val="16"/>
              </w:rPr>
              <w:t>-8,270</w:t>
            </w:r>
          </w:p>
        </w:tc>
        <w:tc>
          <w:tcPr>
            <w:tcW w:type="dxa" w:w="950"/>
          </w:tcPr>
          <w:p>
            <w:pPr>
              <w:spacing w:after="20"/>
              <w:jc w:val="right"/>
            </w:pPr>
            <w:r>
              <w:rPr>
                <w:color w:val="1C3A36"/>
                <w:sz w:val="16"/>
              </w:rPr>
              <w:t>-8,857</w:t>
            </w:r>
          </w:p>
        </w:tc>
      </w:tr>
      <w:tr>
        <w:tc>
          <w:tcPr>
            <w:tcW w:type="dxa" w:w="2448"/>
          </w:tcPr>
          <w:p>
            <w:pPr>
              <w:spacing w:after="20"/>
            </w:pPr>
            <w:r>
              <w:rPr>
                <w:b/>
                <w:color w:val="1C3A36"/>
                <w:sz w:val="16"/>
              </w:rPr>
              <w:t>Impairment charge</w:t>
            </w:r>
          </w:p>
        </w:tc>
        <w:tc>
          <w:tcPr>
            <w:tcW w:type="dxa" w:w="950"/>
          </w:tcPr>
          <w:p>
            <w:pPr>
              <w:spacing w:after="20"/>
              <w:jc w:val="right"/>
            </w:pPr>
            <w:r>
              <w:rPr>
                <w:color w:val="1C3A36"/>
                <w:sz w:val="16"/>
              </w:rPr>
              <w:t>-3,477</w:t>
            </w:r>
          </w:p>
        </w:tc>
        <w:tc>
          <w:tcPr>
            <w:tcW w:type="dxa" w:w="950"/>
          </w:tcPr>
          <w:p>
            <w:pPr>
              <w:spacing w:after="20"/>
              <w:jc w:val="right"/>
            </w:pPr>
            <w:r>
              <w:rPr>
                <w:color w:val="1C3A36"/>
                <w:sz w:val="16"/>
              </w:rPr>
              <w:t>-2,842</w:t>
            </w:r>
          </w:p>
        </w:tc>
        <w:tc>
          <w:tcPr>
            <w:tcW w:type="dxa" w:w="950"/>
          </w:tcPr>
          <w:p>
            <w:pPr>
              <w:spacing w:after="20"/>
              <w:jc w:val="right"/>
            </w:pPr>
            <w:r>
              <w:rPr>
                <w:color w:val="1C3A36"/>
                <w:sz w:val="16"/>
              </w:rPr>
              <w:t>-3,084</w:t>
            </w:r>
          </w:p>
        </w:tc>
        <w:tc>
          <w:tcPr>
            <w:tcW w:type="dxa" w:w="950"/>
          </w:tcPr>
          <w:p>
            <w:pPr>
              <w:spacing w:after="20"/>
              <w:jc w:val="right"/>
            </w:pPr>
            <w:r>
              <w:rPr>
                <w:color w:val="1C3A36"/>
                <w:sz w:val="16"/>
              </w:rPr>
              <w:t>-2,411</w:t>
            </w:r>
          </w:p>
        </w:tc>
        <w:tc>
          <w:tcPr>
            <w:tcW w:type="dxa" w:w="950"/>
          </w:tcPr>
          <w:p>
            <w:pPr>
              <w:spacing w:after="20"/>
              <w:jc w:val="right"/>
            </w:pPr>
            <w:r>
              <w:rPr>
                <w:color w:val="1C3A36"/>
                <w:sz w:val="16"/>
              </w:rPr>
              <w:t>-2,496</w:t>
            </w:r>
          </w:p>
        </w:tc>
        <w:tc>
          <w:tcPr>
            <w:tcW w:type="dxa" w:w="950"/>
          </w:tcPr>
          <w:p>
            <w:pPr>
              <w:spacing w:after="20"/>
              <w:jc w:val="right"/>
            </w:pPr>
            <w:r>
              <w:rPr>
                <w:color w:val="1C3A36"/>
                <w:sz w:val="16"/>
              </w:rPr>
              <w:t>-2,658</w:t>
            </w:r>
          </w:p>
        </w:tc>
        <w:tc>
          <w:tcPr>
            <w:tcW w:type="dxa" w:w="950"/>
          </w:tcPr>
          <w:p>
            <w:pPr>
              <w:spacing w:after="20"/>
              <w:jc w:val="right"/>
            </w:pPr>
            <w:r>
              <w:rPr>
                <w:color w:val="1C3A36"/>
                <w:sz w:val="16"/>
              </w:rPr>
              <w:t>-2,789</w:t>
            </w:r>
          </w:p>
        </w:tc>
        <w:tc>
          <w:tcPr>
            <w:tcW w:type="dxa" w:w="950"/>
          </w:tcPr>
          <w:p>
            <w:pPr>
              <w:spacing w:after="20"/>
              <w:jc w:val="right"/>
            </w:pPr>
            <w:r>
              <w:rPr>
                <w:color w:val="1C3A36"/>
                <w:sz w:val="16"/>
              </w:rPr>
              <w:t>-2,960</w:t>
            </w:r>
          </w:p>
        </w:tc>
      </w:tr>
      <w:tr>
        <w:tc>
          <w:tcPr>
            <w:tcW w:type="dxa" w:w="2448"/>
          </w:tcPr>
          <w:p>
            <w:pPr>
              <w:spacing w:after="20"/>
            </w:pPr>
            <w:r>
              <w:rPr>
                <w:b/>
                <w:color w:val="1C3A36"/>
                <w:sz w:val="16"/>
              </w:rPr>
              <w:t>Profit before tax</w:t>
            </w:r>
          </w:p>
        </w:tc>
        <w:tc>
          <w:tcPr>
            <w:tcW w:type="dxa" w:w="950"/>
          </w:tcPr>
          <w:p>
            <w:pPr>
              <w:spacing w:after="20"/>
              <w:jc w:val="right"/>
            </w:pPr>
            <w:r>
              <w:rPr>
                <w:color w:val="1C3A36"/>
                <w:sz w:val="16"/>
              </w:rPr>
              <w:t>8,207</w:t>
            </w:r>
          </w:p>
        </w:tc>
        <w:tc>
          <w:tcPr>
            <w:tcW w:type="dxa" w:w="950"/>
          </w:tcPr>
          <w:p>
            <w:pPr>
              <w:spacing w:after="20"/>
              <w:jc w:val="right"/>
            </w:pPr>
            <w:r>
              <w:rPr>
                <w:color w:val="1C3A36"/>
                <w:sz w:val="16"/>
              </w:rPr>
              <w:t>10,585</w:t>
            </w:r>
          </w:p>
        </w:tc>
        <w:tc>
          <w:tcPr>
            <w:tcW w:type="dxa" w:w="950"/>
          </w:tcPr>
          <w:p>
            <w:pPr>
              <w:spacing w:after="20"/>
              <w:jc w:val="right"/>
            </w:pPr>
            <w:r>
              <w:rPr>
                <w:color w:val="1C3A36"/>
                <w:sz w:val="16"/>
              </w:rPr>
              <w:t>12,843</w:t>
            </w:r>
          </w:p>
        </w:tc>
        <w:tc>
          <w:tcPr>
            <w:tcW w:type="dxa" w:w="950"/>
          </w:tcPr>
          <w:p>
            <w:pPr>
              <w:spacing w:after="20"/>
              <w:jc w:val="right"/>
            </w:pPr>
            <w:r>
              <w:rPr>
                <w:color w:val="1C3A36"/>
                <w:sz w:val="16"/>
              </w:rPr>
              <w:t>15,438</w:t>
            </w:r>
          </w:p>
        </w:tc>
        <w:tc>
          <w:tcPr>
            <w:tcW w:type="dxa" w:w="950"/>
          </w:tcPr>
          <w:p>
            <w:pPr>
              <w:spacing w:after="20"/>
              <w:jc w:val="right"/>
            </w:pPr>
            <w:r>
              <w:rPr>
                <w:color w:val="1C3A36"/>
                <w:sz w:val="16"/>
              </w:rPr>
              <w:t>17,570</w:t>
            </w:r>
          </w:p>
        </w:tc>
        <w:tc>
          <w:tcPr>
            <w:tcW w:type="dxa" w:w="950"/>
          </w:tcPr>
          <w:p>
            <w:pPr>
              <w:spacing w:after="20"/>
              <w:jc w:val="right"/>
            </w:pPr>
            <w:r>
              <w:rPr>
                <w:color w:val="1C3A36"/>
                <w:sz w:val="16"/>
              </w:rPr>
              <w:t>19,754</w:t>
            </w:r>
          </w:p>
        </w:tc>
        <w:tc>
          <w:tcPr>
            <w:tcW w:type="dxa" w:w="950"/>
          </w:tcPr>
          <w:p>
            <w:pPr>
              <w:spacing w:after="20"/>
              <w:jc w:val="right"/>
            </w:pPr>
            <w:r>
              <w:rPr>
                <w:color w:val="1C3A36"/>
                <w:sz w:val="16"/>
              </w:rPr>
              <w:t>22,022</w:t>
            </w:r>
          </w:p>
        </w:tc>
        <w:tc>
          <w:tcPr>
            <w:tcW w:type="dxa" w:w="950"/>
          </w:tcPr>
          <w:p>
            <w:pPr>
              <w:spacing w:after="20"/>
              <w:jc w:val="right"/>
            </w:pPr>
            <w:r>
              <w:rPr>
                <w:color w:val="1C3A36"/>
                <w:sz w:val="16"/>
              </w:rPr>
              <w:t>24,336</w:t>
            </w:r>
          </w:p>
        </w:tc>
      </w:tr>
      <w:tr>
        <w:tc>
          <w:tcPr>
            <w:tcW w:type="dxa" w:w="2448"/>
          </w:tcPr>
          <w:p>
            <w:pPr>
              <w:spacing w:after="20"/>
            </w:pPr>
            <w:r>
              <w:rPr>
                <w:b/>
                <w:color w:val="1C3A36"/>
                <w:sz w:val="16"/>
              </w:rPr>
              <w:t>Tax</w:t>
            </w:r>
          </w:p>
        </w:tc>
        <w:tc>
          <w:tcPr>
            <w:tcW w:type="dxa" w:w="950"/>
          </w:tcPr>
          <w:p>
            <w:pPr>
              <w:spacing w:after="20"/>
              <w:jc w:val="right"/>
            </w:pPr>
            <w:r>
              <w:rPr>
                <w:color w:val="1C3A36"/>
                <w:sz w:val="16"/>
              </w:rPr>
              <w:t>0</w:t>
            </w:r>
          </w:p>
        </w:tc>
        <w:tc>
          <w:tcPr>
            <w:tcW w:type="dxa" w:w="950"/>
          </w:tcPr>
          <w:p>
            <w:pPr>
              <w:spacing w:after="20"/>
              <w:jc w:val="right"/>
            </w:pPr>
            <w:r>
              <w:rPr>
                <w:color w:val="1C3A36"/>
                <w:sz w:val="16"/>
              </w:rPr>
              <w:t>-1,166</w:t>
            </w:r>
          </w:p>
        </w:tc>
        <w:tc>
          <w:tcPr>
            <w:tcW w:type="dxa" w:w="950"/>
          </w:tcPr>
          <w:p>
            <w:pPr>
              <w:spacing w:after="20"/>
              <w:jc w:val="right"/>
            </w:pPr>
            <w:r>
              <w:rPr>
                <w:color w:val="1C3A36"/>
                <w:sz w:val="16"/>
              </w:rPr>
              <w:t>-1,398</w:t>
            </w:r>
          </w:p>
        </w:tc>
        <w:tc>
          <w:tcPr>
            <w:tcW w:type="dxa" w:w="950"/>
          </w:tcPr>
          <w:p>
            <w:pPr>
              <w:spacing w:after="20"/>
              <w:jc w:val="right"/>
            </w:pPr>
            <w:r>
              <w:rPr>
                <w:color w:val="1C3A36"/>
                <w:sz w:val="16"/>
              </w:rPr>
              <w:t>-1,698</w:t>
            </w:r>
          </w:p>
        </w:tc>
        <w:tc>
          <w:tcPr>
            <w:tcW w:type="dxa" w:w="950"/>
          </w:tcPr>
          <w:p>
            <w:pPr>
              <w:spacing w:after="20"/>
              <w:jc w:val="right"/>
            </w:pPr>
            <w:r>
              <w:rPr>
                <w:color w:val="1C3A36"/>
                <w:sz w:val="16"/>
              </w:rPr>
              <w:t>-2,635</w:t>
            </w:r>
          </w:p>
        </w:tc>
        <w:tc>
          <w:tcPr>
            <w:tcW w:type="dxa" w:w="950"/>
          </w:tcPr>
          <w:p>
            <w:pPr>
              <w:spacing w:after="20"/>
              <w:jc w:val="right"/>
            </w:pPr>
            <w:r>
              <w:rPr>
                <w:color w:val="1C3A36"/>
                <w:sz w:val="16"/>
              </w:rPr>
              <w:t>-2,963</w:t>
            </w:r>
          </w:p>
        </w:tc>
        <w:tc>
          <w:tcPr>
            <w:tcW w:type="dxa" w:w="950"/>
          </w:tcPr>
          <w:p>
            <w:pPr>
              <w:spacing w:after="20"/>
              <w:jc w:val="right"/>
            </w:pPr>
            <w:r>
              <w:rPr>
                <w:color w:val="1C3A36"/>
                <w:sz w:val="16"/>
              </w:rPr>
              <w:t>-3,303</w:t>
            </w:r>
          </w:p>
        </w:tc>
        <w:tc>
          <w:tcPr>
            <w:tcW w:type="dxa" w:w="950"/>
          </w:tcPr>
          <w:p>
            <w:pPr>
              <w:spacing w:after="20"/>
              <w:jc w:val="right"/>
            </w:pPr>
            <w:r>
              <w:rPr>
                <w:color w:val="1C3A36"/>
                <w:sz w:val="16"/>
              </w:rPr>
              <w:t>-3,650</w:t>
            </w:r>
          </w:p>
        </w:tc>
      </w:tr>
      <w:tr>
        <w:tc>
          <w:tcPr>
            <w:tcW w:type="dxa" w:w="2448"/>
            <w:shd w:val="clear" w:color="auto" w:fill="F6F1E6"/>
          </w:tcPr>
          <w:p>
            <w:pPr>
              <w:spacing w:after="20"/>
            </w:pPr>
            <w:r>
              <w:rPr>
                <w:b/>
                <w:color w:val="1C3A36"/>
                <w:sz w:val="16"/>
              </w:rPr>
              <w:t>Net profit after tax</w:t>
            </w:r>
          </w:p>
        </w:tc>
        <w:tc>
          <w:tcPr>
            <w:tcW w:type="dxa" w:w="950"/>
            <w:shd w:val="clear" w:color="auto" w:fill="F6F1E6"/>
          </w:tcPr>
          <w:p>
            <w:pPr>
              <w:spacing w:after="20"/>
              <w:jc w:val="right"/>
            </w:pPr>
            <w:r>
              <w:rPr>
                <w:b/>
                <w:color w:val="1C3A36"/>
                <w:sz w:val="16"/>
              </w:rPr>
              <w:t>8,207</w:t>
            </w:r>
          </w:p>
        </w:tc>
        <w:tc>
          <w:tcPr>
            <w:tcW w:type="dxa" w:w="950"/>
            <w:shd w:val="clear" w:color="auto" w:fill="F6F1E6"/>
          </w:tcPr>
          <w:p>
            <w:pPr>
              <w:spacing w:after="20"/>
              <w:jc w:val="right"/>
            </w:pPr>
            <w:r>
              <w:rPr>
                <w:b/>
                <w:color w:val="1C3A36"/>
                <w:sz w:val="16"/>
              </w:rPr>
              <w:t>9,419</w:t>
            </w:r>
          </w:p>
        </w:tc>
        <w:tc>
          <w:tcPr>
            <w:tcW w:type="dxa" w:w="950"/>
            <w:shd w:val="clear" w:color="auto" w:fill="F6F1E6"/>
          </w:tcPr>
          <w:p>
            <w:pPr>
              <w:spacing w:after="20"/>
              <w:jc w:val="right"/>
            </w:pPr>
            <w:r>
              <w:rPr>
                <w:b/>
                <w:color w:val="1C3A36"/>
                <w:sz w:val="16"/>
              </w:rPr>
              <w:t>11,445</w:t>
            </w:r>
          </w:p>
        </w:tc>
        <w:tc>
          <w:tcPr>
            <w:tcW w:type="dxa" w:w="950"/>
            <w:shd w:val="clear" w:color="auto" w:fill="F6F1E6"/>
          </w:tcPr>
          <w:p>
            <w:pPr>
              <w:spacing w:after="20"/>
              <w:jc w:val="right"/>
            </w:pPr>
            <w:r>
              <w:rPr>
                <w:b/>
                <w:color w:val="1C3A36"/>
                <w:sz w:val="16"/>
              </w:rPr>
              <w:t>13,740</w:t>
            </w:r>
          </w:p>
        </w:tc>
        <w:tc>
          <w:tcPr>
            <w:tcW w:type="dxa" w:w="950"/>
            <w:shd w:val="clear" w:color="auto" w:fill="F6F1E6"/>
          </w:tcPr>
          <w:p>
            <w:pPr>
              <w:spacing w:after="20"/>
              <w:jc w:val="right"/>
            </w:pPr>
            <w:r>
              <w:rPr>
                <w:b/>
                <w:color w:val="1C3A36"/>
                <w:sz w:val="16"/>
              </w:rPr>
              <w:t>14,934</w:t>
            </w:r>
          </w:p>
        </w:tc>
        <w:tc>
          <w:tcPr>
            <w:tcW w:type="dxa" w:w="950"/>
            <w:shd w:val="clear" w:color="auto" w:fill="F6F1E6"/>
          </w:tcPr>
          <w:p>
            <w:pPr>
              <w:spacing w:after="20"/>
              <w:jc w:val="right"/>
            </w:pPr>
            <w:r>
              <w:rPr>
                <w:b/>
                <w:color w:val="1C3A36"/>
                <w:sz w:val="16"/>
              </w:rPr>
              <w:t>16,791</w:t>
            </w:r>
          </w:p>
        </w:tc>
        <w:tc>
          <w:tcPr>
            <w:tcW w:type="dxa" w:w="950"/>
            <w:shd w:val="clear" w:color="auto" w:fill="F6F1E6"/>
          </w:tcPr>
          <w:p>
            <w:pPr>
              <w:spacing w:after="20"/>
              <w:jc w:val="right"/>
            </w:pPr>
            <w:r>
              <w:rPr>
                <w:b/>
                <w:color w:val="1C3A36"/>
                <w:sz w:val="16"/>
              </w:rPr>
              <w:t>18,719</w:t>
            </w:r>
          </w:p>
        </w:tc>
        <w:tc>
          <w:tcPr>
            <w:tcW w:type="dxa" w:w="950"/>
            <w:shd w:val="clear" w:color="auto" w:fill="F6F1E6"/>
          </w:tcPr>
          <w:p>
            <w:pPr>
              <w:spacing w:after="20"/>
              <w:jc w:val="right"/>
            </w:pPr>
            <w:r>
              <w:rPr>
                <w:b/>
                <w:color w:val="1C3A36"/>
                <w:sz w:val="16"/>
              </w:rPr>
              <w:t>20,685</w:t>
            </w:r>
          </w:p>
        </w:tc>
      </w:tr>
      <w:tr>
        <w:tc>
          <w:tcPr>
            <w:tcW w:type="dxa" w:w="2448"/>
          </w:tcPr>
          <w:p>
            <w:pPr>
              <w:spacing w:after="20"/>
            </w:pPr>
            <w:r>
              <w:rPr>
                <w:b/>
                <w:color w:val="1C3A36"/>
                <w:sz w:val="16"/>
              </w:rPr>
              <w:t>EPS (AED)</w:t>
            </w:r>
          </w:p>
        </w:tc>
        <w:tc>
          <w:tcPr>
            <w:tcW w:type="dxa" w:w="950"/>
          </w:tcPr>
          <w:p>
            <w:pPr>
              <w:spacing w:after="20"/>
              <w:jc w:val="right"/>
            </w:pPr>
            <w:r>
              <w:rPr>
                <w:color w:val="1C3A36"/>
                <w:sz w:val="16"/>
              </w:rPr>
              <w:t>1.12</w:t>
            </w:r>
          </w:p>
        </w:tc>
        <w:tc>
          <w:tcPr>
            <w:tcW w:type="dxa" w:w="950"/>
          </w:tcPr>
          <w:p>
            <w:pPr>
              <w:spacing w:after="20"/>
              <w:jc w:val="right"/>
            </w:pPr>
            <w:r>
              <w:rPr>
                <w:color w:val="1C3A36"/>
                <w:sz w:val="16"/>
              </w:rPr>
              <w:t>1.29</w:t>
            </w:r>
          </w:p>
        </w:tc>
        <w:tc>
          <w:tcPr>
            <w:tcW w:type="dxa" w:w="950"/>
          </w:tcPr>
          <w:p>
            <w:pPr>
              <w:spacing w:after="20"/>
              <w:jc w:val="right"/>
            </w:pPr>
            <w:r>
              <w:rPr>
                <w:color w:val="1C3A36"/>
                <w:sz w:val="16"/>
              </w:rPr>
              <w:t>1.45</w:t>
            </w:r>
          </w:p>
        </w:tc>
        <w:tc>
          <w:tcPr>
            <w:tcW w:type="dxa" w:w="950"/>
          </w:tcPr>
          <w:p>
            <w:pPr>
              <w:spacing w:after="20"/>
              <w:jc w:val="right"/>
            </w:pPr>
            <w:r>
              <w:rPr>
                <w:color w:val="1C3A36"/>
                <w:sz w:val="16"/>
              </w:rPr>
              <w:t>1.74</w:t>
            </w:r>
          </w:p>
        </w:tc>
        <w:tc>
          <w:tcPr>
            <w:tcW w:type="dxa" w:w="950"/>
          </w:tcPr>
          <w:p>
            <w:pPr>
              <w:spacing w:after="20"/>
              <w:jc w:val="right"/>
            </w:pPr>
            <w:r>
              <w:rPr>
                <w:color w:val="1C3A36"/>
                <w:sz w:val="16"/>
              </w:rPr>
              <w:t>1.89</w:t>
            </w:r>
          </w:p>
        </w:tc>
        <w:tc>
          <w:tcPr>
            <w:tcW w:type="dxa" w:w="950"/>
          </w:tcPr>
          <w:p>
            <w:pPr>
              <w:spacing w:after="20"/>
              <w:jc w:val="right"/>
            </w:pPr>
            <w:r>
              <w:rPr>
                <w:color w:val="1C3A36"/>
                <w:sz w:val="16"/>
              </w:rPr>
              <w:t>2.12</w:t>
            </w:r>
          </w:p>
        </w:tc>
        <w:tc>
          <w:tcPr>
            <w:tcW w:type="dxa" w:w="950"/>
          </w:tcPr>
          <w:p>
            <w:pPr>
              <w:spacing w:after="20"/>
              <w:jc w:val="right"/>
            </w:pPr>
            <w:r>
              <w:rPr>
                <w:color w:val="1C3A36"/>
                <w:sz w:val="16"/>
              </w:rPr>
              <w:t>2.37</w:t>
            </w:r>
          </w:p>
        </w:tc>
        <w:tc>
          <w:tcPr>
            <w:tcW w:type="dxa" w:w="950"/>
          </w:tcPr>
          <w:p>
            <w:pPr>
              <w:spacing w:after="20"/>
              <w:jc w:val="right"/>
            </w:pPr>
            <w:r>
              <w:rPr>
                <w:color w:val="1C3A36"/>
                <w:sz w:val="16"/>
              </w:rPr>
              <w:t>2.61</w:t>
            </w:r>
          </w:p>
        </w:tc>
      </w:tr>
      <w:tr>
        <w:tc>
          <w:tcPr>
            <w:tcW w:type="dxa" w:w="2448"/>
          </w:tcPr>
          <w:p>
            <w:pPr>
              <w:spacing w:after="20"/>
            </w:pPr>
            <w:r>
              <w:rPr>
                <w:b/>
                <w:color w:val="1C3A36"/>
                <w:sz w:val="16"/>
              </w:rPr>
              <w:t>DPS (AED)</w:t>
            </w:r>
          </w:p>
        </w:tc>
        <w:tc>
          <w:tcPr>
            <w:tcW w:type="dxa" w:w="950"/>
          </w:tcPr>
          <w:p>
            <w:pPr>
              <w:spacing w:after="20"/>
              <w:jc w:val="right"/>
            </w:pPr>
            <w:r>
              <w:rPr>
                <w:color w:val="1C3A36"/>
                <w:sz w:val="16"/>
              </w:rPr>
              <w:t>0.56</w:t>
            </w:r>
          </w:p>
        </w:tc>
        <w:tc>
          <w:tcPr>
            <w:tcW w:type="dxa" w:w="950"/>
          </w:tcPr>
          <w:p>
            <w:pPr>
              <w:spacing w:after="20"/>
              <w:jc w:val="right"/>
            </w:pPr>
            <w:r>
              <w:rPr>
                <w:color w:val="1C3A36"/>
                <w:sz w:val="16"/>
              </w:rPr>
              <w:t>0.59</w:t>
            </w:r>
          </w:p>
        </w:tc>
        <w:tc>
          <w:tcPr>
            <w:tcW w:type="dxa" w:w="950"/>
          </w:tcPr>
          <w:p>
            <w:pPr>
              <w:spacing w:after="20"/>
              <w:jc w:val="right"/>
            </w:pPr>
            <w:r>
              <w:rPr>
                <w:color w:val="1C3A36"/>
                <w:sz w:val="16"/>
              </w:rPr>
              <w:t>0.63</w:t>
            </w:r>
          </w:p>
        </w:tc>
        <w:tc>
          <w:tcPr>
            <w:tcW w:type="dxa" w:w="950"/>
          </w:tcPr>
          <w:p>
            <w:pPr>
              <w:spacing w:after="20"/>
              <w:jc w:val="right"/>
            </w:pPr>
            <w:r>
              <w:rPr>
                <w:color w:val="1C3A36"/>
                <w:sz w:val="16"/>
              </w:rPr>
              <w:t>0.66</w:t>
            </w:r>
          </w:p>
        </w:tc>
        <w:tc>
          <w:tcPr>
            <w:tcW w:type="dxa" w:w="950"/>
          </w:tcPr>
          <w:p>
            <w:pPr>
              <w:spacing w:after="20"/>
              <w:jc w:val="right"/>
            </w:pPr>
            <w:r>
              <w:rPr>
                <w:color w:val="1C3A36"/>
                <w:sz w:val="16"/>
              </w:rPr>
              <w:t>0.70</w:t>
            </w:r>
          </w:p>
        </w:tc>
        <w:tc>
          <w:tcPr>
            <w:tcW w:type="dxa" w:w="950"/>
          </w:tcPr>
          <w:p>
            <w:pPr>
              <w:spacing w:after="20"/>
              <w:jc w:val="right"/>
            </w:pPr>
            <w:r>
              <w:rPr>
                <w:color w:val="1C3A36"/>
                <w:sz w:val="16"/>
              </w:rPr>
              <w:t>0.76</w:t>
            </w:r>
          </w:p>
        </w:tc>
        <w:tc>
          <w:tcPr>
            <w:tcW w:type="dxa" w:w="950"/>
          </w:tcPr>
          <w:p>
            <w:pPr>
              <w:spacing w:after="20"/>
              <w:jc w:val="right"/>
            </w:pPr>
            <w:r>
              <w:rPr>
                <w:color w:val="1C3A36"/>
                <w:sz w:val="16"/>
              </w:rPr>
              <w:t>0.80</w:t>
            </w:r>
          </w:p>
        </w:tc>
        <w:tc>
          <w:tcPr>
            <w:tcW w:type="dxa" w:w="950"/>
          </w:tcPr>
          <w:p>
            <w:pPr>
              <w:spacing w:after="20"/>
              <w:jc w:val="right"/>
            </w:pPr>
            <w:r>
              <w:rPr>
                <w:color w:val="1C3A36"/>
                <w:sz w:val="16"/>
              </w:rPr>
              <w:t>0.86</w:t>
            </w:r>
          </w:p>
        </w:tc>
      </w:tr>
    </w:tbl>
    <w:p>
      <w:pPr>
        <w:spacing w:after="40"/>
      </w:pPr>
    </w:p>
    <w:p>
      <w:pPr>
        <w:spacing w:after="200" w:before="0"/>
      </w:pPr>
      <w:r>
        <w:rPr>
          <w:b w:val="0"/>
          <w:i/>
          <w:color w:val="6E7B77"/>
          <w:sz w:val="17"/>
        </w:rPr>
        <w:t>FY23 as reported AED 8,207mn (pre-CIT); ex the ADCP gain AED 7,717mn. FY23/24 EPS on the pre-rights 7,319.9mn count; FY26E onward on 7,912.2mn.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120"/>
        <w:gridCol w:w="1120"/>
        <w:gridCol w:w="1120"/>
        <w:gridCol w:w="1120"/>
        <w:gridCol w:w="1120"/>
        <w:gridCol w:w="1120"/>
        <w:gridCol w:w="1120"/>
        <w:gridCol w:w="1120"/>
        <w:gridCol w:w="1120"/>
      </w:tblGrid>
      <w:tr>
        <w:tc>
          <w:tcPr>
            <w:tcW w:type="dxa" w:w="2448"/>
            <w:shd w:val="clear" w:color="auto" w:fill="EAF0EE"/>
          </w:tcPr>
          <w:p>
            <w:pPr>
              <w:spacing w:after="20"/>
            </w:pPr>
            <w:r>
              <w:rPr>
                <w:b/>
                <w:color w:val="1C3A36"/>
                <w:sz w:val="16"/>
              </w:rPr>
              <w:t>Balance sheet &amp; capital</w:t>
            </w:r>
          </w:p>
        </w:tc>
        <w:tc>
          <w:tcPr>
            <w:tcW w:type="dxa" w:w="950"/>
            <w:shd w:val="clear" w:color="auto" w:fill="EAF0EE"/>
          </w:tcPr>
          <w:p>
            <w:pPr>
              <w:spacing w:after="20"/>
            </w:pPr>
            <w:r>
              <w:rPr>
                <w:b/>
                <w:color w:val="1C3A36"/>
                <w:sz w:val="16"/>
              </w:rPr>
              <w:t>FY23</w:t>
            </w:r>
          </w:p>
        </w:tc>
        <w:tc>
          <w:tcPr>
            <w:tcW w:type="dxa" w:w="950"/>
            <w:shd w:val="clear" w:color="auto" w:fill="EAF0EE"/>
          </w:tcPr>
          <w:p>
            <w:pPr>
              <w:spacing w:after="20"/>
            </w:pPr>
            <w:r>
              <w:rPr>
                <w:b/>
                <w:color w:val="1C3A36"/>
                <w:sz w:val="16"/>
              </w:rPr>
              <w:t>FY24</w:t>
            </w:r>
          </w:p>
        </w:tc>
        <w:tc>
          <w:tcPr>
            <w:tcW w:type="dxa" w:w="950"/>
            <w:shd w:val="clear" w:color="auto" w:fill="EAF0EE"/>
          </w:tcPr>
          <w:p>
            <w:pPr>
              <w:spacing w:after="20"/>
            </w:pPr>
            <w:r>
              <w:rPr>
                <w:b/>
                <w:color w:val="1C3A36"/>
                <w:sz w:val="16"/>
              </w:rPr>
              <w:t>FY25</w:t>
            </w:r>
          </w:p>
        </w:tc>
        <w:tc>
          <w:tcPr>
            <w:tcW w:type="dxa" w:w="950"/>
            <w:shd w:val="clear" w:color="auto" w:fill="EAF0EE"/>
          </w:tcPr>
          <w:p>
            <w:pPr>
              <w:spacing w:after="20"/>
            </w:pPr>
            <w:r>
              <w:rPr>
                <w:b/>
                <w:color w:val="1C3A36"/>
                <w:sz w:val="16"/>
              </w:rPr>
              <w:t>FY26E</w:t>
            </w:r>
          </w:p>
        </w:tc>
        <w:tc>
          <w:tcPr>
            <w:tcW w:type="dxa" w:w="950"/>
            <w:shd w:val="clear" w:color="auto" w:fill="EAF0EE"/>
          </w:tcPr>
          <w:p>
            <w:pPr>
              <w:spacing w:after="20"/>
            </w:pPr>
            <w:r>
              <w:rPr>
                <w:b/>
                <w:color w:val="1C3A36"/>
                <w:sz w:val="16"/>
              </w:rPr>
              <w:t>FY27E</w:t>
            </w:r>
          </w:p>
        </w:tc>
        <w:tc>
          <w:tcPr>
            <w:tcW w:type="dxa" w:w="950"/>
            <w:shd w:val="clear" w:color="auto" w:fill="EAF0EE"/>
          </w:tcPr>
          <w:p>
            <w:pPr>
              <w:spacing w:after="20"/>
            </w:pPr>
            <w:r>
              <w:rPr>
                <w:b/>
                <w:color w:val="1C3A36"/>
                <w:sz w:val="16"/>
              </w:rPr>
              <w:t>FY28E</w:t>
            </w:r>
          </w:p>
        </w:tc>
        <w:tc>
          <w:tcPr>
            <w:tcW w:type="dxa" w:w="950"/>
            <w:shd w:val="clear" w:color="auto" w:fill="EAF0EE"/>
          </w:tcPr>
          <w:p>
            <w:pPr>
              <w:spacing w:after="20"/>
            </w:pPr>
            <w:r>
              <w:rPr>
                <w:b/>
                <w:color w:val="1C3A36"/>
                <w:sz w:val="16"/>
              </w:rPr>
              <w:t>FY29E</w:t>
            </w:r>
          </w:p>
        </w:tc>
        <w:tc>
          <w:tcPr>
            <w:tcW w:type="dxa" w:w="950"/>
            <w:shd w:val="clear" w:color="auto" w:fill="EAF0EE"/>
          </w:tcPr>
          <w:p>
            <w:pPr>
              <w:spacing w:after="20"/>
            </w:pPr>
            <w:r>
              <w:rPr>
                <w:b/>
                <w:color w:val="1C3A36"/>
                <w:sz w:val="16"/>
              </w:rPr>
              <w:t>FY30E</w:t>
            </w:r>
          </w:p>
        </w:tc>
      </w:tr>
      <w:tr>
        <w:tc>
          <w:tcPr>
            <w:tcW w:type="dxa" w:w="2448"/>
          </w:tcPr>
          <w:p>
            <w:pPr>
              <w:spacing w:after="20"/>
            </w:pPr>
            <w:r>
              <w:rPr>
                <w:b/>
                <w:color w:val="1C3A36"/>
                <w:sz w:val="16"/>
              </w:rPr>
              <w:t>Total assets</w:t>
            </w:r>
          </w:p>
        </w:tc>
        <w:tc>
          <w:tcPr>
            <w:tcW w:type="dxa" w:w="950"/>
          </w:tcPr>
          <w:p>
            <w:pPr>
              <w:spacing w:after="20"/>
              <w:jc w:val="right"/>
            </w:pPr>
            <w:r>
              <w:rPr>
                <w:color w:val="1C3A36"/>
                <w:sz w:val="16"/>
              </w:rPr>
              <w:t>567,000</w:t>
            </w:r>
          </w:p>
        </w:tc>
        <w:tc>
          <w:tcPr>
            <w:tcW w:type="dxa" w:w="950"/>
          </w:tcPr>
          <w:p>
            <w:pPr>
              <w:spacing w:after="20"/>
              <w:jc w:val="right"/>
            </w:pPr>
            <w:r>
              <w:rPr>
                <w:color w:val="1C3A36"/>
                <w:sz w:val="16"/>
              </w:rPr>
              <w:t>650,130</w:t>
            </w:r>
          </w:p>
        </w:tc>
        <w:tc>
          <w:tcPr>
            <w:tcW w:type="dxa" w:w="950"/>
          </w:tcPr>
          <w:p>
            <w:pPr>
              <w:spacing w:after="20"/>
              <w:jc w:val="right"/>
            </w:pPr>
            <w:r>
              <w:rPr>
                <w:color w:val="1C3A36"/>
                <w:sz w:val="16"/>
              </w:rPr>
              <w:t>773,654</w:t>
            </w:r>
          </w:p>
        </w:tc>
        <w:tc>
          <w:tcPr>
            <w:tcW w:type="dxa" w:w="950"/>
          </w:tcPr>
          <w:p>
            <w:pPr>
              <w:spacing w:after="20"/>
              <w:jc w:val="right"/>
            </w:pPr>
            <w:r>
              <w:rPr>
                <w:color w:val="1C3A36"/>
                <w:sz w:val="16"/>
              </w:rPr>
              <w:t>896,994</w:t>
            </w:r>
          </w:p>
        </w:tc>
        <w:tc>
          <w:tcPr>
            <w:tcW w:type="dxa" w:w="950"/>
          </w:tcPr>
          <w:p>
            <w:pPr>
              <w:spacing w:after="20"/>
              <w:jc w:val="right"/>
            </w:pPr>
            <w:r>
              <w:rPr>
                <w:color w:val="1C3A36"/>
                <w:sz w:val="16"/>
              </w:rPr>
              <w:t>1,004,633</w:t>
            </w:r>
          </w:p>
        </w:tc>
        <w:tc>
          <w:tcPr>
            <w:tcW w:type="dxa" w:w="950"/>
          </w:tcPr>
          <w:p>
            <w:pPr>
              <w:spacing w:after="20"/>
              <w:jc w:val="right"/>
            </w:pPr>
            <w:r>
              <w:rPr>
                <w:color w:val="1C3A36"/>
                <w:sz w:val="16"/>
              </w:rPr>
              <w:t>1,105,096</w:t>
            </w:r>
          </w:p>
        </w:tc>
        <w:tc>
          <w:tcPr>
            <w:tcW w:type="dxa" w:w="950"/>
          </w:tcPr>
          <w:p>
            <w:pPr>
              <w:spacing w:after="20"/>
              <w:jc w:val="right"/>
            </w:pPr>
            <w:r>
              <w:rPr>
                <w:color w:val="1C3A36"/>
                <w:sz w:val="16"/>
              </w:rPr>
              <w:t>1,204,555</w:t>
            </w:r>
          </w:p>
        </w:tc>
        <w:tc>
          <w:tcPr>
            <w:tcW w:type="dxa" w:w="950"/>
          </w:tcPr>
          <w:p>
            <w:pPr>
              <w:spacing w:after="20"/>
              <w:jc w:val="right"/>
            </w:pPr>
            <w:r>
              <w:rPr>
                <w:color w:val="1C3A36"/>
                <w:sz w:val="16"/>
              </w:rPr>
              <w:t>1,300,919</w:t>
            </w:r>
          </w:p>
        </w:tc>
      </w:tr>
      <w:tr>
        <w:tc>
          <w:tcPr>
            <w:tcW w:type="dxa" w:w="2448"/>
          </w:tcPr>
          <w:p>
            <w:pPr>
              <w:spacing w:after="20"/>
            </w:pPr>
            <w:r>
              <w:rPr>
                <w:b/>
                <w:color w:val="1C3A36"/>
                <w:sz w:val="16"/>
              </w:rPr>
              <w:t>Net loans</w:t>
            </w:r>
          </w:p>
        </w:tc>
        <w:tc>
          <w:tcPr>
            <w:tcW w:type="dxa" w:w="950"/>
          </w:tcPr>
          <w:p>
            <w:pPr>
              <w:spacing w:after="20"/>
              <w:jc w:val="right"/>
            </w:pPr>
            <w:r>
              <w:rPr>
                <w:color w:val="1C3A36"/>
                <w:sz w:val="16"/>
              </w:rPr>
              <w:t>301,700</w:t>
            </w:r>
          </w:p>
        </w:tc>
        <w:tc>
          <w:tcPr>
            <w:tcW w:type="dxa" w:w="950"/>
          </w:tcPr>
          <w:p>
            <w:pPr>
              <w:spacing w:after="20"/>
              <w:jc w:val="right"/>
            </w:pPr>
            <w:r>
              <w:rPr>
                <w:color w:val="1C3A36"/>
                <w:sz w:val="16"/>
              </w:rPr>
              <w:t>349,972</w:t>
            </w:r>
          </w:p>
        </w:tc>
        <w:tc>
          <w:tcPr>
            <w:tcW w:type="dxa" w:w="950"/>
          </w:tcPr>
          <w:p>
            <w:pPr>
              <w:spacing w:after="20"/>
              <w:jc w:val="right"/>
            </w:pPr>
            <w:r>
              <w:rPr>
                <w:color w:val="1C3A36"/>
                <w:sz w:val="16"/>
              </w:rPr>
              <w:t>405,967</w:t>
            </w:r>
          </w:p>
        </w:tc>
        <w:tc>
          <w:tcPr>
            <w:tcW w:type="dxa" w:w="950"/>
          </w:tcPr>
          <w:p>
            <w:pPr>
              <w:spacing w:after="20"/>
              <w:jc w:val="right"/>
            </w:pPr>
            <w:r>
              <w:rPr>
                <w:color w:val="1C3A36"/>
                <w:sz w:val="16"/>
              </w:rPr>
              <w:t>470,922</w:t>
            </w:r>
          </w:p>
        </w:tc>
        <w:tc>
          <w:tcPr>
            <w:tcW w:type="dxa" w:w="950"/>
          </w:tcPr>
          <w:p>
            <w:pPr>
              <w:spacing w:after="20"/>
              <w:jc w:val="right"/>
            </w:pPr>
            <w:r>
              <w:rPr>
                <w:color w:val="1C3A36"/>
                <w:sz w:val="16"/>
              </w:rPr>
              <w:t>527,432</w:t>
            </w:r>
          </w:p>
        </w:tc>
        <w:tc>
          <w:tcPr>
            <w:tcW w:type="dxa" w:w="950"/>
          </w:tcPr>
          <w:p>
            <w:pPr>
              <w:spacing w:after="20"/>
              <w:jc w:val="right"/>
            </w:pPr>
            <w:r>
              <w:rPr>
                <w:color w:val="1C3A36"/>
                <w:sz w:val="16"/>
              </w:rPr>
              <w:t>580,176</w:t>
            </w:r>
          </w:p>
        </w:tc>
        <w:tc>
          <w:tcPr>
            <w:tcW w:type="dxa" w:w="950"/>
          </w:tcPr>
          <w:p>
            <w:pPr>
              <w:spacing w:after="20"/>
              <w:jc w:val="right"/>
            </w:pPr>
            <w:r>
              <w:rPr>
                <w:color w:val="1C3A36"/>
                <w:sz w:val="16"/>
              </w:rPr>
              <w:t>632,391</w:t>
            </w:r>
          </w:p>
        </w:tc>
        <w:tc>
          <w:tcPr>
            <w:tcW w:type="dxa" w:w="950"/>
          </w:tcPr>
          <w:p>
            <w:pPr>
              <w:spacing w:after="20"/>
              <w:jc w:val="right"/>
            </w:pPr>
            <w:r>
              <w:rPr>
                <w:color w:val="1C3A36"/>
                <w:sz w:val="16"/>
              </w:rPr>
              <w:t>682,983</w:t>
            </w:r>
          </w:p>
        </w:tc>
      </w:tr>
      <w:tr>
        <w:tc>
          <w:tcPr>
            <w:tcW w:type="dxa" w:w="2448"/>
          </w:tcPr>
          <w:p>
            <w:pPr>
              <w:spacing w:after="20"/>
            </w:pPr>
            <w:r>
              <w:rPr>
                <w:b/>
                <w:color w:val="1C3A36"/>
                <w:sz w:val="16"/>
              </w:rPr>
              <w:t>Customer deposits</w:t>
            </w:r>
          </w:p>
        </w:tc>
        <w:tc>
          <w:tcPr>
            <w:tcW w:type="dxa" w:w="950"/>
          </w:tcPr>
          <w:p>
            <w:pPr>
              <w:spacing w:after="20"/>
              <w:jc w:val="right"/>
            </w:pPr>
            <w:r>
              <w:rPr>
                <w:color w:val="1C3A36"/>
                <w:sz w:val="16"/>
              </w:rPr>
              <w:t>363,000</w:t>
            </w:r>
          </w:p>
        </w:tc>
        <w:tc>
          <w:tcPr>
            <w:tcW w:type="dxa" w:w="950"/>
          </w:tcPr>
          <w:p>
            <w:pPr>
              <w:spacing w:after="20"/>
              <w:jc w:val="right"/>
            </w:pPr>
            <w:r>
              <w:rPr>
                <w:color w:val="1C3A36"/>
                <w:sz w:val="16"/>
              </w:rPr>
              <w:t>421,000</w:t>
            </w:r>
          </w:p>
        </w:tc>
        <w:tc>
          <w:tcPr>
            <w:tcW w:type="dxa" w:w="950"/>
          </w:tcPr>
          <w:p>
            <w:pPr>
              <w:spacing w:after="20"/>
              <w:jc w:val="right"/>
            </w:pPr>
            <w:r>
              <w:rPr>
                <w:color w:val="1C3A36"/>
                <w:sz w:val="16"/>
              </w:rPr>
              <w:t>499,775</w:t>
            </w:r>
          </w:p>
        </w:tc>
        <w:tc>
          <w:tcPr>
            <w:tcW w:type="dxa" w:w="950"/>
          </w:tcPr>
          <w:p>
            <w:pPr>
              <w:spacing w:after="20"/>
              <w:jc w:val="right"/>
            </w:pPr>
            <w:r>
              <w:rPr>
                <w:color w:val="1C3A36"/>
                <w:sz w:val="16"/>
              </w:rPr>
              <w:t>579,953</w:t>
            </w:r>
          </w:p>
        </w:tc>
        <w:tc>
          <w:tcPr>
            <w:tcW w:type="dxa" w:w="950"/>
          </w:tcPr>
          <w:p>
            <w:pPr>
              <w:spacing w:after="20"/>
              <w:jc w:val="right"/>
            </w:pPr>
            <w:r>
              <w:rPr>
                <w:color w:val="1C3A36"/>
                <w:sz w:val="16"/>
              </w:rPr>
              <w:t>649,547</w:t>
            </w:r>
          </w:p>
        </w:tc>
        <w:tc>
          <w:tcPr>
            <w:tcW w:type="dxa" w:w="950"/>
          </w:tcPr>
          <w:p>
            <w:pPr>
              <w:spacing w:after="20"/>
              <w:jc w:val="right"/>
            </w:pPr>
            <w:r>
              <w:rPr>
                <w:color w:val="1C3A36"/>
                <w:sz w:val="16"/>
              </w:rPr>
              <w:t>714,502</w:t>
            </w:r>
          </w:p>
        </w:tc>
        <w:tc>
          <w:tcPr>
            <w:tcW w:type="dxa" w:w="950"/>
          </w:tcPr>
          <w:p>
            <w:pPr>
              <w:spacing w:after="20"/>
              <w:jc w:val="right"/>
            </w:pPr>
            <w:r>
              <w:rPr>
                <w:color w:val="1C3A36"/>
                <w:sz w:val="16"/>
              </w:rPr>
              <w:t>778,807</w:t>
            </w:r>
          </w:p>
        </w:tc>
        <w:tc>
          <w:tcPr>
            <w:tcW w:type="dxa" w:w="950"/>
          </w:tcPr>
          <w:p>
            <w:pPr>
              <w:spacing w:after="20"/>
              <w:jc w:val="right"/>
            </w:pPr>
            <w:r>
              <w:rPr>
                <w:color w:val="1C3A36"/>
                <w:sz w:val="16"/>
              </w:rPr>
              <w:t>841,112</w:t>
            </w:r>
          </w:p>
        </w:tc>
      </w:tr>
      <w:tr>
        <w:tc>
          <w:tcPr>
            <w:tcW w:type="dxa" w:w="2448"/>
          </w:tcPr>
          <w:p>
            <w:pPr>
              <w:spacing w:after="20"/>
            </w:pPr>
            <w:r>
              <w:rPr>
                <w:b/>
                <w:color w:val="1C3A36"/>
                <w:sz w:val="16"/>
              </w:rPr>
              <w:t>Common equity (close)</w:t>
            </w:r>
          </w:p>
        </w:tc>
        <w:tc>
          <w:tcPr>
            <w:tcW w:type="dxa" w:w="950"/>
          </w:tcPr>
          <w:p>
            <w:pPr>
              <w:spacing w:after="20"/>
              <w:jc w:val="right"/>
            </w:pPr>
            <w:r>
              <w:rPr>
                <w:color w:val="1C3A36"/>
                <w:sz w:val="16"/>
              </w:rPr>
              <w:t>—</w:t>
            </w:r>
          </w:p>
        </w:tc>
        <w:tc>
          <w:tcPr>
            <w:tcW w:type="dxa" w:w="950"/>
          </w:tcPr>
          <w:p>
            <w:pPr>
              <w:spacing w:after="20"/>
              <w:jc w:val="right"/>
            </w:pPr>
            <w:r>
              <w:rPr>
                <w:color w:val="1C3A36"/>
                <w:sz w:val="16"/>
              </w:rPr>
              <w:t>—</w:t>
            </w:r>
          </w:p>
        </w:tc>
        <w:tc>
          <w:tcPr>
            <w:tcW w:type="dxa" w:w="950"/>
          </w:tcPr>
          <w:p>
            <w:pPr>
              <w:spacing w:after="20"/>
              <w:jc w:val="right"/>
            </w:pPr>
            <w:r>
              <w:rPr>
                <w:color w:val="1C3A36"/>
                <w:sz w:val="16"/>
              </w:rPr>
              <w:t>78,500</w:t>
            </w:r>
          </w:p>
        </w:tc>
        <w:tc>
          <w:tcPr>
            <w:tcW w:type="dxa" w:w="950"/>
          </w:tcPr>
          <w:p>
            <w:pPr>
              <w:spacing w:after="20"/>
              <w:jc w:val="right"/>
            </w:pPr>
            <w:r>
              <w:rPr>
                <w:color w:val="1C3A36"/>
                <w:sz w:val="16"/>
              </w:rPr>
              <w:t>87,019</w:t>
            </w:r>
          </w:p>
        </w:tc>
        <w:tc>
          <w:tcPr>
            <w:tcW w:type="dxa" w:w="950"/>
          </w:tcPr>
          <w:p>
            <w:pPr>
              <w:spacing w:after="20"/>
              <w:jc w:val="right"/>
            </w:pPr>
            <w:r>
              <w:rPr>
                <w:color w:val="1C3A36"/>
                <w:sz w:val="16"/>
              </w:rPr>
              <w:t>96,427</w:t>
            </w:r>
          </w:p>
        </w:tc>
        <w:tc>
          <w:tcPr>
            <w:tcW w:type="dxa" w:w="950"/>
          </w:tcPr>
          <w:p>
            <w:pPr>
              <w:spacing w:after="20"/>
              <w:jc w:val="right"/>
            </w:pPr>
            <w:r>
              <w:rPr>
                <w:color w:val="1C3A36"/>
                <w:sz w:val="16"/>
              </w:rPr>
              <w:t>107,174</w:t>
            </w:r>
          </w:p>
        </w:tc>
        <w:tc>
          <w:tcPr>
            <w:tcW w:type="dxa" w:w="950"/>
          </w:tcPr>
          <w:p>
            <w:pPr>
              <w:spacing w:after="20"/>
              <w:jc w:val="right"/>
            </w:pPr>
            <w:r>
              <w:rPr>
                <w:color w:val="1C3A36"/>
                <w:sz w:val="16"/>
              </w:rPr>
              <w:t>119,528</w:t>
            </w:r>
          </w:p>
        </w:tc>
        <w:tc>
          <w:tcPr>
            <w:tcW w:type="dxa" w:w="950"/>
          </w:tcPr>
          <w:p>
            <w:pPr>
              <w:spacing w:after="20"/>
              <w:jc w:val="right"/>
            </w:pPr>
            <w:r>
              <w:rPr>
                <w:color w:val="1C3A36"/>
                <w:sz w:val="16"/>
              </w:rPr>
              <w:t>133,387</w:t>
            </w:r>
          </w:p>
        </w:tc>
      </w:tr>
      <w:tr>
        <w:tc>
          <w:tcPr>
            <w:tcW w:type="dxa" w:w="2448"/>
          </w:tcPr>
          <w:p>
            <w:pPr>
              <w:spacing w:after="20"/>
            </w:pPr>
            <w:r>
              <w:rPr>
                <w:b/>
                <w:color w:val="1C3A36"/>
                <w:sz w:val="16"/>
              </w:rPr>
              <w:t>CET1 %</w:t>
            </w:r>
          </w:p>
        </w:tc>
        <w:tc>
          <w:tcPr>
            <w:tcW w:type="dxa" w:w="950"/>
          </w:tcPr>
          <w:p>
            <w:pPr>
              <w:spacing w:after="20"/>
              <w:jc w:val="right"/>
            </w:pPr>
            <w:r>
              <w:rPr>
                <w:color w:val="1C3A36"/>
                <w:sz w:val="16"/>
              </w:rPr>
              <w:t>12.9</w:t>
            </w:r>
          </w:p>
        </w:tc>
        <w:tc>
          <w:tcPr>
            <w:tcW w:type="dxa" w:w="950"/>
          </w:tcPr>
          <w:p>
            <w:pPr>
              <w:spacing w:after="20"/>
              <w:jc w:val="right"/>
            </w:pPr>
            <w:r>
              <w:rPr>
                <w:color w:val="1C3A36"/>
                <w:sz w:val="16"/>
              </w:rPr>
              <w:t>12.6</w:t>
            </w:r>
          </w:p>
        </w:tc>
        <w:tc>
          <w:tcPr>
            <w:tcW w:type="dxa" w:w="950"/>
          </w:tcPr>
          <w:p>
            <w:pPr>
              <w:spacing w:after="20"/>
              <w:jc w:val="right"/>
            </w:pPr>
            <w:r>
              <w:rPr>
                <w:color w:val="1C3A36"/>
                <w:sz w:val="16"/>
              </w:rPr>
              <w:t>13.79</w:t>
            </w:r>
          </w:p>
        </w:tc>
        <w:tc>
          <w:tcPr>
            <w:tcW w:type="dxa" w:w="950"/>
          </w:tcPr>
          <w:p>
            <w:pPr>
              <w:spacing w:after="20"/>
              <w:jc w:val="right"/>
            </w:pPr>
            <w:r>
              <w:rPr>
                <w:color w:val="1C3A36"/>
                <w:sz w:val="16"/>
              </w:rPr>
              <w:t>13.60</w:t>
            </w:r>
          </w:p>
        </w:tc>
        <w:tc>
          <w:tcPr>
            <w:tcW w:type="dxa" w:w="950"/>
          </w:tcPr>
          <w:p>
            <w:pPr>
              <w:spacing w:after="20"/>
              <w:jc w:val="right"/>
            </w:pPr>
            <w:r>
              <w:rPr>
                <w:color w:val="1C3A36"/>
                <w:sz w:val="16"/>
              </w:rPr>
              <w:t>13.40</w:t>
            </w:r>
          </w:p>
        </w:tc>
        <w:tc>
          <w:tcPr>
            <w:tcW w:type="dxa" w:w="950"/>
          </w:tcPr>
          <w:p>
            <w:pPr>
              <w:spacing w:after="20"/>
              <w:jc w:val="right"/>
            </w:pPr>
            <w:r>
              <w:rPr>
                <w:color w:val="1C3A36"/>
                <w:sz w:val="16"/>
              </w:rPr>
              <w:t>13.20</w:t>
            </w:r>
          </w:p>
        </w:tc>
        <w:tc>
          <w:tcPr>
            <w:tcW w:type="dxa" w:w="950"/>
          </w:tcPr>
          <w:p>
            <w:pPr>
              <w:spacing w:after="20"/>
              <w:jc w:val="right"/>
            </w:pPr>
            <w:r>
              <w:rPr>
                <w:color w:val="1C3A36"/>
                <w:sz w:val="16"/>
              </w:rPr>
              <w:t>13.00</w:t>
            </w:r>
          </w:p>
        </w:tc>
        <w:tc>
          <w:tcPr>
            <w:tcW w:type="dxa" w:w="950"/>
          </w:tcPr>
          <w:p>
            <w:pPr>
              <w:spacing w:after="20"/>
              <w:jc w:val="right"/>
            </w:pPr>
            <w:r>
              <w:rPr>
                <w:color w:val="1C3A36"/>
                <w:sz w:val="16"/>
              </w:rPr>
              <w:t>12.75</w:t>
            </w:r>
          </w:p>
        </w:tc>
      </w:tr>
      <w:tr>
        <w:tc>
          <w:tcPr>
            <w:tcW w:type="dxa" w:w="2448"/>
          </w:tcPr>
          <w:p>
            <w:pPr>
              <w:spacing w:after="20"/>
            </w:pPr>
            <w:r>
              <w:rPr>
                <w:b/>
                <w:color w:val="1C3A36"/>
                <w:sz w:val="16"/>
              </w:rPr>
              <w:t>NIM %</w:t>
            </w:r>
          </w:p>
        </w:tc>
        <w:tc>
          <w:tcPr>
            <w:tcW w:type="dxa" w:w="950"/>
          </w:tcPr>
          <w:p>
            <w:pPr>
              <w:spacing w:after="20"/>
              <w:jc w:val="right"/>
            </w:pPr>
            <w:r>
              <w:rPr>
                <w:color w:val="1C3A36"/>
                <w:sz w:val="16"/>
              </w:rPr>
              <w:t>2.83</w:t>
            </w:r>
          </w:p>
        </w:tc>
        <w:tc>
          <w:tcPr>
            <w:tcW w:type="dxa" w:w="950"/>
          </w:tcPr>
          <w:p>
            <w:pPr>
              <w:spacing w:after="20"/>
              <w:jc w:val="right"/>
            </w:pPr>
            <w:r>
              <w:rPr>
                <w:color w:val="1C3A36"/>
                <w:sz w:val="16"/>
              </w:rPr>
              <w:t>2.58</w:t>
            </w:r>
          </w:p>
        </w:tc>
        <w:tc>
          <w:tcPr>
            <w:tcW w:type="dxa" w:w="950"/>
          </w:tcPr>
          <w:p>
            <w:pPr>
              <w:spacing w:after="20"/>
              <w:jc w:val="right"/>
            </w:pPr>
            <w:r>
              <w:rPr>
                <w:color w:val="1C3A36"/>
                <w:sz w:val="16"/>
              </w:rPr>
              <w:t>2.45</w:t>
            </w:r>
          </w:p>
        </w:tc>
        <w:tc>
          <w:tcPr>
            <w:tcW w:type="dxa" w:w="950"/>
          </w:tcPr>
          <w:p>
            <w:pPr>
              <w:spacing w:after="20"/>
              <w:jc w:val="right"/>
            </w:pPr>
            <w:r>
              <w:rPr>
                <w:color w:val="1C3A36"/>
                <w:sz w:val="16"/>
              </w:rPr>
              <w:t>2.30</w:t>
            </w:r>
          </w:p>
        </w:tc>
        <w:tc>
          <w:tcPr>
            <w:tcW w:type="dxa" w:w="950"/>
          </w:tcPr>
          <w:p>
            <w:pPr>
              <w:spacing w:after="20"/>
              <w:jc w:val="right"/>
            </w:pPr>
            <w:r>
              <w:rPr>
                <w:color w:val="1C3A36"/>
                <w:sz w:val="16"/>
              </w:rPr>
              <w:t>2.26</w:t>
            </w:r>
          </w:p>
        </w:tc>
        <w:tc>
          <w:tcPr>
            <w:tcW w:type="dxa" w:w="950"/>
          </w:tcPr>
          <w:p>
            <w:pPr>
              <w:spacing w:after="20"/>
              <w:jc w:val="right"/>
            </w:pPr>
            <w:r>
              <w:rPr>
                <w:color w:val="1C3A36"/>
                <w:sz w:val="16"/>
              </w:rPr>
              <w:t>2.28</w:t>
            </w:r>
          </w:p>
        </w:tc>
        <w:tc>
          <w:tcPr>
            <w:tcW w:type="dxa" w:w="950"/>
          </w:tcPr>
          <w:p>
            <w:pPr>
              <w:spacing w:after="20"/>
              <w:jc w:val="right"/>
            </w:pPr>
            <w:r>
              <w:rPr>
                <w:color w:val="1C3A36"/>
                <w:sz w:val="16"/>
              </w:rPr>
              <w:t>2.30</w:t>
            </w:r>
          </w:p>
        </w:tc>
        <w:tc>
          <w:tcPr>
            <w:tcW w:type="dxa" w:w="950"/>
          </w:tcPr>
          <w:p>
            <w:pPr>
              <w:spacing w:after="20"/>
              <w:jc w:val="right"/>
            </w:pPr>
            <w:r>
              <w:rPr>
                <w:color w:val="1C3A36"/>
                <w:sz w:val="16"/>
              </w:rPr>
              <w:t>2.32</w:t>
            </w:r>
          </w:p>
        </w:tc>
      </w:tr>
      <w:tr>
        <w:tc>
          <w:tcPr>
            <w:tcW w:type="dxa" w:w="2448"/>
          </w:tcPr>
          <w:p>
            <w:pPr>
              <w:spacing w:after="20"/>
            </w:pPr>
            <w:r>
              <w:rPr>
                <w:b/>
                <w:color w:val="1C3A36"/>
                <w:sz w:val="16"/>
              </w:rPr>
              <w:t>Cost-to-income %</w:t>
            </w:r>
          </w:p>
        </w:tc>
        <w:tc>
          <w:tcPr>
            <w:tcW w:type="dxa" w:w="950"/>
          </w:tcPr>
          <w:p>
            <w:pPr>
              <w:spacing w:after="20"/>
              <w:jc w:val="right"/>
            </w:pPr>
            <w:r>
              <w:rPr>
                <w:color w:val="1C3A36"/>
                <w:sz w:val="16"/>
              </w:rPr>
              <w:t>30.7</w:t>
            </w:r>
          </w:p>
        </w:tc>
        <w:tc>
          <w:tcPr>
            <w:tcW w:type="dxa" w:w="950"/>
          </w:tcPr>
          <w:p>
            <w:pPr>
              <w:spacing w:after="20"/>
              <w:jc w:val="right"/>
            </w:pPr>
            <w:r>
              <w:rPr>
                <w:color w:val="1C3A36"/>
                <w:sz w:val="16"/>
              </w:rPr>
              <w:t>31.0</w:t>
            </w:r>
          </w:p>
        </w:tc>
        <w:tc>
          <w:tcPr>
            <w:tcW w:type="dxa" w:w="950"/>
          </w:tcPr>
          <w:p>
            <w:pPr>
              <w:spacing w:after="20"/>
              <w:jc w:val="right"/>
            </w:pPr>
            <w:r>
              <w:rPr>
                <w:color w:val="1C3A36"/>
                <w:sz w:val="16"/>
              </w:rPr>
              <w:t>28.2</w:t>
            </w:r>
          </w:p>
        </w:tc>
        <w:tc>
          <w:tcPr>
            <w:tcW w:type="dxa" w:w="950"/>
          </w:tcPr>
          <w:p>
            <w:pPr>
              <w:spacing w:after="20"/>
              <w:jc w:val="right"/>
            </w:pPr>
            <w:r>
              <w:rPr>
                <w:color w:val="1C3A36"/>
                <w:sz w:val="16"/>
              </w:rPr>
              <w:t>27.0</w:t>
            </w:r>
          </w:p>
        </w:tc>
        <w:tc>
          <w:tcPr>
            <w:tcW w:type="dxa" w:w="950"/>
          </w:tcPr>
          <w:p>
            <w:pPr>
              <w:spacing w:after="20"/>
              <w:jc w:val="right"/>
            </w:pPr>
            <w:r>
              <w:rPr>
                <w:color w:val="1C3A36"/>
                <w:sz w:val="16"/>
              </w:rPr>
              <w:t>26.0</w:t>
            </w:r>
          </w:p>
        </w:tc>
        <w:tc>
          <w:tcPr>
            <w:tcW w:type="dxa" w:w="950"/>
          </w:tcPr>
          <w:p>
            <w:pPr>
              <w:spacing w:after="20"/>
              <w:jc w:val="right"/>
            </w:pPr>
            <w:r>
              <w:rPr>
                <w:color w:val="1C3A36"/>
                <w:sz w:val="16"/>
              </w:rPr>
              <w:t>25.5</w:t>
            </w:r>
          </w:p>
        </w:tc>
        <w:tc>
          <w:tcPr>
            <w:tcW w:type="dxa" w:w="950"/>
          </w:tcPr>
          <w:p>
            <w:pPr>
              <w:spacing w:after="20"/>
              <w:jc w:val="right"/>
            </w:pPr>
            <w:r>
              <w:rPr>
                <w:color w:val="1C3A36"/>
                <w:sz w:val="16"/>
              </w:rPr>
              <w:t>25.0</w:t>
            </w:r>
          </w:p>
        </w:tc>
        <w:tc>
          <w:tcPr>
            <w:tcW w:type="dxa" w:w="950"/>
          </w:tcPr>
          <w:p>
            <w:pPr>
              <w:spacing w:after="20"/>
              <w:jc w:val="right"/>
            </w:pPr>
            <w:r>
              <w:rPr>
                <w:color w:val="1C3A36"/>
                <w:sz w:val="16"/>
              </w:rPr>
              <w:t>24.5</w:t>
            </w:r>
          </w:p>
        </w:tc>
      </w:tr>
      <w:tr>
        <w:tc>
          <w:tcPr>
            <w:tcW w:type="dxa" w:w="2448"/>
          </w:tcPr>
          <w:p>
            <w:pPr>
              <w:spacing w:after="20"/>
            </w:pPr>
            <w:r>
              <w:rPr>
                <w:b/>
                <w:color w:val="1C3A36"/>
                <w:sz w:val="16"/>
              </w:rPr>
              <w:t>NPL %</w:t>
            </w:r>
          </w:p>
        </w:tc>
        <w:tc>
          <w:tcPr>
            <w:tcW w:type="dxa" w:w="950"/>
          </w:tcPr>
          <w:p>
            <w:pPr>
              <w:spacing w:after="20"/>
              <w:jc w:val="right"/>
            </w:pPr>
            <w:r>
              <w:rPr>
                <w:color w:val="1C3A36"/>
                <w:sz w:val="16"/>
              </w:rPr>
              <w:t>3.73</w:t>
            </w:r>
          </w:p>
        </w:tc>
        <w:tc>
          <w:tcPr>
            <w:tcW w:type="dxa" w:w="950"/>
          </w:tcPr>
          <w:p>
            <w:pPr>
              <w:spacing w:after="20"/>
              <w:jc w:val="right"/>
            </w:pPr>
            <w:r>
              <w:rPr>
                <w:color w:val="1C3A36"/>
                <w:sz w:val="16"/>
              </w:rPr>
              <w:t>3.04</w:t>
            </w:r>
          </w:p>
        </w:tc>
        <w:tc>
          <w:tcPr>
            <w:tcW w:type="dxa" w:w="950"/>
          </w:tcPr>
          <w:p>
            <w:pPr>
              <w:spacing w:after="20"/>
              <w:jc w:val="right"/>
            </w:pPr>
            <w:r>
              <w:rPr>
                <w:color w:val="1C3A36"/>
                <w:sz w:val="16"/>
              </w:rPr>
              <w:t>1.83</w:t>
            </w:r>
          </w:p>
        </w:tc>
        <w:tc>
          <w:tcPr>
            <w:tcW w:type="dxa" w:w="950"/>
          </w:tcPr>
          <w:p>
            <w:pPr>
              <w:spacing w:after="20"/>
              <w:jc w:val="right"/>
            </w:pPr>
            <w:r>
              <w:rPr>
                <w:color w:val="1C3A36"/>
                <w:sz w:val="16"/>
              </w:rPr>
              <w:t>—</w:t>
            </w:r>
          </w:p>
        </w:tc>
        <w:tc>
          <w:tcPr>
            <w:tcW w:type="dxa" w:w="950"/>
          </w:tcPr>
          <w:p>
            <w:pPr>
              <w:spacing w:after="20"/>
              <w:jc w:val="right"/>
            </w:pPr>
            <w:r>
              <w:rPr>
                <w:color w:val="1C3A36"/>
                <w:sz w:val="16"/>
              </w:rPr>
              <w:t>—</w:t>
            </w:r>
          </w:p>
        </w:tc>
        <w:tc>
          <w:tcPr>
            <w:tcW w:type="dxa" w:w="950"/>
          </w:tcPr>
          <w:p>
            <w:pPr>
              <w:spacing w:after="20"/>
              <w:jc w:val="right"/>
            </w:pPr>
            <w:r>
              <w:rPr>
                <w:color w:val="1C3A36"/>
                <w:sz w:val="16"/>
              </w:rPr>
              <w:t>—</w:t>
            </w:r>
          </w:p>
        </w:tc>
        <w:tc>
          <w:tcPr>
            <w:tcW w:type="dxa" w:w="950"/>
          </w:tcPr>
          <w:p>
            <w:pPr>
              <w:spacing w:after="20"/>
              <w:jc w:val="right"/>
            </w:pPr>
            <w:r>
              <w:rPr>
                <w:color w:val="1C3A36"/>
                <w:sz w:val="16"/>
              </w:rPr>
              <w:t>—</w:t>
            </w:r>
          </w:p>
        </w:tc>
        <w:tc>
          <w:tcPr>
            <w:tcW w:type="dxa" w:w="950"/>
          </w:tcPr>
          <w:p>
            <w:pPr>
              <w:spacing w:after="20"/>
              <w:jc w:val="right"/>
            </w:pPr>
            <w:r>
              <w:rPr>
                <w:color w:val="1C3A36"/>
                <w:sz w:val="16"/>
              </w:rPr>
              <w:t>—</w:t>
            </w:r>
          </w:p>
        </w:tc>
      </w:tr>
    </w:tbl>
    <w:p>
      <w:pPr>
        <w:spacing w:after="40"/>
      </w:pPr>
    </w:p>
    <w:p>
      <w:pPr>
        <w:spacing w:after="200" w:before="0"/>
      </w:pPr>
      <w:r>
        <w:rPr>
          <w:b w:val="0"/>
          <w:i/>
          <w:color w:val="6E7B77"/>
          <w:sz w:val="17"/>
        </w:rPr>
        <w:t>FY23 total assets and FY24 deposits derived from disclosed YoY growth; FY26E+ assets/deposits held at the Dec-25 loans-mix (52.5%) and LDR (81.2%) — presentation scaffolding, not drivers. Q1-2026 anchors: assets 808,857 · loans 425,720 · deposits 523,095 · CET1 13.82% · LCR 124.2%.</w:t>
      </w:r>
    </w:p>
    <w:p>
      <w:pPr>
        <w:spacing w:after="40"/>
        <w:jc w:val="center"/>
      </w:pPr>
      <w:r>
        <w:drawing>
          <wp:inline xmlns:a="http://schemas.openxmlformats.org/drawingml/2006/main" xmlns:pic="http://schemas.openxmlformats.org/drawingml/2006/picture">
            <wp:extent cx="6126480" cy="2166682"/>
            <wp:docPr id="10" name="Picture 10"/>
            <wp:cNvGraphicFramePr>
              <a:graphicFrameLocks noChangeAspect="1"/>
            </wp:cNvGraphicFramePr>
            <a:graphic>
              <a:graphicData uri="http://schemas.openxmlformats.org/drawingml/2006/picture">
                <pic:pic>
                  <pic:nvPicPr>
                    <pic:cNvPr id="0" name="fig10_dps.png"/>
                    <pic:cNvPicPr/>
                  </pic:nvPicPr>
                  <pic:blipFill>
                    <a:blip r:embed="rId18"/>
                    <a:stretch>
                      <a:fillRect/>
                    </a:stretch>
                  </pic:blipFill>
                  <pic:spPr>
                    <a:xfrm>
                      <a:off x="0" y="0"/>
                      <a:ext cx="6126480" cy="2166682"/>
                    </a:xfrm>
                    <a:prstGeom prst="rect"/>
                  </pic:spPr>
                </pic:pic>
              </a:graphicData>
            </a:graphic>
          </wp:inline>
        </w:drawing>
      </w:r>
    </w:p>
    <w:p>
      <w:pPr>
        <w:spacing w:after="200" w:before="0"/>
      </w:pPr>
      <w:r>
        <w:rPr>
          <w:b w:val="0"/>
          <w:i/>
          <w:color w:val="6E7B77"/>
          <w:sz w:val="17"/>
        </w:rPr>
        <w:t>Figure 10 — DPS and payout: the distribution glide that reconciles a rising dividend with 13%+ RWA growth. Cumulative FY26–30 model dividends ≈ AED 24bn against guidance of "c.AED 25bn" — stated both ways: the guide is a round gross number; the model is the net arithmetic of the payout path.</w:t>
      </w:r>
    </w:p>
    <w:p>
      <w:r>
        <w:br w:type="page"/>
      </w:r>
    </w:p>
    <w:p>
      <w:pPr>
        <w:spacing w:after="120" w:before="280"/>
      </w:pPr>
      <w:r>
        <w:rPr>
          <w:b/>
          <w:i w:val="0"/>
          <w:color w:val="1C3A36"/>
          <w:sz w:val="30"/>
        </w:rPr>
        <w:t>Appendix B — Peers, sector, risks, and the research register</w:t>
      </w:r>
    </w:p>
    <w:p>
      <w:pPr>
        <w:spacing w:after="80" w:before="200"/>
      </w:pPr>
      <w:r>
        <w:rPr>
          <w:b/>
          <w:i w:val="0"/>
          <w:color w:val="1C3A36"/>
          <w:sz w:val="24"/>
        </w:rPr>
        <w:t>B.1  Peer set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304"/>
            <w:shd w:val="clear" w:color="auto" w:fill="EAF0EE"/>
          </w:tcPr>
          <w:p>
            <w:pPr>
              <w:spacing w:after="20"/>
            </w:pPr>
            <w:r>
              <w:rPr>
                <w:b/>
                <w:color w:val="1C3A36"/>
                <w:sz w:val="17"/>
              </w:rPr>
              <w:t>Bank</w:t>
            </w:r>
          </w:p>
        </w:tc>
        <w:tc>
          <w:tcPr>
            <w:tcW w:type="dxa" w:w="4320"/>
            <w:shd w:val="clear" w:color="auto" w:fill="EAF0EE"/>
          </w:tcPr>
          <w:p>
            <w:pPr>
              <w:spacing w:after="20"/>
            </w:pPr>
            <w:r>
              <w:rPr>
                <w:b/>
                <w:color w:val="1C3A36"/>
                <w:sz w:val="17"/>
              </w:rPr>
              <w:t>Latest sourced print</w:t>
            </w:r>
          </w:p>
        </w:tc>
        <w:tc>
          <w:tcPr>
            <w:tcW w:type="dxa" w:w="3456"/>
            <w:shd w:val="clear" w:color="auto" w:fill="EAF0EE"/>
          </w:tcPr>
          <w:p>
            <w:pPr>
              <w:spacing w:after="20"/>
            </w:pPr>
            <w:r>
              <w:rPr>
                <w:b/>
                <w:color w:val="1C3A36"/>
                <w:sz w:val="17"/>
              </w:rPr>
              <w:t>Read vs ADCB</w:t>
            </w:r>
          </w:p>
        </w:tc>
      </w:tr>
      <w:tr>
        <w:tc>
          <w:tcPr>
            <w:tcW w:type="dxa" w:w="2304"/>
          </w:tcPr>
          <w:p>
            <w:pPr>
              <w:spacing w:after="20"/>
            </w:pPr>
            <w:r>
              <w:rPr>
                <w:b/>
                <w:color w:val="1C3A36"/>
                <w:sz w:val="17"/>
              </w:rPr>
              <w:t>First Abu Dhabi Bank</w:t>
            </w:r>
          </w:p>
        </w:tc>
        <w:tc>
          <w:tcPr>
            <w:tcW w:type="dxa" w:w="4320"/>
          </w:tcPr>
          <w:p>
            <w:pPr>
              <w:spacing w:after="20"/>
              <w:jc w:val="right"/>
            </w:pPr>
            <w:r>
              <w:rPr>
                <w:color w:val="1C3A36"/>
                <w:sz w:val="17"/>
              </w:rPr>
              <w:t>Q1-26 net income AED 4.75bn, EPS 0.43 (beat)</w:t>
            </w:r>
          </w:p>
        </w:tc>
        <w:tc>
          <w:tcPr>
            <w:tcW w:type="dxa" w:w="3456"/>
          </w:tcPr>
          <w:p>
            <w:pPr>
              <w:spacing w:after="20"/>
              <w:jc w:val="right"/>
            </w:pPr>
            <w:r>
              <w:rPr>
                <w:color w:val="1C3A36"/>
                <w:sz w:val="17"/>
              </w:rPr>
              <w:t>Sector ceiling; ADCB narrows the ROE gap</w:t>
            </w:r>
          </w:p>
        </w:tc>
      </w:tr>
      <w:tr>
        <w:tc>
          <w:tcPr>
            <w:tcW w:type="dxa" w:w="2304"/>
          </w:tcPr>
          <w:p>
            <w:pPr>
              <w:spacing w:after="20"/>
            </w:pPr>
            <w:r>
              <w:rPr>
                <w:b/>
                <w:color w:val="1C3A36"/>
                <w:sz w:val="17"/>
              </w:rPr>
              <w:t>Emirates NBD</w:t>
            </w:r>
          </w:p>
        </w:tc>
        <w:tc>
          <w:tcPr>
            <w:tcW w:type="dxa" w:w="4320"/>
          </w:tcPr>
          <w:p>
            <w:pPr>
              <w:spacing w:after="20"/>
              <w:jc w:val="right"/>
            </w:pPr>
            <w:r>
              <w:rPr>
                <w:color w:val="1C3A36"/>
                <w:sz w:val="17"/>
              </w:rPr>
              <w:t>Not re-sourced this session (DFM)</w:t>
            </w:r>
          </w:p>
        </w:tc>
        <w:tc>
          <w:tcPr>
            <w:tcW w:type="dxa" w:w="3456"/>
          </w:tcPr>
          <w:p>
            <w:pPr>
              <w:spacing w:after="20"/>
              <w:jc w:val="right"/>
            </w:pPr>
            <w:r>
              <w:rPr>
                <w:color w:val="1C3A36"/>
                <w:sz w:val="17"/>
              </w:rPr>
              <w:t>Dubai flagship; refresh at publish</w:t>
            </w:r>
          </w:p>
        </w:tc>
      </w:tr>
      <w:tr>
        <w:tc>
          <w:tcPr>
            <w:tcW w:type="dxa" w:w="2304"/>
          </w:tcPr>
          <w:p>
            <w:pPr>
              <w:spacing w:after="20"/>
            </w:pPr>
            <w:r>
              <w:rPr>
                <w:b/>
                <w:color w:val="1C3A36"/>
                <w:sz w:val="17"/>
              </w:rPr>
              <w:t>Dubai Islamic Bank</w:t>
            </w:r>
          </w:p>
        </w:tc>
        <w:tc>
          <w:tcPr>
            <w:tcW w:type="dxa" w:w="4320"/>
          </w:tcPr>
          <w:p>
            <w:pPr>
              <w:spacing w:after="20"/>
              <w:jc w:val="right"/>
            </w:pPr>
            <w:r>
              <w:rPr>
                <w:color w:val="1C3A36"/>
                <w:sz w:val="17"/>
              </w:rPr>
              <w:t>Not re-sourced this session</w:t>
            </w:r>
          </w:p>
        </w:tc>
        <w:tc>
          <w:tcPr>
            <w:tcW w:type="dxa" w:w="3456"/>
          </w:tcPr>
          <w:p>
            <w:pPr>
              <w:spacing w:after="20"/>
              <w:jc w:val="right"/>
            </w:pPr>
            <w:r>
              <w:rPr>
                <w:color w:val="1C3A36"/>
                <w:sz w:val="17"/>
              </w:rPr>
              <w:t>Largest Islamic peer</w:t>
            </w:r>
          </w:p>
        </w:tc>
      </w:tr>
      <w:tr>
        <w:tc>
          <w:tcPr>
            <w:tcW w:type="dxa" w:w="2304"/>
          </w:tcPr>
          <w:p>
            <w:pPr>
              <w:spacing w:after="20"/>
            </w:pPr>
            <w:r>
              <w:rPr>
                <w:b/>
                <w:color w:val="1C3A36"/>
                <w:sz w:val="17"/>
              </w:rPr>
              <w:t>Abu Dhabi Islamic Bank</w:t>
            </w:r>
          </w:p>
        </w:tc>
        <w:tc>
          <w:tcPr>
            <w:tcW w:type="dxa" w:w="4320"/>
          </w:tcPr>
          <w:p>
            <w:pPr>
              <w:spacing w:after="20"/>
              <w:jc w:val="right"/>
            </w:pPr>
            <w:r>
              <w:rPr>
                <w:color w:val="1C3A36"/>
                <w:sz w:val="17"/>
              </w:rPr>
              <w:t>FY24 NPAT AED 6.1bn (+16%); DPS 0.83</w:t>
            </w:r>
          </w:p>
        </w:tc>
        <w:tc>
          <w:tcPr>
            <w:tcW w:type="dxa" w:w="3456"/>
          </w:tcPr>
          <w:p>
            <w:pPr>
              <w:spacing w:after="20"/>
              <w:jc w:val="right"/>
            </w:pPr>
            <w:r>
              <w:rPr>
                <w:color w:val="1C3A36"/>
                <w:sz w:val="17"/>
              </w:rPr>
              <w:t>Premium-ROE Islamic AD peer</w:t>
            </w:r>
          </w:p>
        </w:tc>
      </w:tr>
      <w:tr>
        <w:tc>
          <w:tcPr>
            <w:tcW w:type="dxa" w:w="2304"/>
          </w:tcPr>
          <w:p>
            <w:pPr>
              <w:spacing w:after="20"/>
            </w:pPr>
            <w:r>
              <w:rPr>
                <w:b/>
                <w:color w:val="1C3A36"/>
                <w:sz w:val="17"/>
              </w:rPr>
              <w:t>ADCB (this study)</w:t>
            </w:r>
          </w:p>
        </w:tc>
        <w:tc>
          <w:tcPr>
            <w:tcW w:type="dxa" w:w="4320"/>
          </w:tcPr>
          <w:p>
            <w:pPr>
              <w:spacing w:after="20"/>
              <w:jc w:val="right"/>
            </w:pPr>
            <w:r>
              <w:rPr>
                <w:color w:val="1C3A36"/>
                <w:sz w:val="17"/>
              </w:rPr>
              <w:t>Q1-26 NPAT AED 3.361bn; RoAE 16.3%</w:t>
            </w:r>
          </w:p>
        </w:tc>
        <w:tc>
          <w:tcPr>
            <w:tcW w:type="dxa" w:w="3456"/>
          </w:tcPr>
          <w:p>
            <w:pPr>
              <w:spacing w:after="20"/>
              <w:jc w:val="right"/>
            </w:pPr>
            <w:r>
              <w:rPr>
                <w:color w:val="1C3A36"/>
                <w:sz w:val="17"/>
              </w:rPr>
              <w:t>19 consecutive quarters of PBT growth</w:t>
            </w:r>
          </w:p>
        </w:tc>
      </w:tr>
    </w:tbl>
    <w:p>
      <w:pPr>
        <w:spacing w:after="40"/>
      </w:pPr>
    </w:p>
    <w:p>
      <w:pPr>
        <w:spacing w:after="120" w:before="0"/>
      </w:pPr>
      <w:r>
        <w:rPr>
          <w:b w:val="0"/>
          <w:i w:val="0"/>
          <w:color w:val="1C3A36"/>
          <w:sz w:val="21"/>
        </w:rPr>
        <w:t>Sector: UAE bank assets AED 4.97tn (Jun-25); credit demand robust through the war; deposit competition keeps CASA valuable as rates fall. The 1.55× sector P/B input is the large-cap band mark used in §1.4.</w:t>
      </w:r>
    </w:p>
    <w:p>
      <w:pPr>
        <w:spacing w:after="80" w:before="200"/>
      </w:pPr>
      <w:r>
        <w:rPr>
          <w:b/>
          <w:i w:val="0"/>
          <w:color w:val="1C3A36"/>
          <w:sz w:val="24"/>
        </w:rPr>
        <w:t>B.2  Risk table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736"/>
            <w:shd w:val="clear" w:color="auto" w:fill="EAF0EE"/>
          </w:tcPr>
          <w:p>
            <w:pPr>
              <w:spacing w:after="20"/>
            </w:pPr>
            <w:r>
              <w:rPr>
                <w:b/>
                <w:color w:val="1C3A36"/>
                <w:sz w:val="16"/>
              </w:rPr>
              <w:t>Risk</w:t>
            </w:r>
          </w:p>
        </w:tc>
        <w:tc>
          <w:tcPr>
            <w:tcW w:type="dxa" w:w="2592"/>
            <w:shd w:val="clear" w:color="auto" w:fill="EAF0EE"/>
          </w:tcPr>
          <w:p>
            <w:pPr>
              <w:spacing w:after="20"/>
            </w:pPr>
            <w:r>
              <w:rPr>
                <w:b/>
                <w:color w:val="1C3A36"/>
                <w:sz w:val="16"/>
              </w:rPr>
              <w:t>Channel</w:t>
            </w:r>
          </w:p>
        </w:tc>
        <w:tc>
          <w:tcPr>
            <w:tcW w:type="dxa" w:w="4752"/>
            <w:shd w:val="clear" w:color="auto" w:fill="EAF0EE"/>
          </w:tcPr>
          <w:p>
            <w:pPr>
              <w:spacing w:after="20"/>
            </w:pPr>
            <w:r>
              <w:rPr>
                <w:b/>
                <w:color w:val="1C3A36"/>
                <w:sz w:val="16"/>
              </w:rPr>
              <w:t>Model treatment</w:t>
            </w:r>
          </w:p>
        </w:tc>
      </w:tr>
      <w:tr>
        <w:tc>
          <w:tcPr>
            <w:tcW w:type="dxa" w:w="2736"/>
          </w:tcPr>
          <w:p>
            <w:pPr>
              <w:spacing w:after="20"/>
            </w:pPr>
            <w:r>
              <w:rPr>
                <w:b/>
                <w:color w:val="1C3A36"/>
                <w:sz w:val="16"/>
              </w:rPr>
              <w:t>Regional conflict re-escalation</w:t>
            </w:r>
          </w:p>
        </w:tc>
        <w:tc>
          <w:tcPr>
            <w:tcW w:type="dxa" w:w="2592"/>
          </w:tcPr>
          <w:p>
            <w:pPr>
              <w:spacing w:after="20"/>
              <w:jc w:val="right"/>
            </w:pPr>
            <w:r>
              <w:rPr>
                <w:color w:val="1C3A36"/>
                <w:sz w:val="16"/>
              </w:rPr>
              <w:t>Ke, CoR overlays, sentiment</w:t>
            </w:r>
          </w:p>
        </w:tc>
        <w:tc>
          <w:tcPr>
            <w:tcW w:type="dxa" w:w="4752"/>
          </w:tcPr>
          <w:p>
            <w:pPr>
              <w:spacing w:after="20"/>
              <w:jc w:val="right"/>
            </w:pPr>
            <w:r>
              <w:rPr>
                <w:color w:val="1C3A36"/>
                <w:sz w:val="16"/>
              </w:rPr>
              <w:t>1.0pt Ke adder; §1.10 maps 0↔2.5pt; AED 596mn overlays already booked</w:t>
            </w:r>
          </w:p>
        </w:tc>
      </w:tr>
      <w:tr>
        <w:tc>
          <w:tcPr>
            <w:tcW w:type="dxa" w:w="2736"/>
          </w:tcPr>
          <w:p>
            <w:pPr>
              <w:spacing w:after="20"/>
            </w:pPr>
            <w:r>
              <w:rPr>
                <w:b/>
                <w:color w:val="1C3A36"/>
                <w:sz w:val="16"/>
              </w:rPr>
              <w:t>Rate cuts deeper than two</w:t>
            </w:r>
          </w:p>
        </w:tc>
        <w:tc>
          <w:tcPr>
            <w:tcW w:type="dxa" w:w="2592"/>
          </w:tcPr>
          <w:p>
            <w:pPr>
              <w:spacing w:after="20"/>
              <w:jc w:val="right"/>
            </w:pPr>
            <w:r>
              <w:rPr>
                <w:color w:val="1C3A36"/>
                <w:sz w:val="16"/>
              </w:rPr>
              <w:t>NIM compression</w:t>
            </w:r>
          </w:p>
        </w:tc>
        <w:tc>
          <w:tcPr>
            <w:tcW w:type="dxa" w:w="4752"/>
          </w:tcPr>
          <w:p>
            <w:pPr>
              <w:spacing w:after="20"/>
              <w:jc w:val="right"/>
            </w:pPr>
            <w:r>
              <w:rPr>
                <w:color w:val="1C3A36"/>
                <w:sz w:val="16"/>
              </w:rPr>
              <w:t>FY27 trough 2.26%; ±10bp ≈ ±AED 1.0/sh</w:t>
            </w:r>
          </w:p>
        </w:tc>
      </w:tr>
      <w:tr>
        <w:tc>
          <w:tcPr>
            <w:tcW w:type="dxa" w:w="2736"/>
          </w:tcPr>
          <w:p>
            <w:pPr>
              <w:spacing w:after="20"/>
            </w:pPr>
            <w:r>
              <w:rPr>
                <w:b/>
                <w:color w:val="1C3A36"/>
                <w:sz w:val="16"/>
              </w:rPr>
              <w:t>DMTT/IAE tax step</w:t>
            </w:r>
          </w:p>
        </w:tc>
        <w:tc>
          <w:tcPr>
            <w:tcW w:type="dxa" w:w="2592"/>
          </w:tcPr>
          <w:p>
            <w:pPr>
              <w:spacing w:after="20"/>
              <w:jc w:val="right"/>
            </w:pPr>
            <w:r>
              <w:rPr>
                <w:color w:val="1C3A36"/>
                <w:sz w:val="16"/>
              </w:rPr>
              <w:t>Net profit −6–7%</w:t>
            </w:r>
          </w:p>
        </w:tc>
        <w:tc>
          <w:tcPr>
            <w:tcW w:type="dxa" w:w="4752"/>
          </w:tcPr>
          <w:p>
            <w:pPr>
              <w:spacing w:after="20"/>
              <w:jc w:val="right"/>
            </w:pPr>
            <w:r>
              <w:rPr>
                <w:color w:val="1C3A36"/>
                <w:sz w:val="16"/>
              </w:rPr>
              <w:t>Stepped to 15% in FY27; upside if 9% persists</w:t>
            </w:r>
          </w:p>
        </w:tc>
      </w:tr>
      <w:tr>
        <w:tc>
          <w:tcPr>
            <w:tcW w:type="dxa" w:w="2736"/>
          </w:tcPr>
          <w:p>
            <w:pPr>
              <w:spacing w:after="20"/>
            </w:pPr>
            <w:r>
              <w:rPr>
                <w:b/>
                <w:color w:val="1C3A36"/>
                <w:sz w:val="16"/>
              </w:rPr>
              <w:t>Capital triangle (growth·CET1·dividends)</w:t>
            </w:r>
          </w:p>
        </w:tc>
        <w:tc>
          <w:tcPr>
            <w:tcW w:type="dxa" w:w="2592"/>
          </w:tcPr>
          <w:p>
            <w:pPr>
              <w:spacing w:after="20"/>
              <w:jc w:val="right"/>
            </w:pPr>
            <w:r>
              <w:rPr>
                <w:color w:val="1C3A36"/>
                <w:sz w:val="16"/>
              </w:rPr>
              <w:t>Payout or growth gives</w:t>
            </w:r>
          </w:p>
        </w:tc>
        <w:tc>
          <w:tcPr>
            <w:tcW w:type="dxa" w:w="4752"/>
          </w:tcPr>
          <w:p>
            <w:pPr>
              <w:spacing w:after="20"/>
              <w:jc w:val="right"/>
            </w:pPr>
            <w:r>
              <w:rPr>
                <w:color w:val="1C3A36"/>
                <w:sz w:val="16"/>
              </w:rPr>
              <w:t>Explicit CET1 glide; crux §1.8</w:t>
            </w:r>
          </w:p>
        </w:tc>
      </w:tr>
      <w:tr>
        <w:tc>
          <w:tcPr>
            <w:tcW w:type="dxa" w:w="2736"/>
          </w:tcPr>
          <w:p>
            <w:pPr>
              <w:spacing w:after="20"/>
            </w:pPr>
            <w:r>
              <w:rPr>
                <w:b/>
                <w:color w:val="1C3A36"/>
                <w:sz w:val="16"/>
              </w:rPr>
              <w:t>Credit cycle turn</w:t>
            </w:r>
          </w:p>
        </w:tc>
        <w:tc>
          <w:tcPr>
            <w:tcW w:type="dxa" w:w="2592"/>
          </w:tcPr>
          <w:p>
            <w:pPr>
              <w:spacing w:after="20"/>
              <w:jc w:val="right"/>
            </w:pPr>
            <w:r>
              <w:rPr>
                <w:color w:val="1C3A36"/>
                <w:sz w:val="16"/>
              </w:rPr>
              <w:t>CoR, NPL</w:t>
            </w:r>
          </w:p>
        </w:tc>
        <w:tc>
          <w:tcPr>
            <w:tcW w:type="dxa" w:w="4752"/>
          </w:tcPr>
          <w:p>
            <w:pPr>
              <w:spacing w:after="20"/>
              <w:jc w:val="right"/>
            </w:pPr>
            <w:r>
              <w:rPr>
                <w:color w:val="1C3A36"/>
                <w:sz w:val="16"/>
              </w:rPr>
              <w:t>CoR 55→45bp vs Q1 print 41bp; coverage 151.8% buffer</w:t>
            </w:r>
          </w:p>
        </w:tc>
      </w:tr>
      <w:tr>
        <w:tc>
          <w:tcPr>
            <w:tcW w:type="dxa" w:w="2736"/>
          </w:tcPr>
          <w:p>
            <w:pPr>
              <w:spacing w:after="20"/>
            </w:pPr>
            <w:r>
              <w:rPr>
                <w:b/>
                <w:color w:val="1C3A36"/>
                <w:sz w:val="16"/>
              </w:rPr>
              <w:t>Concentration: Abu Dhabi GREs</w:t>
            </w:r>
          </w:p>
        </w:tc>
        <w:tc>
          <w:tcPr>
            <w:tcW w:type="dxa" w:w="2592"/>
          </w:tcPr>
          <w:p>
            <w:pPr>
              <w:spacing w:after="20"/>
              <w:jc w:val="right"/>
            </w:pPr>
            <w:r>
              <w:rPr>
                <w:color w:val="1C3A36"/>
                <w:sz w:val="16"/>
              </w:rPr>
              <w:t>Single-obligor / sovereign nexus</w:t>
            </w:r>
          </w:p>
        </w:tc>
        <w:tc>
          <w:tcPr>
            <w:tcW w:type="dxa" w:w="4752"/>
          </w:tcPr>
          <w:p>
            <w:pPr>
              <w:spacing w:after="20"/>
              <w:jc w:val="right"/>
            </w:pPr>
            <w:r>
              <w:rPr>
                <w:color w:val="1C3A36"/>
                <w:sz w:val="16"/>
              </w:rPr>
              <w:t>Qualitative; Mubadala anchor cuts both ways</w:t>
            </w:r>
          </w:p>
        </w:tc>
      </w:tr>
      <w:tr>
        <w:tc>
          <w:tcPr>
            <w:tcW w:type="dxa" w:w="2736"/>
          </w:tcPr>
          <w:p>
            <w:pPr>
              <w:spacing w:after="20"/>
            </w:pPr>
            <w:r>
              <w:rPr>
                <w:b/>
                <w:color w:val="1C3A36"/>
                <w:sz w:val="16"/>
              </w:rPr>
              <w:t>Execution on AED 20bn plan</w:t>
            </w:r>
          </w:p>
        </w:tc>
        <w:tc>
          <w:tcPr>
            <w:tcW w:type="dxa" w:w="2592"/>
          </w:tcPr>
          <w:p>
            <w:pPr>
              <w:spacing w:after="20"/>
              <w:jc w:val="right"/>
            </w:pPr>
            <w:r>
              <w:rPr>
                <w:color w:val="1C3A36"/>
                <w:sz w:val="16"/>
              </w:rPr>
              <w:t>Multiple de-rating on a miss</w:t>
            </w:r>
          </w:p>
        </w:tc>
        <w:tc>
          <w:tcPr>
            <w:tcW w:type="dxa" w:w="4752"/>
          </w:tcPr>
          <w:p>
            <w:pPr>
              <w:spacing w:after="20"/>
              <w:jc w:val="right"/>
            </w:pPr>
            <w:r>
              <w:rPr>
                <w:color w:val="1C3A36"/>
                <w:sz w:val="16"/>
              </w:rPr>
              <w:t>Model lands 20.7bn on drivers, never assumes the slogan</w:t>
            </w:r>
          </w:p>
        </w:tc>
      </w:tr>
    </w:tbl>
    <w:p>
      <w:pPr>
        <w:spacing w:after="40"/>
      </w:pPr>
    </w:p>
    <w:p>
      <w:pPr>
        <w:spacing w:after="80" w:before="200"/>
      </w:pPr>
      <w:r>
        <w:rPr>
          <w:b/>
          <w:i w:val="0"/>
          <w:color w:val="1C3A36"/>
          <w:sz w:val="24"/>
        </w:rPr>
        <w:t>B.3  Research register — what was checked before the forecast was set</w:t>
      </w:r>
    </w:p>
    <w:p>
      <w:pPr>
        <w:spacing w:after="120" w:before="0"/>
      </w:pPr>
      <w:r>
        <w:rPr>
          <w:b w:val="0"/>
          <w:i w:val="0"/>
          <w:color w:val="1C3A36"/>
          <w:sz w:val="21"/>
        </w:rPr>
        <w:t>This table is a transparency device. Before setting a single forecast assumption, we work outward from the world to the company — the global rate and oil backdrop, the UAE macro and regulatory picture, the competitive landscape, and finally ADCB’s own disclosures — and record what we found. Crucially, it also records the searches that came back empty: a line marked as a negative finding means we looked for something (a hidden one-off, a tax-rule change, an undisclosed capital action) and confirmed it was not there. The purpose is to let a reader audit the inputs, not just the outputs: you can see the full set of factors considered, judge whether anything material was missed, and see exactly which public source each fact came from. One caveat carries through every row: ADCB’s own PDF filings were not machine-accessible during this work, so company figures were taken from ADCB’s results releases as reproduced word-for-word on financial news wires, and should be checked against the filed statements before being relied upon.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648"/>
            <w:shd w:val="clear" w:color="auto" w:fill="EAF0EE"/>
          </w:tcPr>
          <w:p>
            <w:pPr>
              <w:spacing w:after="20"/>
            </w:pPr>
            <w:r>
              <w:rPr>
                <w:b/>
                <w:color w:val="1C3A36"/>
                <w:sz w:val="15"/>
              </w:rPr>
              <w:t>#</w:t>
            </w:r>
          </w:p>
        </w:tc>
        <w:tc>
          <w:tcPr>
            <w:tcW w:type="dxa" w:w="2520"/>
            <w:shd w:val="clear" w:color="auto" w:fill="EAF0EE"/>
          </w:tcPr>
          <w:p>
            <w:pPr>
              <w:spacing w:after="20"/>
            </w:pPr>
            <w:r>
              <w:rPr>
                <w:b/>
                <w:color w:val="1C3A36"/>
                <w:sz w:val="15"/>
              </w:rPr>
              <w:t>Area checked</w:t>
            </w:r>
          </w:p>
        </w:tc>
        <w:tc>
          <w:tcPr>
            <w:tcW w:type="dxa" w:w="792"/>
            <w:shd w:val="clear" w:color="auto" w:fill="EAF0EE"/>
          </w:tcPr>
          <w:p>
            <w:pPr>
              <w:spacing w:after="20"/>
            </w:pPr>
            <w:r>
              <w:rPr>
                <w:b/>
                <w:color w:val="1C3A36"/>
                <w:sz w:val="15"/>
              </w:rPr>
              <w:t>Type</w:t>
            </w:r>
          </w:p>
        </w:tc>
        <w:tc>
          <w:tcPr>
            <w:tcW w:type="dxa" w:w="6120"/>
            <w:shd w:val="clear" w:color="auto" w:fill="EAF0EE"/>
          </w:tcPr>
          <w:p>
            <w:pPr>
              <w:spacing w:after="20"/>
            </w:pPr>
            <w:r>
              <w:rPr>
                <w:b/>
                <w:color w:val="1C3A36"/>
                <w:sz w:val="15"/>
              </w:rPr>
              <w:t>What we found (with date and source)</w:t>
            </w:r>
          </w:p>
        </w:tc>
      </w:tr>
      <w:tr>
        <w:tc>
          <w:tcPr>
            <w:tcW w:type="dxa" w:w="648"/>
          </w:tcPr>
          <w:p>
            <w:pPr>
              <w:spacing w:after="20"/>
            </w:pPr>
            <w:r>
              <w:rPr>
                <w:b/>
                <w:color w:val="1C3A36"/>
                <w:sz w:val="15"/>
              </w:rPr>
              <w:t>F01</w:t>
            </w:r>
          </w:p>
        </w:tc>
        <w:tc>
          <w:tcPr>
            <w:tcW w:type="dxa" w:w="2520"/>
          </w:tcPr>
          <w:p>
            <w:pPr>
              <w:spacing w:after="20"/>
              <w:jc w:val="right"/>
            </w:pPr>
            <w:r>
              <w:rPr>
                <w:color w:val="1C3A36"/>
                <w:sz w:val="15"/>
              </w:rPr>
              <w:t>Global — rate cycle &amp; USD/FX regime</w:t>
            </w:r>
          </w:p>
        </w:tc>
        <w:tc>
          <w:tcPr>
            <w:tcW w:type="dxa" w:w="792"/>
          </w:tcPr>
          <w:p>
            <w:pPr>
              <w:spacing w:after="20"/>
              <w:jc w:val="right"/>
            </w:pPr>
            <w:r>
              <w:rPr>
                <w:color w:val="1C3A36"/>
                <w:sz w:val="15"/>
              </w:rPr>
              <w:t>Structural</w:t>
            </w:r>
          </w:p>
        </w:tc>
        <w:tc>
          <w:tcPr>
            <w:tcW w:type="dxa" w:w="6120"/>
          </w:tcPr>
          <w:p>
            <w:pPr>
              <w:spacing w:after="20"/>
              <w:jc w:val="right"/>
            </w:pPr>
            <w:r>
              <w:rPr>
                <w:color w:val="1C3A36"/>
                <w:sz w:val="15"/>
              </w:rPr>
              <w:t>Fed 3.50-3.75% held Jan/Mar/Jun-2026; CBUAE Base Rate 3.65% via AED-USD peg (confirmed again 17-Jun-2026, post-Fed hold); market prices further cuts; three benchmark cuts since Sep-2025 already in NIM — CBUAE press release 17-Jun-2026 (latest; supersedes the 18-Mar-2026 release also on file) + Fed schedule, 2026-07-10</w:t>
            </w:r>
          </w:p>
        </w:tc>
      </w:tr>
      <w:tr>
        <w:tc>
          <w:tcPr>
            <w:tcW w:type="dxa" w:w="648"/>
          </w:tcPr>
          <w:p>
            <w:pPr>
              <w:spacing w:after="20"/>
            </w:pPr>
            <w:r>
              <w:rPr>
                <w:b/>
                <w:color w:val="1C3A36"/>
                <w:sz w:val="15"/>
              </w:rPr>
              <w:t>F02</w:t>
            </w:r>
          </w:p>
        </w:tc>
        <w:tc>
          <w:tcPr>
            <w:tcW w:type="dxa" w:w="2520"/>
          </w:tcPr>
          <w:p>
            <w:pPr>
              <w:spacing w:after="20"/>
              <w:jc w:val="right"/>
            </w:pPr>
            <w:r>
              <w:rPr>
                <w:color w:val="1C3A36"/>
                <w:sz w:val="15"/>
              </w:rPr>
              <w:t>Global — commodity complex (input/output)</w:t>
            </w:r>
          </w:p>
        </w:tc>
        <w:tc>
          <w:tcPr>
            <w:tcW w:type="dxa" w:w="792"/>
          </w:tcPr>
          <w:p>
            <w:pPr>
              <w:spacing w:after="20"/>
              <w:jc w:val="right"/>
            </w:pPr>
            <w:r>
              <w:rPr>
                <w:color w:val="1C3A36"/>
                <w:sz w:val="15"/>
              </w:rPr>
              <w:t>Structural</w:t>
            </w:r>
          </w:p>
        </w:tc>
        <w:tc>
          <w:tcPr>
            <w:tcW w:type="dxa" w:w="6120"/>
          </w:tcPr>
          <w:p>
            <w:pPr>
              <w:spacing w:after="20"/>
              <w:jc w:val="right"/>
            </w:pPr>
            <w:r>
              <w:rPr>
                <w:color w:val="1C3A36"/>
                <w:sz w:val="15"/>
              </w:rPr>
              <w:t>2026 Iran war: Strait of Hormuz effectively closed Mar-May-2026 (IEA: largest oil supply disruption on record); UAE re-routed ~1.8mbd via Habshan-Fujairah; Brent back near pre-war levels by Jul on ceasefire/deal hopes — IEA Oil Market Report 17-Jun-2026; Reuters/Zawya Jul-2026, 2026-06-17</w:t>
            </w:r>
          </w:p>
        </w:tc>
      </w:tr>
      <w:tr>
        <w:tc>
          <w:tcPr>
            <w:tcW w:type="dxa" w:w="648"/>
          </w:tcPr>
          <w:p>
            <w:pPr>
              <w:spacing w:after="20"/>
            </w:pPr>
            <w:r>
              <w:rPr>
                <w:b/>
                <w:color w:val="1C3A36"/>
                <w:sz w:val="15"/>
              </w:rPr>
              <w:t>F03</w:t>
            </w:r>
          </w:p>
        </w:tc>
        <w:tc>
          <w:tcPr>
            <w:tcW w:type="dxa" w:w="2520"/>
          </w:tcPr>
          <w:p>
            <w:pPr>
              <w:spacing w:after="20"/>
              <w:jc w:val="right"/>
            </w:pPr>
            <w:r>
              <w:rPr>
                <w:color w:val="1C3A36"/>
                <w:sz w:val="15"/>
              </w:rPr>
              <w:t>Global — global sector demand</w:t>
            </w:r>
          </w:p>
        </w:tc>
        <w:tc>
          <w:tcPr>
            <w:tcW w:type="dxa" w:w="792"/>
          </w:tcPr>
          <w:p>
            <w:pPr>
              <w:spacing w:after="20"/>
              <w:jc w:val="right"/>
            </w:pPr>
            <w:r>
              <w:rPr>
                <w:color w:val="1C3A36"/>
                <w:sz w:val="15"/>
              </w:rPr>
              <w:t>Context</w:t>
            </w:r>
          </w:p>
        </w:tc>
        <w:tc>
          <w:tcPr>
            <w:tcW w:type="dxa" w:w="6120"/>
          </w:tcPr>
          <w:p>
            <w:pPr>
              <w:spacing w:after="20"/>
              <w:jc w:val="right"/>
            </w:pPr>
            <w:r>
              <w:rPr>
                <w:color w:val="1C3A36"/>
                <w:sz w:val="15"/>
              </w:rPr>
              <w:t>Global growth 3.1% 2026f (IMF, -0.2pt revision); global bank NIMs compressing as easing cycles mature — CBUAE QER June-2026 (citing IMF), 2026-06-30</w:t>
            </w:r>
          </w:p>
        </w:tc>
      </w:tr>
      <w:tr>
        <w:tc>
          <w:tcPr>
            <w:tcW w:type="dxa" w:w="648"/>
          </w:tcPr>
          <w:p>
            <w:pPr>
              <w:spacing w:after="20"/>
            </w:pPr>
            <w:r>
              <w:rPr>
                <w:b/>
                <w:color w:val="1C3A36"/>
                <w:sz w:val="15"/>
              </w:rPr>
              <w:t>F04</w:t>
            </w:r>
          </w:p>
        </w:tc>
        <w:tc>
          <w:tcPr>
            <w:tcW w:type="dxa" w:w="2520"/>
          </w:tcPr>
          <w:p>
            <w:pPr>
              <w:spacing w:after="20"/>
              <w:jc w:val="right"/>
            </w:pPr>
            <w:r>
              <w:rPr>
                <w:color w:val="1C3A36"/>
                <w:sz w:val="15"/>
              </w:rPr>
              <w:t>Global — trade / sanctions / supply chains</w:t>
            </w:r>
          </w:p>
        </w:tc>
        <w:tc>
          <w:tcPr>
            <w:tcW w:type="dxa" w:w="792"/>
          </w:tcPr>
          <w:p>
            <w:pPr>
              <w:spacing w:after="20"/>
              <w:jc w:val="right"/>
            </w:pPr>
            <w:r>
              <w:rPr>
                <w:color w:val="1C3A36"/>
                <w:sz w:val="15"/>
              </w:rPr>
              <w:t>Context</w:t>
            </w:r>
          </w:p>
        </w:tc>
        <w:tc>
          <w:tcPr>
            <w:tcW w:type="dxa" w:w="6120"/>
          </w:tcPr>
          <w:p>
            <w:pPr>
              <w:spacing w:after="20"/>
              <w:jc w:val="right"/>
            </w:pPr>
            <w:r>
              <w:rPr>
                <w:color w:val="1C3A36"/>
                <w:sz w:val="15"/>
              </w:rPr>
              <w:t>Hormuz closure froze Gulf container traffic Mar-May (Jebel Ali disruption); carrier surcharges from 02-Mar-2026; normalisation underway post-ceasefire but IEA flags slow recovery — IEA topic note Jun-2026; Maersk/carrier notices via trade press, 2026-06-17</w:t>
            </w:r>
          </w:p>
        </w:tc>
      </w:tr>
      <w:tr>
        <w:tc>
          <w:tcPr>
            <w:tcW w:type="dxa" w:w="648"/>
          </w:tcPr>
          <w:p>
            <w:pPr>
              <w:spacing w:after="20"/>
            </w:pPr>
            <w:r>
              <w:rPr>
                <w:b/>
                <w:color w:val="1C3A36"/>
                <w:sz w:val="15"/>
              </w:rPr>
              <w:t>F05</w:t>
            </w:r>
          </w:p>
        </w:tc>
        <w:tc>
          <w:tcPr>
            <w:tcW w:type="dxa" w:w="2520"/>
          </w:tcPr>
          <w:p>
            <w:pPr>
              <w:spacing w:after="20"/>
              <w:jc w:val="right"/>
            </w:pPr>
            <w:r>
              <w:rPr>
                <w:color w:val="1C3A36"/>
                <w:sz w:val="15"/>
              </w:rPr>
              <w:t>Country — sovereign macro (inflation, policy rate, FX/deval risk)</w:t>
            </w:r>
          </w:p>
        </w:tc>
        <w:tc>
          <w:tcPr>
            <w:tcW w:type="dxa" w:w="792"/>
          </w:tcPr>
          <w:p>
            <w:pPr>
              <w:spacing w:after="20"/>
              <w:jc w:val="right"/>
            </w:pPr>
            <w:r>
              <w:rPr>
                <w:color w:val="1C3A36"/>
                <w:sz w:val="15"/>
              </w:rPr>
              <w:t>Structural</w:t>
            </w:r>
          </w:p>
        </w:tc>
        <w:tc>
          <w:tcPr>
            <w:tcW w:type="dxa" w:w="6120"/>
          </w:tcPr>
          <w:p>
            <w:pPr>
              <w:spacing w:after="20"/>
              <w:jc w:val="right"/>
            </w:pPr>
            <w:r>
              <w:rPr>
                <w:color w:val="1C3A36"/>
                <w:sz w:val="15"/>
              </w:rPr>
              <w:t>UAE 2025 GDP +6.2% (non-oil +6.8%); 2026f cut to 1.7% on the war; inflation 1.3% 2025, 2.3% 2026f; AED peg unquestioned; DONIA ~Base+5bp — CBUAE Quarterly Economic Review June-2026, 2026-06-30</w:t>
            </w:r>
          </w:p>
        </w:tc>
      </w:tr>
      <w:tr>
        <w:tc>
          <w:tcPr>
            <w:tcW w:type="dxa" w:w="648"/>
          </w:tcPr>
          <w:p>
            <w:pPr>
              <w:spacing w:after="20"/>
            </w:pPr>
            <w:r>
              <w:rPr>
                <w:b/>
                <w:color w:val="1C3A36"/>
                <w:sz w:val="15"/>
              </w:rPr>
              <w:t>F06</w:t>
            </w:r>
          </w:p>
        </w:tc>
        <w:tc>
          <w:tcPr>
            <w:tcW w:type="dxa" w:w="2520"/>
          </w:tcPr>
          <w:p>
            <w:pPr>
              <w:spacing w:after="20"/>
              <w:jc w:val="right"/>
            </w:pPr>
            <w:r>
              <w:rPr>
                <w:color w:val="1C3A36"/>
                <w:sz w:val="15"/>
              </w:rPr>
              <w:t>Country — regulatory environment (regulator, caps, tariffs, tax/subsidy)</w:t>
            </w:r>
          </w:p>
        </w:tc>
        <w:tc>
          <w:tcPr>
            <w:tcW w:type="dxa" w:w="792"/>
          </w:tcPr>
          <w:p>
            <w:pPr>
              <w:spacing w:after="20"/>
              <w:jc w:val="right"/>
            </w:pPr>
            <w:r>
              <w:rPr>
                <w:color w:val="1C3A36"/>
                <w:sz w:val="15"/>
              </w:rPr>
              <w:t>Structural</w:t>
            </w:r>
          </w:p>
        </w:tc>
        <w:tc>
          <w:tcPr>
            <w:tcW w:type="dxa" w:w="6120"/>
          </w:tcPr>
          <w:p>
            <w:pPr>
              <w:spacing w:after="20"/>
              <w:jc w:val="right"/>
            </w:pPr>
            <w:r>
              <w:rPr>
                <w:color w:val="1C3A36"/>
                <w:sz w:val="15"/>
              </w:rPr>
              <w:t>D-SIB designation raised ADCB capital buffers (disclosed rationale for rights issue); DMTT 15% from 01-Jan-2025, but ADCB qualifies for Initial-Phase International Activity Exclusion -&gt; 9% statutory in FY25/Q1'26 (effective ~11%); CBUAE 'Proactive Financial Institution Resilience Package' live (ADCB: unused) — ADCB rights-issue prospectus page + Q1'26 results note 3 (IR release), 2026-04-23</w:t>
            </w:r>
          </w:p>
        </w:tc>
      </w:tr>
      <w:tr>
        <w:tc>
          <w:tcPr>
            <w:tcW w:type="dxa" w:w="648"/>
          </w:tcPr>
          <w:p>
            <w:pPr>
              <w:spacing w:after="20"/>
            </w:pPr>
            <w:r>
              <w:rPr>
                <w:b/>
                <w:color w:val="1C3A36"/>
                <w:sz w:val="15"/>
              </w:rPr>
              <w:t>F07</w:t>
            </w:r>
          </w:p>
        </w:tc>
        <w:tc>
          <w:tcPr>
            <w:tcW w:type="dxa" w:w="2520"/>
          </w:tcPr>
          <w:p>
            <w:pPr>
              <w:spacing w:after="20"/>
              <w:jc w:val="right"/>
            </w:pPr>
            <w:r>
              <w:rPr>
                <w:color w:val="1C3A36"/>
                <w:sz w:val="15"/>
              </w:rPr>
              <w:t>Country — fiscal / political events with sector read-through</w:t>
            </w:r>
          </w:p>
        </w:tc>
        <w:tc>
          <w:tcPr>
            <w:tcW w:type="dxa" w:w="792"/>
          </w:tcPr>
          <w:p>
            <w:pPr>
              <w:spacing w:after="20"/>
              <w:jc w:val="right"/>
            </w:pPr>
            <w:r>
              <w:rPr>
                <w:color w:val="1C3A36"/>
                <w:sz w:val="15"/>
              </w:rPr>
              <w:t>Structural</w:t>
            </w:r>
          </w:p>
        </w:tc>
        <w:tc>
          <w:tcPr>
            <w:tcW w:type="dxa" w:w="6120"/>
          </w:tcPr>
          <w:p>
            <w:pPr>
              <w:spacing w:after="20"/>
              <w:jc w:val="right"/>
            </w:pPr>
            <w:r>
              <w:rPr>
                <w:color w:val="1C3A36"/>
                <w:sz w:val="15"/>
              </w:rPr>
              <w:t>2026 Iran war reached UAE directly (airspace closures, strikes near bases, Jebel Ali debris fire); ceasefire holding since ~April; World Bank cut GCC 2026 growth to 1.3%; UAE fiscal buffers deployed (Dubai AED 2.5bn package) — CBUAE QER June-2026; IEA; press synthesis, 2026-06-30</w:t>
            </w:r>
          </w:p>
        </w:tc>
      </w:tr>
      <w:tr>
        <w:tc>
          <w:tcPr>
            <w:tcW w:type="dxa" w:w="648"/>
          </w:tcPr>
          <w:p>
            <w:pPr>
              <w:spacing w:after="20"/>
            </w:pPr>
            <w:r>
              <w:rPr>
                <w:b/>
                <w:color w:val="1C3A36"/>
                <w:sz w:val="15"/>
              </w:rPr>
              <w:t>F08</w:t>
            </w:r>
          </w:p>
        </w:tc>
        <w:tc>
          <w:tcPr>
            <w:tcW w:type="dxa" w:w="2520"/>
          </w:tcPr>
          <w:p>
            <w:pPr>
              <w:spacing w:after="20"/>
              <w:jc w:val="right"/>
            </w:pPr>
            <w:r>
              <w:rPr>
                <w:color w:val="1C3A36"/>
                <w:sz w:val="15"/>
              </w:rPr>
              <w:t>Industry — demand drivers &amp; capacity/supply balance</w:t>
            </w:r>
          </w:p>
        </w:tc>
        <w:tc>
          <w:tcPr>
            <w:tcW w:type="dxa" w:w="792"/>
          </w:tcPr>
          <w:p>
            <w:pPr>
              <w:spacing w:after="20"/>
              <w:jc w:val="right"/>
            </w:pPr>
            <w:r>
              <w:rPr>
                <w:color w:val="1C3A36"/>
                <w:sz w:val="15"/>
              </w:rPr>
              <w:t>Context</w:t>
            </w:r>
          </w:p>
        </w:tc>
        <w:tc>
          <w:tcPr>
            <w:tcW w:type="dxa" w:w="6120"/>
          </w:tcPr>
          <w:p>
            <w:pPr>
              <w:spacing w:after="20"/>
              <w:jc w:val="right"/>
            </w:pPr>
            <w:r>
              <w:rPr>
                <w:color w:val="1C3A36"/>
                <w:sz w:val="15"/>
              </w:rPr>
              <w:t>UAE system credit demand robust into the war: ADCB Q1'26 loans +18% YoY with AED 10bn to GREs; M2 +17.7% YoY; banks' asset base AED 4.97tn (Jun-2025) — CBUAE QER + ADCB Q1'26 release, 2026-06-30</w:t>
            </w:r>
          </w:p>
        </w:tc>
      </w:tr>
      <w:tr>
        <w:tc>
          <w:tcPr>
            <w:tcW w:type="dxa" w:w="648"/>
          </w:tcPr>
          <w:p>
            <w:pPr>
              <w:spacing w:after="20"/>
            </w:pPr>
            <w:r>
              <w:rPr>
                <w:b/>
                <w:color w:val="1C3A36"/>
                <w:sz w:val="15"/>
              </w:rPr>
              <w:t>F09</w:t>
            </w:r>
          </w:p>
        </w:tc>
        <w:tc>
          <w:tcPr>
            <w:tcW w:type="dxa" w:w="2520"/>
          </w:tcPr>
          <w:p>
            <w:pPr>
              <w:spacing w:after="20"/>
              <w:jc w:val="right"/>
            </w:pPr>
            <w:r>
              <w:rPr>
                <w:color w:val="1C3A36"/>
                <w:sz w:val="15"/>
              </w:rPr>
              <w:t>Industry — pricing</w:t>
            </w:r>
          </w:p>
        </w:tc>
        <w:tc>
          <w:tcPr>
            <w:tcW w:type="dxa" w:w="792"/>
          </w:tcPr>
          <w:p>
            <w:pPr>
              <w:spacing w:after="20"/>
              <w:jc w:val="right"/>
            </w:pPr>
            <w:r>
              <w:rPr>
                <w:color w:val="1C3A36"/>
                <w:sz w:val="15"/>
              </w:rPr>
              <w:t>Structural</w:t>
            </w:r>
          </w:p>
        </w:tc>
        <w:tc>
          <w:tcPr>
            <w:tcW w:type="dxa" w:w="6120"/>
          </w:tcPr>
          <w:p>
            <w:pPr>
              <w:spacing w:after="20"/>
              <w:jc w:val="right"/>
            </w:pPr>
            <w:r>
              <w:rPr>
                <w:color w:val="1C3A36"/>
                <w:sz w:val="15"/>
              </w:rPr>
              <w:t>Deposit competition keeping funding costs sticky as rates fall; ADCB asset yield 6.03%-&gt;5.30% YoY vs CoF improvement via CASA (46.9%); sector NIMs compressing — ADCB Q1'26 investor presentation (IR), 2026-04-23</w:t>
            </w:r>
          </w:p>
        </w:tc>
      </w:tr>
      <w:tr>
        <w:tc>
          <w:tcPr>
            <w:tcW w:type="dxa" w:w="648"/>
          </w:tcPr>
          <w:p>
            <w:pPr>
              <w:spacing w:after="20"/>
            </w:pPr>
            <w:r>
              <w:rPr>
                <w:b/>
                <w:color w:val="1C3A36"/>
                <w:sz w:val="15"/>
              </w:rPr>
              <w:t>F10</w:t>
            </w:r>
          </w:p>
        </w:tc>
        <w:tc>
          <w:tcPr>
            <w:tcW w:type="dxa" w:w="2520"/>
          </w:tcPr>
          <w:p>
            <w:pPr>
              <w:spacing w:after="20"/>
              <w:jc w:val="right"/>
            </w:pPr>
            <w:r>
              <w:rPr>
                <w:color w:val="1C3A36"/>
                <w:sz w:val="15"/>
              </w:rPr>
              <w:t>Industry — new entrants (named-competitor level)</w:t>
            </w:r>
          </w:p>
        </w:tc>
        <w:tc>
          <w:tcPr>
            <w:tcW w:type="dxa" w:w="792"/>
          </w:tcPr>
          <w:p>
            <w:pPr>
              <w:spacing w:after="20"/>
              <w:jc w:val="right"/>
            </w:pPr>
            <w:r>
              <w:rPr>
                <w:color w:val="1C3A36"/>
                <w:sz w:val="15"/>
              </w:rPr>
              <w:t>Context</w:t>
            </w:r>
          </w:p>
        </w:tc>
        <w:tc>
          <w:tcPr>
            <w:tcW w:type="dxa" w:w="6120"/>
          </w:tcPr>
          <w:p>
            <w:pPr>
              <w:spacing w:after="20"/>
              <w:jc w:val="right"/>
            </w:pPr>
            <w:r>
              <w:rPr>
                <w:color w:val="1C3A36"/>
                <w:sz w:val="15"/>
              </w:rPr>
              <w:t>No new licensed full-service bank entrant found 2025-26; digital challengers (Wio, Zand, ADCB's own Al Hilal) scale within incumbent/backed structures — sector press review, 2026-07-10</w:t>
            </w:r>
          </w:p>
        </w:tc>
      </w:tr>
      <w:tr>
        <w:tc>
          <w:tcPr>
            <w:tcW w:type="dxa" w:w="648"/>
          </w:tcPr>
          <w:p>
            <w:pPr>
              <w:spacing w:after="20"/>
            </w:pPr>
            <w:r>
              <w:rPr>
                <w:b/>
                <w:color w:val="1C3A36"/>
                <w:sz w:val="15"/>
              </w:rPr>
              <w:t>F11</w:t>
            </w:r>
          </w:p>
        </w:tc>
        <w:tc>
          <w:tcPr>
            <w:tcW w:type="dxa" w:w="2520"/>
          </w:tcPr>
          <w:p>
            <w:pPr>
              <w:spacing w:after="20"/>
              <w:jc w:val="right"/>
            </w:pPr>
            <w:r>
              <w:rPr>
                <w:color w:val="1C3A36"/>
                <w:sz w:val="15"/>
              </w:rPr>
              <w:t>Industry — technology substitution</w:t>
            </w:r>
          </w:p>
        </w:tc>
        <w:tc>
          <w:tcPr>
            <w:tcW w:type="dxa" w:w="792"/>
          </w:tcPr>
          <w:p>
            <w:pPr>
              <w:spacing w:after="20"/>
              <w:jc w:val="right"/>
            </w:pPr>
            <w:r>
              <w:rPr>
                <w:color w:val="1C3A36"/>
                <w:sz w:val="15"/>
              </w:rPr>
              <w:t>Context</w:t>
            </w:r>
          </w:p>
        </w:tc>
        <w:tc>
          <w:tcPr>
            <w:tcW w:type="dxa" w:w="6120"/>
          </w:tcPr>
          <w:p>
            <w:pPr>
              <w:spacing w:after="20"/>
              <w:jc w:val="right"/>
            </w:pPr>
            <w:r>
              <w:rPr>
                <w:color w:val="1C3A36"/>
                <w:sz w:val="15"/>
              </w:rPr>
              <w:t>AI adoption is the sector battleground: ADCB 150+ use-case AI program (2025); UAE ranked #1 globally in AI adoption (Microsoft, Jul-2026); risk is cost-curve differentiation, not disintermediation yet — ADCB FY25 release; Zawya/Microsoft, 2026-07-08</w:t>
            </w:r>
          </w:p>
        </w:tc>
      </w:tr>
      <w:tr>
        <w:tc>
          <w:tcPr>
            <w:tcW w:type="dxa" w:w="648"/>
          </w:tcPr>
          <w:p>
            <w:pPr>
              <w:spacing w:after="20"/>
            </w:pPr>
            <w:r>
              <w:rPr>
                <w:b/>
                <w:color w:val="1C3A36"/>
                <w:sz w:val="15"/>
              </w:rPr>
              <w:t>F12</w:t>
            </w:r>
          </w:p>
        </w:tc>
        <w:tc>
          <w:tcPr>
            <w:tcW w:type="dxa" w:w="2520"/>
          </w:tcPr>
          <w:p>
            <w:pPr>
              <w:spacing w:after="20"/>
              <w:jc w:val="right"/>
            </w:pPr>
            <w:r>
              <w:rPr>
                <w:color w:val="1C3A36"/>
                <w:sz w:val="15"/>
              </w:rPr>
              <w:t>Industry — competitor capacity / price moves (named)</w:t>
            </w:r>
          </w:p>
        </w:tc>
        <w:tc>
          <w:tcPr>
            <w:tcW w:type="dxa" w:w="792"/>
          </w:tcPr>
          <w:p>
            <w:pPr>
              <w:spacing w:after="20"/>
              <w:jc w:val="right"/>
            </w:pPr>
            <w:r>
              <w:rPr>
                <w:color w:val="1C3A36"/>
                <w:sz w:val="15"/>
              </w:rPr>
              <w:t>Context</w:t>
            </w:r>
          </w:p>
        </w:tc>
        <w:tc>
          <w:tcPr>
            <w:tcW w:type="dxa" w:w="6120"/>
          </w:tcPr>
          <w:p>
            <w:pPr>
              <w:spacing w:after="20"/>
              <w:jc w:val="right"/>
            </w:pPr>
            <w:r>
              <w:rPr>
                <w:color w:val="1C3A36"/>
                <w:sz w:val="15"/>
              </w:rPr>
              <w:t>FAB (largest peer) Q1'26 net income AED 4.75bn, EPS 0.43 beat; ADIB FY24 NPAT AED 6.1bn (DPS 0.83); ADCB won first-of-kind GCC mandate (USD 3.5bn Türkiye sovereign bond) — capital-markets share gain — TradingView earnings page (FAB); WAM/ADIB release; ADCB Q1'26 release, 2026-04-23</w:t>
            </w:r>
          </w:p>
        </w:tc>
      </w:tr>
      <w:tr>
        <w:tc>
          <w:tcPr>
            <w:tcW w:type="dxa" w:w="648"/>
          </w:tcPr>
          <w:p>
            <w:pPr>
              <w:spacing w:after="20"/>
            </w:pPr>
            <w:r>
              <w:rPr>
                <w:b/>
                <w:color w:val="1C3A36"/>
                <w:sz w:val="15"/>
              </w:rPr>
              <w:t>F13</w:t>
            </w:r>
          </w:p>
        </w:tc>
        <w:tc>
          <w:tcPr>
            <w:tcW w:type="dxa" w:w="2520"/>
          </w:tcPr>
          <w:p>
            <w:pPr>
              <w:spacing w:after="20"/>
              <w:jc w:val="right"/>
            </w:pPr>
            <w:r>
              <w:rPr>
                <w:color w:val="1C3A36"/>
                <w:sz w:val="15"/>
              </w:rPr>
              <w:t>Company — strategic plans &amp; guidance</w:t>
            </w:r>
          </w:p>
        </w:tc>
        <w:tc>
          <w:tcPr>
            <w:tcW w:type="dxa" w:w="792"/>
          </w:tcPr>
          <w:p>
            <w:pPr>
              <w:spacing w:after="20"/>
              <w:jc w:val="right"/>
            </w:pPr>
            <w:r>
              <w:rPr>
                <w:color w:val="1C3A36"/>
                <w:sz w:val="15"/>
              </w:rPr>
              <w:t>Structural</w:t>
            </w:r>
          </w:p>
        </w:tc>
        <w:tc>
          <w:tcPr>
            <w:tcW w:type="dxa" w:w="6120"/>
          </w:tcPr>
          <w:p>
            <w:pPr>
              <w:spacing w:after="20"/>
              <w:jc w:val="right"/>
            </w:pPr>
            <w:r>
              <w:rPr>
                <w:color w:val="1C3A36"/>
                <w:sz w:val="15"/>
              </w:rPr>
              <w:t>Five-year strategy (launched Q1-2025): double net profit to AED 20bn by 2030 (c.20%/yr framing), RoE &gt;15%, CET1 &gt;12%, CoR &lt;60bp, c.AED 25bn dividends over the period; FY26 guidance reiterated Apr-2026 — ADCB Q1'26 results release, guidance table (IR), 2026-04-23</w:t>
            </w:r>
          </w:p>
        </w:tc>
      </w:tr>
      <w:tr>
        <w:tc>
          <w:tcPr>
            <w:tcW w:type="dxa" w:w="648"/>
          </w:tcPr>
          <w:p>
            <w:pPr>
              <w:spacing w:after="20"/>
            </w:pPr>
            <w:r>
              <w:rPr>
                <w:b/>
                <w:color w:val="1C3A36"/>
                <w:sz w:val="15"/>
              </w:rPr>
              <w:t>F14</w:t>
            </w:r>
          </w:p>
        </w:tc>
        <w:tc>
          <w:tcPr>
            <w:tcW w:type="dxa" w:w="2520"/>
          </w:tcPr>
          <w:p>
            <w:pPr>
              <w:spacing w:after="20"/>
              <w:jc w:val="right"/>
            </w:pPr>
            <w:r>
              <w:rPr>
                <w:color w:val="1C3A36"/>
                <w:sz w:val="15"/>
              </w:rPr>
              <w:t>Company — regular disclosures</w:t>
            </w:r>
          </w:p>
        </w:tc>
        <w:tc>
          <w:tcPr>
            <w:tcW w:type="dxa" w:w="792"/>
          </w:tcPr>
          <w:p>
            <w:pPr>
              <w:spacing w:after="20"/>
              <w:jc w:val="right"/>
            </w:pPr>
            <w:r>
              <w:rPr>
                <w:color w:val="1C3A36"/>
                <w:sz w:val="15"/>
              </w:rPr>
              <w:t>Context</w:t>
            </w:r>
          </w:p>
        </w:tc>
        <w:tc>
          <w:tcPr>
            <w:tcW w:type="dxa" w:w="6120"/>
          </w:tcPr>
          <w:p>
            <w:pPr>
              <w:spacing w:after="20"/>
              <w:jc w:val="right"/>
            </w:pPr>
            <w:r>
              <w:rPr>
                <w:color w:val="1C3A36"/>
                <w:sz w:val="15"/>
              </w:rPr>
              <w:t>FY25: PBT 12.843bn (+21%), NPAT 11.445bn (+22%), OpInc 22.183bn (+14%), NIM 2.45%, CIR 28.2%, DPS 0.63 (payout 44%); Q1'26 MD&amp;A table captured in full — ADCB FY25 + Q1'26 earnings releases (IR; reproduced on news wires — ADCB filed PDF not machine-accessible — re-verify against filing), 2026-04-23</w:t>
            </w:r>
          </w:p>
        </w:tc>
      </w:tr>
      <w:tr>
        <w:tc>
          <w:tcPr>
            <w:tcW w:type="dxa" w:w="648"/>
          </w:tcPr>
          <w:p>
            <w:pPr>
              <w:spacing w:after="20"/>
            </w:pPr>
            <w:r>
              <w:rPr>
                <w:b/>
                <w:color w:val="1C3A36"/>
                <w:sz w:val="15"/>
              </w:rPr>
              <w:t>F15</w:t>
            </w:r>
          </w:p>
        </w:tc>
        <w:tc>
          <w:tcPr>
            <w:tcW w:type="dxa" w:w="2520"/>
          </w:tcPr>
          <w:p>
            <w:pPr>
              <w:spacing w:after="20"/>
              <w:jc w:val="right"/>
            </w:pPr>
            <w:r>
              <w:rPr>
                <w:color w:val="1C3A36"/>
                <w:sz w:val="15"/>
              </w:rPr>
              <w:t>Company — IR communications (calls, presentations, releases)</w:t>
            </w:r>
          </w:p>
        </w:tc>
        <w:tc>
          <w:tcPr>
            <w:tcW w:type="dxa" w:w="792"/>
          </w:tcPr>
          <w:p>
            <w:pPr>
              <w:spacing w:after="20"/>
              <w:jc w:val="right"/>
            </w:pPr>
            <w:r>
              <w:rPr>
                <w:color w:val="1C3A36"/>
                <w:sz w:val="15"/>
              </w:rPr>
              <w:t>Context</w:t>
            </w:r>
          </w:p>
        </w:tc>
        <w:tc>
          <w:tcPr>
            <w:tcW w:type="dxa" w:w="6120"/>
          </w:tcPr>
          <w:p>
            <w:pPr>
              <w:spacing w:after="20"/>
              <w:jc w:val="right"/>
            </w:pPr>
            <w:r>
              <w:rPr>
                <w:color w:val="1C3A36"/>
                <w:sz w:val="15"/>
              </w:rPr>
              <w:t>Q4'25 call: two rate cuts anticipated in 2026; loan growth 'above 16%'; AI transformation program at scale; Q2'26 results due 16-Jul-2026 — ADCB Q4'25 earnings call (transcript via Investing.com); TradingView calendar, 2026-01-29</w:t>
            </w:r>
          </w:p>
        </w:tc>
      </w:tr>
      <w:tr>
        <w:tc>
          <w:tcPr>
            <w:tcW w:type="dxa" w:w="648"/>
          </w:tcPr>
          <w:p>
            <w:pPr>
              <w:spacing w:after="20"/>
            </w:pPr>
            <w:r>
              <w:rPr>
                <w:b/>
                <w:color w:val="1C3A36"/>
                <w:sz w:val="15"/>
              </w:rPr>
              <w:t>F16</w:t>
            </w:r>
          </w:p>
        </w:tc>
        <w:tc>
          <w:tcPr>
            <w:tcW w:type="dxa" w:w="2520"/>
          </w:tcPr>
          <w:p>
            <w:pPr>
              <w:spacing w:after="20"/>
              <w:jc w:val="right"/>
            </w:pPr>
            <w:r>
              <w:rPr>
                <w:color w:val="1C3A36"/>
                <w:sz w:val="15"/>
              </w:rPr>
              <w:t>Company — one-off base-resetting transactions</w:t>
            </w:r>
          </w:p>
        </w:tc>
        <w:tc>
          <w:tcPr>
            <w:tcW w:type="dxa" w:w="792"/>
          </w:tcPr>
          <w:p>
            <w:pPr>
              <w:spacing w:after="20"/>
              <w:jc w:val="right"/>
            </w:pPr>
            <w:r>
              <w:rPr>
                <w:color w:val="1C3A36"/>
                <w:sz w:val="15"/>
              </w:rPr>
              <w:t>Base change</w:t>
            </w:r>
          </w:p>
        </w:tc>
        <w:tc>
          <w:tcPr>
            <w:tcW w:type="dxa" w:w="6120"/>
          </w:tcPr>
          <w:p>
            <w:pPr>
              <w:spacing w:after="20"/>
              <w:jc w:val="right"/>
            </w:pPr>
            <w:r>
              <w:rPr>
                <w:color w:val="1C3A36"/>
                <w:sz w:val="15"/>
              </w:rPr>
              <w:t>AED 6.1bn rights issue COMPLETED Dec-2025: 592.2mn new shares at AED 10.30 (1-for-12.36, record 07-Nov), capital 7,319.9mn -&gt; 7,912.2mn shares; largest ADX primary rights issue; CET1/CAR +~120bp; Q4'23 ADCP 80% stake sale gain AED 490mn is the prior-period one-off — ADCB rights-issue completion release 10-Dec-2025 + prospectus terms (IR), 2025-12-10</w:t>
            </w:r>
          </w:p>
        </w:tc>
      </w:tr>
      <w:tr>
        <w:tc>
          <w:tcPr>
            <w:tcW w:type="dxa" w:w="648"/>
          </w:tcPr>
          <w:p>
            <w:pPr>
              <w:spacing w:after="20"/>
            </w:pPr>
            <w:r>
              <w:rPr>
                <w:b/>
                <w:color w:val="1C3A36"/>
                <w:sz w:val="15"/>
              </w:rPr>
              <w:t>F17</w:t>
            </w:r>
          </w:p>
        </w:tc>
        <w:tc>
          <w:tcPr>
            <w:tcW w:type="dxa" w:w="2520"/>
          </w:tcPr>
          <w:p>
            <w:pPr>
              <w:spacing w:after="20"/>
              <w:jc w:val="right"/>
            </w:pPr>
            <w:r>
              <w:rPr>
                <w:color w:val="1C3A36"/>
                <w:sz w:val="15"/>
              </w:rPr>
              <w:t>Company — ownership / stake changes (named-transaction rule)</w:t>
            </w:r>
          </w:p>
        </w:tc>
        <w:tc>
          <w:tcPr>
            <w:tcW w:type="dxa" w:w="792"/>
          </w:tcPr>
          <w:p>
            <w:pPr>
              <w:spacing w:after="20"/>
              <w:jc w:val="right"/>
            </w:pPr>
            <w:r>
              <w:rPr>
                <w:color w:val="1C3A36"/>
                <w:sz w:val="15"/>
              </w:rPr>
              <w:t>Context</w:t>
            </w:r>
          </w:p>
        </w:tc>
        <w:tc>
          <w:tcPr>
            <w:tcW w:type="dxa" w:w="6120"/>
          </w:tcPr>
          <w:p>
            <w:pPr>
              <w:spacing w:after="20"/>
              <w:jc w:val="right"/>
            </w:pPr>
            <w:r>
              <w:rPr>
                <w:color w:val="1C3A36"/>
                <w:sz w:val="15"/>
              </w:rPr>
              <w:t>Mubadala Investment Company 60.69% — unchanged through the rights issue (subscribed in full, per completion release); subsidiaries: Al Hilal Bank (100%), ADCB Egypt, ADCB Securities, ADCE; ADCP 20% retained interest since Q4'23 divestment — ADCB rights-issue page + completion release (IR), 2025-12-10</w:t>
            </w:r>
          </w:p>
        </w:tc>
      </w:tr>
      <w:tr>
        <w:tc>
          <w:tcPr>
            <w:tcW w:type="dxa" w:w="648"/>
          </w:tcPr>
          <w:p>
            <w:pPr>
              <w:spacing w:after="20"/>
            </w:pPr>
            <w:r>
              <w:rPr>
                <w:b/>
                <w:color w:val="1C3A36"/>
                <w:sz w:val="15"/>
              </w:rPr>
              <w:t>F18</w:t>
            </w:r>
          </w:p>
        </w:tc>
        <w:tc>
          <w:tcPr>
            <w:tcW w:type="dxa" w:w="2520"/>
          </w:tcPr>
          <w:p>
            <w:pPr>
              <w:spacing w:after="20"/>
              <w:jc w:val="right"/>
            </w:pPr>
            <w:r>
              <w:rPr>
                <w:color w:val="1C3A36"/>
                <w:sz w:val="15"/>
              </w:rPr>
              <w:t>Company — management &amp; capital actions</w:t>
            </w:r>
          </w:p>
        </w:tc>
        <w:tc>
          <w:tcPr>
            <w:tcW w:type="dxa" w:w="792"/>
          </w:tcPr>
          <w:p>
            <w:pPr>
              <w:spacing w:after="20"/>
              <w:jc w:val="right"/>
            </w:pPr>
            <w:r>
              <w:rPr>
                <w:color w:val="1C3A36"/>
                <w:sz w:val="15"/>
              </w:rPr>
              <w:t>Structural</w:t>
            </w:r>
          </w:p>
        </w:tc>
        <w:tc>
          <w:tcPr>
            <w:tcW w:type="dxa" w:w="6120"/>
          </w:tcPr>
          <w:p>
            <w:pPr>
              <w:spacing w:after="20"/>
              <w:jc w:val="right"/>
            </w:pPr>
            <w:r>
              <w:rPr>
                <w:color w:val="1C3A36"/>
                <w:sz w:val="15"/>
              </w:rPr>
              <w:t>S&amp;P upgraded ADCB to A+/Stable (2025); Fitch A+/Stable; FY25 DPS 0.63 recommended (AED 4.985bn, 44%); rights proceeds deployed into +16% loan growth; Q1'26 overlays AED 596mn for geopolitical risk — ADCB FY25 + Q1'26 releases (IR), 2026-04-23</w:t>
            </w:r>
          </w:p>
        </w:tc>
      </w:tr>
      <w:tr>
        <w:tc>
          <w:tcPr>
            <w:tcW w:type="dxa" w:w="648"/>
          </w:tcPr>
          <w:p>
            <w:pPr>
              <w:spacing w:after="20"/>
            </w:pPr>
            <w:r>
              <w:rPr>
                <w:b/>
                <w:color w:val="1C3A36"/>
                <w:sz w:val="15"/>
              </w:rPr>
              <w:t>F19</w:t>
            </w:r>
          </w:p>
        </w:tc>
        <w:tc>
          <w:tcPr>
            <w:tcW w:type="dxa" w:w="2520"/>
          </w:tcPr>
          <w:p>
            <w:pPr>
              <w:spacing w:after="20"/>
              <w:jc w:val="right"/>
            </w:pPr>
            <w:r>
              <w:rPr>
                <w:color w:val="1C3A36"/>
                <w:sz w:val="15"/>
              </w:rPr>
              <w:t>Company — official financial statements</w:t>
            </w:r>
          </w:p>
        </w:tc>
        <w:tc>
          <w:tcPr>
            <w:tcW w:type="dxa" w:w="792"/>
          </w:tcPr>
          <w:p>
            <w:pPr>
              <w:spacing w:after="20"/>
              <w:jc w:val="right"/>
            </w:pPr>
            <w:r>
              <w:rPr>
                <w:color w:val="1C3A36"/>
                <w:sz w:val="15"/>
              </w:rPr>
              <w:t>Context</w:t>
            </w:r>
          </w:p>
        </w:tc>
        <w:tc>
          <w:tcPr>
            <w:tcW w:type="dxa" w:w="6120"/>
          </w:tcPr>
          <w:p>
            <w:pPr>
              <w:spacing w:after="20"/>
              <w:jc w:val="right"/>
            </w:pPr>
            <w:r>
              <w:rPr>
                <w:color w:val="1C3A36"/>
                <w:sz w:val="15"/>
              </w:rPr>
              <w:t>Q1'26 balance sheet: assets 808,857; net loans 425,720; deposits 523,095; NIEA 679,794; total SH equity 86,000; CET1 13.82%; NPL 1.76%, coverage 151.8%; investment securities AED 160bn (99.4% bonds) — ADCB Q1'26 results release MD&amp;A tables (IR; reproduced on news wires — re-verify vs adcb.com/ADX PDF at publish), 2026-04-23</w:t>
            </w:r>
          </w:p>
        </w:tc>
      </w:tr>
      <w:tr>
        <w:tc>
          <w:tcPr>
            <w:tcW w:type="dxa" w:w="648"/>
          </w:tcPr>
          <w:p>
            <w:pPr>
              <w:spacing w:after="20"/>
            </w:pPr>
            <w:r>
              <w:rPr>
                <w:b/>
                <w:color w:val="1C3A36"/>
                <w:sz w:val="15"/>
              </w:rPr>
              <w:t>F20</w:t>
            </w:r>
          </w:p>
        </w:tc>
        <w:tc>
          <w:tcPr>
            <w:tcW w:type="dxa" w:w="2520"/>
          </w:tcPr>
          <w:p>
            <w:pPr>
              <w:spacing w:after="20"/>
              <w:jc w:val="right"/>
            </w:pPr>
            <w:r>
              <w:rPr>
                <w:color w:val="1C3A36"/>
                <w:sz w:val="15"/>
              </w:rPr>
              <w:t>Company — regular disclosures</w:t>
            </w:r>
          </w:p>
        </w:tc>
        <w:tc>
          <w:tcPr>
            <w:tcW w:type="dxa" w:w="792"/>
          </w:tcPr>
          <w:p>
            <w:pPr>
              <w:spacing w:after="20"/>
              <w:jc w:val="right"/>
            </w:pPr>
            <w:r>
              <w:rPr>
                <w:color w:val="1C3A36"/>
                <w:sz w:val="15"/>
              </w:rPr>
              <w:t>Context</w:t>
            </w:r>
          </w:p>
        </w:tc>
        <w:tc>
          <w:tcPr>
            <w:tcW w:type="dxa" w:w="6120"/>
          </w:tcPr>
          <w:p>
            <w:pPr>
              <w:spacing w:after="20"/>
              <w:jc w:val="right"/>
            </w:pPr>
            <w:r>
              <w:rPr>
                <w:color w:val="1C3A36"/>
                <w:sz w:val="15"/>
              </w:rPr>
              <w:t>03-Jul-2026 +4.28% single-day move: no ADCB-specific disclosure found; coincides with market-wide de-escalation rally (Brent near pre-war levels, US-Iran deal hopes); treated as market beta — price series + Reuters/Zawya headline scan, 2026-07-03</w:t>
            </w:r>
          </w:p>
        </w:tc>
      </w:tr>
      <w:tr>
        <w:tc>
          <w:tcPr>
            <w:tcW w:type="dxa" w:w="648"/>
          </w:tcPr>
          <w:p>
            <w:pPr>
              <w:spacing w:after="20"/>
            </w:pPr>
            <w:r>
              <w:rPr>
                <w:b/>
                <w:color w:val="1C3A36"/>
                <w:sz w:val="15"/>
              </w:rPr>
              <w:t>F21</w:t>
            </w:r>
          </w:p>
        </w:tc>
        <w:tc>
          <w:tcPr>
            <w:tcW w:type="dxa" w:w="2520"/>
          </w:tcPr>
          <w:p>
            <w:pPr>
              <w:spacing w:after="20"/>
              <w:jc w:val="right"/>
            </w:pPr>
            <w:r>
              <w:rPr>
                <w:color w:val="1C3A36"/>
                <w:sz w:val="15"/>
              </w:rPr>
              <w:t>Company — regular disclosures</w:t>
            </w:r>
          </w:p>
        </w:tc>
        <w:tc>
          <w:tcPr>
            <w:tcW w:type="dxa" w:w="792"/>
          </w:tcPr>
          <w:p>
            <w:pPr>
              <w:spacing w:after="20"/>
              <w:jc w:val="right"/>
            </w:pPr>
            <w:r>
              <w:rPr>
                <w:color w:val="1C3A36"/>
                <w:sz w:val="15"/>
              </w:rPr>
              <w:t>Checked — none found</w:t>
            </w:r>
          </w:p>
        </w:tc>
        <w:tc>
          <w:tcPr>
            <w:tcW w:type="dxa" w:w="6120"/>
          </w:tcPr>
          <w:p>
            <w:pPr>
              <w:spacing w:after="20"/>
              <w:jc w:val="right"/>
            </w:pPr>
            <w:r>
              <w:rPr>
                <w:color w:val="1C3A36"/>
                <w:sz w:val="15"/>
              </w:rPr>
              <w:t>Negative search — nothing found (per-segment loan pipeline / booking volumes beyond 'AED 10bn to GREs' — not disclosed in FY25/Q1'26 releases or slides) — negative search, 2026-07-10</w:t>
            </w:r>
          </w:p>
        </w:tc>
      </w:tr>
      <w:tr>
        <w:tc>
          <w:tcPr>
            <w:tcW w:type="dxa" w:w="648"/>
          </w:tcPr>
          <w:p>
            <w:pPr>
              <w:spacing w:after="20"/>
            </w:pPr>
            <w:r>
              <w:rPr>
                <w:b/>
                <w:color w:val="1C3A36"/>
                <w:sz w:val="15"/>
              </w:rPr>
              <w:t>F22</w:t>
            </w:r>
          </w:p>
        </w:tc>
        <w:tc>
          <w:tcPr>
            <w:tcW w:type="dxa" w:w="2520"/>
          </w:tcPr>
          <w:p>
            <w:pPr>
              <w:spacing w:after="20"/>
              <w:jc w:val="right"/>
            </w:pPr>
            <w:r>
              <w:rPr>
                <w:color w:val="1C3A36"/>
                <w:sz w:val="15"/>
              </w:rPr>
              <w:t>Company — regular disclosures</w:t>
            </w:r>
          </w:p>
        </w:tc>
        <w:tc>
          <w:tcPr>
            <w:tcW w:type="dxa" w:w="792"/>
          </w:tcPr>
          <w:p>
            <w:pPr>
              <w:spacing w:after="20"/>
              <w:jc w:val="right"/>
            </w:pPr>
            <w:r>
              <w:rPr>
                <w:color w:val="1C3A36"/>
                <w:sz w:val="15"/>
              </w:rPr>
              <w:t>Checked — none found</w:t>
            </w:r>
          </w:p>
        </w:tc>
        <w:tc>
          <w:tcPr>
            <w:tcW w:type="dxa" w:w="6120"/>
          </w:tcPr>
          <w:p>
            <w:pPr>
              <w:spacing w:after="20"/>
              <w:jc w:val="right"/>
            </w:pPr>
            <w:r>
              <w:rPr>
                <w:color w:val="1C3A36"/>
                <w:sz w:val="15"/>
              </w:rPr>
              <w:t>Negative search — nothing found (asset/liability repricing betas per book (needed for bottom-up NIM) — not disclosed; only blended NIM/asset-yield/CoF) — negative search, 2026-07-10</w:t>
            </w:r>
          </w:p>
        </w:tc>
      </w:tr>
      <w:tr>
        <w:tc>
          <w:tcPr>
            <w:tcW w:type="dxa" w:w="648"/>
          </w:tcPr>
          <w:p>
            <w:pPr>
              <w:spacing w:after="20"/>
            </w:pPr>
            <w:r>
              <w:rPr>
                <w:b/>
                <w:color w:val="1C3A36"/>
                <w:sz w:val="15"/>
              </w:rPr>
              <w:t>F23</w:t>
            </w:r>
          </w:p>
        </w:tc>
        <w:tc>
          <w:tcPr>
            <w:tcW w:type="dxa" w:w="2520"/>
          </w:tcPr>
          <w:p>
            <w:pPr>
              <w:spacing w:after="20"/>
              <w:jc w:val="right"/>
            </w:pPr>
            <w:r>
              <w:rPr>
                <w:color w:val="1C3A36"/>
                <w:sz w:val="15"/>
              </w:rPr>
              <w:t>Company — regular disclosures</w:t>
            </w:r>
          </w:p>
        </w:tc>
        <w:tc>
          <w:tcPr>
            <w:tcW w:type="dxa" w:w="792"/>
          </w:tcPr>
          <w:p>
            <w:pPr>
              <w:spacing w:after="20"/>
              <w:jc w:val="right"/>
            </w:pPr>
            <w:r>
              <w:rPr>
                <w:color w:val="1C3A36"/>
                <w:sz w:val="15"/>
              </w:rPr>
              <w:t>Checked — none found</w:t>
            </w:r>
          </w:p>
        </w:tc>
        <w:tc>
          <w:tcPr>
            <w:tcW w:type="dxa" w:w="6120"/>
          </w:tcPr>
          <w:p>
            <w:pPr>
              <w:spacing w:after="20"/>
              <w:jc w:val="right"/>
            </w:pPr>
            <w:r>
              <w:rPr>
                <w:color w:val="1C3A36"/>
                <w:sz w:val="15"/>
              </w:rPr>
              <w:t>Negative search — nothing found (fee volume drivers (cards/trade/AUM unit economics) — quarterly fee lines disclosed, volumes not) — negative search, 2026-07-10</w:t>
            </w:r>
          </w:p>
        </w:tc>
      </w:tr>
      <w:tr>
        <w:tc>
          <w:tcPr>
            <w:tcW w:type="dxa" w:w="648"/>
          </w:tcPr>
          <w:p>
            <w:pPr>
              <w:spacing w:after="20"/>
            </w:pPr>
            <w:r>
              <w:rPr>
                <w:b/>
                <w:color w:val="1C3A36"/>
                <w:sz w:val="15"/>
              </w:rPr>
              <w:t>F24</w:t>
            </w:r>
          </w:p>
        </w:tc>
        <w:tc>
          <w:tcPr>
            <w:tcW w:type="dxa" w:w="2520"/>
          </w:tcPr>
          <w:p>
            <w:pPr>
              <w:spacing w:after="20"/>
              <w:jc w:val="right"/>
            </w:pPr>
            <w:r>
              <w:rPr>
                <w:color w:val="1C3A36"/>
                <w:sz w:val="15"/>
              </w:rPr>
              <w:t>Company — strategic plans &amp; guidance</w:t>
            </w:r>
          </w:p>
        </w:tc>
        <w:tc>
          <w:tcPr>
            <w:tcW w:type="dxa" w:w="792"/>
          </w:tcPr>
          <w:p>
            <w:pPr>
              <w:spacing w:after="20"/>
              <w:jc w:val="right"/>
            </w:pPr>
            <w:r>
              <w:rPr>
                <w:color w:val="1C3A36"/>
                <w:sz w:val="15"/>
              </w:rPr>
              <w:t>Checked — none found</w:t>
            </w:r>
          </w:p>
        </w:tc>
        <w:tc>
          <w:tcPr>
            <w:tcW w:type="dxa" w:w="6120"/>
          </w:tcPr>
          <w:p>
            <w:pPr>
              <w:spacing w:after="20"/>
              <w:jc w:val="right"/>
            </w:pPr>
            <w:r>
              <w:rPr>
                <w:color w:val="1C3A36"/>
                <w:sz w:val="15"/>
              </w:rPr>
              <w:t>Negative search — nothing found (AI program unit economics / cost-save AED quantification — direction disclosed, numbers not) — negative search, 2026-07-10</w:t>
            </w:r>
          </w:p>
        </w:tc>
      </w:tr>
      <w:tr>
        <w:tc>
          <w:tcPr>
            <w:tcW w:type="dxa" w:w="648"/>
          </w:tcPr>
          <w:p>
            <w:pPr>
              <w:spacing w:after="20"/>
            </w:pPr>
            <w:r>
              <w:rPr>
                <w:b/>
                <w:color w:val="1C3A36"/>
                <w:sz w:val="15"/>
              </w:rPr>
              <w:t>F25</w:t>
            </w:r>
          </w:p>
        </w:tc>
        <w:tc>
          <w:tcPr>
            <w:tcW w:type="dxa" w:w="2520"/>
          </w:tcPr>
          <w:p>
            <w:pPr>
              <w:spacing w:after="20"/>
              <w:jc w:val="right"/>
            </w:pPr>
            <w:r>
              <w:rPr>
                <w:color w:val="1C3A36"/>
                <w:sz w:val="15"/>
              </w:rPr>
              <w:t>Country — regulatory environment (regulator, caps, tariffs, tax/subsidy)</w:t>
            </w:r>
          </w:p>
        </w:tc>
        <w:tc>
          <w:tcPr>
            <w:tcW w:type="dxa" w:w="792"/>
          </w:tcPr>
          <w:p>
            <w:pPr>
              <w:spacing w:after="20"/>
              <w:jc w:val="right"/>
            </w:pPr>
            <w:r>
              <w:rPr>
                <w:color w:val="1C3A36"/>
                <w:sz w:val="15"/>
              </w:rPr>
              <w:t>Checked — none found</w:t>
            </w:r>
          </w:p>
        </w:tc>
        <w:tc>
          <w:tcPr>
            <w:tcW w:type="dxa" w:w="6120"/>
          </w:tcPr>
          <w:p>
            <w:pPr>
              <w:spacing w:after="20"/>
              <w:jc w:val="right"/>
            </w:pPr>
            <w:r>
              <w:rPr>
                <w:color w:val="1C3A36"/>
                <w:sz w:val="15"/>
              </w:rPr>
              <w:t>Negative search — nothing found (IAE initial-phase lapse date for DMTT 15% step-up — not disclosed in note 3 as captured) — negative search, 2026-07-10</w:t>
            </w:r>
          </w:p>
        </w:tc>
      </w:tr>
      <w:tr>
        <w:tc>
          <w:tcPr>
            <w:tcW w:type="dxa" w:w="648"/>
          </w:tcPr>
          <w:p>
            <w:pPr>
              <w:spacing w:after="20"/>
            </w:pPr>
            <w:r>
              <w:rPr>
                <w:b/>
                <w:color w:val="1C3A36"/>
                <w:sz w:val="15"/>
              </w:rPr>
              <w:t>F26</w:t>
            </w:r>
          </w:p>
        </w:tc>
        <w:tc>
          <w:tcPr>
            <w:tcW w:type="dxa" w:w="2520"/>
          </w:tcPr>
          <w:p>
            <w:pPr>
              <w:spacing w:after="20"/>
              <w:jc w:val="right"/>
            </w:pPr>
            <w:r>
              <w:rPr>
                <w:color w:val="1C3A36"/>
                <w:sz w:val="15"/>
              </w:rPr>
              <w:t>Company — official financial statements</w:t>
            </w:r>
          </w:p>
        </w:tc>
        <w:tc>
          <w:tcPr>
            <w:tcW w:type="dxa" w:w="792"/>
          </w:tcPr>
          <w:p>
            <w:pPr>
              <w:spacing w:after="20"/>
              <w:jc w:val="right"/>
            </w:pPr>
            <w:r>
              <w:rPr>
                <w:color w:val="1C3A36"/>
                <w:sz w:val="15"/>
              </w:rPr>
              <w:t>Checked — none found</w:t>
            </w:r>
          </w:p>
        </w:tc>
        <w:tc>
          <w:tcPr>
            <w:tcW w:type="dxa" w:w="6120"/>
          </w:tcPr>
          <w:p>
            <w:pPr>
              <w:spacing w:after="20"/>
              <w:jc w:val="right"/>
            </w:pPr>
            <w:r>
              <w:rPr>
                <w:color w:val="1C3A36"/>
                <w:sz w:val="15"/>
              </w:rPr>
              <w:t>Negative search — nothing found (RWA level and density path — CET1/CAR ratios disclosed, RWA absolute not in captured releases) — negative search, 2026-07-10</w:t>
            </w:r>
          </w:p>
        </w:tc>
      </w:tr>
      <w:tr>
        <w:tc>
          <w:tcPr>
            <w:tcW w:type="dxa" w:w="648"/>
          </w:tcPr>
          <w:p>
            <w:pPr>
              <w:spacing w:after="20"/>
            </w:pPr>
            <w:r>
              <w:rPr>
                <w:b/>
                <w:color w:val="1C3A36"/>
                <w:sz w:val="15"/>
              </w:rPr>
              <w:t>F27</w:t>
            </w:r>
          </w:p>
        </w:tc>
        <w:tc>
          <w:tcPr>
            <w:tcW w:type="dxa" w:w="2520"/>
          </w:tcPr>
          <w:p>
            <w:pPr>
              <w:spacing w:after="20"/>
              <w:jc w:val="right"/>
            </w:pPr>
            <w:r>
              <w:rPr>
                <w:color w:val="1C3A36"/>
                <w:sz w:val="15"/>
              </w:rPr>
              <w:t>Company — management &amp; capital actions</w:t>
            </w:r>
          </w:p>
        </w:tc>
        <w:tc>
          <w:tcPr>
            <w:tcW w:type="dxa" w:w="792"/>
          </w:tcPr>
          <w:p>
            <w:pPr>
              <w:spacing w:after="20"/>
              <w:jc w:val="right"/>
            </w:pPr>
            <w:r>
              <w:rPr>
                <w:color w:val="1C3A36"/>
                <w:sz w:val="15"/>
              </w:rPr>
              <w:t>Checked — none found</w:t>
            </w:r>
          </w:p>
        </w:tc>
        <w:tc>
          <w:tcPr>
            <w:tcW w:type="dxa" w:w="6120"/>
          </w:tcPr>
          <w:p>
            <w:pPr>
              <w:spacing w:after="20"/>
              <w:jc w:val="right"/>
            </w:pPr>
            <w:r>
              <w:rPr>
                <w:color w:val="1C3A36"/>
                <w:sz w:val="15"/>
              </w:rPr>
              <w:t>Negative search — nothing found (year-by-year dividend schedule beyond 'progressive, c.AED 25bn over five years' — not disclosed) — negative search, 2026-07-10</w:t>
            </w:r>
          </w:p>
        </w:tc>
      </w:tr>
    </w:tbl>
    <w:p>
      <w:pPr>
        <w:spacing w:after="40"/>
      </w:pPr>
    </w:p>
    <w:p>
      <w:pPr>
        <w:spacing w:after="200" w:before="0"/>
      </w:pPr>
      <w:r>
        <w:rPr>
          <w:b w:val="0"/>
          <w:i/>
          <w:color w:val="6E7B77"/>
          <w:sz w:val="17"/>
        </w:rPr>
        <w:t>Coverage: all four layers were reviewed before any forecast assumption was set. Of the items logged, one is a base-changing event (the rights issue), several are structural factors that shaped a driver, most are context, and seven are searches that came back empty — each recorded so the reader can see what was checked and found absent.</w:t>
      </w:r>
    </w:p>
    <w:p>
      <w:r>
        <w:br w:type="page"/>
      </w:r>
    </w:p>
    <w:p>
      <w:pPr>
        <w:spacing w:after="120" w:before="280"/>
      </w:pPr>
      <w:r>
        <w:rPr>
          <w:b/>
          <w:i w:val="0"/>
          <w:color w:val="1C3A36"/>
          <w:sz w:val="30"/>
        </w:rPr>
        <w:t>Appendix C — Expert panel (three independent workings)</w:t>
      </w:r>
    </w:p>
    <w:p>
      <w:pPr>
        <w:spacing w:after="120" w:before="0"/>
      </w:pPr>
      <w:r>
        <w:rPr>
          <w:b w:val="0"/>
          <w:i w:val="0"/>
          <w:color w:val="1C3A36"/>
          <w:sz w:val="21"/>
        </w:rPr>
        <w:t>Every Testahil study closes with a panel of standing expert personas, cast from the house Expert Persona Library rather than invented for the occasion, so each accumulates a track record across studies and a quarterly update is a re-run, not a re-training. For a bank we cast the bank trio the library specifies — Capital-&amp;-returns, Credit-cycle and Macro-Policy — labelled Expert 1 / 2 / 3, each using a genuinely different valuation method, each showing its working step by step, and each stating the single fact that would prove it wrong. Where they disagree is not a flaw; it maps precisely onto the study’s central tension — how much of ADCB’s five-year plan a buyer should pay for before it has been delivered, and how much of its recent asset quality survives a real credit cycle.</w:t>
      </w:r>
    </w:p>
    <w:p>
      <w:pPr>
        <w:spacing w:after="80" w:before="200"/>
      </w:pPr>
      <w:r>
        <w:rPr>
          <w:b/>
          <w:i w:val="0"/>
          <w:color w:val="1C3A36"/>
          <w:sz w:val="24"/>
        </w:rPr>
        <w:t>Expert 1 — the dividend purist</w:t>
      </w:r>
    </w:p>
    <w:p>
      <w:pPr>
        <w:spacing w:after="120" w:before="0"/>
      </w:pPr>
      <w:r>
        <w:rPr>
          <w:b w:val="0"/>
          <w:i w:val="0"/>
          <w:color w:val="1C3A36"/>
          <w:sz w:val="21"/>
        </w:rPr>
        <w:t>The argument. A minority shareholder in a bank ultimately owns a stream of dividends, nothing more. So value the dividend policy directly and ignore the rest of the forecast — if the policy is credible, it already embeds the earnings that fund it. ADCB has committed to a progressive dividend and a mid-teens return on equity, and its board controls the payout; that is enough to price the equity without forecasting a single loan.</w:t>
      </w:r>
    </w:p>
    <w:p>
      <w:pPr>
        <w:spacing w:after="120" w:before="0"/>
      </w:pPr>
      <w:r>
        <w:rPr>
          <w:b w:val="0"/>
          <w:i w:val="0"/>
          <w:color w:val="1C3A36"/>
          <w:sz w:val="21"/>
        </w:rPr>
        <w:t>The working, in four steps. (1) A bank that sustainably earns a return on equity of ROE and grows its book at g is worth a multiple of book value equal to (ROE − g) ÷ (Ke − g). (2) Putting in a through-the-cycle ROE of 15.0%, long-run growth of 4.0%, and the war-adjusted cost of equity of 10.57%: (15.0 − 4.0) ÷ (10.57 − 4.0) = 11.0 ÷ 6.57 = 1.67× book. (3) Post-rights book value per share is AED 9.92, so fair value = 1.67 × 9.92 = AED 16.6. (4) Cross-check the other way: next year’s dividend of about AED 0.66, capitalised at (Ke − g) = 6.57%, is worth roughly AED 10 on its own — the remaining AED 6-plus is the value of dividend growth, which is why the rising payout, not the current yield, is what carries the case.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048"/>
            <w:shd w:val="clear" w:color="auto" w:fill="EAF0EE"/>
          </w:tcPr>
          <w:p>
            <w:pPr>
              <w:spacing w:after="20"/>
            </w:pPr>
            <w:r>
              <w:rPr>
                <w:b/>
                <w:color w:val="1C3A36"/>
                <w:sz w:val="18"/>
              </w:rPr>
              <w:t>Expert 1 — inputs and result</w:t>
            </w:r>
          </w:p>
        </w:tc>
        <w:tc>
          <w:tcPr>
            <w:tcW w:type="dxa" w:w="2304"/>
            <w:shd w:val="clear" w:color="auto" w:fill="EAF0EE"/>
          </w:tcPr>
          <w:p>
            <w:pPr>
              <w:spacing w:after="20"/>
            </w:pPr>
            <w:r>
              <w:rPr>
                <w:b/>
                <w:color w:val="1C3A36"/>
                <w:sz w:val="18"/>
              </w:rPr>
            </w:r>
          </w:p>
        </w:tc>
      </w:tr>
      <w:tr>
        <w:tc>
          <w:tcPr>
            <w:tcW w:type="dxa" w:w="6048"/>
          </w:tcPr>
          <w:p>
            <w:pPr>
              <w:spacing w:after="20"/>
            </w:pPr>
            <w:r>
              <w:rPr>
                <w:b/>
                <w:color w:val="1C3A36"/>
                <w:sz w:val="18"/>
              </w:rPr>
              <w:t>Sustainable return on equity</w:t>
            </w:r>
          </w:p>
        </w:tc>
        <w:tc>
          <w:tcPr>
            <w:tcW w:type="dxa" w:w="2304"/>
          </w:tcPr>
          <w:p>
            <w:pPr>
              <w:spacing w:after="20"/>
              <w:jc w:val="right"/>
            </w:pPr>
            <w:r>
              <w:rPr>
                <w:color w:val="1C3A36"/>
                <w:sz w:val="18"/>
              </w:rPr>
              <w:t>15.0%</w:t>
            </w:r>
          </w:p>
        </w:tc>
      </w:tr>
      <w:tr>
        <w:tc>
          <w:tcPr>
            <w:tcW w:type="dxa" w:w="6048"/>
          </w:tcPr>
          <w:p>
            <w:pPr>
              <w:spacing w:after="20"/>
            </w:pPr>
            <w:r>
              <w:rPr>
                <w:b/>
                <w:color w:val="1C3A36"/>
                <w:sz w:val="18"/>
              </w:rPr>
              <w:t>Long-run growth</w:t>
            </w:r>
          </w:p>
        </w:tc>
        <w:tc>
          <w:tcPr>
            <w:tcW w:type="dxa" w:w="2304"/>
          </w:tcPr>
          <w:p>
            <w:pPr>
              <w:spacing w:after="20"/>
              <w:jc w:val="right"/>
            </w:pPr>
            <w:r>
              <w:rPr>
                <w:color w:val="1C3A36"/>
                <w:sz w:val="18"/>
              </w:rPr>
              <w:t>4.0%</w:t>
            </w:r>
          </w:p>
        </w:tc>
      </w:tr>
      <w:tr>
        <w:tc>
          <w:tcPr>
            <w:tcW w:type="dxa" w:w="6048"/>
          </w:tcPr>
          <w:p>
            <w:pPr>
              <w:spacing w:after="20"/>
            </w:pPr>
            <w:r>
              <w:rPr>
                <w:b/>
                <w:color w:val="1C3A36"/>
                <w:sz w:val="18"/>
              </w:rPr>
              <w:t>Cost of equity (war-adjusted)</w:t>
            </w:r>
          </w:p>
        </w:tc>
        <w:tc>
          <w:tcPr>
            <w:tcW w:type="dxa" w:w="2304"/>
          </w:tcPr>
          <w:p>
            <w:pPr>
              <w:spacing w:after="20"/>
              <w:jc w:val="right"/>
            </w:pPr>
            <w:r>
              <w:rPr>
                <w:color w:val="1C3A36"/>
                <w:sz w:val="18"/>
              </w:rPr>
              <w:t>10.57%</w:t>
            </w:r>
          </w:p>
        </w:tc>
      </w:tr>
      <w:tr>
        <w:tc>
          <w:tcPr>
            <w:tcW w:type="dxa" w:w="6048"/>
          </w:tcPr>
          <w:p>
            <w:pPr>
              <w:spacing w:after="20"/>
            </w:pPr>
            <w:r>
              <w:rPr>
                <w:b/>
                <w:color w:val="1C3A36"/>
                <w:sz w:val="18"/>
              </w:rPr>
              <w:t>Justified price-to-book = (ROE − g)/(Ke − g)</w:t>
            </w:r>
          </w:p>
        </w:tc>
        <w:tc>
          <w:tcPr>
            <w:tcW w:type="dxa" w:w="2304"/>
          </w:tcPr>
          <w:p>
            <w:pPr>
              <w:spacing w:after="20"/>
              <w:jc w:val="right"/>
            </w:pPr>
            <w:r>
              <w:rPr>
                <w:color w:val="1C3A36"/>
                <w:sz w:val="18"/>
              </w:rPr>
              <w:t>1.67×</w:t>
            </w:r>
          </w:p>
        </w:tc>
      </w:tr>
      <w:tr>
        <w:tc>
          <w:tcPr>
            <w:tcW w:type="dxa" w:w="6048"/>
          </w:tcPr>
          <w:p>
            <w:pPr>
              <w:spacing w:after="20"/>
            </w:pPr>
            <w:r>
              <w:rPr>
                <w:b/>
                <w:color w:val="1C3A36"/>
                <w:sz w:val="18"/>
              </w:rPr>
              <w:t>Book value per share (post-rights)</w:t>
            </w:r>
          </w:p>
        </w:tc>
        <w:tc>
          <w:tcPr>
            <w:tcW w:type="dxa" w:w="2304"/>
          </w:tcPr>
          <w:p>
            <w:pPr>
              <w:spacing w:after="20"/>
              <w:jc w:val="right"/>
            </w:pPr>
            <w:r>
              <w:rPr>
                <w:color w:val="1C3A36"/>
                <w:sz w:val="18"/>
              </w:rPr>
              <w:t>AED 9.92</w:t>
            </w:r>
          </w:p>
        </w:tc>
      </w:tr>
      <w:tr>
        <w:tc>
          <w:tcPr>
            <w:tcW w:type="dxa" w:w="6048"/>
          </w:tcPr>
          <w:p>
            <w:pPr>
              <w:spacing w:after="20"/>
            </w:pPr>
            <w:r>
              <w:rPr>
                <w:b/>
                <w:color w:val="1C3A36"/>
                <w:sz w:val="18"/>
              </w:rPr>
              <w:t>Fair value</w:t>
            </w:r>
          </w:p>
        </w:tc>
        <w:tc>
          <w:tcPr>
            <w:tcW w:type="dxa" w:w="2304"/>
          </w:tcPr>
          <w:p>
            <w:pPr>
              <w:spacing w:after="20"/>
              <w:jc w:val="right"/>
            </w:pPr>
            <w:r>
              <w:rPr>
                <w:color w:val="1C3A36"/>
                <w:sz w:val="18"/>
              </w:rPr>
              <w:t>AED 16.6</w:t>
            </w:r>
          </w:p>
        </w:tc>
      </w:tr>
    </w:tbl>
    <w:p>
      <w:pPr>
        <w:spacing w:after="40"/>
      </w:pPr>
    </w:p>
    <w:p>
      <w:pPr>
        <w:spacing w:after="120" w:before="0"/>
      </w:pPr>
      <w:r>
        <w:rPr>
          <w:b w:val="0"/>
          <w:i w:val="0"/>
          <w:color w:val="1C3A36"/>
          <w:sz w:val="21"/>
        </w:rPr>
        <w:t>Verdict: AED ~16.6 — the most conservative fundamental number of the three, because it credits none of the near-term earnings surge, only the steady state. What would prove it wrong: if ADCB cut or merely froze its dividend in FY26 despite rising earnings, the premise that the payout policy is credible would collapse, and this expert would fall back to the lower through-cycle value of AED 14.3.</w:t>
      </w:r>
    </w:p>
    <w:p>
      <w:pPr>
        <w:spacing w:after="80" w:before="200"/>
      </w:pPr>
      <w:r>
        <w:rPr>
          <w:b/>
          <w:i w:val="0"/>
          <w:color w:val="1C3A36"/>
          <w:sz w:val="24"/>
        </w:rPr>
        <w:t>Expert 2 — the credit-cycle skeptic</w:t>
      </w:r>
    </w:p>
    <w:p>
      <w:pPr>
        <w:spacing w:after="120" w:before="0"/>
      </w:pPr>
      <w:r>
        <w:rPr>
          <w:b w:val="0"/>
          <w:i w:val="0"/>
          <w:color w:val="1C3A36"/>
          <w:sz w:val="21"/>
        </w:rPr>
        <w:t>The argument. Reported book value, and every lens built on it, is only as real as the loan book behind it. ADCB’s asset quality today — NPL 1.76%, coverage 151.8%, cost of risk running at 41bp against a &lt;60bp guide — is genuinely strong, but it is a peacetime-adjacent, low-rate-cycle reading, not a through-cycle one. A credit-cycle analyst does not price the bank on the credit costs it is booking now; she prices it on what it would book in a real downturn, then asks what is left.</w:t>
      </w:r>
    </w:p>
    <w:p>
      <w:pPr>
        <w:spacing w:after="120" w:before="0"/>
      </w:pPr>
      <w:r>
        <w:rPr>
          <w:b w:val="0"/>
          <w:i w:val="0"/>
          <w:color w:val="1C3A36"/>
          <w:sz w:val="21"/>
        </w:rPr>
        <w:t>The working. Take the FY26E–30E loan book from the driver build and reprice the impairment line at a genuinely stressed, through-cycle cost of risk — 110bp on average loans, roughly the UAE system’s own 2020 downturn experience, versus the model’s base-case glide of 51bp down to 43bp. Holding loan growth, the NIM path and the payout ratio unchanged, that stress cuts net profit by AED 2.4–4.1bn a year — an average of 19% of NPAT across FY26–30 — because the extra provisioning flows straight through pre-tax income with only a partial tax shield. Repricing the two cash-flow lenses off that stressed earnings stream (holding Ke and the capital schedule fixed) pulls the DDM to about AED 17.2 and the equity DCF to about AED 19.0.</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5040"/>
            <w:shd w:val="clear" w:color="auto" w:fill="EAF0EE"/>
          </w:tcPr>
          <w:p>
            <w:pPr>
              <w:spacing w:after="20"/>
            </w:pPr>
            <w:r>
              <w:rPr>
                <w:b/>
                <w:color w:val="1C3A36"/>
                <w:sz w:val="18"/>
              </w:rPr>
              <w:t>Expert 2 — the through-cycle stress test</w:t>
            </w:r>
          </w:p>
        </w:tc>
        <w:tc>
          <w:tcPr>
            <w:tcW w:type="dxa" w:w="3312"/>
            <w:shd w:val="clear" w:color="auto" w:fill="EAF0EE"/>
          </w:tcPr>
          <w:p>
            <w:pPr>
              <w:spacing w:after="20"/>
            </w:pPr>
            <w:r>
              <w:rPr>
                <w:b/>
                <w:color w:val="1C3A36"/>
                <w:sz w:val="18"/>
              </w:rPr>
            </w:r>
          </w:p>
        </w:tc>
      </w:tr>
      <w:tr>
        <w:tc>
          <w:tcPr>
            <w:tcW w:type="dxa" w:w="5040"/>
          </w:tcPr>
          <w:p>
            <w:pPr>
              <w:spacing w:after="20"/>
            </w:pPr>
            <w:r>
              <w:rPr>
                <w:b/>
                <w:color w:val="1C3A36"/>
                <w:sz w:val="18"/>
              </w:rPr>
              <w:t>Base-case cost of risk (FY26E → FY30E)</w:t>
            </w:r>
          </w:p>
        </w:tc>
        <w:tc>
          <w:tcPr>
            <w:tcW w:type="dxa" w:w="3312"/>
          </w:tcPr>
          <w:p>
            <w:pPr>
              <w:spacing w:after="20"/>
              <w:jc w:val="right"/>
            </w:pPr>
            <w:r>
              <w:rPr>
                <w:color w:val="1C3A36"/>
                <w:sz w:val="18"/>
              </w:rPr>
              <w:t>51bp → 43bp on avg loans</w:t>
            </w:r>
          </w:p>
        </w:tc>
      </w:tr>
      <w:tr>
        <w:tc>
          <w:tcPr>
            <w:tcW w:type="dxa" w:w="5040"/>
          </w:tcPr>
          <w:p>
            <w:pPr>
              <w:spacing w:after="20"/>
            </w:pPr>
            <w:r>
              <w:rPr>
                <w:b/>
                <w:color w:val="1C3A36"/>
                <w:sz w:val="18"/>
              </w:rPr>
              <w:t>Stressed through-cycle cost of risk</w:t>
            </w:r>
          </w:p>
        </w:tc>
        <w:tc>
          <w:tcPr>
            <w:tcW w:type="dxa" w:w="3312"/>
          </w:tcPr>
          <w:p>
            <w:pPr>
              <w:spacing w:after="20"/>
              <w:jc w:val="right"/>
            </w:pPr>
            <w:r>
              <w:rPr>
                <w:color w:val="1C3A36"/>
                <w:sz w:val="18"/>
              </w:rPr>
              <w:t>110bp (~2020 UAE-system downturn)</w:t>
            </w:r>
          </w:p>
        </w:tc>
      </w:tr>
      <w:tr>
        <w:tc>
          <w:tcPr>
            <w:tcW w:type="dxa" w:w="5040"/>
          </w:tcPr>
          <w:p>
            <w:pPr>
              <w:spacing w:after="20"/>
            </w:pPr>
            <w:r>
              <w:rPr>
                <w:b/>
                <w:color w:val="1C3A36"/>
                <w:sz w:val="18"/>
              </w:rPr>
              <w:t>Average NPAT cut under the stress</w:t>
            </w:r>
          </w:p>
        </w:tc>
        <w:tc>
          <w:tcPr>
            <w:tcW w:type="dxa" w:w="3312"/>
          </w:tcPr>
          <w:p>
            <w:pPr>
              <w:spacing w:after="20"/>
              <w:jc w:val="right"/>
            </w:pPr>
            <w:r>
              <w:rPr>
                <w:color w:val="1C3A36"/>
                <w:sz w:val="18"/>
              </w:rPr>
              <w:t>19% per year</w:t>
            </w:r>
          </w:p>
        </w:tc>
      </w:tr>
      <w:tr>
        <w:tc>
          <w:tcPr>
            <w:tcW w:type="dxa" w:w="5040"/>
          </w:tcPr>
          <w:p>
            <w:pPr>
              <w:spacing w:after="20"/>
            </w:pPr>
            <w:r>
              <w:rPr>
                <w:b/>
                <w:color w:val="1C3A36"/>
                <w:sz w:val="18"/>
              </w:rPr>
              <w:t>DDM under stressed earnings</w:t>
            </w:r>
          </w:p>
        </w:tc>
        <w:tc>
          <w:tcPr>
            <w:tcW w:type="dxa" w:w="3312"/>
          </w:tcPr>
          <w:p>
            <w:pPr>
              <w:spacing w:after="20"/>
              <w:jc w:val="right"/>
            </w:pPr>
            <w:r>
              <w:rPr>
                <w:color w:val="1C3A36"/>
                <w:sz w:val="18"/>
              </w:rPr>
              <w:t>AED ~17.2</w:t>
            </w:r>
          </w:p>
        </w:tc>
      </w:tr>
      <w:tr>
        <w:tc>
          <w:tcPr>
            <w:tcW w:type="dxa" w:w="5040"/>
          </w:tcPr>
          <w:p>
            <w:pPr>
              <w:spacing w:after="20"/>
            </w:pPr>
            <w:r>
              <w:rPr>
                <w:b/>
                <w:color w:val="1C3A36"/>
                <w:sz w:val="18"/>
              </w:rPr>
              <w:t>Equity DCF (FCFE) under stressed earnings</w:t>
            </w:r>
          </w:p>
        </w:tc>
        <w:tc>
          <w:tcPr>
            <w:tcW w:type="dxa" w:w="3312"/>
          </w:tcPr>
          <w:p>
            <w:pPr>
              <w:spacing w:after="20"/>
              <w:jc w:val="right"/>
            </w:pPr>
            <w:r>
              <w:rPr>
                <w:color w:val="1C3A36"/>
                <w:sz w:val="18"/>
              </w:rPr>
              <w:t>AED ~19.0</w:t>
            </w:r>
          </w:p>
        </w:tc>
      </w:tr>
    </w:tbl>
    <w:p>
      <w:pPr>
        <w:spacing w:after="40"/>
      </w:pPr>
    </w:p>
    <w:p>
      <w:pPr>
        <w:spacing w:after="120" w:before="0"/>
      </w:pPr>
      <w:r>
        <w:rPr>
          <w:b w:val="0"/>
          <w:i w:val="0"/>
          <w:color w:val="1C3A36"/>
          <w:sz w:val="21"/>
        </w:rPr>
        <w:t>Verdict: AED ~18.1 (the mid-point of the two stressed cash-flow reads) — asset quality is genuinely strong today, and none of this is a call that a downturn is imminent, but a valuation that only survives on the current benign credit cycle is not fully priced for the cycle it will eventually face. What would prove it wrong: cost of risk staying inside the 41–55bp guided range through a full rate cycle, including whatever the war ultimately costs the loan book — in which case the stress was too harsh and the cash-flow lenses at their base-case values are the better guide.</w:t>
      </w:r>
    </w:p>
    <w:p>
      <w:pPr>
        <w:spacing w:after="80" w:before="200"/>
      </w:pPr>
      <w:r>
        <w:rPr>
          <w:b/>
          <w:i w:val="0"/>
          <w:color w:val="1C3A36"/>
          <w:sz w:val="24"/>
        </w:rPr>
        <w:t>Expert 3 — the regime skeptic</w:t>
      </w:r>
    </w:p>
    <w:p>
      <w:pPr>
        <w:spacing w:after="120" w:before="0"/>
      </w:pPr>
      <w:r>
        <w:rPr>
          <w:b w:val="0"/>
          <w:i w:val="0"/>
          <w:color w:val="1C3A36"/>
          <w:sz w:val="21"/>
        </w:rPr>
        <w:t>The argument. Trust prices, distrust stories. The entire UAE banking sector trades around 1.5× book because the marginal buyer is charging a wartime cost of equity, and ADCB at 1.52× book is sitting exactly on that line — there is no idiosyncratic mispricing to capture. Any value above the sector is a bet that the regional risk premium falls, which is a macro trade dressed up as a stock pick.</w:t>
      </w:r>
    </w:p>
    <w:p>
      <w:pPr>
        <w:spacing w:after="120" w:before="0"/>
      </w:pPr>
      <w:r>
        <w:rPr>
          <w:b w:val="0"/>
          <w:i w:val="0"/>
          <w:color w:val="1C3A36"/>
          <w:sz w:val="21"/>
        </w:rPr>
        <w:t>The working. Start from where comparable UAE banks actually clear — about 1.5× book — and ask only what premium ADCB specifically deserves. For its superior return-on-equity trajectory and the stability of majority ownership by Mubadala, a 10–15% premium to the sector is fair: 1.70× to 1.78× book. On post-rights book value per share of AED 9.92, that is AED 16.9 to AED 17.7, with a mid-point of about AED 17.3. Everything above that line requires the war premium to compress — which may well happen, but is not something to underwrite in a valuation.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5040"/>
            <w:shd w:val="clear" w:color="auto" w:fill="EAF0EE"/>
          </w:tcPr>
          <w:p>
            <w:pPr>
              <w:spacing w:after="20"/>
            </w:pPr>
            <w:r>
              <w:rPr>
                <w:b/>
                <w:color w:val="1C3A36"/>
                <w:sz w:val="18"/>
              </w:rPr>
              <w:t>Expert 3 — sector-relative pricing</w:t>
            </w:r>
          </w:p>
        </w:tc>
        <w:tc>
          <w:tcPr>
            <w:tcW w:type="dxa" w:w="3312"/>
            <w:shd w:val="clear" w:color="auto" w:fill="EAF0EE"/>
          </w:tcPr>
          <w:p>
            <w:pPr>
              <w:spacing w:after="20"/>
            </w:pPr>
            <w:r>
              <w:rPr>
                <w:b/>
                <w:color w:val="1C3A36"/>
                <w:sz w:val="18"/>
              </w:rPr>
            </w:r>
          </w:p>
        </w:tc>
      </w:tr>
      <w:tr>
        <w:tc>
          <w:tcPr>
            <w:tcW w:type="dxa" w:w="5040"/>
          </w:tcPr>
          <w:p>
            <w:pPr>
              <w:spacing w:after="20"/>
            </w:pPr>
            <w:r>
              <w:rPr>
                <w:b/>
                <w:color w:val="1C3A36"/>
                <w:sz w:val="18"/>
              </w:rPr>
              <w:t>UAE sector price-to-book</w:t>
            </w:r>
          </w:p>
        </w:tc>
        <w:tc>
          <w:tcPr>
            <w:tcW w:type="dxa" w:w="3312"/>
          </w:tcPr>
          <w:p>
            <w:pPr>
              <w:spacing w:after="20"/>
              <w:jc w:val="right"/>
            </w:pPr>
            <w:r>
              <w:rPr>
                <w:color w:val="1C3A36"/>
                <w:sz w:val="18"/>
              </w:rPr>
              <w:t>~1.5×</w:t>
            </w:r>
          </w:p>
        </w:tc>
      </w:tr>
      <w:tr>
        <w:tc>
          <w:tcPr>
            <w:tcW w:type="dxa" w:w="5040"/>
          </w:tcPr>
          <w:p>
            <w:pPr>
              <w:spacing w:after="20"/>
            </w:pPr>
            <w:r>
              <w:rPr>
                <w:b/>
                <w:color w:val="1C3A36"/>
                <w:sz w:val="18"/>
              </w:rPr>
              <w:t>Justified ADCB premium (ROE, ownership)</w:t>
            </w:r>
          </w:p>
        </w:tc>
        <w:tc>
          <w:tcPr>
            <w:tcW w:type="dxa" w:w="3312"/>
          </w:tcPr>
          <w:p>
            <w:pPr>
              <w:spacing w:after="20"/>
              <w:jc w:val="right"/>
            </w:pPr>
            <w:r>
              <w:rPr>
                <w:color w:val="1C3A36"/>
                <w:sz w:val="18"/>
              </w:rPr>
              <w:t>+10–15%</w:t>
            </w:r>
          </w:p>
        </w:tc>
      </w:tr>
      <w:tr>
        <w:tc>
          <w:tcPr>
            <w:tcW w:type="dxa" w:w="5040"/>
          </w:tcPr>
          <w:p>
            <w:pPr>
              <w:spacing w:after="20"/>
            </w:pPr>
            <w:r>
              <w:rPr>
                <w:b/>
                <w:color w:val="1C3A36"/>
                <w:sz w:val="18"/>
              </w:rPr>
              <w:t>Applied multiple range</w:t>
            </w:r>
          </w:p>
        </w:tc>
        <w:tc>
          <w:tcPr>
            <w:tcW w:type="dxa" w:w="3312"/>
          </w:tcPr>
          <w:p>
            <w:pPr>
              <w:spacing w:after="20"/>
              <w:jc w:val="right"/>
            </w:pPr>
            <w:r>
              <w:rPr>
                <w:color w:val="1C3A36"/>
                <w:sz w:val="18"/>
              </w:rPr>
              <w:t>1.70× – 1.78×</w:t>
            </w:r>
          </w:p>
        </w:tc>
      </w:tr>
      <w:tr>
        <w:tc>
          <w:tcPr>
            <w:tcW w:type="dxa" w:w="5040"/>
          </w:tcPr>
          <w:p>
            <w:pPr>
              <w:spacing w:after="20"/>
            </w:pPr>
            <w:r>
              <w:rPr>
                <w:b/>
                <w:color w:val="1C3A36"/>
                <w:sz w:val="18"/>
              </w:rPr>
              <w:t>Fair-value range</w:t>
            </w:r>
          </w:p>
        </w:tc>
        <w:tc>
          <w:tcPr>
            <w:tcW w:type="dxa" w:w="3312"/>
          </w:tcPr>
          <w:p>
            <w:pPr>
              <w:spacing w:after="20"/>
              <w:jc w:val="right"/>
            </w:pPr>
            <w:r>
              <w:rPr>
                <w:color w:val="1C3A36"/>
                <w:sz w:val="18"/>
              </w:rPr>
              <w:t>AED 16.9 – 17.7</w:t>
            </w:r>
          </w:p>
        </w:tc>
      </w:tr>
      <w:tr>
        <w:tc>
          <w:tcPr>
            <w:tcW w:type="dxa" w:w="5040"/>
          </w:tcPr>
          <w:p>
            <w:pPr>
              <w:spacing w:after="20"/>
            </w:pPr>
            <w:r>
              <w:rPr>
                <w:b/>
                <w:color w:val="1C3A36"/>
                <w:sz w:val="18"/>
              </w:rPr>
              <w:t>Central</w:t>
            </w:r>
          </w:p>
        </w:tc>
        <w:tc>
          <w:tcPr>
            <w:tcW w:type="dxa" w:w="3312"/>
          </w:tcPr>
          <w:p>
            <w:pPr>
              <w:spacing w:after="20"/>
              <w:jc w:val="right"/>
            </w:pPr>
            <w:r>
              <w:rPr>
                <w:color w:val="1C3A36"/>
                <w:sz w:val="18"/>
              </w:rPr>
              <w:t>AED ~17.3</w:t>
            </w:r>
          </w:p>
        </w:tc>
      </w:tr>
    </w:tbl>
    <w:p>
      <w:pPr>
        <w:spacing w:after="40"/>
      </w:pPr>
    </w:p>
    <w:p>
      <w:pPr>
        <w:spacing w:after="120" w:before="0"/>
      </w:pPr>
      <w:r>
        <w:rPr>
          <w:b w:val="0"/>
          <w:i w:val="0"/>
          <w:color w:val="1C3A36"/>
          <w:sz w:val="21"/>
        </w:rPr>
        <w:t>Verdict: AED ~17.3. What would prove it wrong: two consecutive quarters of the whole sector re-rating above 1.8× book would show the wartime premium is lifting, at which point the cash-flow methods — which price the business through the cycle rather than at today’s risk premium — become the better guide.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1368"/>
            <w:shd w:val="clear" w:color="auto" w:fill="EAF0EE"/>
          </w:tcPr>
          <w:p>
            <w:pPr>
              <w:spacing w:after="20"/>
            </w:pPr>
            <w:r>
              <w:rPr>
                <w:b/>
                <w:color w:val="1C3A36"/>
                <w:sz w:val="17"/>
              </w:rPr>
              <w:t>Expert</w:t>
            </w:r>
          </w:p>
        </w:tc>
        <w:tc>
          <w:tcPr>
            <w:tcW w:type="dxa" w:w="3960"/>
            <w:shd w:val="clear" w:color="auto" w:fill="EAF0EE"/>
          </w:tcPr>
          <w:p>
            <w:pPr>
              <w:spacing w:after="20"/>
            </w:pPr>
            <w:r>
              <w:rPr>
                <w:b/>
                <w:color w:val="1C3A36"/>
                <w:sz w:val="17"/>
              </w:rPr>
              <w:t>Method in one line</w:t>
            </w:r>
          </w:p>
        </w:tc>
        <w:tc>
          <w:tcPr>
            <w:tcW w:type="dxa" w:w="1656"/>
            <w:shd w:val="clear" w:color="auto" w:fill="EAF0EE"/>
          </w:tcPr>
          <w:p>
            <w:pPr>
              <w:spacing w:after="20"/>
            </w:pPr>
            <w:r>
              <w:rPr>
                <w:b/>
                <w:color w:val="1C3A36"/>
                <w:sz w:val="17"/>
              </w:rPr>
              <w:t>Value (AED)</w:t>
            </w:r>
          </w:p>
        </w:tc>
        <w:tc>
          <w:tcPr>
            <w:tcW w:type="dxa" w:w="3384"/>
            <w:shd w:val="clear" w:color="auto" w:fill="EAF0EE"/>
          </w:tcPr>
          <w:p>
            <w:pPr>
              <w:spacing w:after="20"/>
            </w:pPr>
            <w:r>
              <w:rPr>
                <w:b/>
                <w:color w:val="1C3A36"/>
                <w:sz w:val="17"/>
              </w:rPr>
              <w:t>What would prove it wrong</w:t>
            </w:r>
          </w:p>
        </w:tc>
      </w:tr>
      <w:tr>
        <w:tc>
          <w:tcPr>
            <w:tcW w:type="dxa" w:w="1368"/>
          </w:tcPr>
          <w:p>
            <w:pPr>
              <w:spacing w:after="20"/>
            </w:pPr>
            <w:r>
              <w:rPr>
                <w:b/>
                <w:color w:val="1C3A36"/>
                <w:sz w:val="17"/>
              </w:rPr>
              <w:t>Expert 1</w:t>
            </w:r>
          </w:p>
        </w:tc>
        <w:tc>
          <w:tcPr>
            <w:tcW w:type="dxa" w:w="3960"/>
          </w:tcPr>
          <w:p>
            <w:pPr>
              <w:spacing w:after="20"/>
              <w:jc w:val="right"/>
            </w:pPr>
            <w:r>
              <w:rPr>
                <w:color w:val="1C3A36"/>
                <w:sz w:val="17"/>
              </w:rPr>
              <w:t>Price the dividend policy directly (justified P/B)</w:t>
            </w:r>
          </w:p>
        </w:tc>
        <w:tc>
          <w:tcPr>
            <w:tcW w:type="dxa" w:w="1656"/>
          </w:tcPr>
          <w:p>
            <w:pPr>
              <w:spacing w:after="20"/>
              <w:jc w:val="right"/>
            </w:pPr>
            <w:r>
              <w:rPr>
                <w:color w:val="1C3A36"/>
                <w:sz w:val="17"/>
              </w:rPr>
              <w:t>~16.6</w:t>
            </w:r>
          </w:p>
        </w:tc>
        <w:tc>
          <w:tcPr>
            <w:tcW w:type="dxa" w:w="3384"/>
          </w:tcPr>
          <w:p>
            <w:pPr>
              <w:spacing w:after="20"/>
              <w:jc w:val="right"/>
            </w:pPr>
            <w:r>
              <w:rPr>
                <w:color w:val="1C3A36"/>
                <w:sz w:val="17"/>
              </w:rPr>
              <w:t>FY26 dividend cut or frozen despite higher earnings</w:t>
            </w:r>
          </w:p>
        </w:tc>
      </w:tr>
      <w:tr>
        <w:tc>
          <w:tcPr>
            <w:tcW w:type="dxa" w:w="1368"/>
          </w:tcPr>
          <w:p>
            <w:pPr>
              <w:spacing w:after="20"/>
            </w:pPr>
            <w:r>
              <w:rPr>
                <w:b/>
                <w:color w:val="1C3A36"/>
                <w:sz w:val="17"/>
              </w:rPr>
              <w:t>Expert 2</w:t>
            </w:r>
          </w:p>
        </w:tc>
        <w:tc>
          <w:tcPr>
            <w:tcW w:type="dxa" w:w="3960"/>
          </w:tcPr>
          <w:p>
            <w:pPr>
              <w:spacing w:after="20"/>
              <w:jc w:val="right"/>
            </w:pPr>
            <w:r>
              <w:rPr>
                <w:color w:val="1C3A36"/>
                <w:sz w:val="17"/>
              </w:rPr>
              <w:t>Reprice earnings at a through-cycle cost of risk</w:t>
            </w:r>
          </w:p>
        </w:tc>
        <w:tc>
          <w:tcPr>
            <w:tcW w:type="dxa" w:w="1656"/>
          </w:tcPr>
          <w:p>
            <w:pPr>
              <w:spacing w:after="20"/>
              <w:jc w:val="right"/>
            </w:pPr>
            <w:r>
              <w:rPr>
                <w:color w:val="1C3A36"/>
                <w:sz w:val="17"/>
              </w:rPr>
              <w:t>~18.1</w:t>
            </w:r>
          </w:p>
        </w:tc>
        <w:tc>
          <w:tcPr>
            <w:tcW w:type="dxa" w:w="3384"/>
          </w:tcPr>
          <w:p>
            <w:pPr>
              <w:spacing w:after="20"/>
              <w:jc w:val="right"/>
            </w:pPr>
            <w:r>
              <w:rPr>
                <w:color w:val="1C3A36"/>
                <w:sz w:val="17"/>
              </w:rPr>
              <w:t>Cost of risk stays inside the 41–55bp guide through a full cycle</w:t>
            </w:r>
          </w:p>
        </w:tc>
      </w:tr>
      <w:tr>
        <w:tc>
          <w:tcPr>
            <w:tcW w:type="dxa" w:w="1368"/>
          </w:tcPr>
          <w:p>
            <w:pPr>
              <w:spacing w:after="20"/>
            </w:pPr>
            <w:r>
              <w:rPr>
                <w:b/>
                <w:color w:val="1C3A36"/>
                <w:sz w:val="17"/>
              </w:rPr>
              <w:t>Expert 3</w:t>
            </w:r>
          </w:p>
        </w:tc>
        <w:tc>
          <w:tcPr>
            <w:tcW w:type="dxa" w:w="3960"/>
          </w:tcPr>
          <w:p>
            <w:pPr>
              <w:spacing w:after="20"/>
              <w:jc w:val="right"/>
            </w:pPr>
            <w:r>
              <w:rPr>
                <w:color w:val="1C3A36"/>
                <w:sz w:val="17"/>
              </w:rPr>
              <w:t>Price off the sector at today’s war premium</w:t>
            </w:r>
          </w:p>
        </w:tc>
        <w:tc>
          <w:tcPr>
            <w:tcW w:type="dxa" w:w="1656"/>
          </w:tcPr>
          <w:p>
            <w:pPr>
              <w:spacing w:after="20"/>
              <w:jc w:val="right"/>
            </w:pPr>
            <w:r>
              <w:rPr>
                <w:color w:val="1C3A36"/>
                <w:sz w:val="17"/>
              </w:rPr>
              <w:t>~17.3</w:t>
            </w:r>
          </w:p>
        </w:tc>
        <w:tc>
          <w:tcPr>
            <w:tcW w:type="dxa" w:w="3384"/>
          </w:tcPr>
          <w:p>
            <w:pPr>
              <w:spacing w:after="20"/>
              <w:jc w:val="right"/>
            </w:pPr>
            <w:r>
              <w:rPr>
                <w:color w:val="1C3A36"/>
                <w:sz w:val="17"/>
              </w:rPr>
              <w:t>Sector re-rates above 1.8× book for two straight quarters</w:t>
            </w:r>
          </w:p>
        </w:tc>
      </w:tr>
    </w:tbl>
    <w:p>
      <w:pPr>
        <w:spacing w:after="40"/>
      </w:pPr>
    </w:p>
    <w:p>
      <w:pPr>
        <w:spacing w:after="120" w:before="0"/>
      </w:pPr>
      <w:r>
        <w:rPr>
          <w:b w:val="0"/>
          <w:i w:val="0"/>
          <w:color w:val="1C3A36"/>
          <w:sz w:val="21"/>
        </w:rPr>
        <w:t>The three land at AED 16.6, 17.3 and 18.1, all below the study’s weighted central of AED 19.7. Their disagreement is not noise — it is the single question this whole study turns on: how much of ADCB’s current run-rate should a buyer trust, before a real credit cycle or the war’s endgame has tested it. Expert 1 prices the dividend and ignores the growth story; Expert 2 prices earnings through a credit downturn the current numbers have not yet faced; Expert 3 prices the sector’s own wartime discount. All three sit below the weighted central, which gives more credit than any single expert to the five-year plan actually being delivered — precisely the bet §1.8 names as the crux.</w:t>
      </w:r>
    </w:p>
    <w:p>
      <w:r>
        <w:br w:type="page"/>
      </w:r>
    </w:p>
    <w:p>
      <w:pPr>
        <w:spacing w:after="120" w:before="280"/>
      </w:pPr>
      <w:r>
        <w:rPr>
          <w:b/>
          <w:i w:val="0"/>
          <w:color w:val="1C3A36"/>
          <w:sz w:val="30"/>
        </w:rPr>
        <w:t>Disclaimer</w:t>
      </w:r>
    </w:p>
    <w:p>
      <w:pPr>
        <w:spacing w:after="120" w:before="0"/>
      </w:pPr>
      <w:r>
        <w:rPr>
          <w:b w:val="0"/>
          <w:i w:val="0"/>
          <w:color w:val="1C3A36"/>
          <w:sz w:val="18"/>
        </w:rPr>
        <w:t>1. This document is published by Testahil for educational purposes only. It is not investment advice, an offer, a solicitation, a recommendation, a rating, or a price target of any kind.</w:t>
      </w:r>
    </w:p>
    <w:p>
      <w:pPr>
        <w:spacing w:after="120" w:before="0"/>
      </w:pPr>
      <w:r>
        <w:rPr>
          <w:b w:val="0"/>
          <w:i w:val="0"/>
          <w:color w:val="1C3A36"/>
          <w:sz w:val="18"/>
        </w:rPr>
        <w:t>2. The preparer is not licensed or supervised by the Financial Regulatory Authority (Egypt), the Securities and Commodities Authority (UAE), or any other securities regulator, and holds no professional investment designation.</w:t>
      </w:r>
    </w:p>
    <w:p>
      <w:pPr>
        <w:spacing w:after="120" w:before="0"/>
      </w:pPr>
      <w:r>
        <w:rPr>
          <w:b w:val="0"/>
          <w:i w:val="0"/>
          <w:color w:val="1C3A36"/>
          <w:sz w:val="18"/>
        </w:rPr>
        <w:t>3. All figures are model outputs under stated assumptions and may be wrong. Financial-statement data was captured from company results releases as republished on public wire services because the issuer’s PDF filings were inaccessible this session; figures must be re-verified against the filed statements before any reliance.</w:t>
      </w:r>
    </w:p>
    <w:p>
      <w:pPr>
        <w:spacing w:after="120" w:before="0"/>
      </w:pPr>
      <w:r>
        <w:rPr>
          <w:b w:val="0"/>
          <w:i w:val="0"/>
          <w:color w:val="1C3A36"/>
          <w:sz w:val="18"/>
        </w:rPr>
        <w:t>4. Forecasts are probability distributions, not predictions; they are published to be graded, and the graded record on the public Calibration Ledger — including failures — is part of this document’s meaning.</w:t>
      </w:r>
    </w:p>
    <w:p>
      <w:pPr>
        <w:spacing w:after="120" w:before="0"/>
      </w:pPr>
      <w:r>
        <w:rPr>
          <w:b w:val="0"/>
          <w:i w:val="0"/>
          <w:color w:val="1C3A36"/>
          <w:sz w:val="18"/>
        </w:rPr>
        <w:t>5. Nothing here considers any person’s objectives or circumstances. Anyone considering an investment should consult a licensed advisor and the issuer’s official filings.</w:t>
      </w:r>
    </w:p>
    <w:p>
      <w:pPr>
        <w:spacing w:after="120" w:before="0"/>
      </w:pPr>
      <w:r>
        <w:rPr>
          <w:b w:val="0"/>
          <w:i w:val="0"/>
          <w:color w:val="1C3A36"/>
          <w:sz w:val="18"/>
        </w:rPr>
        <w:t>6. The preparer may hold, or may in the future hold, a position in the security discussed. Testahil accepts no liability for any loss arising from the use of this document.</w:t>
      </w:r>
    </w:p>
    <w:p>
      <w:pPr>
        <w:spacing w:after="120" w:before="0"/>
      </w:pPr>
      <w:r>
        <w:rPr>
          <w:b w:val="0"/>
          <w:i w:val="0"/>
          <w:color w:val="6E7B77"/>
          <w:sz w:val="17"/>
        </w:rPr>
        <w:t>Testahil · testahil.com · study date 10 July 2026 · all forecasts in this study are logged, with maturity dates, to the public Calibration Ledger and graded after the fact.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