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77.86 — -40% against today's price, and -11%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28.57 – 138.18</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28.57 – 138.18</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77.86</w:t>
            </w:r>
          </w:p>
        </w:tc>
        <w:tc>
          <w:tcPr>
            <w:tcW w:type="dxa" w:w="907"/>
          </w:tcPr>
          <w:p>
            <w:pPr>
              <w:spacing w:after="20"/>
              <w:jc w:val="right"/>
            </w:pPr>
            <w:r>
              <w:rPr>
                <w:color w:val="1C3A36"/>
                <w:sz w:val="17"/>
              </w:rPr>
              <w:t>-40%</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33.67</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28,072</w:t>
            </w:r>
          </w:p>
        </w:tc>
        <w:tc>
          <w:tcPr>
            <w:tcW w:type="dxa" w:w="4896"/>
          </w:tcPr>
          <w:p>
            <w:pPr>
              <w:spacing w:after="20"/>
              <w:jc w:val="right"/>
            </w:pPr>
            <w:r>
              <w:rPr>
                <w:color w:val="1C3A36"/>
                <w:sz w:val="16"/>
              </w:rPr>
              <w:t>NOT a reinvestment-rate identity. FY2030E NOPAT grown 9.14%, plus book depreciation of 6,902 added back, LESS maintenance at replacement cost 12,377 on the derived 17.26-year asset life, less growth capital 4,573 at the stated real terminal growth, less inflation on working capital 8,882 — so the terminal pays for replacing its own assets at what they cost to replace, not at what they cost historically. The retired construction forced reinvestment to g ÷ terminal return on capital (22.4%) and is published beside the model, unused</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grown one year and capitalised at 15.34% − 9.14%, then discounted at the year-5 factor 0.3969. IT REPRODUCES FROM THE ROW ABOVE: 28,072 × 1.0914 ÷ 6.2035% = 493,872, and 493,872 × 0.3969 = 195,998</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NET POSITIVE: FY2026 consumes working capital and its present value is -252, but FY2027 contributes 3,359 and the second outweighs the first. Added after external review; omitting it had UNDERSTATED this lens</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28.57</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138.18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28.57</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138.18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Margins are outputs of the build in all three,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FY2026 growth, MEASURED on the reviewed half</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30.57%</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r>
      <w:tr>
        <w:tc>
          <w:tcPr>
            <w:tcW w:type="dxa" w:w="3384"/>
          </w:tcPr>
          <w:p>
            <w:pPr>
              <w:spacing w:after="20"/>
            </w:pPr>
            <w:r>
              <w:rPr>
                <w:color w:val="1C3A36"/>
                <w:sz w:val="16"/>
              </w:rPr>
              <w:t>Cables — tonnage growth (the disclosed volume driver,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is HELD FLAT at 3.07% in every forecast year, slightly BELOW FY2025's own 3.16% — the reviewed half measures the level holding rather than reverting, and the forecast follows the measurement. THIS IS THE STUDY'S MOST CONSEQUENTIAL CONTESTED JUDGEMENT AND IT IS PUBLISHED BOTH WAYS: the retired reversion path (4.55% / 4.65% / 4.75% / 4.75% / 4.85%) gives EGP 54.00 a share, -39% against the central. The capex and D&amp;A paths are shown because they are live free-cash-flow drivers, not footnotes: capex is held at a flat 3.57% of revenue, the rate measured off the completed 2024-25 programme (it ran 3.1% in FY2023, 3.7% in FY2024 and peaked at 4.7% in FY2025). Holding it at that FY2025 peak instead would cost EGP 8.29 on the cash-flow lens, taking it to 79.65 — an earlier edition of this caption put that cost at 1.8 and was wrong by a factor of 4.6.</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CALIBRATED ON THE REVIEWED HALF TO 30 JUNE 2026, not merely checked against it: all three segment growth rates are that half's own year-on-year ratios (cables 30.57%, construct 27.44%, elecprod 48.28%), all three margins are FY2025 plus its like-for-like change, and working capital and capital expenditure are re-anchored on it. The Q1-2026 gross-up is therefore NOT an independent check — it is a quarter of the period the build stands on — and it is shown for continuity rather than as corroboration: the disclosed Q1-2026 revenue of 75,298, grossed up on the Q1-2025 seasonal share of FY2025, implies a full FY2026 of roughly 356,323 against the build's 370,194, a +4% difference.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2.87-3.67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33.67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54.27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33.67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81.02 – 91.47</w:t>
            </w:r>
          </w:p>
        </w:tc>
        <w:tc>
          <w:tcPr>
            <w:tcW w:type="dxa" w:w="1944"/>
          </w:tcPr>
          <w:p>
            <w:pPr>
              <w:spacing w:after="20"/>
              <w:jc w:val="right"/>
            </w:pPr>
            <w:r>
              <w:rPr>
                <w:color w:val="1C3A36"/>
                <w:sz w:val="17"/>
              </w:rPr>
              <w:t>10.45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currency row at EGP 23.41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77.86, -40%</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FY2025 dividend carried forward to that anchor at the same rate: EGP 1.85 went ex on 4 June and is worth EGP 1.97 by 3 September. The roll is worth about +13.82 gross on the primary lens, +11.85 after the dividend leaves.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77.86.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10.45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