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9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69.22, and the cross-checks around it span EGP 45.65 to EGP 65.57, against a market price of EGP 77.00 — -10.1%.</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69.22 a share on the cash-flow lens this study publishes, against a market price of EGP 77.00 on 3 September 2026 — -10.1%.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27.30 and the bull corner EGP 69.77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27.30.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worth +12.4% of value and published both ways rather than averaged. The study's LARGEST contested judgement is a different one — terminal useful life, worth +20.8% — and it is set out with the rest in section 1.9.</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69.22</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-10.1%</w:t>
            </w:r>
          </w:p>
        </w:tc>
        <w:tc>
          <w:tcPr>
            <w:tcW w:type="dxa" w:w="1699"/>
            <w:shd w:val="clear" w:color="auto" w:fill="F6F1E6"/>
          </w:tcPr>
          <w:p>
            <w:pPr>
              <w:spacing w:after="20"/>
              <w:jc w:val="right"/>
            </w:pPr>
            <w:r>
              <w:rPr>
                <w:b/>
                <w:color w:val="1C3A36"/>
                <w:sz w:val="18"/>
              </w:rPr>
              <w:t>55.4%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59.91;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69.22.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59.91;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+5.9%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0.4156 at 4.50 years — it is the value at the end of the window of everything after it, so it arrives half a year later than year five's own cash flow at 0.4521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29.51% and an explicit cost of capital of 28.78% against the 27.60% adopted here — 118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28.78% wherever this study prints 27.60%,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77.79 against 69.22 on the adopted one, a difference of +12.4%.</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82.73</w:t>
            </w:r>
          </w:p>
        </w:tc>
        <w:tc>
          <w:tcPr>
            <w:tcW w:type="dxa" w:w="1391"/>
          </w:tcPr>
          <w:p>
            <w:pPr>
              <w:spacing w:after="20"/>
              <w:jc w:val="right"/>
            </w:pPr>
            <w:r>
              <w:rPr>
                <w:color w:val="1C3A36"/>
                <w:sz w:val="18"/>
              </w:rPr>
              <w:t>73.30</w:t>
            </w:r>
          </w:p>
        </w:tc>
        <w:tc>
          <w:tcPr>
            <w:tcW w:type="dxa" w:w="1391"/>
          </w:tcPr>
          <w:p>
            <w:pPr>
              <w:spacing w:after="20"/>
              <w:jc w:val="right"/>
            </w:pPr>
            <w:r>
              <w:rPr>
                <w:color w:val="1C3A36"/>
                <w:sz w:val="18"/>
              </w:rPr>
              <w:t>65.95</w:t>
            </w:r>
          </w:p>
        </w:tc>
        <w:tc>
          <w:tcPr>
            <w:tcW w:type="dxa" w:w="1391"/>
          </w:tcPr>
          <w:p>
            <w:pPr>
              <w:spacing w:after="20"/>
              <w:jc w:val="right"/>
            </w:pPr>
            <w:r>
              <w:rPr>
                <w:color w:val="1C3A36"/>
                <w:sz w:val="18"/>
              </w:rPr>
              <w:t>61.43</w:t>
            </w:r>
          </w:p>
        </w:tc>
        <w:tc>
          <w:tcPr>
            <w:tcW w:type="dxa" w:w="1391"/>
          </w:tcPr>
          <w:p>
            <w:pPr>
              <w:spacing w:after="20"/>
              <w:jc w:val="right"/>
            </w:pPr>
            <w:r>
              <w:rPr>
                <w:color w:val="1C3A36"/>
                <w:sz w:val="18"/>
              </w:rPr>
              <w:t>57.54</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107.82.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1,453</w:t>
            </w:r>
          </w:p>
        </w:tc>
        <w:tc>
          <w:tcPr>
            <w:tcW w:type="dxa" w:w="1325"/>
            <w:shd w:val="clear" w:color="auto" w:fill="F6F1E6"/>
          </w:tcPr>
          <w:p>
            <w:pPr>
              <w:spacing w:after="20"/>
              <w:jc w:val="right"/>
            </w:pPr>
            <w:r>
              <w:rPr>
                <w:b/>
                <w:color w:val="1C3A36"/>
                <w:sz w:val="17"/>
              </w:rPr>
              <w:t>2,762</w:t>
            </w:r>
          </w:p>
        </w:tc>
        <w:tc>
          <w:tcPr>
            <w:tcW w:type="dxa" w:w="1325"/>
            <w:shd w:val="clear" w:color="auto" w:fill="F6F1E6"/>
          </w:tcPr>
          <w:p>
            <w:pPr>
              <w:spacing w:after="20"/>
              <w:jc w:val="right"/>
            </w:pPr>
            <w:r>
              <w:rPr>
                <w:b/>
                <w:color w:val="1C3A36"/>
                <w:sz w:val="17"/>
              </w:rPr>
              <w:t>2,562</w:t>
            </w:r>
          </w:p>
        </w:tc>
        <w:tc>
          <w:tcPr>
            <w:tcW w:type="dxa" w:w="1325"/>
            <w:shd w:val="clear" w:color="auto" w:fill="F6F1E6"/>
          </w:tcPr>
          <w:p>
            <w:pPr>
              <w:spacing w:after="20"/>
              <w:jc w:val="right"/>
            </w:pPr>
            <w:r>
              <w:rPr>
                <w:b/>
                <w:color w:val="1C3A36"/>
                <w:sz w:val="17"/>
              </w:rPr>
              <w:t>2,344</w:t>
            </w:r>
          </w:p>
        </w:tc>
        <w:tc>
          <w:tcPr>
            <w:tcW w:type="dxa" w:w="1325"/>
            <w:shd w:val="clear" w:color="auto" w:fill="F6F1E6"/>
          </w:tcPr>
          <w:p>
            <w:pPr>
              <w:spacing w:after="20"/>
              <w:jc w:val="right"/>
            </w:pPr>
            <w:r>
              <w:rPr>
                <w:b/>
                <w:color w:val="1C3A36"/>
                <w:sz w:val="17"/>
              </w:rPr>
              <w:t>2,144</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4.92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11,266</w:t>
            </w:r>
          </w:p>
        </w:tc>
        <w:tc>
          <w:tcPr>
            <w:tcW w:type="dxa" w:w="2160"/>
          </w:tcPr>
          <w:p>
            <w:pPr>
              <w:spacing w:after="20"/>
              <w:jc w:val="right"/>
            </w:pPr>
            <w:r>
              <w:rPr>
                <w:color w:val="1C3A36"/>
                <w:sz w:val="18"/>
              </w:rPr>
              <w:t>30.05</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13,996</w:t>
            </w:r>
          </w:p>
        </w:tc>
        <w:tc>
          <w:tcPr>
            <w:tcW w:type="dxa" w:w="2160"/>
          </w:tcPr>
          <w:p>
            <w:pPr>
              <w:spacing w:after="20"/>
              <w:jc w:val="right"/>
            </w:pPr>
            <w:r>
              <w:rPr>
                <w:color w:val="1C3A36"/>
                <w:sz w:val="18"/>
              </w:rPr>
              <w:t>37.34</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25,262</w:t>
            </w:r>
          </w:p>
        </w:tc>
        <w:tc>
          <w:tcPr>
            <w:tcW w:type="dxa" w:w="2160"/>
            <w:shd w:val="clear" w:color="auto" w:fill="F6F1E6"/>
          </w:tcPr>
          <w:p>
            <w:pPr>
              <w:spacing w:after="20"/>
              <w:jc w:val="right"/>
            </w:pPr>
            <w:r>
              <w:rPr>
                <w:b/>
                <w:color w:val="1C3A36"/>
                <w:sz w:val="18"/>
              </w:rPr>
              <w:t>67.39</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25,949</w:t>
            </w:r>
          </w:p>
        </w:tc>
        <w:tc>
          <w:tcPr>
            <w:tcW w:type="dxa" w:w="2160"/>
            <w:shd w:val="clear" w:color="auto" w:fill="F6F1E6"/>
          </w:tcPr>
          <w:p>
            <w:pPr>
              <w:spacing w:after="20"/>
              <w:jc w:val="right"/>
            </w:pPr>
            <w:r>
              <w:rPr>
                <w:b/>
                <w:color w:val="1C3A36"/>
                <w:sz w:val="18"/>
              </w:rPr>
              <w:t>69.22</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55.4%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-10.1%</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1,252mn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0.0008% of equity value. The subsidiaries are 99% to 99.99% owned.</w:t>
      </w:r>
    </w:p>
    <w:p>
      <w:pPr>
        <w:spacing w:after="120" w:before="0"/>
      </w:pPr>
      <w:r>
        <w:rPr>
          <w:b w:val="0"/>
          <w:i w:val="0"/>
          <w:color w:val="1C3A36"/>
          <w:sz w:val="21"/>
        </w:rPr>
        <w:t>At 55.4%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45,911mn,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11.73% — the last forecast year's operating profit after tax against that capital, both measured at the same date. A figure of 12.6% appears in the earlier editions of this section and is NOT used here: it divides a profit already grown by one year of terminal growth by a capital base that has not grown, which flatters the return by 82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55.8% of terminal profit. Substituting the definitions, that construction collapses to a fixed charge of growth multiplied by invested capital: EGP 3,214mn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2,296mn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11.73% against a terminal rate of 18.3% — 661 basis points BELOW it. Growth therefore DESTROYS value: the cash-flow lens is EGP 71.23 at 3% terminal growth and EGP 69.22 at 7%, so four extra points of perpetual growth take the value DOWN by 2.8%.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73.61</w:t>
            </w:r>
          </w:p>
        </w:tc>
        <w:tc>
          <w:tcPr>
            <w:tcW w:type="dxa" w:w="1469"/>
          </w:tcPr>
          <w:p>
            <w:pPr>
              <w:spacing w:after="20"/>
              <w:jc w:val="right"/>
            </w:pPr>
            <w:r>
              <w:rPr>
                <w:color w:val="1C3A36"/>
                <w:sz w:val="18"/>
              </w:rPr>
              <w:t>73.30</w:t>
            </w:r>
          </w:p>
        </w:tc>
        <w:tc>
          <w:tcPr>
            <w:tcW w:type="dxa" w:w="1469"/>
          </w:tcPr>
          <w:p>
            <w:pPr>
              <w:spacing w:after="20"/>
              <w:jc w:val="right"/>
            </w:pPr>
            <w:r>
              <w:rPr>
                <w:color w:val="1C3A36"/>
                <w:sz w:val="18"/>
              </w:rPr>
              <w:t>72.87</w:t>
            </w:r>
          </w:p>
        </w:tc>
        <w:tc>
          <w:tcPr>
            <w:tcW w:type="dxa" w:w="1469"/>
          </w:tcPr>
          <w:p>
            <w:pPr>
              <w:spacing w:after="20"/>
              <w:jc w:val="right"/>
            </w:pPr>
            <w:r>
              <w:rPr>
                <w:color w:val="1C3A36"/>
                <w:sz w:val="18"/>
              </w:rPr>
              <w:t>72.29</w:t>
            </w:r>
          </w:p>
        </w:tc>
        <w:tc>
          <w:tcPr>
            <w:tcW w:type="dxa" w:w="1469"/>
          </w:tcPr>
          <w:p>
            <w:pPr>
              <w:spacing w:after="20"/>
              <w:jc w:val="right"/>
            </w:pPr>
            <w:r>
              <w:rPr>
                <w:color w:val="1C3A36"/>
                <w:sz w:val="18"/>
              </w:rPr>
              <w:t>71.52</w:t>
            </w:r>
          </w:p>
        </w:tc>
      </w:tr>
      <w:tr>
        <w:tc>
          <w:tcPr>
            <w:tcW w:type="dxa" w:w="2477"/>
          </w:tcPr>
          <w:p>
            <w:pPr>
              <w:spacing w:after="20"/>
            </w:pPr>
            <w:r>
              <w:rPr>
                <w:color w:val="1C3A36"/>
                <w:sz w:val="18"/>
              </w:rPr>
              <w:t>26.10%</w:t>
            </w:r>
          </w:p>
        </w:tc>
        <w:tc>
          <w:tcPr>
            <w:tcW w:type="dxa" w:w="1469"/>
          </w:tcPr>
          <w:p>
            <w:pPr>
              <w:spacing w:after="20"/>
              <w:jc w:val="right"/>
            </w:pPr>
            <w:r>
              <w:rPr>
                <w:color w:val="1C3A36"/>
                <w:sz w:val="18"/>
              </w:rPr>
              <w:t>72.40</w:t>
            </w:r>
          </w:p>
        </w:tc>
        <w:tc>
          <w:tcPr>
            <w:tcW w:type="dxa" w:w="1469"/>
          </w:tcPr>
          <w:p>
            <w:pPr>
              <w:spacing w:after="20"/>
              <w:jc w:val="right"/>
            </w:pPr>
            <w:r>
              <w:rPr>
                <w:color w:val="1C3A36"/>
                <w:sz w:val="18"/>
              </w:rPr>
              <w:t>72.10</w:t>
            </w:r>
          </w:p>
        </w:tc>
        <w:tc>
          <w:tcPr>
            <w:tcW w:type="dxa" w:w="1469"/>
          </w:tcPr>
          <w:p>
            <w:pPr>
              <w:spacing w:after="20"/>
              <w:jc w:val="right"/>
            </w:pPr>
            <w:r>
              <w:rPr>
                <w:color w:val="1C3A36"/>
                <w:sz w:val="18"/>
              </w:rPr>
              <w:t>71.68</w:t>
            </w:r>
          </w:p>
        </w:tc>
        <w:tc>
          <w:tcPr>
            <w:tcW w:type="dxa" w:w="1469"/>
          </w:tcPr>
          <w:p>
            <w:pPr>
              <w:spacing w:after="20"/>
              <w:jc w:val="right"/>
            </w:pPr>
            <w:r>
              <w:rPr>
                <w:color w:val="1C3A36"/>
                <w:sz w:val="18"/>
              </w:rPr>
              <w:t>71.11</w:t>
            </w:r>
          </w:p>
        </w:tc>
        <w:tc>
          <w:tcPr>
            <w:tcW w:type="dxa" w:w="1469"/>
          </w:tcPr>
          <w:p>
            <w:pPr>
              <w:spacing w:after="20"/>
              <w:jc w:val="right"/>
            </w:pPr>
            <w:r>
              <w:rPr>
                <w:color w:val="1C3A36"/>
                <w:sz w:val="18"/>
              </w:rPr>
              <w:t>70.36</w:t>
            </w:r>
          </w:p>
        </w:tc>
      </w:tr>
      <w:tr>
        <w:tc>
          <w:tcPr>
            <w:tcW w:type="dxa" w:w="2477"/>
          </w:tcPr>
          <w:p>
            <w:pPr>
              <w:spacing w:after="20"/>
            </w:pPr>
            <w:r>
              <w:rPr>
                <w:color w:val="1C3A36"/>
                <w:sz w:val="18"/>
              </w:rPr>
              <w:t>27.60%</w:t>
            </w:r>
          </w:p>
        </w:tc>
        <w:tc>
          <w:tcPr>
            <w:tcW w:type="dxa" w:w="1469"/>
          </w:tcPr>
          <w:p>
            <w:pPr>
              <w:spacing w:after="20"/>
              <w:jc w:val="right"/>
            </w:pPr>
            <w:r>
              <w:rPr>
                <w:color w:val="1C3A36"/>
                <w:sz w:val="18"/>
              </w:rPr>
              <w:t>71.23</w:t>
            </w:r>
          </w:p>
        </w:tc>
        <w:tc>
          <w:tcPr>
            <w:tcW w:type="dxa" w:w="1469"/>
          </w:tcPr>
          <w:p>
            <w:pPr>
              <w:spacing w:after="20"/>
              <w:jc w:val="right"/>
            </w:pPr>
            <w:r>
              <w:rPr>
                <w:color w:val="1C3A36"/>
                <w:sz w:val="18"/>
              </w:rPr>
              <w:t>70.93</w:t>
            </w:r>
          </w:p>
        </w:tc>
        <w:tc>
          <w:tcPr>
            <w:tcW w:type="dxa" w:w="1469"/>
          </w:tcPr>
          <w:p>
            <w:pPr>
              <w:spacing w:after="20"/>
              <w:jc w:val="right"/>
            </w:pPr>
            <w:r>
              <w:rPr>
                <w:color w:val="1C3A36"/>
                <w:sz w:val="18"/>
              </w:rPr>
              <w:t>70.52</w:t>
            </w:r>
          </w:p>
        </w:tc>
        <w:tc>
          <w:tcPr>
            <w:tcW w:type="dxa" w:w="1469"/>
          </w:tcPr>
          <w:p>
            <w:pPr>
              <w:spacing w:after="20"/>
              <w:jc w:val="right"/>
            </w:pPr>
            <w:r>
              <w:rPr>
                <w:color w:val="1C3A36"/>
                <w:sz w:val="18"/>
              </w:rPr>
              <w:t>69.96</w:t>
            </w:r>
          </w:p>
        </w:tc>
        <w:tc>
          <w:tcPr>
            <w:tcW w:type="dxa" w:w="1469"/>
          </w:tcPr>
          <w:p>
            <w:pPr>
              <w:spacing w:after="20"/>
              <w:jc w:val="right"/>
            </w:pPr>
            <w:r>
              <w:rPr>
                <w:color w:val="1C3A36"/>
                <w:sz w:val="18"/>
              </w:rPr>
              <w:t>69.22</w:t>
            </w:r>
          </w:p>
        </w:tc>
      </w:tr>
      <w:tr>
        <w:tc>
          <w:tcPr>
            <w:tcW w:type="dxa" w:w="2477"/>
          </w:tcPr>
          <w:p>
            <w:pPr>
              <w:spacing w:after="20"/>
            </w:pPr>
            <w:r>
              <w:rPr>
                <w:color w:val="1C3A36"/>
                <w:sz w:val="18"/>
              </w:rPr>
              <w:t>29.10%</w:t>
            </w:r>
          </w:p>
        </w:tc>
        <w:tc>
          <w:tcPr>
            <w:tcW w:type="dxa" w:w="1469"/>
          </w:tcPr>
          <w:p>
            <w:pPr>
              <w:spacing w:after="20"/>
              <w:jc w:val="right"/>
            </w:pPr>
            <w:r>
              <w:rPr>
                <w:color w:val="1C3A36"/>
                <w:sz w:val="18"/>
              </w:rPr>
              <w:t>70.08</w:t>
            </w:r>
          </w:p>
        </w:tc>
        <w:tc>
          <w:tcPr>
            <w:tcW w:type="dxa" w:w="1469"/>
          </w:tcPr>
          <w:p>
            <w:pPr>
              <w:spacing w:after="20"/>
              <w:jc w:val="right"/>
            </w:pPr>
            <w:r>
              <w:rPr>
                <w:color w:val="1C3A36"/>
                <w:sz w:val="18"/>
              </w:rPr>
              <w:t>69.79</w:t>
            </w:r>
          </w:p>
        </w:tc>
        <w:tc>
          <w:tcPr>
            <w:tcW w:type="dxa" w:w="1469"/>
          </w:tcPr>
          <w:p>
            <w:pPr>
              <w:spacing w:after="20"/>
              <w:jc w:val="right"/>
            </w:pPr>
            <w:r>
              <w:rPr>
                <w:color w:val="1C3A36"/>
                <w:sz w:val="18"/>
              </w:rPr>
              <w:t>69.39</w:t>
            </w:r>
          </w:p>
        </w:tc>
        <w:tc>
          <w:tcPr>
            <w:tcW w:type="dxa" w:w="1469"/>
          </w:tcPr>
          <w:p>
            <w:pPr>
              <w:spacing w:after="20"/>
              <w:jc w:val="right"/>
            </w:pPr>
            <w:r>
              <w:rPr>
                <w:color w:val="1C3A36"/>
                <w:sz w:val="18"/>
              </w:rPr>
              <w:t>68.84</w:t>
            </w:r>
          </w:p>
        </w:tc>
        <w:tc>
          <w:tcPr>
            <w:tcW w:type="dxa" w:w="1469"/>
          </w:tcPr>
          <w:p>
            <w:pPr>
              <w:spacing w:after="20"/>
              <w:jc w:val="right"/>
            </w:pPr>
            <w:r>
              <w:rPr>
                <w:color w:val="1C3A36"/>
                <w:sz w:val="18"/>
              </w:rPr>
              <w:t>68.12</w:t>
            </w:r>
          </w:p>
        </w:tc>
      </w:tr>
      <w:tr>
        <w:tc>
          <w:tcPr>
            <w:tcW w:type="dxa" w:w="2477"/>
          </w:tcPr>
          <w:p>
            <w:pPr>
              <w:spacing w:after="20"/>
            </w:pPr>
            <w:r>
              <w:rPr>
                <w:color w:val="1C3A36"/>
                <w:sz w:val="18"/>
              </w:rPr>
              <w:t>30.60%</w:t>
            </w:r>
          </w:p>
        </w:tc>
        <w:tc>
          <w:tcPr>
            <w:tcW w:type="dxa" w:w="1469"/>
          </w:tcPr>
          <w:p>
            <w:pPr>
              <w:spacing w:after="20"/>
              <w:jc w:val="right"/>
            </w:pPr>
            <w:r>
              <w:rPr>
                <w:color w:val="1C3A36"/>
                <w:sz w:val="18"/>
              </w:rPr>
              <w:t>68.97</w:t>
            </w:r>
          </w:p>
        </w:tc>
        <w:tc>
          <w:tcPr>
            <w:tcW w:type="dxa" w:w="1469"/>
          </w:tcPr>
          <w:p>
            <w:pPr>
              <w:spacing w:after="20"/>
              <w:jc w:val="right"/>
            </w:pPr>
            <w:r>
              <w:rPr>
                <w:color w:val="1C3A36"/>
                <w:sz w:val="18"/>
              </w:rPr>
              <w:t>68.68</w:t>
            </w:r>
          </w:p>
        </w:tc>
        <w:tc>
          <w:tcPr>
            <w:tcW w:type="dxa" w:w="1469"/>
          </w:tcPr>
          <w:p>
            <w:pPr>
              <w:spacing w:after="20"/>
              <w:jc w:val="right"/>
            </w:pPr>
            <w:r>
              <w:rPr>
                <w:color w:val="1C3A36"/>
                <w:sz w:val="18"/>
              </w:rPr>
              <w:t>68.29</w:t>
            </w:r>
          </w:p>
        </w:tc>
        <w:tc>
          <w:tcPr>
            <w:tcW w:type="dxa" w:w="1469"/>
          </w:tcPr>
          <w:p>
            <w:pPr>
              <w:spacing w:after="20"/>
              <w:jc w:val="right"/>
            </w:pPr>
            <w:r>
              <w:rPr>
                <w:color w:val="1C3A36"/>
                <w:sz w:val="18"/>
              </w:rPr>
              <w:t>67.75</w:t>
            </w:r>
          </w:p>
        </w:tc>
        <w:tc>
          <w:tcPr>
            <w:tcW w:type="dxa" w:w="1469"/>
          </w:tcPr>
          <w:p>
            <w:pPr>
              <w:spacing w:after="20"/>
              <w:jc w:val="right"/>
            </w:pPr>
            <w:r>
              <w:rPr>
                <w:color w:val="1C3A36"/>
                <w:sz w:val="18"/>
              </w:rPr>
              <w:t>67.04</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2.09, against EGP 4.64 down a column. The paragraphs above set out why the growth axis is nearly flat — on a replacement-cost denominator this plant sits within -661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82.72</w:t>
            </w:r>
          </w:p>
        </w:tc>
        <w:tc>
          <w:tcPr>
            <w:tcW w:type="dxa" w:w="1469"/>
          </w:tcPr>
          <w:p>
            <w:pPr>
              <w:spacing w:after="20"/>
              <w:jc w:val="right"/>
            </w:pPr>
            <w:r>
              <w:rPr>
                <w:color w:val="1C3A36"/>
                <w:sz w:val="18"/>
              </w:rPr>
              <w:t>76.59</w:t>
            </w:r>
          </w:p>
        </w:tc>
        <w:tc>
          <w:tcPr>
            <w:tcW w:type="dxa" w:w="1469"/>
          </w:tcPr>
          <w:p>
            <w:pPr>
              <w:spacing w:after="20"/>
              <w:jc w:val="right"/>
            </w:pPr>
            <w:r>
              <w:rPr>
                <w:color w:val="1C3A36"/>
                <w:sz w:val="18"/>
              </w:rPr>
              <w:t>71.52</w:t>
            </w:r>
          </w:p>
        </w:tc>
        <w:tc>
          <w:tcPr>
            <w:tcW w:type="dxa" w:w="1469"/>
          </w:tcPr>
          <w:p>
            <w:pPr>
              <w:spacing w:after="20"/>
              <w:jc w:val="right"/>
            </w:pPr>
            <w:r>
              <w:rPr>
                <w:color w:val="1C3A36"/>
                <w:sz w:val="18"/>
              </w:rPr>
              <w:t>67.27</w:t>
            </w:r>
          </w:p>
        </w:tc>
        <w:tc>
          <w:tcPr>
            <w:tcW w:type="dxa" w:w="1469"/>
          </w:tcPr>
          <w:p>
            <w:pPr>
              <w:spacing w:after="20"/>
              <w:jc w:val="right"/>
            </w:pPr>
            <w:r>
              <w:rPr>
                <w:color w:val="1C3A36"/>
                <w:sz w:val="18"/>
              </w:rPr>
              <w:t>63.64</w:t>
            </w:r>
          </w:p>
        </w:tc>
      </w:tr>
      <w:tr>
        <w:tc>
          <w:tcPr>
            <w:tcW w:type="dxa" w:w="2477"/>
          </w:tcPr>
          <w:p>
            <w:pPr>
              <w:spacing w:after="20"/>
            </w:pPr>
            <w:r>
              <w:rPr>
                <w:color w:val="1C3A36"/>
                <w:sz w:val="18"/>
              </w:rPr>
              <w:t>26.10%</w:t>
            </w:r>
          </w:p>
        </w:tc>
        <w:tc>
          <w:tcPr>
            <w:tcW w:type="dxa" w:w="1469"/>
          </w:tcPr>
          <w:p>
            <w:pPr>
              <w:spacing w:after="20"/>
              <w:jc w:val="right"/>
            </w:pPr>
            <w:r>
              <w:rPr>
                <w:color w:val="1C3A36"/>
                <w:sz w:val="18"/>
              </w:rPr>
              <w:t>81.34</w:t>
            </w:r>
          </w:p>
        </w:tc>
        <w:tc>
          <w:tcPr>
            <w:tcW w:type="dxa" w:w="1469"/>
          </w:tcPr>
          <w:p>
            <w:pPr>
              <w:spacing w:after="20"/>
              <w:jc w:val="right"/>
            </w:pPr>
            <w:r>
              <w:rPr>
                <w:color w:val="1C3A36"/>
                <w:sz w:val="18"/>
              </w:rPr>
              <w:t>75.32</w:t>
            </w:r>
          </w:p>
        </w:tc>
        <w:tc>
          <w:tcPr>
            <w:tcW w:type="dxa" w:w="1469"/>
          </w:tcPr>
          <w:p>
            <w:pPr>
              <w:spacing w:after="20"/>
              <w:jc w:val="right"/>
            </w:pPr>
            <w:r>
              <w:rPr>
                <w:color w:val="1C3A36"/>
                <w:sz w:val="18"/>
              </w:rPr>
              <w:t>70.36</w:t>
            </w:r>
          </w:p>
        </w:tc>
        <w:tc>
          <w:tcPr>
            <w:tcW w:type="dxa" w:w="1469"/>
          </w:tcPr>
          <w:p>
            <w:pPr>
              <w:spacing w:after="20"/>
              <w:jc w:val="right"/>
            </w:pPr>
            <w:r>
              <w:rPr>
                <w:color w:val="1C3A36"/>
                <w:sz w:val="18"/>
              </w:rPr>
              <w:t>66.19</w:t>
            </w:r>
          </w:p>
        </w:tc>
        <w:tc>
          <w:tcPr>
            <w:tcW w:type="dxa" w:w="1469"/>
          </w:tcPr>
          <w:p>
            <w:pPr>
              <w:spacing w:after="20"/>
              <w:jc w:val="right"/>
            </w:pPr>
            <w:r>
              <w:rPr>
                <w:color w:val="1C3A36"/>
                <w:sz w:val="18"/>
              </w:rPr>
              <w:t>62.63</w:t>
            </w:r>
          </w:p>
        </w:tc>
      </w:tr>
      <w:tr>
        <w:tc>
          <w:tcPr>
            <w:tcW w:type="dxa" w:w="2477"/>
          </w:tcPr>
          <w:p>
            <w:pPr>
              <w:spacing w:after="20"/>
            </w:pPr>
            <w:r>
              <w:rPr>
                <w:color w:val="1C3A36"/>
                <w:sz w:val="18"/>
              </w:rPr>
              <w:t>27.60%</w:t>
            </w:r>
          </w:p>
        </w:tc>
        <w:tc>
          <w:tcPr>
            <w:tcW w:type="dxa" w:w="1469"/>
          </w:tcPr>
          <w:p>
            <w:pPr>
              <w:spacing w:after="20"/>
              <w:jc w:val="right"/>
            </w:pPr>
            <w:r>
              <w:rPr>
                <w:color w:val="1C3A36"/>
                <w:sz w:val="18"/>
              </w:rPr>
              <w:t>79.99</w:t>
            </w:r>
          </w:p>
        </w:tc>
        <w:tc>
          <w:tcPr>
            <w:tcW w:type="dxa" w:w="1469"/>
          </w:tcPr>
          <w:p>
            <w:pPr>
              <w:spacing w:after="20"/>
              <w:jc w:val="right"/>
            </w:pPr>
            <w:r>
              <w:rPr>
                <w:color w:val="1C3A36"/>
                <w:sz w:val="18"/>
              </w:rPr>
              <w:t>74.09</w:t>
            </w:r>
          </w:p>
        </w:tc>
        <w:tc>
          <w:tcPr>
            <w:tcW w:type="dxa" w:w="1469"/>
          </w:tcPr>
          <w:p>
            <w:pPr>
              <w:spacing w:after="20"/>
              <w:jc w:val="right"/>
            </w:pPr>
            <w:r>
              <w:rPr>
                <w:color w:val="1C3A36"/>
                <w:sz w:val="18"/>
              </w:rPr>
              <w:t>69.22</w:t>
            </w:r>
          </w:p>
        </w:tc>
        <w:tc>
          <w:tcPr>
            <w:tcW w:type="dxa" w:w="1469"/>
          </w:tcPr>
          <w:p>
            <w:pPr>
              <w:spacing w:after="20"/>
              <w:jc w:val="right"/>
            </w:pPr>
            <w:r>
              <w:rPr>
                <w:color w:val="1C3A36"/>
                <w:sz w:val="18"/>
              </w:rPr>
              <w:t>65.13</w:t>
            </w:r>
          </w:p>
        </w:tc>
        <w:tc>
          <w:tcPr>
            <w:tcW w:type="dxa" w:w="1469"/>
          </w:tcPr>
          <w:p>
            <w:pPr>
              <w:spacing w:after="20"/>
              <w:jc w:val="right"/>
            </w:pPr>
            <w:r>
              <w:rPr>
                <w:color w:val="1C3A36"/>
                <w:sz w:val="18"/>
              </w:rPr>
              <w:t>61.65</w:t>
            </w:r>
          </w:p>
        </w:tc>
      </w:tr>
      <w:tr>
        <w:tc>
          <w:tcPr>
            <w:tcW w:type="dxa" w:w="2477"/>
          </w:tcPr>
          <w:p>
            <w:pPr>
              <w:spacing w:after="20"/>
            </w:pPr>
            <w:r>
              <w:rPr>
                <w:color w:val="1C3A36"/>
                <w:sz w:val="18"/>
              </w:rPr>
              <w:t>29.10%</w:t>
            </w:r>
          </w:p>
        </w:tc>
        <w:tc>
          <w:tcPr>
            <w:tcW w:type="dxa" w:w="1469"/>
          </w:tcPr>
          <w:p>
            <w:pPr>
              <w:spacing w:after="20"/>
              <w:jc w:val="right"/>
            </w:pPr>
            <w:r>
              <w:rPr>
                <w:color w:val="1C3A36"/>
                <w:sz w:val="18"/>
              </w:rPr>
              <w:t>78.67</w:t>
            </w:r>
          </w:p>
        </w:tc>
        <w:tc>
          <w:tcPr>
            <w:tcW w:type="dxa" w:w="1469"/>
          </w:tcPr>
          <w:p>
            <w:pPr>
              <w:spacing w:after="20"/>
              <w:jc w:val="right"/>
            </w:pPr>
            <w:r>
              <w:rPr>
                <w:color w:val="1C3A36"/>
                <w:sz w:val="18"/>
              </w:rPr>
              <w:t>72.89</w:t>
            </w:r>
          </w:p>
        </w:tc>
        <w:tc>
          <w:tcPr>
            <w:tcW w:type="dxa" w:w="1469"/>
          </w:tcPr>
          <w:p>
            <w:pPr>
              <w:spacing w:after="20"/>
              <w:jc w:val="right"/>
            </w:pPr>
            <w:r>
              <w:rPr>
                <w:color w:val="1C3A36"/>
                <w:sz w:val="18"/>
              </w:rPr>
              <w:t>68.12</w:t>
            </w:r>
          </w:p>
        </w:tc>
        <w:tc>
          <w:tcPr>
            <w:tcW w:type="dxa" w:w="1469"/>
          </w:tcPr>
          <w:p>
            <w:pPr>
              <w:spacing w:after="20"/>
              <w:jc w:val="right"/>
            </w:pPr>
            <w:r>
              <w:rPr>
                <w:color w:val="1C3A36"/>
                <w:sz w:val="18"/>
              </w:rPr>
              <w:t>64.11</w:t>
            </w:r>
          </w:p>
        </w:tc>
        <w:tc>
          <w:tcPr>
            <w:tcW w:type="dxa" w:w="1469"/>
          </w:tcPr>
          <w:p>
            <w:pPr>
              <w:spacing w:after="20"/>
              <w:jc w:val="right"/>
            </w:pPr>
            <w:r>
              <w:rPr>
                <w:color w:val="1C3A36"/>
                <w:sz w:val="18"/>
              </w:rPr>
              <w:t>60.69</w:t>
            </w:r>
          </w:p>
        </w:tc>
      </w:tr>
      <w:tr>
        <w:tc>
          <w:tcPr>
            <w:tcW w:type="dxa" w:w="2477"/>
          </w:tcPr>
          <w:p>
            <w:pPr>
              <w:spacing w:after="20"/>
            </w:pPr>
            <w:r>
              <w:rPr>
                <w:color w:val="1C3A36"/>
                <w:sz w:val="18"/>
              </w:rPr>
              <w:t>30.60%</w:t>
            </w:r>
          </w:p>
        </w:tc>
        <w:tc>
          <w:tcPr>
            <w:tcW w:type="dxa" w:w="1469"/>
          </w:tcPr>
          <w:p>
            <w:pPr>
              <w:spacing w:after="20"/>
              <w:jc w:val="right"/>
            </w:pPr>
            <w:r>
              <w:rPr>
                <w:color w:val="1C3A36"/>
                <w:sz w:val="18"/>
              </w:rPr>
              <w:t>77.39</w:t>
            </w:r>
          </w:p>
        </w:tc>
        <w:tc>
          <w:tcPr>
            <w:tcW w:type="dxa" w:w="1469"/>
          </w:tcPr>
          <w:p>
            <w:pPr>
              <w:spacing w:after="20"/>
              <w:jc w:val="right"/>
            </w:pPr>
            <w:r>
              <w:rPr>
                <w:color w:val="1C3A36"/>
                <w:sz w:val="18"/>
              </w:rPr>
              <w:t>71.72</w:t>
            </w:r>
          </w:p>
        </w:tc>
        <w:tc>
          <w:tcPr>
            <w:tcW w:type="dxa" w:w="1469"/>
          </w:tcPr>
          <w:p>
            <w:pPr>
              <w:spacing w:after="20"/>
              <w:jc w:val="right"/>
            </w:pPr>
            <w:r>
              <w:rPr>
                <w:color w:val="1C3A36"/>
                <w:sz w:val="18"/>
              </w:rPr>
              <w:t>67.04</w:t>
            </w:r>
          </w:p>
        </w:tc>
        <w:tc>
          <w:tcPr>
            <w:tcW w:type="dxa" w:w="1469"/>
          </w:tcPr>
          <w:p>
            <w:pPr>
              <w:spacing w:after="20"/>
              <w:jc w:val="right"/>
            </w:pPr>
            <w:r>
              <w:rPr>
                <w:color w:val="1C3A36"/>
                <w:sz w:val="18"/>
              </w:rPr>
              <w:t>63.11</w:t>
            </w:r>
          </w:p>
        </w:tc>
        <w:tc>
          <w:tcPr>
            <w:tcW w:type="dxa" w:w="1469"/>
          </w:tcPr>
          <w:p>
            <w:pPr>
              <w:spacing w:after="20"/>
              <w:jc w:val="right"/>
            </w:pPr>
            <w:r>
              <w:rPr>
                <w:color w:val="1C3A36"/>
                <w:sz w:val="18"/>
              </w:rPr>
              <w:t>59.75</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69.34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77.79  (+12.4%)</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73.32  (+5.9%)</w:t>
            </w:r>
          </w:p>
        </w:tc>
      </w:tr>
      <w:tr>
        <w:tc>
          <w:tcPr>
            <w:tcW w:type="dxa" w:w="3672"/>
          </w:tcPr>
          <w:p>
            <w:pPr>
              <w:spacing w:after="20"/>
            </w:pPr>
            <w:r>
              <w:rPr>
                <w:color w:val="1C3A36"/>
                <w:sz w:val="17"/>
              </w:rPr>
              <w:t>Terminal useful life: the disclosed 20 years of machinery and equipment, the class the replacement-cost base actually represents (adopted), vs the longest life disclosed in the same accounting-policies note, 50 years</w:t>
            </w:r>
          </w:p>
        </w:tc>
        <w:tc>
          <w:tcPr>
            <w:tcW w:type="dxa" w:w="1512"/>
          </w:tcPr>
          <w:p>
            <w:pPr>
              <w:spacing w:after="20"/>
              <w:jc w:val="right"/>
            </w:pPr>
            <w:r>
              <w:rPr>
                <w:color w:val="1C3A36"/>
                <w:sz w:val="17"/>
              </w:rPr>
              <w:t>20 years</w:t>
            </w:r>
          </w:p>
        </w:tc>
        <w:tc>
          <w:tcPr>
            <w:tcW w:type="dxa" w:w="1728"/>
          </w:tcPr>
          <w:p>
            <w:pPr>
              <w:spacing w:after="20"/>
              <w:jc w:val="right"/>
            </w:pPr>
            <w:r>
              <w:rPr>
                <w:color w:val="1C3A36"/>
                <w:sz w:val="17"/>
              </w:rPr>
              <w:t>50 years</w:t>
            </w:r>
          </w:p>
        </w:tc>
        <w:tc>
          <w:tcPr>
            <w:tcW w:type="dxa" w:w="2448"/>
          </w:tcPr>
          <w:p>
            <w:pPr>
              <w:spacing w:after="20"/>
              <w:jc w:val="right"/>
            </w:pPr>
            <w:r>
              <w:rPr>
                <w:color w:val="1C3A36"/>
                <w:sz w:val="17"/>
              </w:rPr>
              <w:t>83.63  (+20.8%)</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27.60%-&gt;18.34%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0.4353, so ours discounts the far end harder. The two work against each other and what is LEFT is this bar, -6.19 a share, which is the number to argue with rather than either convention.</w:t>
      </w:r>
    </w:p>
    <w:p>
      <w:pPr>
        <w:spacing w:after="120" w:before="0"/>
      </w:pPr>
      <w:r>
        <w:rPr>
          <w:b w:val="0"/>
          <w:i w:val="0"/>
          <w:color w:val="1C3A36"/>
          <w:sz w:val="19"/>
        </w:rPr>
        <w:t>Valuation date 1 Jan -&gt; 30 Jun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69.22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27.30</w:t>
            </w:r>
          </w:p>
        </w:tc>
        <w:tc>
          <w:tcPr>
            <w:tcW w:type="dxa" w:w="1440"/>
            <w:shd w:val="clear" w:color="auto" w:fill="F6F1E6"/>
          </w:tcPr>
          <w:p>
            <w:pPr>
              <w:spacing w:after="20"/>
              <w:jc w:val="right"/>
            </w:pPr>
            <w:r>
              <w:rPr>
                <w:b/>
                <w:color w:val="1C3A36"/>
                <w:sz w:val="18"/>
              </w:rPr>
              <w:t>69.22</w:t>
            </w:r>
          </w:p>
        </w:tc>
        <w:tc>
          <w:tcPr>
            <w:tcW w:type="dxa" w:w="1440"/>
            <w:shd w:val="clear" w:color="auto" w:fill="F6F1E6"/>
          </w:tcPr>
          <w:p>
            <w:pPr>
              <w:spacing w:after="20"/>
              <w:jc w:val="right"/>
            </w:pPr>
            <w:r>
              <w:rPr>
                <w:b/>
                <w:color w:val="1C3A36"/>
                <w:sz w:val="18"/>
              </w:rPr>
              <w:t>69.77</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-10.1%</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-60.6%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69.22.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59.91; but those weights were chosen rather than tested, and an average of four methods is a fifth method nobody has checked, carrying every weakness of the weakest at whatever weight somebody typed. The value published here is the cash-flow lens alone, EGP 69.22 against EGP 77.00 — -10.1%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-10.1%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69.22, and the conclusion moves from a premium over the market of that day to a discount of -10.1%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11.73% on replacement cost. The terminal block uses replacement cost, which leaves the plant roughly breaking even on new tonnes — 11.73% against a hurdle of 18.34%, so four points of terminal growth are worth -2.8%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65.22</w:t>
            </w:r>
          </w:p>
        </w:tc>
        <w:tc>
          <w:tcPr>
            <w:tcW w:type="dxa" w:w="1325"/>
          </w:tcPr>
          <w:p>
            <w:pPr>
              <w:spacing w:after="20"/>
              <w:jc w:val="right"/>
            </w:pPr>
            <w:r>
              <w:rPr>
                <w:color w:val="1C3A36"/>
                <w:sz w:val="17"/>
              </w:rPr>
              <w:t>67.22</w:t>
            </w:r>
          </w:p>
        </w:tc>
        <w:tc>
          <w:tcPr>
            <w:tcW w:type="dxa" w:w="1325"/>
          </w:tcPr>
          <w:p>
            <w:pPr>
              <w:spacing w:after="20"/>
              <w:jc w:val="right"/>
            </w:pPr>
            <w:r>
              <w:rPr>
                <w:color w:val="1C3A36"/>
                <w:sz w:val="17"/>
              </w:rPr>
              <w:t>69.22</w:t>
            </w:r>
          </w:p>
        </w:tc>
        <w:tc>
          <w:tcPr>
            <w:tcW w:type="dxa" w:w="1325"/>
          </w:tcPr>
          <w:p>
            <w:pPr>
              <w:spacing w:after="20"/>
              <w:jc w:val="right"/>
            </w:pPr>
            <w:r>
              <w:rPr>
                <w:color w:val="1C3A36"/>
                <w:sz w:val="17"/>
              </w:rPr>
              <w:t>71.22</w:t>
            </w:r>
          </w:p>
        </w:tc>
        <w:tc>
          <w:tcPr>
            <w:tcW w:type="dxa" w:w="1325"/>
          </w:tcPr>
          <w:p>
            <w:pPr>
              <w:spacing w:after="20"/>
              <w:jc w:val="right"/>
            </w:pPr>
            <w:r>
              <w:rPr>
                <w:color w:val="1C3A36"/>
                <w:sz w:val="17"/>
              </w:rPr>
              <w:t>73.22</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59.37</w:t>
            </w:r>
          </w:p>
        </w:tc>
        <w:tc>
          <w:tcPr>
            <w:tcW w:type="dxa" w:w="1325"/>
          </w:tcPr>
          <w:p>
            <w:pPr>
              <w:spacing w:after="20"/>
              <w:jc w:val="right"/>
            </w:pPr>
            <w:r>
              <w:rPr>
                <w:color w:val="1C3A36"/>
                <w:sz w:val="17"/>
              </w:rPr>
              <w:t>64.30</w:t>
            </w:r>
          </w:p>
        </w:tc>
        <w:tc>
          <w:tcPr>
            <w:tcW w:type="dxa" w:w="1325"/>
          </w:tcPr>
          <w:p>
            <w:pPr>
              <w:spacing w:after="20"/>
              <w:jc w:val="right"/>
            </w:pPr>
            <w:r>
              <w:rPr>
                <w:color w:val="1C3A36"/>
                <w:sz w:val="17"/>
              </w:rPr>
              <w:t>69.22</w:t>
            </w:r>
          </w:p>
        </w:tc>
        <w:tc>
          <w:tcPr>
            <w:tcW w:type="dxa" w:w="1325"/>
          </w:tcPr>
          <w:p>
            <w:pPr>
              <w:spacing w:after="20"/>
              <w:jc w:val="right"/>
            </w:pPr>
            <w:r>
              <w:rPr>
                <w:color w:val="1C3A36"/>
                <w:sz w:val="17"/>
              </w:rPr>
              <w:t>74.15</w:t>
            </w:r>
          </w:p>
        </w:tc>
        <w:tc>
          <w:tcPr>
            <w:tcW w:type="dxa" w:w="1325"/>
          </w:tcPr>
          <w:p>
            <w:pPr>
              <w:spacing w:after="20"/>
              <w:jc w:val="right"/>
            </w:pPr>
            <w:r>
              <w:rPr>
                <w:color w:val="1C3A36"/>
                <w:sz w:val="17"/>
              </w:rPr>
              <w:t>79.07</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358</w:t>
            </w:r>
          </w:p>
        </w:tc>
        <w:tc>
          <w:tcPr>
            <w:tcW w:type="dxa" w:w="997"/>
          </w:tcPr>
          <w:p>
            <w:pPr>
              <w:spacing w:after="20"/>
              <w:jc w:val="right"/>
            </w:pPr>
            <w:r>
              <w:rPr>
                <w:color w:val="1C3A36"/>
                <w:sz w:val="16"/>
              </w:rPr>
              <w:t>495</w:t>
            </w:r>
          </w:p>
        </w:tc>
        <w:tc>
          <w:tcPr>
            <w:tcW w:type="dxa" w:w="997"/>
          </w:tcPr>
          <w:p>
            <w:pPr>
              <w:spacing w:after="20"/>
              <w:jc w:val="right"/>
            </w:pPr>
            <w:r>
              <w:rPr>
                <w:color w:val="1C3A36"/>
                <w:sz w:val="16"/>
              </w:rPr>
              <w:t>662</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6,498</w:t>
            </w:r>
          </w:p>
        </w:tc>
        <w:tc>
          <w:tcPr>
            <w:tcW w:type="dxa" w:w="997"/>
          </w:tcPr>
          <w:p>
            <w:pPr>
              <w:spacing w:after="20"/>
              <w:jc w:val="right"/>
            </w:pPr>
            <w:r>
              <w:rPr>
                <w:color w:val="1C3A36"/>
                <w:sz w:val="16"/>
              </w:rPr>
              <w:t>7,101</w:t>
            </w:r>
          </w:p>
        </w:tc>
        <w:tc>
          <w:tcPr>
            <w:tcW w:type="dxa" w:w="997"/>
          </w:tcPr>
          <w:p>
            <w:pPr>
              <w:spacing w:after="20"/>
              <w:jc w:val="right"/>
            </w:pPr>
            <w:r>
              <w:rPr>
                <w:color w:val="1C3A36"/>
                <w:sz w:val="16"/>
              </w:rPr>
              <w:t>7,731</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(1,691)</w:t>
            </w:r>
          </w:p>
        </w:tc>
        <w:tc>
          <w:tcPr>
            <w:tcW w:type="dxa" w:w="997"/>
          </w:tcPr>
          <w:p>
            <w:pPr>
              <w:spacing w:after="20"/>
              <w:jc w:val="right"/>
            </w:pPr>
            <w:r>
              <w:rPr>
                <w:color w:val="1C3A36"/>
                <w:sz w:val="16"/>
              </w:rPr>
              <w:t>(1,841)</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4,950</w:t>
            </w:r>
          </w:p>
        </w:tc>
        <w:tc>
          <w:tcPr>
            <w:tcW w:type="dxa" w:w="997"/>
            <w:shd w:val="clear" w:color="auto" w:fill="F6F1E6"/>
          </w:tcPr>
          <w:p>
            <w:pPr>
              <w:spacing w:after="20"/>
              <w:jc w:val="right"/>
            </w:pPr>
            <w:r>
              <w:rPr>
                <w:b/>
                <w:color w:val="1C3A36"/>
                <w:sz w:val="16"/>
              </w:rPr>
              <w:t>5,409</w:t>
            </w:r>
          </w:p>
        </w:tc>
        <w:tc>
          <w:tcPr>
            <w:tcW w:type="dxa" w:w="997"/>
            <w:shd w:val="clear" w:color="auto" w:fill="F6F1E6"/>
          </w:tcPr>
          <w:p>
            <w:pPr>
              <w:spacing w:after="20"/>
              <w:jc w:val="right"/>
            </w:pPr>
            <w:r>
              <w:rPr>
                <w:b/>
                <w:color w:val="1C3A36"/>
                <w:sz w:val="16"/>
              </w:rPr>
              <w:t>5,889</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12,644</w:t>
            </w:r>
          </w:p>
        </w:tc>
        <w:tc>
          <w:tcPr>
            <w:tcW w:type="dxa" w:w="997"/>
            <w:shd w:val="clear" w:color="auto" w:fill="F6F1E6"/>
          </w:tcPr>
          <w:p>
            <w:pPr>
              <w:spacing w:after="20"/>
              <w:jc w:val="right"/>
            </w:pPr>
            <w:r>
              <w:rPr>
                <w:b/>
                <w:color w:val="1C3A36"/>
                <w:sz w:val="16"/>
              </w:rPr>
              <w:t>15,046</w:t>
            </w:r>
          </w:p>
        </w:tc>
        <w:tc>
          <w:tcPr>
            <w:tcW w:type="dxa" w:w="997"/>
            <w:shd w:val="clear" w:color="auto" w:fill="F6F1E6"/>
          </w:tcPr>
          <w:p>
            <w:pPr>
              <w:spacing w:after="20"/>
              <w:jc w:val="right"/>
            </w:pPr>
            <w:r>
              <w:rPr>
                <w:b/>
                <w:color w:val="1C3A36"/>
                <w:sz w:val="16"/>
              </w:rPr>
              <w:t>17,661</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2,506</w:t>
            </w:r>
          </w:p>
        </w:tc>
        <w:tc>
          <w:tcPr>
            <w:tcW w:type="dxa" w:w="997"/>
          </w:tcPr>
          <w:p>
            <w:pPr>
              <w:spacing w:after="20"/>
              <w:jc w:val="right"/>
            </w:pPr>
            <w:r>
              <w:rPr>
                <w:color w:val="1C3A36"/>
                <w:sz w:val="16"/>
              </w:rPr>
              <w:t>3,709</w:t>
            </w:r>
          </w:p>
        </w:tc>
        <w:tc>
          <w:tcPr>
            <w:tcW w:type="dxa" w:w="997"/>
          </w:tcPr>
          <w:p>
            <w:pPr>
              <w:spacing w:after="20"/>
              <w:jc w:val="right"/>
            </w:pPr>
            <w:r>
              <w:rPr>
                <w:color w:val="1C3A36"/>
                <w:sz w:val="16"/>
              </w:rPr>
              <w:t>5,185</w:t>
            </w:r>
          </w:p>
        </w:tc>
        <w:tc>
          <w:tcPr>
            <w:tcW w:type="dxa" w:w="997"/>
          </w:tcPr>
          <w:p>
            <w:pPr>
              <w:spacing w:after="20"/>
              <w:jc w:val="right"/>
            </w:pPr>
            <w:r>
              <w:rPr>
                <w:color w:val="1C3A36"/>
                <w:sz w:val="16"/>
              </w:rPr>
              <w:t>6,913</w:t>
            </w:r>
          </w:p>
        </w:tc>
        <w:tc>
          <w:tcPr>
            <w:tcW w:type="dxa" w:w="997"/>
          </w:tcPr>
          <w:p>
            <w:pPr>
              <w:spacing w:after="20"/>
              <w:jc w:val="right"/>
            </w:pPr>
            <w:r>
              <w:rPr>
                <w:color w:val="1C3A36"/>
                <w:sz w:val="16"/>
              </w:rPr>
              <w:t>8,886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-1,371</w:t>
            </w:r>
          </w:p>
        </w:tc>
        <w:tc>
          <w:tcPr>
            <w:tcW w:type="dxa" w:w="997"/>
          </w:tcPr>
          <w:p>
            <w:pPr>
              <w:spacing w:after="20"/>
              <w:jc w:val="right"/>
            </w:pPr>
            <w:r>
              <w:rPr>
                <w:color w:val="1C3A36"/>
                <w:sz w:val="16"/>
              </w:rPr>
              <w:t>-2,574</w:t>
            </w:r>
          </w:p>
        </w:tc>
        <w:tc>
          <w:tcPr>
            <w:tcW w:type="dxa" w:w="997"/>
          </w:tcPr>
          <w:p>
            <w:pPr>
              <w:spacing w:after="20"/>
              <w:jc w:val="right"/>
            </w:pPr>
            <w:r>
              <w:rPr>
                <w:color w:val="1C3A36"/>
                <w:sz w:val="16"/>
              </w:rPr>
              <w:t>-4,050</w:t>
            </w:r>
          </w:p>
        </w:tc>
        <w:tc>
          <w:tcPr>
            <w:tcW w:type="dxa" w:w="997"/>
          </w:tcPr>
          <w:p>
            <w:pPr>
              <w:spacing w:after="20"/>
              <w:jc w:val="right"/>
            </w:pPr>
            <w:r>
              <w:rPr>
                <w:color w:val="1C3A36"/>
                <w:sz w:val="16"/>
              </w:rPr>
              <w:t>-5,778</w:t>
            </w:r>
          </w:p>
        </w:tc>
        <w:tc>
          <w:tcPr>
            <w:tcW w:type="dxa" w:w="997"/>
          </w:tcPr>
          <w:p>
            <w:pPr>
              <w:spacing w:after="20"/>
              <w:jc w:val="right"/>
            </w:pPr>
            <w:r>
              <w:rPr>
                <w:color w:val="1C3A36"/>
                <w:sz w:val="16"/>
              </w:rPr>
              <w:t>-7,751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13,520</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22.68</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4,950</w:t>
            </w:r>
          </w:p>
        </w:tc>
        <w:tc>
          <w:tcPr>
            <w:tcW w:type="dxa" w:w="1325"/>
          </w:tcPr>
          <w:p>
            <w:pPr>
              <w:spacing w:after="20"/>
              <w:jc w:val="right"/>
            </w:pPr>
            <w:r>
              <w:rPr>
                <w:color w:val="1C3A36"/>
                <w:sz w:val="17"/>
              </w:rPr>
              <w:t>5,409</w:t>
            </w:r>
          </w:p>
        </w:tc>
        <w:tc>
          <w:tcPr>
            <w:tcW w:type="dxa" w:w="1325"/>
          </w:tcPr>
          <w:p>
            <w:pPr>
              <w:spacing w:after="20"/>
              <w:jc w:val="right"/>
            </w:pPr>
            <w:r>
              <w:rPr>
                <w:color w:val="1C3A36"/>
                <w:sz w:val="17"/>
              </w:rPr>
              <w:t>5,889</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-2,752</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-3,274</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2,506</w:t>
            </w:r>
          </w:p>
        </w:tc>
        <w:tc>
          <w:tcPr>
            <w:tcW w:type="dxa" w:w="1325"/>
            <w:shd w:val="clear" w:color="auto" w:fill="F6F1E6"/>
          </w:tcPr>
          <w:p>
            <w:pPr>
              <w:spacing w:after="20"/>
              <w:jc w:val="right"/>
            </w:pPr>
            <w:r>
              <w:rPr>
                <w:b/>
                <w:color w:val="1C3A36"/>
                <w:sz w:val="17"/>
              </w:rPr>
              <w:t>3,709</w:t>
            </w:r>
          </w:p>
        </w:tc>
        <w:tc>
          <w:tcPr>
            <w:tcW w:type="dxa" w:w="1325"/>
            <w:shd w:val="clear" w:color="auto" w:fill="F6F1E6"/>
          </w:tcPr>
          <w:p>
            <w:pPr>
              <w:spacing w:after="20"/>
              <w:jc w:val="right"/>
            </w:pPr>
            <w:r>
              <w:rPr>
                <w:b/>
                <w:color w:val="1C3A36"/>
                <w:sz w:val="17"/>
              </w:rPr>
              <w:t>5,185</w:t>
            </w:r>
          </w:p>
        </w:tc>
        <w:tc>
          <w:tcPr>
            <w:tcW w:type="dxa" w:w="1325"/>
            <w:shd w:val="clear" w:color="auto" w:fill="F6F1E6"/>
          </w:tcPr>
          <w:p>
            <w:pPr>
              <w:spacing w:after="20"/>
              <w:jc w:val="right"/>
            </w:pPr>
            <w:r>
              <w:rPr>
                <w:b/>
                <w:color w:val="1C3A36"/>
                <w:sz w:val="17"/>
              </w:rPr>
              <w:t>6,913</w:t>
            </w:r>
          </w:p>
        </w:tc>
        <w:tc>
          <w:tcPr>
            <w:tcW w:type="dxa" w:w="1325"/>
            <w:shd w:val="clear" w:color="auto" w:fill="F6F1E6"/>
          </w:tcPr>
          <w:p>
            <w:pPr>
              <w:spacing w:after="20"/>
              <w:jc w:val="right"/>
            </w:pPr>
            <w:r>
              <w:rPr>
                <w:b/>
                <w:color w:val="1C3A36"/>
                <w:sz w:val="17"/>
              </w:rPr>
              <w:t>8,886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6,498</w:t>
            </w:r>
          </w:p>
        </w:tc>
        <w:tc>
          <w:tcPr>
            <w:tcW w:type="dxa" w:w="1656"/>
            <w:shd w:val="clear" w:color="auto" w:fill="F6F1E6"/>
          </w:tcPr>
          <w:p>
            <w:pPr>
              <w:spacing w:after="20"/>
              <w:jc w:val="right"/>
            </w:pPr>
            <w:r>
              <w:rPr>
                <w:b/>
                <w:color w:val="1C3A36"/>
                <w:sz w:val="16"/>
              </w:rPr>
              <w:t>7,101</w:t>
            </w:r>
          </w:p>
        </w:tc>
        <w:tc>
          <w:tcPr>
            <w:tcW w:type="dxa" w:w="1656"/>
            <w:shd w:val="clear" w:color="auto" w:fill="F6F1E6"/>
          </w:tcPr>
          <w:p>
            <w:pPr>
              <w:spacing w:after="20"/>
              <w:jc w:val="right"/>
            </w:pPr>
            <w:r>
              <w:rPr>
                <w:b/>
                <w:color w:val="1C3A36"/>
                <w:sz w:val="16"/>
              </w:rPr>
              <w:t>7,731</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2,641</w:t>
            </w:r>
          </w:p>
        </w:tc>
        <w:tc>
          <w:tcPr>
            <w:tcW w:type="dxa" w:w="1656"/>
          </w:tcPr>
          <w:p>
            <w:pPr>
              <w:spacing w:after="20"/>
              <w:jc w:val="right"/>
            </w:pPr>
            <w:r>
              <w:rPr>
                <w:color w:val="1C3A36"/>
                <w:sz w:val="16"/>
              </w:rPr>
              <w:t>3,925</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42,128</w:t>
            </w:r>
          </w:p>
        </w:tc>
        <w:tc>
          <w:tcPr>
            <w:tcW w:type="dxa" w:w="1656"/>
          </w:tcPr>
          <w:p>
            <w:pPr>
              <w:spacing w:after="20"/>
              <w:jc w:val="right"/>
            </w:pPr>
            <w:r>
              <w:rPr>
                <w:color w:val="1C3A36"/>
                <w:sz w:val="16"/>
              </w:rPr>
              <w:t>268,271</w:t>
            </w:r>
          </w:p>
        </w:tc>
        <w:tc>
          <w:tcPr>
            <w:tcW w:type="dxa" w:w="1656"/>
          </w:tcPr>
          <w:p>
            <w:pPr>
              <w:spacing w:after="20"/>
              <w:jc w:val="right"/>
            </w:pPr>
            <w:r>
              <w:rPr>
                <w:color w:val="1C3A36"/>
                <w:sz w:val="16"/>
              </w:rPr>
              <w:t>360,783</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56.96 to EGP 75.34, central EGP 64.84 (-15.8%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4133mn; required at a 17.5% cash return that is a business worth EGP 23619mn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56.96.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56.96</w:t>
            </w:r>
          </w:p>
        </w:tc>
        <w:tc>
          <w:tcPr>
            <w:tcW w:type="dxa" w:w="1656"/>
          </w:tcPr>
          <w:p>
            <w:pPr>
              <w:spacing w:after="20"/>
              <w:jc w:val="right"/>
            </w:pPr>
            <w:r>
              <w:rPr>
                <w:color w:val="1C3A36"/>
                <w:sz w:val="18"/>
              </w:rPr>
              <w:t>64.84</w:t>
            </w:r>
          </w:p>
        </w:tc>
        <w:tc>
          <w:tcPr>
            <w:tcW w:type="dxa" w:w="1469"/>
          </w:tcPr>
          <w:p>
            <w:pPr>
              <w:spacing w:after="20"/>
              <w:jc w:val="right"/>
            </w:pPr>
            <w:r>
              <w:rPr>
                <w:color w:val="1C3A36"/>
                <w:sz w:val="18"/>
              </w:rPr>
              <w:t>75.34</w:t>
            </w:r>
          </w:p>
        </w:tc>
        <w:tc>
          <w:tcPr>
            <w:tcW w:type="dxa" w:w="1354"/>
          </w:tcPr>
          <w:p>
            <w:pPr>
              <w:spacing w:after="20"/>
              <w:jc w:val="right"/>
            </w:pPr>
            <w:r>
              <w:rPr>
                <w:color w:val="1C3A36"/>
                <w:sz w:val="18"/>
              </w:rPr>
              <w:t>-15.8%</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64.84</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-15.8%</w:t>
            </w:r>
          </w:p>
        </w:tc>
      </w:tr>
    </w:tbl>
    <w:p>
      <w:pPr>
        <w:spacing w:after="40"/>
      </w:pPr>
    </w:p>
    <w:p>
      <w:pPr>
        <w:spacing w:after="200" w:before="0"/>
      </w:pPr>
      <w:r>
        <w:rPr>
          <w:b w:val="0"/>
          <w:i/>
          <w:color w:val="6E7B77"/>
          <w:sz w:val="17"/>
        </w:rPr>
        <w:t>Table C1 — The panel. The median of the three, EGP 64.84, sits -6.3% from this study's own central of EGP 69.22 and -15.8%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69.22,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77.79 against EGP 69.22 — +12.4%. The study's largest is terminal useful life at +20.8%.</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11.73% against a terminal cost of capital of 18.34% — short of it by 661 basis points — so moving terminal growth from 3% to 7% takes the value from EGP 71.23 DOWN to EGP 69.22, -2.8%, about 0.50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64.84 against a market price of EGP 77.00 — -15.8%. All three sit below the price, and so does the study's own central of EGP 69.22.</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0.73</w:t>
            </w:r>
          </w:p>
        </w:tc>
        <w:tc>
          <w:tcPr>
            <w:tcW w:type="dxa" w:w="936"/>
          </w:tcPr>
          <w:p>
            <w:pPr>
              <w:spacing w:after="20"/>
              <w:jc w:val="right"/>
            </w:pPr>
            <w:r>
              <w:rPr>
                <w:color w:val="1C3A36"/>
                <w:sz w:val="16"/>
              </w:rPr>
              <w:t>1.1%</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15.20</w:t>
            </w:r>
          </w:p>
        </w:tc>
        <w:tc>
          <w:tcPr>
            <w:tcW w:type="dxa" w:w="936"/>
          </w:tcPr>
          <w:p>
            <w:pPr>
              <w:spacing w:after="20"/>
              <w:jc w:val="right"/>
            </w:pPr>
            <w:r>
              <w:rPr>
                <w:color w:val="1C3A36"/>
                <w:sz w:val="16"/>
              </w:rPr>
              <w:t>30.6%</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-4.38</w:t>
            </w:r>
          </w:p>
        </w:tc>
        <w:tc>
          <w:tcPr>
            <w:tcW w:type="dxa" w:w="936"/>
          </w:tcPr>
          <w:p>
            <w:pPr>
              <w:spacing w:after="20"/>
              <w:jc w:val="right"/>
            </w:pPr>
            <w:r>
              <w:rPr>
                <w:color w:val="1C3A36"/>
                <w:sz w:val="16"/>
              </w:rPr>
              <w:t>6.3%</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