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55 and EGP 103 a share. Because the contested judgement below is carried BOTH ways and the two are never averaged, the study publishes TWO weighted centres: EGP 85.25 a share on the permanent-provision reading and EGP 102.89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85.25 and EGP 102.89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55 and EGP 103.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85.25</w:t>
            </w:r>
          </w:p>
        </w:tc>
        <w:tc>
          <w:tcPr>
            <w:tcW w:type="dxa" w:w="1224"/>
          </w:tcPr>
          <w:p>
            <w:pPr>
              <w:spacing w:after="20"/>
              <w:jc w:val="right"/>
            </w:pPr>
            <w:r>
              <w:rPr>
                <w:color w:val="1C3A36"/>
                <w:sz w:val="18"/>
              </w:rPr>
              <w:t>-33%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102.89</w:t>
            </w:r>
          </w:p>
        </w:tc>
        <w:tc>
          <w:tcPr>
            <w:tcW w:type="dxa" w:w="1224"/>
          </w:tcPr>
          <w:p>
            <w:pPr>
              <w:spacing w:after="20"/>
              <w:jc w:val="right"/>
            </w:pPr>
            <w:r>
              <w:rPr>
                <w:color w:val="1C3A36"/>
                <w:sz w:val="18"/>
              </w:rPr>
              <w:t>-19%</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70.85</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1.92x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55.45</w:t>
            </w:r>
          </w:p>
        </w:tc>
        <w:tc>
          <w:tcPr>
            <w:tcW w:type="dxa" w:w="1224"/>
          </w:tcPr>
          <w:p>
            <w:pPr>
              <w:spacing w:after="20"/>
              <w:jc w:val="right"/>
            </w:pPr>
            <w:r>
              <w:rPr>
                <w:color w:val="1C3A36"/>
                <w:sz w:val="18"/>
              </w:rPr>
              <w:t>-56%</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72.28</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85.25</w:t>
            </w:r>
          </w:p>
        </w:tc>
        <w:tc>
          <w:tcPr>
            <w:tcW w:type="dxa" w:w="1224"/>
            <w:shd w:val="clear" w:color="auto" w:fill="F6F1E6"/>
          </w:tcPr>
          <w:p>
            <w:pPr>
              <w:spacing w:after="20"/>
              <w:jc w:val="right"/>
            </w:pPr>
            <w:r>
              <w:rPr>
                <w:b/>
                <w:color w:val="1C3A36"/>
                <w:sz w:val="18"/>
              </w:rPr>
              <w:t>-33%</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102.89</w:t>
            </w:r>
          </w:p>
        </w:tc>
        <w:tc>
          <w:tcPr>
            <w:tcW w:type="dxa" w:w="1224"/>
            <w:shd w:val="clear" w:color="auto" w:fill="F6F1E6"/>
          </w:tcPr>
          <w:p>
            <w:pPr>
              <w:spacing w:after="20"/>
              <w:jc w:val="right"/>
            </w:pPr>
            <w:r>
              <w:rPr>
                <w:b/>
                <w:color w:val="1C3A36"/>
                <w:sz w:val="18"/>
              </w:rPr>
              <w:t>-19%</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75.95 / 84.78</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55.45 – 102.89</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15.47%</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21.01%</w:t>
            </w:r>
          </w:p>
        </w:tc>
        <w:tc>
          <w:tcPr>
            <w:tcW w:type="dxa" w:w="1325"/>
            <w:shd w:val="clear" w:color="auto" w:fill="F6F1E6"/>
          </w:tcPr>
          <w:p>
            <w:pPr>
              <w:spacing w:after="20"/>
              <w:jc w:val="right"/>
            </w:pPr>
            <w:r>
              <w:rPr>
                <w:b/>
                <w:color w:val="1C3A36"/>
                <w:sz w:val="17"/>
              </w:rPr>
              <w:t>18.79%</w:t>
            </w:r>
          </w:p>
        </w:tc>
        <w:tc>
          <w:tcPr>
            <w:tcW w:type="dxa" w:w="1325"/>
            <w:shd w:val="clear" w:color="auto" w:fill="F6F1E6"/>
          </w:tcPr>
          <w:p>
            <w:pPr>
              <w:spacing w:after="20"/>
              <w:jc w:val="right"/>
            </w:pPr>
            <w:r>
              <w:rPr>
                <w:b/>
                <w:color w:val="1C3A36"/>
                <w:sz w:val="17"/>
              </w:rPr>
              <w:t>16.95%</w:t>
            </w:r>
          </w:p>
        </w:tc>
        <w:tc>
          <w:tcPr>
            <w:tcW w:type="dxa" w:w="1325"/>
            <w:shd w:val="clear" w:color="auto" w:fill="F6F1E6"/>
          </w:tcPr>
          <w:p>
            <w:pPr>
              <w:spacing w:after="20"/>
              <w:jc w:val="right"/>
            </w:pPr>
            <w:r>
              <w:rPr>
                <w:b/>
                <w:color w:val="1C3A36"/>
                <w:sz w:val="17"/>
              </w:rPr>
              <w:t>15.47%</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0.6717</w:t>
            </w:r>
          </w:p>
        </w:tc>
        <w:tc>
          <w:tcPr>
            <w:tcW w:type="dxa" w:w="1325"/>
          </w:tcPr>
          <w:p>
            <w:pPr>
              <w:spacing w:after="20"/>
              <w:jc w:val="right"/>
            </w:pPr>
            <w:r>
              <w:rPr>
                <w:color w:val="1C3A36"/>
                <w:sz w:val="17"/>
              </w:rPr>
              <w:t>0.5654</w:t>
            </w:r>
          </w:p>
        </w:tc>
        <w:tc>
          <w:tcPr>
            <w:tcW w:type="dxa" w:w="1325"/>
          </w:tcPr>
          <w:p>
            <w:pPr>
              <w:spacing w:after="20"/>
              <w:jc w:val="right"/>
            </w:pPr>
            <w:r>
              <w:rPr>
                <w:color w:val="1C3A36"/>
                <w:sz w:val="17"/>
              </w:rPr>
              <w:t>0.4835</w:t>
            </w:r>
          </w:p>
        </w:tc>
        <w:tc>
          <w:tcPr>
            <w:tcW w:type="dxa" w:w="1325"/>
          </w:tcPr>
          <w:p>
            <w:pPr>
              <w:spacing w:after="20"/>
              <w:jc w:val="right"/>
            </w:pPr>
            <w:r>
              <w:rPr>
                <w:color w:val="1C3A36"/>
                <w:sz w:val="17"/>
              </w:rPr>
              <w:t>0.4187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771</w:t>
            </w:r>
          </w:p>
        </w:tc>
        <w:tc>
          <w:tcPr>
            <w:tcW w:type="dxa" w:w="1325"/>
          </w:tcPr>
          <w:p>
            <w:pPr>
              <w:spacing w:after="20"/>
              <w:jc w:val="right"/>
            </w:pPr>
            <w:r>
              <w:rPr>
                <w:color w:val="1C3A36"/>
                <w:sz w:val="17"/>
              </w:rPr>
              <w:t>1,069</w:t>
            </w:r>
          </w:p>
        </w:tc>
        <w:tc>
          <w:tcPr>
            <w:tcW w:type="dxa" w:w="1325"/>
          </w:tcPr>
          <w:p>
            <w:pPr>
              <w:spacing w:after="20"/>
              <w:jc w:val="right"/>
            </w:pPr>
            <w:r>
              <w:rPr>
                <w:color w:val="1C3A36"/>
                <w:sz w:val="17"/>
              </w:rPr>
              <w:t>1,131</w:t>
            </w:r>
          </w:p>
        </w:tc>
        <w:tc>
          <w:tcPr>
            <w:tcW w:type="dxa" w:w="1325"/>
          </w:tcPr>
          <w:p>
            <w:pPr>
              <w:spacing w:after="20"/>
              <w:jc w:val="right"/>
            </w:pPr>
            <w:r>
              <w:rPr>
                <w:color w:val="1C3A36"/>
                <w:sz w:val="17"/>
              </w:rPr>
              <w:t>1,189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4,030</w:t>
            </w:r>
          </w:p>
        </w:tc>
        <w:tc>
          <w:tcPr>
            <w:tcW w:type="dxa" w:w="2232"/>
          </w:tcPr>
          <w:p>
            <w:pPr>
              <w:spacing w:after="20"/>
              <w:jc w:val="right"/>
            </w:pPr>
            <w:r>
              <w:rPr>
                <w:color w:val="1C3A36"/>
                <w:sz w:val="18"/>
              </w:rPr>
              <w:t>23.88</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14,733</w:t>
            </w:r>
          </w:p>
        </w:tc>
        <w:tc>
          <w:tcPr>
            <w:tcW w:type="dxa" w:w="2232"/>
          </w:tcPr>
          <w:p>
            <w:pPr>
              <w:spacing w:after="20"/>
              <w:jc w:val="right"/>
            </w:pPr>
            <w:r>
              <w:rPr>
                <w:color w:val="1C3A36"/>
                <w:sz w:val="18"/>
              </w:rPr>
              <w:t>87.30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18,763</w:t>
            </w:r>
          </w:p>
        </w:tc>
        <w:tc>
          <w:tcPr>
            <w:tcW w:type="dxa" w:w="2232"/>
          </w:tcPr>
          <w:p>
            <w:pPr>
              <w:spacing w:after="20"/>
              <w:jc w:val="right"/>
            </w:pPr>
            <w:r>
              <w:rPr>
                <w:color w:val="1C3A36"/>
                <w:sz w:val="18"/>
              </w:rPr>
              <w:t>111.19</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21,754</w:t>
            </w:r>
          </w:p>
        </w:tc>
        <w:tc>
          <w:tcPr>
            <w:tcW w:type="dxa" w:w="2232"/>
          </w:tcPr>
          <w:p>
            <w:pPr>
              <w:spacing w:after="20"/>
              <w:jc w:val="right"/>
            </w:pPr>
            <w:r>
              <w:rPr>
                <w:color w:val="1C3A36"/>
                <w:sz w:val="18"/>
              </w:rPr>
              <w:t>128.91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14,386</w:t>
            </w:r>
          </w:p>
        </w:tc>
        <w:tc>
          <w:tcPr>
            <w:tcW w:type="dxa" w:w="2232"/>
          </w:tcPr>
          <w:p>
            <w:pPr>
              <w:spacing w:after="20"/>
              <w:jc w:val="right"/>
            </w:pPr>
            <w:r>
              <w:rPr>
                <w:color w:val="1C3A36"/>
                <w:sz w:val="18"/>
              </w:rPr>
              <w:t>85.25</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17,364</w:t>
            </w:r>
          </w:p>
        </w:tc>
        <w:tc>
          <w:tcPr>
            <w:tcW w:type="dxa" w:w="2232"/>
            <w:shd w:val="clear" w:color="auto" w:fill="F6F1E6"/>
          </w:tcPr>
          <w:p>
            <w:pPr>
              <w:spacing w:after="20"/>
              <w:jc w:val="right"/>
            </w:pPr>
            <w:r>
              <w:rPr>
                <w:b/>
                <w:color w:val="1C3A36"/>
                <w:sz w:val="18"/>
              </w:rPr>
              <w:t>102.89</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17.50% is worth more than its book: the multiple that relationship justifies is (return less growth) over (cost of equity less growth), or 1.92 times book — EGP 70.85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7.06x</w:t>
            </w:r>
          </w:p>
        </w:tc>
        <w:tc>
          <w:tcPr>
            <w:tcW w:type="dxa" w:w="1368"/>
          </w:tcPr>
          <w:p>
            <w:pPr>
              <w:spacing w:after="20"/>
              <w:jc w:val="right"/>
            </w:pPr>
            <w:r>
              <w:rPr>
                <w:color w:val="1C3A36"/>
                <w:sz w:val="17"/>
              </w:rPr>
              <w:t>58.09</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6.10x</w:t>
            </w:r>
          </w:p>
        </w:tc>
        <w:tc>
          <w:tcPr>
            <w:tcW w:type="dxa" w:w="1368"/>
          </w:tcPr>
          <w:p>
            <w:pPr>
              <w:spacing w:after="20"/>
              <w:jc w:val="right"/>
            </w:pPr>
            <w:r>
              <w:rPr>
                <w:color w:val="1C3A36"/>
                <w:sz w:val="17"/>
              </w:rPr>
              <w:t>52.11</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17.5%</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6.58x</w:t>
            </w:r>
          </w:p>
        </w:tc>
        <w:tc>
          <w:tcPr>
            <w:tcW w:type="dxa" w:w="1368"/>
            <w:shd w:val="clear" w:color="auto" w:fill="F6F1E6"/>
          </w:tcPr>
          <w:p>
            <w:pPr>
              <w:spacing w:after="20"/>
              <w:jc w:val="right"/>
            </w:pPr>
            <w:r>
              <w:rPr>
                <w:b/>
                <w:color w:val="1C3A36"/>
                <w:sz w:val="17"/>
              </w:rPr>
              <w:t>55.45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17.50% less 7% growth, on the 74% payout that growth rate permits, that is EGP 72.28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55 to EGP 103.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85.25 a share on Frame A and EGP 102.89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4,239 million of revenue by FY2030 at a 45% contribution margin closes the gap from EGP 85.25 to EGP 127.30. That is 17% of FY2030 revenue, or about USD 60 million a year — 0.60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60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42.05 a share — EGP 7,097 million, 33% of the entire share price — for a plant this study values at nothing, against a stated build cost of USD 100 million, about EGP 7,011 million. The market is not merely paying for the plant to work; it is paying roughly 1.0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60 million a year of biosimilar revenue by 2030 is a figure the company will eventually disclose, and a reader can check this study against it. An asset turn of 0.60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15.47%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17.50%, cost of debt after tax 9.56%, DERIVED debt weight 25.5% on today's market values. The forecast balance sheet, once funded, carries 36.2% on book at FY2030E, which would give 14.62%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85.25</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76.29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100.98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85.95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100</w:t>
            </w:r>
          </w:p>
        </w:tc>
        <w:tc>
          <w:tcPr>
            <w:tcW w:type="dxa" w:w="1368"/>
          </w:tcPr>
          <w:p>
            <w:pPr>
              <w:spacing w:after="20"/>
              <w:jc w:val="right"/>
            </w:pPr>
            <w:r>
              <w:rPr>
                <w:color w:val="1C3A36"/>
                <w:sz w:val="17"/>
              </w:rPr>
              <w:t>112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75</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51 to EGP 112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1,060 million of FY2030 sales, or USD 15 million a year — is worth about EGP 10.51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85.25</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102.89</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70.85</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55.45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72.28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55.45; the highest is the cash-flow reading on the normalising frame at EGP 102.89. The cash-flow readings charge the new plant's full cost and credit it with nothing, so they sit low despite capturing five years of the volume and price growth the existing business is already delivering. The relative lens prices the company on what a 27.1% return and a 17.5% perpetual cost of equity can justify, which supports about 7.06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60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85.25 and EGP 102.89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-7.1%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85.25 on Frame A (7%) and EGP 102.89 on Frame B (29%)</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60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76.29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4,030</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15.47% − 7% = 8.47%</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35,190</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14,733</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18,763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14,386</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85.25</w:t>
            </w:r>
          </w:p>
        </w:tc>
      </w:tr>
    </w:tbl>
    <w:p>
      <w:pPr>
        <w:spacing w:after="40"/>
      </w:pPr>
    </w:p>
    <w:p>
      <w:pPr>
        <w:spacing w:after="120" w:before="0"/>
      </w:pPr>
      <w:r>
        <w:rPr>
          <w:b w:val="0"/>
          <w:i w:val="0"/>
          <w:color w:val="1C3A36"/>
          <w:sz w:val="21"/>
        </w:rPr>
        <w:t>Named sensitivity: the terminal discount rate. Every 100 basis points on it is worth roughly EGP 10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17.50%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1.92x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70.85</w:t>
            </w:r>
          </w:p>
        </w:tc>
      </w:tr>
    </w:tbl>
    <w:p>
      <w:pPr>
        <w:spacing w:after="40"/>
      </w:pPr>
    </w:p>
    <w:p>
      <w:pPr>
        <w:spacing w:after="120" w:before="0"/>
      </w:pPr>
      <w:r>
        <w:rPr>
          <w:b w:val="0"/>
          <w:i w:val="0"/>
          <w:color w:val="1C3A36"/>
          <w:sz w:val="21"/>
        </w:rPr>
        <w:t>Named sensitivity: the sustainable return. If it settles at 20% rather than 27.1%, the justified multiple falls to 1.24 times and the value to EGP 45.80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85.25</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42.05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7,097m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4,239m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17%</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60m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0.60x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5,450 million, or USD 78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51 to EGP 112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70.85 to EGP 85.25 a share, and the study's own two centres, EGP 85.25 and EGP 102.89,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85.25. Expert 2 says: nothing until it produces a return, so EGP 70.85. Expert 3 says: the market says EGP 42.05 a share, which requires USD 60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14.40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-24.41</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