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80" w:type="dxa"/>
          <w:left w:w="150" w:type="dxa"/>
          <w:bottom w:w="80" w:type="dxa"/>
          <w:right w:w="150" w:type="dxa"/>
        </w:tblCellMar>
      </w:tblPr>
      <w:tblGrid>
        <w:gridCol w:w="10224"/>
      </w:tblGrid>
      <w:tr>
        <w:tc>
          <w:tcPr>
            <w:tcW w:type="dxa" w:w="10224"/>
            <w:shd w:val="clear" w:color="auto" w:fill="1C3A36"/>
          </w:tcPr>
          <w:p>
            <w:r>
              <w:rPr>
                <w:b/>
                <w:color w:val="FFFFFF"/>
                <w:sz w:val="22"/>
              </w:rPr>
              <w:t>Testahil · Independent Valuation Study — Educational Analysis</w:t>
            </w:r>
            <w:r>
              <w:rPr>
                <w:color w:val="9FB0AC"/>
                <w:sz w:val="19"/>
              </w:rPr>
              <w:t xml:space="preserve">   Not investment advice</w:t>
            </w:r>
          </w:p>
        </w:tc>
      </w:tr>
    </w:tbl>
    <w:p>
      <w:pPr>
        <w:spacing w:after="0"/>
      </w:pPr>
    </w:p>
    <w:p>
      <w:pPr>
        <w:spacing w:after="80" w:before="240"/>
      </w:pPr>
      <w:r>
        <w:rPr>
          <w:b/>
          <w:i w:val="0"/>
          <w:color w:val="1C3A36"/>
          <w:sz w:val="26"/>
        </w:rPr>
        <w:t>Elsewedy Electric Company S.A.E. (EGX: SWDY) — Bibliography and Source Register</w:t>
      </w:r>
    </w:p>
    <w:p>
      <w:pPr>
        <w:spacing w:after="100" w:before="0"/>
      </w:pPr>
      <w:r>
        <w:rPr>
          <w:b w:val="0"/>
          <w:i w:val="0"/>
          <w:color w:val="6E7B77"/>
          <w:sz w:val="19"/>
        </w:rPr>
        <w:t>Companion document to the valuation study dated 10 September 2026. It records where every number in that study came from.</w:t>
      </w:r>
    </w:p>
    <w:p>
      <w:pPr>
        <w:spacing w:after="60" w:before="160"/>
      </w:pPr>
      <w:r>
        <w:rPr>
          <w:b/>
          <w:i w:val="0"/>
          <w:color w:val="1C3A36"/>
          <w:sz w:val="22"/>
        </w:rPr>
        <w:t>READ FIRST</w:t>
      </w:r>
    </w:p>
    <w:p>
      <w:pPr>
        <w:spacing w:after="100" w:before="0"/>
      </w:pPr>
      <w:r>
        <w:rPr>
          <w:b w:val="0"/>
          <w:i w:val="0"/>
          <w:color w:val="1C3A36"/>
          <w:sz w:val="20"/>
        </w:rPr>
        <w:t>This document exists so that a reader can check the study rather than trust it. It lists every input the valuation model uses, together with the value, the source, the date of that source, and the research layer it belongs to. Nothing in the study is computed from a figure that does not appear here.</w:t>
      </w:r>
    </w:p>
    <w:p>
      <w:pPr>
        <w:spacing w:after="100" w:before="0"/>
      </w:pPr>
      <w:r>
        <w:rPr>
          <w:b w:val="0"/>
          <w:i w:val="0"/>
          <w:color w:val="1C3A36"/>
          <w:sz w:val="20"/>
        </w:rPr>
        <w:t>Two things are worth knowing before reading the tables. First, inputs marked "House" are judgements or derivations made by the analyst, not disclosures by the company — each carries the reasoning that produced it, and the reader is free to disagree with it and re-run the model. Second, where a company disclosure could not be reached, that is recorded as a negative result at the end of this document rather than quietly filled in.</w:t>
      </w:r>
    </w:p>
    <w:p>
      <w:pPr>
        <w:spacing w:after="60" w:before="160"/>
      </w:pPr>
      <w:r>
        <w:rPr>
          <w:b/>
          <w:i w:val="0"/>
          <w:color w:val="1C3A36"/>
          <w:sz w:val="22"/>
        </w:rPr>
        <w:t>The research layers</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512"/>
        <w:gridCol w:w="8568"/>
      </w:tblGrid>
      <w:tr>
        <w:tc>
          <w:tcPr>
            <w:tcW w:type="dxa" w:w="1512"/>
            <w:shd w:val="clear" w:color="auto" w:fill="EAF0EE"/>
          </w:tcPr>
          <w:p>
            <w:pPr>
              <w:spacing w:after="20"/>
            </w:pPr>
            <w:r>
              <w:rPr>
                <w:b/>
                <w:color w:val="1C3A36"/>
                <w:sz w:val="17"/>
              </w:rPr>
              <w:t>Layer</w:t>
            </w:r>
          </w:p>
        </w:tc>
        <w:tc>
          <w:tcPr>
            <w:tcW w:type="dxa" w:w="8568"/>
            <w:shd w:val="clear" w:color="auto" w:fill="EAF0EE"/>
          </w:tcPr>
          <w:p>
            <w:pPr>
              <w:spacing w:after="20"/>
            </w:pPr>
            <w:r>
              <w:rPr>
                <w:b/>
                <w:color w:val="1C3A36"/>
                <w:sz w:val="17"/>
              </w:rPr>
              <w:t>What it covers</w:t>
            </w:r>
          </w:p>
        </w:tc>
      </w:tr>
      <w:tr>
        <w:tc>
          <w:tcPr>
            <w:tcW w:type="dxa" w:w="1512"/>
          </w:tcPr>
          <w:p>
            <w:pPr>
              <w:spacing w:after="20"/>
            </w:pPr>
            <w:r>
              <w:rPr>
                <w:color w:val="1C3A36"/>
                <w:sz w:val="17"/>
              </w:rPr>
              <w:t>Market</w:t>
            </w:r>
          </w:p>
        </w:tc>
        <w:tc>
          <w:tcPr>
            <w:tcW w:type="dxa" w:w="8568"/>
          </w:tcPr>
          <w:p>
            <w:pPr>
              <w:spacing w:after="20"/>
            </w:pPr>
            <w:r>
              <w:rPr>
                <w:color w:val="1C3A36"/>
                <w:sz w:val="17"/>
              </w:rPr>
              <w:t>Prices, volumes and market-observable data for the security itself</w:t>
            </w:r>
          </w:p>
        </w:tc>
      </w:tr>
      <w:tr>
        <w:tc>
          <w:tcPr>
            <w:tcW w:type="dxa" w:w="1512"/>
          </w:tcPr>
          <w:p>
            <w:pPr>
              <w:spacing w:after="20"/>
            </w:pPr>
            <w:r>
              <w:rPr>
                <w:color w:val="1C3A36"/>
                <w:sz w:val="17"/>
              </w:rPr>
              <w:t>Country</w:t>
            </w:r>
          </w:p>
        </w:tc>
        <w:tc>
          <w:tcPr>
            <w:tcW w:type="dxa" w:w="8568"/>
          </w:tcPr>
          <w:p>
            <w:pPr>
              <w:spacing w:after="20"/>
            </w:pPr>
            <w:r>
              <w:rPr>
                <w:color w:val="1C3A36"/>
                <w:sz w:val="17"/>
              </w:rPr>
              <w:t>Egyptian macroeconomic and sovereign data: policy rates, government bond yields, sovereign spreads, the exchange rate, the tax regime, the country equity risk premium</w:t>
            </w:r>
          </w:p>
        </w:tc>
      </w:tr>
      <w:tr>
        <w:tc>
          <w:tcPr>
            <w:tcW w:type="dxa" w:w="1512"/>
          </w:tcPr>
          <w:p>
            <w:pPr>
              <w:spacing w:after="20"/>
            </w:pPr>
            <w:r>
              <w:rPr>
                <w:color w:val="1C3A36"/>
                <w:sz w:val="17"/>
              </w:rPr>
              <w:t>Industry</w:t>
            </w:r>
          </w:p>
        </w:tc>
        <w:tc>
          <w:tcPr>
            <w:tcW w:type="dxa" w:w="8568"/>
          </w:tcPr>
          <w:p>
            <w:pPr>
              <w:spacing w:after="20"/>
            </w:pPr>
            <w:r>
              <w:rPr>
                <w:color w:val="1C3A36"/>
                <w:sz w:val="17"/>
              </w:rPr>
              <w:t>The wires and cables sector, engineering and construction, input costs and the competitive frame</w:t>
            </w:r>
          </w:p>
        </w:tc>
      </w:tr>
      <w:tr>
        <w:tc>
          <w:tcPr>
            <w:tcW w:type="dxa" w:w="1512"/>
          </w:tcPr>
          <w:p>
            <w:pPr>
              <w:spacing w:after="20"/>
            </w:pPr>
            <w:r>
              <w:rPr>
                <w:color w:val="1C3A36"/>
                <w:sz w:val="17"/>
              </w:rPr>
              <w:t>Company</w:t>
            </w:r>
          </w:p>
        </w:tc>
        <w:tc>
          <w:tcPr>
            <w:tcW w:type="dxa" w:w="8568"/>
          </w:tcPr>
          <w:p>
            <w:pPr>
              <w:spacing w:after="20"/>
            </w:pPr>
            <w:r>
              <w:rPr>
                <w:color w:val="1C3A36"/>
                <w:sz w:val="17"/>
              </w:rPr>
              <w:t>Elsewedy Electric's own audited and interim financial statements, earnings releases, exchange filings and disclosures</w:t>
            </w:r>
          </w:p>
        </w:tc>
      </w:tr>
      <w:tr>
        <w:tc>
          <w:tcPr>
            <w:tcW w:type="dxa" w:w="1512"/>
          </w:tcPr>
          <w:p>
            <w:pPr>
              <w:spacing w:after="20"/>
            </w:pPr>
            <w:r>
              <w:rPr>
                <w:color w:val="1C3A36"/>
                <w:sz w:val="17"/>
              </w:rPr>
              <w:t>House</w:t>
            </w:r>
          </w:p>
        </w:tc>
        <w:tc>
          <w:tcPr>
            <w:tcW w:type="dxa" w:w="8568"/>
          </w:tcPr>
          <w:p>
            <w:pPr>
              <w:spacing w:after="20"/>
            </w:pPr>
            <w:r>
              <w:rPr>
                <w:color w:val="1C3A36"/>
                <w:sz w:val="17"/>
              </w:rPr>
              <w:t>Analyst judgement — forecast drivers, normalisation choices and cost-of-capital construction. Each is argued in place rather than asserted</w:t>
            </w:r>
          </w:p>
        </w:tc>
      </w:tr>
    </w:tbl>
    <w:p>
      <w:pPr>
        <w:spacing w:after="40"/>
      </w:pPr>
    </w:p>
    <w:p>
      <w:pPr>
        <w:spacing w:after="60" w:before="160"/>
      </w:pPr>
      <w:r>
        <w:rPr>
          <w:b/>
          <w:i w:val="0"/>
          <w:color w:val="1C3A36"/>
          <w:sz w:val="22"/>
        </w:rPr>
        <w:t>Primary documents relied upon</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232"/>
        <w:gridCol w:w="1800"/>
        <w:gridCol w:w="1368"/>
        <w:gridCol w:w="4680"/>
      </w:tblGrid>
      <w:tr>
        <w:tc>
          <w:tcPr>
            <w:tcW w:type="dxa" w:w="2232"/>
            <w:shd w:val="clear" w:color="auto" w:fill="EAF0EE"/>
          </w:tcPr>
          <w:p>
            <w:pPr>
              <w:spacing w:after="20"/>
            </w:pPr>
            <w:r>
              <w:rPr>
                <w:b/>
                <w:color w:val="1C3A36"/>
                <w:sz w:val="16"/>
              </w:rPr>
              <w:t>Document</w:t>
            </w:r>
          </w:p>
        </w:tc>
        <w:tc>
          <w:tcPr>
            <w:tcW w:type="dxa" w:w="1800"/>
            <w:shd w:val="clear" w:color="auto" w:fill="EAF0EE"/>
          </w:tcPr>
          <w:p>
            <w:pPr>
              <w:spacing w:after="20"/>
            </w:pPr>
            <w:r>
              <w:rPr>
                <w:b/>
                <w:color w:val="1C3A36"/>
                <w:sz w:val="16"/>
              </w:rPr>
              <w:t>Publisher</w:t>
            </w:r>
          </w:p>
        </w:tc>
        <w:tc>
          <w:tcPr>
            <w:tcW w:type="dxa" w:w="1368"/>
            <w:shd w:val="clear" w:color="auto" w:fill="EAF0EE"/>
          </w:tcPr>
          <w:p>
            <w:pPr>
              <w:spacing w:after="20"/>
            </w:pPr>
            <w:r>
              <w:rPr>
                <w:b/>
                <w:color w:val="1C3A36"/>
                <w:sz w:val="16"/>
              </w:rPr>
              <w:t>Date</w:t>
            </w:r>
          </w:p>
        </w:tc>
        <w:tc>
          <w:tcPr>
            <w:tcW w:type="dxa" w:w="4680"/>
            <w:shd w:val="clear" w:color="auto" w:fill="EAF0EE"/>
          </w:tcPr>
          <w:p>
            <w:pPr>
              <w:spacing w:after="20"/>
            </w:pPr>
            <w:r>
              <w:rPr>
                <w:b/>
                <w:color w:val="1C3A36"/>
                <w:sz w:val="16"/>
              </w:rPr>
              <w:t>What was taken from it</w:t>
            </w:r>
          </w:p>
        </w:tc>
      </w:tr>
      <w:tr>
        <w:tc>
          <w:tcPr>
            <w:tcW w:type="dxa" w:w="2232"/>
          </w:tcPr>
          <w:p>
            <w:pPr>
              <w:spacing w:after="20"/>
            </w:pPr>
            <w:r>
              <w:rPr>
                <w:color w:val="1C3A36"/>
                <w:sz w:val="16"/>
              </w:rPr>
              <w:t>Consolidated financial statements for the year ended 31 December 2023 (audited, translated from Arabic), KPMG Hazem Hassan, unqualified opinion</w:t>
            </w:r>
          </w:p>
        </w:tc>
        <w:tc>
          <w:tcPr>
            <w:tcW w:type="dxa" w:w="1800"/>
          </w:tcPr>
          <w:p>
            <w:pPr>
              <w:spacing w:after="20"/>
            </w:pPr>
            <w:r>
              <w:rPr>
                <w:color w:val="1C3A36"/>
                <w:sz w:val="16"/>
              </w:rPr>
              <w:t>Elsewedy Electric Company</w:t>
            </w:r>
          </w:p>
        </w:tc>
        <w:tc>
          <w:tcPr>
            <w:tcW w:type="dxa" w:w="1368"/>
          </w:tcPr>
          <w:p>
            <w:pPr>
              <w:spacing w:after="20"/>
            </w:pPr>
            <w:r>
              <w:rPr>
                <w:color w:val="1C3A36"/>
                <w:sz w:val="16"/>
              </w:rPr>
              <w:t>13 March 2024</w:t>
            </w:r>
          </w:p>
        </w:tc>
        <w:tc>
          <w:tcPr>
            <w:tcW w:type="dxa" w:w="4680"/>
          </w:tcPr>
          <w:p>
            <w:pPr>
              <w:spacing w:after="20"/>
            </w:pPr>
            <w:r>
              <w:rPr>
                <w:color w:val="1C3A36"/>
                <w:sz w:val="16"/>
              </w:rPr>
              <w:t>Full consolidated income statement, balance sheet and cash flow statement for FY2023 with FY2022 comparatives; three-segment revenue and profit note; loans and borrowings note with average rates by currency; shareholder structure; exchange-rate disclosure note and the March-2024 devaluation subsequent event</w:t>
            </w:r>
          </w:p>
        </w:tc>
      </w:tr>
      <w:tr>
        <w:tc>
          <w:tcPr>
            <w:tcW w:type="dxa" w:w="2232"/>
          </w:tcPr>
          <w:p>
            <w:pPr>
              <w:spacing w:after="20"/>
            </w:pPr>
            <w:r>
              <w:rPr>
                <w:color w:val="1C3A36"/>
                <w:sz w:val="16"/>
              </w:rPr>
              <w:t>Consolidated financial statements for the year ended 31 December 2024 (audited, translated from Arabic), KPMG Hazem Hassan, unqualified opinion</w:t>
            </w:r>
          </w:p>
        </w:tc>
        <w:tc>
          <w:tcPr>
            <w:tcW w:type="dxa" w:w="1800"/>
          </w:tcPr>
          <w:p>
            <w:pPr>
              <w:spacing w:after="20"/>
            </w:pPr>
            <w:r>
              <w:rPr>
                <w:color w:val="1C3A36"/>
                <w:sz w:val="16"/>
              </w:rPr>
              <w:t>Elsewedy Electric Company</w:t>
            </w:r>
          </w:p>
        </w:tc>
        <w:tc>
          <w:tcPr>
            <w:tcW w:type="dxa" w:w="1368"/>
          </w:tcPr>
          <w:p>
            <w:pPr>
              <w:spacing w:after="20"/>
            </w:pPr>
            <w:r>
              <w:rPr>
                <w:color w:val="1C3A36"/>
                <w:sz w:val="16"/>
              </w:rPr>
              <w:t>13 March 2025</w:t>
            </w:r>
          </w:p>
        </w:tc>
        <w:tc>
          <w:tcPr>
            <w:tcW w:type="dxa" w:w="4680"/>
          </w:tcPr>
          <w:p>
            <w:pPr>
              <w:spacing w:after="20"/>
            </w:pPr>
            <w:r>
              <w:rPr>
                <w:color w:val="1C3A36"/>
                <w:sz w:val="16"/>
              </w:rPr>
              <w:t>Full consolidated income statement, balance sheet and cash flow statement for FY2024 with FY2023 comparatives; three-segment revenue and profit note; loans and borrowings note including the financing-liability reconciliation; interest-rate risk note with average rates by currency; currency risk note; shareholder structure</w:t>
            </w:r>
          </w:p>
        </w:tc>
      </w:tr>
      <w:tr>
        <w:tc>
          <w:tcPr>
            <w:tcW w:type="dxa" w:w="2232"/>
          </w:tcPr>
          <w:p>
            <w:pPr>
              <w:spacing w:after="20"/>
            </w:pPr>
            <w:r>
              <w:rPr>
                <w:color w:val="1C3A36"/>
                <w:sz w:val="16"/>
              </w:rPr>
              <w:t>Consolidated financial statements for the year ended 31 December 2025 (audited, translated from Arabic), KPMG Hazem Hassan, unqualified opinion</w:t>
            </w:r>
          </w:p>
        </w:tc>
        <w:tc>
          <w:tcPr>
            <w:tcW w:type="dxa" w:w="1800"/>
          </w:tcPr>
          <w:p>
            <w:pPr>
              <w:spacing w:after="20"/>
            </w:pPr>
            <w:r>
              <w:rPr>
                <w:color w:val="1C3A36"/>
                <w:sz w:val="16"/>
              </w:rPr>
              <w:t>Elsewedy Electric Company</w:t>
            </w:r>
          </w:p>
        </w:tc>
        <w:tc>
          <w:tcPr>
            <w:tcW w:type="dxa" w:w="1368"/>
          </w:tcPr>
          <w:p>
            <w:pPr>
              <w:spacing w:after="20"/>
            </w:pPr>
            <w:r>
              <w:rPr>
                <w:color w:val="1C3A36"/>
                <w:sz w:val="16"/>
              </w:rPr>
              <w:t>15 March 2026</w:t>
            </w:r>
          </w:p>
        </w:tc>
        <w:tc>
          <w:tcPr>
            <w:tcW w:type="dxa" w:w="4680"/>
          </w:tcPr>
          <w:p>
            <w:pPr>
              <w:spacing w:after="20"/>
            </w:pPr>
            <w:r>
              <w:rPr>
                <w:color w:val="1C3A36"/>
                <w:sz w:val="16"/>
              </w:rPr>
              <w:t>Full consolidated income statement, balance sheet and cash flow statement for FY2025 with FY2024 comparatives; three-segment revenue (Note 5-3) and profit (Note 16) note, each reconciling exactly to consolidated revenue and to operating profit through the corporate cost load; capital-management note (Note 29-1) with the company's own "net debt" definition; loans and borrowings note including the financing-liability reconciliation and average rates by currency; equity-accounted investees note; shareholder structure</w:t>
            </w:r>
          </w:p>
        </w:tc>
      </w:tr>
      <w:tr>
        <w:tc>
          <w:tcPr>
            <w:tcW w:type="dxa" w:w="2232"/>
          </w:tcPr>
          <w:p>
            <w:pPr>
              <w:spacing w:after="20"/>
            </w:pPr>
            <w:r>
              <w:rPr>
                <w:color w:val="1C3A36"/>
                <w:sz w:val="16"/>
              </w:rPr>
              <w:t>Condensed interim consolidated financial statements for the three months ended 31 March 2026 (limited review), KPMG Hazem Hassan</w:t>
            </w:r>
          </w:p>
        </w:tc>
        <w:tc>
          <w:tcPr>
            <w:tcW w:type="dxa" w:w="1800"/>
          </w:tcPr>
          <w:p>
            <w:pPr>
              <w:spacing w:after="20"/>
            </w:pPr>
            <w:r>
              <w:rPr>
                <w:color w:val="1C3A36"/>
                <w:sz w:val="16"/>
              </w:rPr>
              <w:t>Elsewedy Electric Company</w:t>
            </w:r>
          </w:p>
        </w:tc>
        <w:tc>
          <w:tcPr>
            <w:tcW w:type="dxa" w:w="1368"/>
          </w:tcPr>
          <w:p>
            <w:pPr>
              <w:spacing w:after="20"/>
            </w:pPr>
            <w:r>
              <w:rPr>
                <w:color w:val="1C3A36"/>
                <w:sz w:val="16"/>
              </w:rPr>
              <w:t>13 May 2026</w:t>
            </w:r>
          </w:p>
        </w:tc>
        <w:tc>
          <w:tcPr>
            <w:tcW w:type="dxa" w:w="4680"/>
          </w:tcPr>
          <w:p>
            <w:pPr>
              <w:spacing w:after="20"/>
            </w:pPr>
            <w:r>
              <w:rPr>
                <w:color w:val="1C3A36"/>
                <w:sz w:val="16"/>
              </w:rPr>
              <w:t>Q1-2026 income statement with Q1-2025 comparatives; balance sheet at 31 March 2026; three-segment revenue note reconciling exactly to Q1-2026 revenue; loans and borrowings note with average rates by currency; cash-flow statement; confirmation that no FY2025 dividend had been declared, proposed or approved as at the report date</w:t>
            </w:r>
          </w:p>
        </w:tc>
      </w:tr>
      <w:tr>
        <w:tc>
          <w:tcPr>
            <w:tcW w:type="dxa" w:w="2232"/>
          </w:tcPr>
          <w:p>
            <w:pPr>
              <w:spacing w:after="20"/>
            </w:pPr>
            <w:r>
              <w:rPr>
                <w:color w:val="1C3A36"/>
                <w:sz w:val="16"/>
              </w:rPr>
              <w:t>Condensed interim consolidated financial statements for the six months ended 30 June 2026 (limited review), KPMG Hazem Hassan</w:t>
            </w:r>
          </w:p>
        </w:tc>
        <w:tc>
          <w:tcPr>
            <w:tcW w:type="dxa" w:w="1800"/>
          </w:tcPr>
          <w:p>
            <w:pPr>
              <w:spacing w:after="20"/>
            </w:pPr>
            <w:r>
              <w:rPr>
                <w:color w:val="1C3A36"/>
                <w:sz w:val="16"/>
              </w:rPr>
              <w:t>Elsewedy Electric Company</w:t>
            </w:r>
          </w:p>
        </w:tc>
        <w:tc>
          <w:tcPr>
            <w:tcW w:type="dxa" w:w="1368"/>
          </w:tcPr>
          <w:p>
            <w:pPr>
              <w:spacing w:after="20"/>
            </w:pPr>
            <w:r>
              <w:rPr>
                <w:color w:val="1C3A36"/>
                <w:sz w:val="16"/>
              </w:rPr>
              <w:t>11 August 2026</w:t>
            </w:r>
          </w:p>
        </w:tc>
        <w:tc>
          <w:tcPr>
            <w:tcW w:type="dxa" w:w="4680"/>
          </w:tcPr>
          <w:p>
            <w:pPr>
              <w:spacing w:after="20"/>
            </w:pPr>
            <w:r>
              <w:rPr>
                <w:color w:val="1C3A36"/>
                <w:sz w:val="16"/>
              </w:rPr>
              <w:t>H1-2026 income statement with H1-2025 comparatives; balance sheet at 30 June 2026; three-segment revenue and segment profit note — the disclosure the three segment margin paths and the FY2026 segment growth rates are RE-ANCHORED on; minority share of profit and of equity; the employees' statutory share for the half; capital expenditure for the half. The most recent disclosure this study reads</w:t>
            </w:r>
          </w:p>
        </w:tc>
      </w:tr>
      <w:tr>
        <w:tc>
          <w:tcPr>
            <w:tcW w:type="dxa" w:w="2232"/>
          </w:tcPr>
          <w:p>
            <w:pPr>
              <w:spacing w:after="20"/>
            </w:pPr>
            <w:r>
              <w:rPr>
                <w:color w:val="1C3A36"/>
                <w:sz w:val="16"/>
              </w:rPr>
              <w:t>Country risk premium and default spread file</w:t>
            </w:r>
          </w:p>
        </w:tc>
        <w:tc>
          <w:tcPr>
            <w:tcW w:type="dxa" w:w="1800"/>
          </w:tcPr>
          <w:p>
            <w:pPr>
              <w:spacing w:after="20"/>
            </w:pPr>
            <w:r>
              <w:rPr>
                <w:color w:val="1C3A36"/>
                <w:sz w:val="16"/>
              </w:rPr>
              <w:t>Damodaran, NYU Stern</w:t>
            </w:r>
          </w:p>
        </w:tc>
        <w:tc>
          <w:tcPr>
            <w:tcW w:type="dxa" w:w="1368"/>
          </w:tcPr>
          <w:p>
            <w:pPr>
              <w:spacing w:after="20"/>
            </w:pPr>
            <w:r>
              <w:rPr>
                <w:color w:val="1C3A36"/>
                <w:sz w:val="16"/>
              </w:rPr>
              <w:t>5 January 2026</w:t>
            </w:r>
          </w:p>
        </w:tc>
        <w:tc>
          <w:tcPr>
            <w:tcW w:type="dxa" w:w="4680"/>
          </w:tcPr>
          <w:p>
            <w:pPr>
              <w:spacing w:after="20"/>
            </w:pPr>
            <w:r>
              <w:rPr>
                <w:color w:val="1C3A36"/>
                <w:sz w:val="16"/>
              </w:rPr>
              <w:t>Egypt equity risk premium and sovereign default spread, credit-default-swap basis and rating basis</w:t>
            </w:r>
          </w:p>
        </w:tc>
      </w:tr>
      <w:tr>
        <w:tc>
          <w:tcPr>
            <w:tcW w:type="dxa" w:w="2232"/>
          </w:tcPr>
          <w:p>
            <w:pPr>
              <w:spacing w:after="20"/>
            </w:pPr>
            <w:r>
              <w:rPr>
                <w:color w:val="1C3A36"/>
                <w:sz w:val="16"/>
              </w:rPr>
              <w:t>Egypt 10-year local-currency government bond yield</w:t>
            </w:r>
          </w:p>
        </w:tc>
        <w:tc>
          <w:tcPr>
            <w:tcW w:type="dxa" w:w="1800"/>
          </w:tcPr>
          <w:p>
            <w:pPr>
              <w:spacing w:after="20"/>
            </w:pPr>
            <w:r>
              <w:rPr>
                <w:color w:val="1C3A36"/>
                <w:sz w:val="16"/>
              </w:rPr>
              <w:t>Market data, house cost-of-capital reference</w:t>
            </w:r>
          </w:p>
        </w:tc>
        <w:tc>
          <w:tcPr>
            <w:tcW w:type="dxa" w:w="1368"/>
          </w:tcPr>
          <w:p>
            <w:pPr>
              <w:spacing w:after="20"/>
            </w:pPr>
            <w:r>
              <w:rPr>
                <w:color w:val="1C3A36"/>
                <w:sz w:val="16"/>
              </w:rPr>
              <w:t>21 July 2026, re-verified 5 August 2026 — the rate reading is that date and is NOT the valuation anchor</w:t>
            </w:r>
          </w:p>
        </w:tc>
        <w:tc>
          <w:tcPr>
            <w:tcW w:type="dxa" w:w="4680"/>
          </w:tcPr>
          <w:p>
            <w:pPr>
              <w:spacing w:after="20"/>
            </w:pPr>
            <w:r>
              <w:rPr>
                <w:color w:val="1C3A36"/>
                <w:sz w:val="16"/>
              </w:rPr>
              <w:t>The risk-free rate anchor</w:t>
            </w:r>
          </w:p>
        </w:tc>
      </w:tr>
      <w:tr>
        <w:tc>
          <w:tcPr>
            <w:tcW w:type="dxa" w:w="2232"/>
          </w:tcPr>
          <w:p>
            <w:pPr>
              <w:spacing w:after="20"/>
            </w:pPr>
            <w:r>
              <w:rPr>
                <w:color w:val="1C3A36"/>
                <w:sz w:val="16"/>
              </w:rPr>
              <w:t>Worldwide Tax Summaries — Egypt</w:t>
            </w:r>
          </w:p>
        </w:tc>
        <w:tc>
          <w:tcPr>
            <w:tcW w:type="dxa" w:w="1800"/>
          </w:tcPr>
          <w:p>
            <w:pPr>
              <w:spacing w:after="20"/>
            </w:pPr>
            <w:r>
              <w:rPr>
                <w:color w:val="1C3A36"/>
                <w:sz w:val="16"/>
              </w:rPr>
              <w:t>PwC</w:t>
            </w:r>
          </w:p>
        </w:tc>
        <w:tc>
          <w:tcPr>
            <w:tcW w:type="dxa" w:w="1368"/>
          </w:tcPr>
          <w:p>
            <w:pPr>
              <w:spacing w:after="20"/>
            </w:pPr>
            <w:r>
              <w:rPr>
                <w:color w:val="1C3A36"/>
                <w:sz w:val="16"/>
              </w:rPr>
              <w:t>2026</w:t>
            </w:r>
          </w:p>
        </w:tc>
        <w:tc>
          <w:tcPr>
            <w:tcW w:type="dxa" w:w="4680"/>
          </w:tcPr>
          <w:p>
            <w:pPr>
              <w:spacing w:after="20"/>
            </w:pPr>
            <w:r>
              <w:rPr>
                <w:color w:val="1C3A36"/>
                <w:sz w:val="16"/>
              </w:rPr>
              <w:t>Corporate income tax rate</w:t>
            </w:r>
          </w:p>
        </w:tc>
      </w:tr>
      <w:tr>
        <w:tc>
          <w:tcPr>
            <w:tcW w:type="dxa" w:w="2232"/>
          </w:tcPr>
          <w:p>
            <w:pPr>
              <w:spacing w:after="20"/>
            </w:pPr>
            <w:r>
              <w:rPr>
                <w:color w:val="1C3A36"/>
                <w:sz w:val="16"/>
              </w:rPr>
              <w:t>Daily price history for SWDY on the Egyptian Exchange</w:t>
            </w:r>
          </w:p>
        </w:tc>
        <w:tc>
          <w:tcPr>
            <w:tcW w:type="dxa" w:w="1800"/>
          </w:tcPr>
          <w:p>
            <w:pPr>
              <w:spacing w:after="20"/>
            </w:pPr>
            <w:r>
              <w:rPr>
                <w:color w:val="1C3A36"/>
                <w:sz w:val="16"/>
              </w:rPr>
              <w:t>This desk's own daily price library for the Egyptian Exchange — the same series every other name in this book is struck on</w:t>
            </w:r>
          </w:p>
        </w:tc>
        <w:tc>
          <w:tcPr>
            <w:tcW w:type="dxa" w:w="1368"/>
          </w:tcPr>
          <w:p>
            <w:pPr>
              <w:spacing w:after="20"/>
            </w:pPr>
            <w:r>
              <w:rPr>
                <w:color w:val="1C3A36"/>
                <w:sz w:val="16"/>
              </w:rPr>
              <w:t>read to 2026-09-03, the valuation date</w:t>
            </w:r>
          </w:p>
        </w:tc>
        <w:tc>
          <w:tcPr>
            <w:tcW w:type="dxa" w:w="4680"/>
          </w:tcPr>
          <w:p>
            <w:pPr>
              <w:spacing w:after="20"/>
            </w:pPr>
            <w:r>
              <w:rPr>
                <w:color w:val="1C3A36"/>
                <w:sz w:val="16"/>
              </w:rPr>
              <w:t>The anchor price, the volatility estimate, the moving-average structure, the beta regression and the price distributions. A study-local copy of this series was read in earlier editions and is withdrawn: it ended 5 August 2026 at 105.20 against a library close of 130.00 on the valuation date</w:t>
            </w:r>
          </w:p>
        </w:tc>
      </w:tr>
      <w:tr>
        <w:tc>
          <w:tcPr>
            <w:tcW w:type="dxa" w:w="2232"/>
          </w:tcPr>
          <w:p>
            <w:pPr>
              <w:spacing w:after="20"/>
            </w:pPr>
            <w:r>
              <w:rPr>
                <w:color w:val="1C3A36"/>
                <w:sz w:val="16"/>
              </w:rPr>
              <w:t>EGX30, the published index of the exchange this share is listed on</w:t>
            </w:r>
          </w:p>
        </w:tc>
        <w:tc>
          <w:tcPr>
            <w:tcW w:type="dxa" w:w="1800"/>
          </w:tcPr>
          <w:p>
            <w:pPr>
              <w:spacing w:after="20"/>
            </w:pPr>
            <w:r>
              <w:rPr>
                <w:color w:val="1C3A36"/>
                <w:sz w:val="16"/>
              </w:rPr>
              <w:t>Published index series</w:t>
            </w:r>
          </w:p>
        </w:tc>
        <w:tc>
          <w:tcPr>
            <w:tcW w:type="dxa" w:w="1368"/>
          </w:tcPr>
          <w:p>
            <w:pPr>
              <w:spacing w:after="20"/>
            </w:pPr>
            <w:r>
              <w:rPr>
                <w:color w:val="1C3A36"/>
                <w:sz w:val="16"/>
              </w:rPr>
              <w:t>to 2026-09-08</w:t>
            </w:r>
          </w:p>
        </w:tc>
        <w:tc>
          <w:tcPr>
            <w:tcW w:type="dxa" w:w="4680"/>
          </w:tcPr>
          <w:p>
            <w:pPr>
              <w:spacing w:after="20"/>
            </w:pPr>
            <w:r>
              <w:rPr>
                <w:color w:val="1C3A36"/>
                <w:sz w:val="16"/>
              </w:rPr>
              <w:t>The regressor in the beta regression</w:t>
            </w:r>
          </w:p>
        </w:tc>
      </w:tr>
    </w:tbl>
    <w:p>
      <w:pPr>
        <w:spacing w:after="40"/>
      </w:pPr>
    </w:p>
    <w:p>
      <w:pPr>
        <w:spacing w:after="80" w:before="240"/>
      </w:pPr>
      <w:r>
        <w:rPr>
          <w:b/>
          <w:i w:val="0"/>
          <w:color w:val="1C3A36"/>
          <w:sz w:val="26"/>
        </w:rPr>
        <w:t>The full input register</w:t>
      </w:r>
    </w:p>
    <w:p>
      <w:pPr>
        <w:spacing w:after="100" w:before="0"/>
      </w:pPr>
      <w:r>
        <w:rPr>
          <w:b w:val="0"/>
          <w:i w:val="0"/>
          <w:color w:val="6E7B77"/>
          <w:sz w:val="19"/>
        </w:rPr>
        <w:t>Every input to the valuation model, in the order the model declares them. The "Layer" column is the research layer defined above. Values are shown as the model holds them: EGP millions for financial-statement lines, decimals for rates and shares.</w:t>
      </w:r>
    </w:p>
    <w:p>
      <w:pPr>
        <w:spacing w:after="60" w:before="160"/>
      </w:pPr>
      <w:r>
        <w:rPr>
          <w:b/>
          <w:i w:val="0"/>
          <w:color w:val="1C3A36"/>
          <w:sz w:val="22"/>
        </w:rPr>
        <w:t>Market layer — 1 inputs</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656"/>
        <w:gridCol w:w="1368"/>
        <w:gridCol w:w="1123"/>
        <w:gridCol w:w="5933"/>
      </w:tblGrid>
      <w:tr>
        <w:tc>
          <w:tcPr>
            <w:tcW w:type="dxa" w:w="1656"/>
            <w:shd w:val="clear" w:color="auto" w:fill="EAF0EE"/>
          </w:tcPr>
          <w:p>
            <w:pPr>
              <w:spacing w:after="20"/>
            </w:pPr>
            <w:r>
              <w:rPr>
                <w:b/>
                <w:color w:val="1C3A36"/>
                <w:sz w:val="15"/>
              </w:rPr>
              <w:t>Input</w:t>
            </w:r>
          </w:p>
        </w:tc>
        <w:tc>
          <w:tcPr>
            <w:tcW w:type="dxa" w:w="1368"/>
            <w:shd w:val="clear" w:color="auto" w:fill="EAF0EE"/>
          </w:tcPr>
          <w:p>
            <w:pPr>
              <w:spacing w:after="20"/>
            </w:pPr>
            <w:r>
              <w:rPr>
                <w:b/>
                <w:color w:val="1C3A36"/>
                <w:sz w:val="15"/>
              </w:rPr>
              <w:t>Value</w:t>
            </w:r>
          </w:p>
        </w:tc>
        <w:tc>
          <w:tcPr>
            <w:tcW w:type="dxa" w:w="1123"/>
            <w:shd w:val="clear" w:color="auto" w:fill="EAF0EE"/>
          </w:tcPr>
          <w:p>
            <w:pPr>
              <w:spacing w:after="20"/>
            </w:pPr>
            <w:r>
              <w:rPr>
                <w:b/>
                <w:color w:val="1C3A36"/>
                <w:sz w:val="15"/>
              </w:rPr>
              <w:t>Date</w:t>
            </w:r>
          </w:p>
        </w:tc>
        <w:tc>
          <w:tcPr>
            <w:tcW w:type="dxa" w:w="5933"/>
            <w:shd w:val="clear" w:color="auto" w:fill="EAF0EE"/>
          </w:tcPr>
          <w:p>
            <w:pPr>
              <w:spacing w:after="20"/>
            </w:pPr>
            <w:r>
              <w:rPr>
                <w:b/>
                <w:color w:val="1C3A36"/>
                <w:sz w:val="15"/>
              </w:rPr>
              <w:t>Source and construction</w:t>
            </w:r>
          </w:p>
        </w:tc>
      </w:tr>
      <w:tr>
        <w:tc>
          <w:tcPr>
            <w:tcW w:type="dxa" w:w="1656"/>
          </w:tcPr>
          <w:p>
            <w:pPr>
              <w:spacing w:after="20"/>
            </w:pPr>
            <w:r>
              <w:rPr>
                <w:color w:val="1C3A36"/>
                <w:sz w:val="15"/>
              </w:rPr>
              <w:t>spot</w:t>
            </w:r>
          </w:p>
        </w:tc>
        <w:tc>
          <w:tcPr>
            <w:tcW w:type="dxa" w:w="1368"/>
          </w:tcPr>
          <w:p>
            <w:pPr>
              <w:spacing w:after="20"/>
            </w:pPr>
            <w:r>
              <w:rPr>
                <w:color w:val="1C3A36"/>
                <w:sz w:val="15"/>
              </w:rPr>
              <w:t>130.0</w:t>
            </w:r>
          </w:p>
        </w:tc>
        <w:tc>
          <w:tcPr>
            <w:tcW w:type="dxa" w:w="1123"/>
          </w:tcPr>
          <w:p>
            <w:pPr>
              <w:spacing w:after="20"/>
            </w:pPr>
            <w:r>
              <w:rPr>
                <w:color w:val="1C3A36"/>
                <w:sz w:val="15"/>
              </w:rPr>
              <w:t>2026-09-03</w:t>
            </w:r>
          </w:p>
        </w:tc>
        <w:tc>
          <w:tcPr>
            <w:tcW w:type="dxa" w:w="5933"/>
          </w:tcPr>
          <w:p>
            <w:pPr>
              <w:spacing w:after="20"/>
            </w:pPr>
            <w:r>
              <w:rPr>
                <w:color w:val="1C3A36"/>
                <w:sz w:val="15"/>
              </w:rPr>
              <w:t>Closing price supplied by the principal for 3 September 2026. RE-STRUCK: the study was struck at EGP 105.20 of 5 August 2026 and a fair value delivered against a month-old quote is a comparison a reader cannot use. The supplied file records that the figure first arrived as 90.50 and was CORRECTED to 130.00 on 6 September 2026 after it disagreed with this name's own price library on all 35 overlapping sessions after 14 June 2026, including the 5 August close of 105.20 this study was originally struck at. A fair value delivered against a month-old quote is a comparison a reader cannot use</w:t>
            </w:r>
          </w:p>
        </w:tc>
      </w:tr>
    </w:tbl>
    <w:p>
      <w:pPr>
        <w:spacing w:after="40"/>
      </w:pPr>
    </w:p>
    <w:p>
      <w:pPr>
        <w:spacing w:after="60" w:before="160"/>
      </w:pPr>
      <w:r>
        <w:rPr>
          <w:b/>
          <w:i w:val="0"/>
          <w:color w:val="1C3A36"/>
          <w:sz w:val="22"/>
        </w:rPr>
        <w:t>Company layer — 168 inputs</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656"/>
        <w:gridCol w:w="1368"/>
        <w:gridCol w:w="1123"/>
        <w:gridCol w:w="5933"/>
      </w:tblGrid>
      <w:tr>
        <w:tc>
          <w:tcPr>
            <w:tcW w:type="dxa" w:w="1656"/>
            <w:shd w:val="clear" w:color="auto" w:fill="EAF0EE"/>
          </w:tcPr>
          <w:p>
            <w:pPr>
              <w:spacing w:after="20"/>
            </w:pPr>
            <w:r>
              <w:rPr>
                <w:b/>
                <w:color w:val="1C3A36"/>
                <w:sz w:val="15"/>
              </w:rPr>
              <w:t>Input</w:t>
            </w:r>
          </w:p>
        </w:tc>
        <w:tc>
          <w:tcPr>
            <w:tcW w:type="dxa" w:w="1368"/>
            <w:shd w:val="clear" w:color="auto" w:fill="EAF0EE"/>
          </w:tcPr>
          <w:p>
            <w:pPr>
              <w:spacing w:after="20"/>
            </w:pPr>
            <w:r>
              <w:rPr>
                <w:b/>
                <w:color w:val="1C3A36"/>
                <w:sz w:val="15"/>
              </w:rPr>
              <w:t>Value</w:t>
            </w:r>
          </w:p>
        </w:tc>
        <w:tc>
          <w:tcPr>
            <w:tcW w:type="dxa" w:w="1123"/>
            <w:shd w:val="clear" w:color="auto" w:fill="EAF0EE"/>
          </w:tcPr>
          <w:p>
            <w:pPr>
              <w:spacing w:after="20"/>
            </w:pPr>
            <w:r>
              <w:rPr>
                <w:b/>
                <w:color w:val="1C3A36"/>
                <w:sz w:val="15"/>
              </w:rPr>
              <w:t>Date</w:t>
            </w:r>
          </w:p>
        </w:tc>
        <w:tc>
          <w:tcPr>
            <w:tcW w:type="dxa" w:w="5933"/>
            <w:shd w:val="clear" w:color="auto" w:fill="EAF0EE"/>
          </w:tcPr>
          <w:p>
            <w:pPr>
              <w:spacing w:after="20"/>
            </w:pPr>
            <w:r>
              <w:rPr>
                <w:b/>
                <w:color w:val="1C3A36"/>
                <w:sz w:val="15"/>
              </w:rPr>
              <w:t>Source and construction</w:t>
            </w:r>
          </w:p>
        </w:tc>
      </w:tr>
      <w:tr>
        <w:tc>
          <w:tcPr>
            <w:tcW w:type="dxa" w:w="1656"/>
          </w:tcPr>
          <w:p>
            <w:pPr>
              <w:spacing w:after="20"/>
            </w:pPr>
            <w:r>
              <w:rPr>
                <w:color w:val="1C3A36"/>
                <w:sz w:val="15"/>
              </w:rPr>
              <w:t>shares mn</w:t>
            </w:r>
          </w:p>
        </w:tc>
        <w:tc>
          <w:tcPr>
            <w:tcW w:type="dxa" w:w="1368"/>
          </w:tcPr>
          <w:p>
            <w:pPr>
              <w:spacing w:after="20"/>
            </w:pPr>
            <w:r>
              <w:rPr>
                <w:color w:val="1C3A36"/>
                <w:sz w:val="15"/>
              </w:rPr>
              <w:t>2,140.8</w:t>
            </w:r>
          </w:p>
        </w:tc>
        <w:tc>
          <w:tcPr>
            <w:tcW w:type="dxa" w:w="1123"/>
          </w:tcPr>
          <w:p>
            <w:pPr>
              <w:spacing w:after="20"/>
            </w:pPr>
            <w:r>
              <w:rPr>
                <w:color w:val="1C3A36"/>
                <w:sz w:val="15"/>
              </w:rPr>
              <w:t>2025-12-31</w:t>
            </w:r>
          </w:p>
        </w:tc>
        <w:tc>
          <w:tcPr>
            <w:tcW w:type="dxa" w:w="5933"/>
          </w:tcPr>
          <w:p>
            <w:pPr>
              <w:spacing w:after="20"/>
            </w:pPr>
            <w:r>
              <w:rPr>
                <w:color w:val="1C3A36"/>
                <w:sz w:val="15"/>
              </w:rPr>
              <w:t>Issued and paid-up capital: 2,140,777,876 shares of EGP 1 par value, as stated on the face of the audited FY2025 balance sheet, in the Q1-2026 interim, and on the company's own investor page as issued, paid-up and listed capital. NOTE 39'S 2,139,355,716 IS NOT THIS FIGURE AND IS NOT A CAPITAL REDUCTION: it is the IAS 33 weighted-average denominator, issued capital less the 1,422,160 shares issued under the incentive scheme and not granted, which are excluded from earnings per share because they are not yet outstanding for that purpose. The shares exist. A 10-September pass read the one convention as the other and cut the count, citing an extraordinary general assembly of 19 May 2026 that appears on no filing in the company's own regulatory-filings index -- which lists every general-assembly resolution from 2012 to 2025 and nothing in 2026</w:t>
            </w:r>
          </w:p>
        </w:tc>
      </w:tr>
      <w:tr>
        <w:tc>
          <w:tcPr>
            <w:tcW w:type="dxa" w:w="1656"/>
          </w:tcPr>
          <w:p>
            <w:pPr>
              <w:spacing w:after="20"/>
            </w:pPr>
            <w:r>
              <w:rPr>
                <w:color w:val="1C3A36"/>
                <w:sz w:val="15"/>
              </w:rPr>
              <w:t>rev fy23</w:t>
            </w:r>
          </w:p>
        </w:tc>
        <w:tc>
          <w:tcPr>
            <w:tcW w:type="dxa" w:w="1368"/>
          </w:tcPr>
          <w:p>
            <w:pPr>
              <w:spacing w:after="20"/>
            </w:pPr>
            <w:r>
              <w:rPr>
                <w:color w:val="1C3A36"/>
                <w:sz w:val="15"/>
              </w:rPr>
              <w:t>152,186.2</w:t>
            </w:r>
          </w:p>
        </w:tc>
        <w:tc>
          <w:tcPr>
            <w:tcW w:type="dxa" w:w="1123"/>
          </w:tcPr>
          <w:p>
            <w:pPr>
              <w:spacing w:after="20"/>
            </w:pPr>
            <w:r>
              <w:rPr>
                <w:color w:val="1C3A36"/>
                <w:sz w:val="15"/>
              </w:rPr>
              <w:t>2024-03-13</w:t>
            </w:r>
          </w:p>
        </w:tc>
        <w:tc>
          <w:tcPr>
            <w:tcW w:type="dxa" w:w="5933"/>
          </w:tcPr>
          <w:p>
            <w:pPr>
              <w:spacing w:after="20"/>
            </w:pPr>
            <w:r>
              <w:rPr>
                <w:color w:val="1C3A36"/>
                <w:sz w:val="15"/>
              </w:rPr>
              <w:t>Consolidated statement of profit or loss, FY2023 audited financial statements (confirmed by the FY2024 filing's comparative column)</w:t>
            </w:r>
          </w:p>
        </w:tc>
      </w:tr>
      <w:tr>
        <w:tc>
          <w:tcPr>
            <w:tcW w:type="dxa" w:w="1656"/>
          </w:tcPr>
          <w:p>
            <w:pPr>
              <w:spacing w:after="20"/>
            </w:pPr>
            <w:r>
              <w:rPr>
                <w:color w:val="1C3A36"/>
                <w:sz w:val="15"/>
              </w:rPr>
              <w:t>rev fy24</w:t>
            </w:r>
          </w:p>
        </w:tc>
        <w:tc>
          <w:tcPr>
            <w:tcW w:type="dxa" w:w="1368"/>
          </w:tcPr>
          <w:p>
            <w:pPr>
              <w:spacing w:after="20"/>
            </w:pPr>
            <w:r>
              <w:rPr>
                <w:color w:val="1C3A36"/>
                <w:sz w:val="15"/>
              </w:rPr>
              <w:t>231,981.8</w:t>
            </w:r>
          </w:p>
        </w:tc>
        <w:tc>
          <w:tcPr>
            <w:tcW w:type="dxa" w:w="1123"/>
          </w:tcPr>
          <w:p>
            <w:pPr>
              <w:spacing w:after="20"/>
            </w:pPr>
            <w:r>
              <w:rPr>
                <w:color w:val="1C3A36"/>
                <w:sz w:val="15"/>
              </w:rPr>
              <w:t>2025-03-13</w:t>
            </w:r>
          </w:p>
        </w:tc>
        <w:tc>
          <w:tcPr>
            <w:tcW w:type="dxa" w:w="5933"/>
          </w:tcPr>
          <w:p>
            <w:pPr>
              <w:spacing w:after="20"/>
            </w:pPr>
            <w:r>
              <w:rPr>
                <w:color w:val="1C3A36"/>
                <w:sz w:val="15"/>
              </w:rPr>
              <w:t>Consolidated statement of profit or loss, FY2024 audited financial statements (confirmed by the FY2025 filing's comparative column)</w:t>
            </w:r>
          </w:p>
        </w:tc>
      </w:tr>
      <w:tr>
        <w:tc>
          <w:tcPr>
            <w:tcW w:type="dxa" w:w="1656"/>
          </w:tcPr>
          <w:p>
            <w:pPr>
              <w:spacing w:after="20"/>
            </w:pPr>
            <w:r>
              <w:rPr>
                <w:color w:val="1C3A36"/>
                <w:sz w:val="15"/>
              </w:rPr>
              <w:t>rev fy25</w:t>
            </w:r>
          </w:p>
        </w:tc>
        <w:tc>
          <w:tcPr>
            <w:tcW w:type="dxa" w:w="1368"/>
          </w:tcPr>
          <w:p>
            <w:pPr>
              <w:spacing w:after="20"/>
            </w:pPr>
            <w:r>
              <w:rPr>
                <w:color w:val="1C3A36"/>
                <w:sz w:val="15"/>
              </w:rPr>
              <w:t>281,049.1</w:t>
            </w:r>
          </w:p>
        </w:tc>
        <w:tc>
          <w:tcPr>
            <w:tcW w:type="dxa" w:w="1123"/>
          </w:tcPr>
          <w:p>
            <w:pPr>
              <w:spacing w:after="20"/>
            </w:pPr>
            <w:r>
              <w:rPr>
                <w:color w:val="1C3A36"/>
                <w:sz w:val="15"/>
              </w:rPr>
              <w:t>2026-03-15</w:t>
            </w:r>
          </w:p>
        </w:tc>
        <w:tc>
          <w:tcPr>
            <w:tcW w:type="dxa" w:w="5933"/>
          </w:tcPr>
          <w:p>
            <w:pPr>
              <w:spacing w:after="20"/>
            </w:pPr>
            <w:r>
              <w:rPr>
                <w:color w:val="1C3A36"/>
                <w:sz w:val="15"/>
              </w:rPr>
              <w:t>Consolidated statement of profit or loss, FY2025 audited financial statements</w:t>
            </w:r>
          </w:p>
        </w:tc>
      </w:tr>
      <w:tr>
        <w:tc>
          <w:tcPr>
            <w:tcW w:type="dxa" w:w="1656"/>
          </w:tcPr>
          <w:p>
            <w:pPr>
              <w:spacing w:after="20"/>
            </w:pPr>
            <w:r>
              <w:rPr>
                <w:color w:val="1C3A36"/>
                <w:sz w:val="15"/>
              </w:rPr>
              <w:t>gp fy23</w:t>
            </w:r>
          </w:p>
        </w:tc>
        <w:tc>
          <w:tcPr>
            <w:tcW w:type="dxa" w:w="1368"/>
          </w:tcPr>
          <w:p>
            <w:pPr>
              <w:spacing w:after="20"/>
            </w:pPr>
            <w:r>
              <w:rPr>
                <w:color w:val="1C3A36"/>
                <w:sz w:val="15"/>
              </w:rPr>
              <w:t>29,077.3</w:t>
            </w:r>
          </w:p>
        </w:tc>
        <w:tc>
          <w:tcPr>
            <w:tcW w:type="dxa" w:w="1123"/>
          </w:tcPr>
          <w:p>
            <w:pPr>
              <w:spacing w:after="20"/>
            </w:pPr>
            <w:r>
              <w:rPr>
                <w:color w:val="1C3A36"/>
                <w:sz w:val="15"/>
              </w:rPr>
              <w:t>2024-03-13</w:t>
            </w:r>
          </w:p>
        </w:tc>
        <w:tc>
          <w:tcPr>
            <w:tcW w:type="dxa" w:w="5933"/>
          </w:tcPr>
          <w:p>
            <w:pPr>
              <w:spacing w:after="20"/>
            </w:pPr>
            <w:r>
              <w:rPr>
                <w:color w:val="1C3A36"/>
                <w:sz w:val="15"/>
              </w:rPr>
              <w:t>Consolidated statement of profit or loss, FY2023 audited financial statements</w:t>
            </w:r>
          </w:p>
        </w:tc>
      </w:tr>
      <w:tr>
        <w:tc>
          <w:tcPr>
            <w:tcW w:type="dxa" w:w="1656"/>
          </w:tcPr>
          <w:p>
            <w:pPr>
              <w:spacing w:after="20"/>
            </w:pPr>
            <w:r>
              <w:rPr>
                <w:color w:val="1C3A36"/>
                <w:sz w:val="15"/>
              </w:rPr>
              <w:t>gp fy24</w:t>
            </w:r>
          </w:p>
        </w:tc>
        <w:tc>
          <w:tcPr>
            <w:tcW w:type="dxa" w:w="1368"/>
          </w:tcPr>
          <w:p>
            <w:pPr>
              <w:spacing w:after="20"/>
            </w:pPr>
            <w:r>
              <w:rPr>
                <w:color w:val="1C3A36"/>
                <w:sz w:val="15"/>
              </w:rPr>
              <w:t>43,898.5</w:t>
            </w:r>
          </w:p>
        </w:tc>
        <w:tc>
          <w:tcPr>
            <w:tcW w:type="dxa" w:w="1123"/>
          </w:tcPr>
          <w:p>
            <w:pPr>
              <w:spacing w:after="20"/>
            </w:pPr>
            <w:r>
              <w:rPr>
                <w:color w:val="1C3A36"/>
                <w:sz w:val="15"/>
              </w:rPr>
              <w:t>2025-03-13</w:t>
            </w:r>
          </w:p>
        </w:tc>
        <w:tc>
          <w:tcPr>
            <w:tcW w:type="dxa" w:w="5933"/>
          </w:tcPr>
          <w:p>
            <w:pPr>
              <w:spacing w:after="20"/>
            </w:pPr>
            <w:r>
              <w:rPr>
                <w:color w:val="1C3A36"/>
                <w:sz w:val="15"/>
              </w:rPr>
              <w:t>Consolidated statement of profit or loss, FY2024 audited financial statements</w:t>
            </w:r>
          </w:p>
        </w:tc>
      </w:tr>
      <w:tr>
        <w:tc>
          <w:tcPr>
            <w:tcW w:type="dxa" w:w="1656"/>
          </w:tcPr>
          <w:p>
            <w:pPr>
              <w:spacing w:after="20"/>
            </w:pPr>
            <w:r>
              <w:rPr>
                <w:color w:val="1C3A36"/>
                <w:sz w:val="15"/>
              </w:rPr>
              <w:t>gp fy25</w:t>
            </w:r>
          </w:p>
        </w:tc>
        <w:tc>
          <w:tcPr>
            <w:tcW w:type="dxa" w:w="1368"/>
          </w:tcPr>
          <w:p>
            <w:pPr>
              <w:spacing w:after="20"/>
            </w:pPr>
            <w:r>
              <w:rPr>
                <w:color w:val="1C3A36"/>
                <w:sz w:val="15"/>
              </w:rPr>
              <w:t>40,762.1</w:t>
            </w:r>
          </w:p>
        </w:tc>
        <w:tc>
          <w:tcPr>
            <w:tcW w:type="dxa" w:w="1123"/>
          </w:tcPr>
          <w:p>
            <w:pPr>
              <w:spacing w:after="20"/>
            </w:pPr>
            <w:r>
              <w:rPr>
                <w:color w:val="1C3A36"/>
                <w:sz w:val="15"/>
              </w:rPr>
              <w:t>2026-03-15</w:t>
            </w:r>
          </w:p>
        </w:tc>
        <w:tc>
          <w:tcPr>
            <w:tcW w:type="dxa" w:w="5933"/>
          </w:tcPr>
          <w:p>
            <w:pPr>
              <w:spacing w:after="20"/>
            </w:pPr>
            <w:r>
              <w:rPr>
                <w:color w:val="1C3A36"/>
                <w:sz w:val="15"/>
              </w:rPr>
              <w:t>Consolidated statement of profit or loss, FY2025 audited financial statements</w:t>
            </w:r>
          </w:p>
        </w:tc>
      </w:tr>
      <w:tr>
        <w:tc>
          <w:tcPr>
            <w:tcW w:type="dxa" w:w="1656"/>
          </w:tcPr>
          <w:p>
            <w:pPr>
              <w:spacing w:after="20"/>
            </w:pPr>
            <w:r>
              <w:rPr>
                <w:color w:val="1C3A36"/>
                <w:sz w:val="15"/>
              </w:rPr>
              <w:t>op fy23</w:t>
            </w:r>
          </w:p>
        </w:tc>
        <w:tc>
          <w:tcPr>
            <w:tcW w:type="dxa" w:w="1368"/>
          </w:tcPr>
          <w:p>
            <w:pPr>
              <w:spacing w:after="20"/>
            </w:pPr>
            <w:r>
              <w:rPr>
                <w:color w:val="1C3A36"/>
                <w:sz w:val="15"/>
              </w:rPr>
              <w:t>17,739.1</w:t>
            </w:r>
          </w:p>
        </w:tc>
        <w:tc>
          <w:tcPr>
            <w:tcW w:type="dxa" w:w="1123"/>
          </w:tcPr>
          <w:p>
            <w:pPr>
              <w:spacing w:after="20"/>
            </w:pPr>
            <w:r>
              <w:rPr>
                <w:color w:val="1C3A36"/>
                <w:sz w:val="15"/>
              </w:rPr>
              <w:t>2024-03-13</w:t>
            </w:r>
          </w:p>
        </w:tc>
        <w:tc>
          <w:tcPr>
            <w:tcW w:type="dxa" w:w="5933"/>
          </w:tcPr>
          <w:p>
            <w:pPr>
              <w:spacing w:after="20"/>
            </w:pPr>
            <w:r>
              <w:rPr>
                <w:color w:val="1C3A36"/>
                <w:sz w:val="15"/>
              </w:rPr>
              <w:t>Operating profit, FY2023 audited financial statements</w:t>
            </w:r>
          </w:p>
        </w:tc>
      </w:tr>
      <w:tr>
        <w:tc>
          <w:tcPr>
            <w:tcW w:type="dxa" w:w="1656"/>
          </w:tcPr>
          <w:p>
            <w:pPr>
              <w:spacing w:after="20"/>
            </w:pPr>
            <w:r>
              <w:rPr>
                <w:color w:val="1C3A36"/>
                <w:sz w:val="15"/>
              </w:rPr>
              <w:t>op fy24</w:t>
            </w:r>
          </w:p>
        </w:tc>
        <w:tc>
          <w:tcPr>
            <w:tcW w:type="dxa" w:w="1368"/>
          </w:tcPr>
          <w:p>
            <w:pPr>
              <w:spacing w:after="20"/>
            </w:pPr>
            <w:r>
              <w:rPr>
                <w:color w:val="1C3A36"/>
                <w:sz w:val="15"/>
              </w:rPr>
              <w:t>29,341.7</w:t>
            </w:r>
          </w:p>
        </w:tc>
        <w:tc>
          <w:tcPr>
            <w:tcW w:type="dxa" w:w="1123"/>
          </w:tcPr>
          <w:p>
            <w:pPr>
              <w:spacing w:after="20"/>
            </w:pPr>
            <w:r>
              <w:rPr>
                <w:color w:val="1C3A36"/>
                <w:sz w:val="15"/>
              </w:rPr>
              <w:t>2025-03-13</w:t>
            </w:r>
          </w:p>
        </w:tc>
        <w:tc>
          <w:tcPr>
            <w:tcW w:type="dxa" w:w="5933"/>
          </w:tcPr>
          <w:p>
            <w:pPr>
              <w:spacing w:after="20"/>
            </w:pPr>
            <w:r>
              <w:rPr>
                <w:color w:val="1C3A36"/>
                <w:sz w:val="15"/>
              </w:rPr>
              <w:t>Operating profit, FY2024 audited financial statements</w:t>
            </w:r>
          </w:p>
        </w:tc>
      </w:tr>
      <w:tr>
        <w:tc>
          <w:tcPr>
            <w:tcW w:type="dxa" w:w="1656"/>
          </w:tcPr>
          <w:p>
            <w:pPr>
              <w:spacing w:after="20"/>
            </w:pPr>
            <w:r>
              <w:rPr>
                <w:color w:val="1C3A36"/>
                <w:sz w:val="15"/>
              </w:rPr>
              <w:t>op fy25</w:t>
            </w:r>
          </w:p>
        </w:tc>
        <w:tc>
          <w:tcPr>
            <w:tcW w:type="dxa" w:w="1368"/>
          </w:tcPr>
          <w:p>
            <w:pPr>
              <w:spacing w:after="20"/>
            </w:pPr>
            <w:r>
              <w:rPr>
                <w:color w:val="1C3A36"/>
                <w:sz w:val="15"/>
              </w:rPr>
              <w:t>25,354.2</w:t>
            </w:r>
          </w:p>
        </w:tc>
        <w:tc>
          <w:tcPr>
            <w:tcW w:type="dxa" w:w="1123"/>
          </w:tcPr>
          <w:p>
            <w:pPr>
              <w:spacing w:after="20"/>
            </w:pPr>
            <w:r>
              <w:rPr>
                <w:color w:val="1C3A36"/>
                <w:sz w:val="15"/>
              </w:rPr>
              <w:t>2026-03-15</w:t>
            </w:r>
          </w:p>
        </w:tc>
        <w:tc>
          <w:tcPr>
            <w:tcW w:type="dxa" w:w="5933"/>
          </w:tcPr>
          <w:p>
            <w:pPr>
              <w:spacing w:after="20"/>
            </w:pPr>
            <w:r>
              <w:rPr>
                <w:color w:val="1C3A36"/>
                <w:sz w:val="15"/>
              </w:rPr>
              <w:t>Operating profit, FY2025 audited financial statements</w:t>
            </w:r>
          </w:p>
        </w:tc>
      </w:tr>
      <w:tr>
        <w:tc>
          <w:tcPr>
            <w:tcW w:type="dxa" w:w="1656"/>
          </w:tcPr>
          <w:p>
            <w:pPr>
              <w:spacing w:after="20"/>
            </w:pPr>
            <w:r>
              <w:rPr>
                <w:color w:val="1C3A36"/>
                <w:sz w:val="15"/>
              </w:rPr>
              <w:t>dna fy23</w:t>
            </w:r>
          </w:p>
        </w:tc>
        <w:tc>
          <w:tcPr>
            <w:tcW w:type="dxa" w:w="1368"/>
          </w:tcPr>
          <w:p>
            <w:pPr>
              <w:spacing w:after="20"/>
            </w:pPr>
            <w:r>
              <w:rPr>
                <w:color w:val="1C3A36"/>
                <w:sz w:val="15"/>
              </w:rPr>
              <w:t>2,296.0</w:t>
            </w:r>
          </w:p>
        </w:tc>
        <w:tc>
          <w:tcPr>
            <w:tcW w:type="dxa" w:w="1123"/>
          </w:tcPr>
          <w:p>
            <w:pPr>
              <w:spacing w:after="20"/>
            </w:pPr>
            <w:r>
              <w:rPr>
                <w:color w:val="1C3A36"/>
                <w:sz w:val="15"/>
              </w:rPr>
              <w:t>2024-03-13</w:t>
            </w:r>
          </w:p>
        </w:tc>
        <w:tc>
          <w:tcPr>
            <w:tcW w:type="dxa" w:w="5933"/>
          </w:tcPr>
          <w:p>
            <w:pPr>
              <w:spacing w:after="20"/>
            </w:pPr>
            <w:r>
              <w:rPr>
                <w:color w:val="1C3A36"/>
                <w:sz w:val="15"/>
              </w:rPr>
              <w:t>Audited FY2023 consolidated statement of cash flows: PP&amp;E depreciation 2,120.789808 + investment property 6.388342 + intangibles amortisation 53.947575 + right-of-use assets 114.861231</w:t>
            </w:r>
          </w:p>
        </w:tc>
      </w:tr>
      <w:tr>
        <w:tc>
          <w:tcPr>
            <w:tcW w:type="dxa" w:w="1656"/>
          </w:tcPr>
          <w:p>
            <w:pPr>
              <w:spacing w:after="20"/>
            </w:pPr>
            <w:r>
              <w:rPr>
                <w:color w:val="1C3A36"/>
                <w:sz w:val="15"/>
              </w:rPr>
              <w:t>dna fy24</w:t>
            </w:r>
          </w:p>
        </w:tc>
        <w:tc>
          <w:tcPr>
            <w:tcW w:type="dxa" w:w="1368"/>
          </w:tcPr>
          <w:p>
            <w:pPr>
              <w:spacing w:after="20"/>
            </w:pPr>
            <w:r>
              <w:rPr>
                <w:color w:val="1C3A36"/>
                <w:sz w:val="15"/>
              </w:rPr>
              <w:t>2,259.7</w:t>
            </w:r>
          </w:p>
        </w:tc>
        <w:tc>
          <w:tcPr>
            <w:tcW w:type="dxa" w:w="1123"/>
          </w:tcPr>
          <w:p>
            <w:pPr>
              <w:spacing w:after="20"/>
            </w:pPr>
            <w:r>
              <w:rPr>
                <w:color w:val="1C3A36"/>
                <w:sz w:val="15"/>
              </w:rPr>
              <w:t>2025-03-13</w:t>
            </w:r>
          </w:p>
        </w:tc>
        <w:tc>
          <w:tcPr>
            <w:tcW w:type="dxa" w:w="5933"/>
          </w:tcPr>
          <w:p>
            <w:pPr>
              <w:spacing w:after="20"/>
            </w:pPr>
            <w:r>
              <w:rPr>
                <w:color w:val="1C3A36"/>
                <w:sz w:val="15"/>
              </w:rPr>
              <w:t>Audited FY2024 consolidated statement of cash flows: PP&amp;E depreciation 2,019.646871 + investment property 1.472753 + intangibles amortisation 80.726323 + right-of-use assets 157.899859</w:t>
            </w:r>
          </w:p>
        </w:tc>
      </w:tr>
      <w:tr>
        <w:tc>
          <w:tcPr>
            <w:tcW w:type="dxa" w:w="1656"/>
          </w:tcPr>
          <w:p>
            <w:pPr>
              <w:spacing w:after="20"/>
            </w:pPr>
            <w:r>
              <w:rPr>
                <w:color w:val="1C3A36"/>
                <w:sz w:val="15"/>
              </w:rPr>
              <w:t>dna fy25</w:t>
            </w:r>
          </w:p>
        </w:tc>
        <w:tc>
          <w:tcPr>
            <w:tcW w:type="dxa" w:w="1368"/>
          </w:tcPr>
          <w:p>
            <w:pPr>
              <w:spacing w:after="20"/>
            </w:pPr>
            <w:r>
              <w:rPr>
                <w:color w:val="1C3A36"/>
                <w:sz w:val="15"/>
              </w:rPr>
              <w:t>3,009.0</w:t>
            </w:r>
          </w:p>
        </w:tc>
        <w:tc>
          <w:tcPr>
            <w:tcW w:type="dxa" w:w="1123"/>
          </w:tcPr>
          <w:p>
            <w:pPr>
              <w:spacing w:after="20"/>
            </w:pPr>
            <w:r>
              <w:rPr>
                <w:color w:val="1C3A36"/>
                <w:sz w:val="15"/>
              </w:rPr>
              <w:t>2026-03-15</w:t>
            </w:r>
          </w:p>
        </w:tc>
        <w:tc>
          <w:tcPr>
            <w:tcW w:type="dxa" w:w="5933"/>
          </w:tcPr>
          <w:p>
            <w:pPr>
              <w:spacing w:after="20"/>
            </w:pPr>
            <w:r>
              <w:rPr>
                <w:color w:val="1C3A36"/>
                <w:sz w:val="15"/>
              </w:rPr>
              <w:t>Audited FY2025 consolidated statement of cash flows: PP&amp;E depreciation 2,733.671862 + investment property 1.687166 + intangibles amortisation 78.072847 + right-of-use assets 195.545752 — the depreciable base stepped up with the FY2025 capex ramp</w:t>
            </w:r>
          </w:p>
        </w:tc>
      </w:tr>
      <w:tr>
        <w:tc>
          <w:tcPr>
            <w:tcW w:type="dxa" w:w="1656"/>
          </w:tcPr>
          <w:p>
            <w:pPr>
              <w:spacing w:after="20"/>
            </w:pPr>
            <w:r>
              <w:rPr>
                <w:color w:val="1C3A36"/>
                <w:sz w:val="15"/>
              </w:rPr>
              <w:t>netfin fy23</w:t>
            </w:r>
          </w:p>
        </w:tc>
        <w:tc>
          <w:tcPr>
            <w:tcW w:type="dxa" w:w="1368"/>
          </w:tcPr>
          <w:p>
            <w:pPr>
              <w:spacing w:after="20"/>
            </w:pPr>
            <w:r>
              <w:rPr>
                <w:color w:val="1C3A36"/>
                <w:sz w:val="15"/>
              </w:rPr>
              <w:t>-2,124.4</w:t>
            </w:r>
          </w:p>
        </w:tc>
        <w:tc>
          <w:tcPr>
            <w:tcW w:type="dxa" w:w="1123"/>
          </w:tcPr>
          <w:p>
            <w:pPr>
              <w:spacing w:after="20"/>
            </w:pPr>
            <w:r>
              <w:rPr>
                <w:color w:val="1C3A36"/>
                <w:sz w:val="15"/>
              </w:rPr>
              <w:t>2024-03-13</w:t>
            </w:r>
          </w:p>
        </w:tc>
        <w:tc>
          <w:tcPr>
            <w:tcW w:type="dxa" w:w="5933"/>
          </w:tcPr>
          <w:p>
            <w:pPr>
              <w:spacing w:after="20"/>
            </w:pPr>
            <w:r>
              <w:rPr>
                <w:color w:val="1C3A36"/>
                <w:sz w:val="15"/>
              </w:rPr>
              <w:t>Net finance costs, FY2023 audited financial statements: finance income 2,818.868796 less finance costs 4,943.231073</w:t>
            </w:r>
          </w:p>
        </w:tc>
      </w:tr>
      <w:tr>
        <w:tc>
          <w:tcPr>
            <w:tcW w:type="dxa" w:w="1656"/>
          </w:tcPr>
          <w:p>
            <w:pPr>
              <w:spacing w:after="20"/>
            </w:pPr>
            <w:r>
              <w:rPr>
                <w:color w:val="1C3A36"/>
                <w:sz w:val="15"/>
              </w:rPr>
              <w:t>netfin fy24</w:t>
            </w:r>
          </w:p>
        </w:tc>
        <w:tc>
          <w:tcPr>
            <w:tcW w:type="dxa" w:w="1368"/>
          </w:tcPr>
          <w:p>
            <w:pPr>
              <w:spacing w:after="20"/>
            </w:pPr>
            <w:r>
              <w:rPr>
                <w:color w:val="1C3A36"/>
                <w:sz w:val="15"/>
              </w:rPr>
              <w:t>-3,515.4</w:t>
            </w:r>
          </w:p>
        </w:tc>
        <w:tc>
          <w:tcPr>
            <w:tcW w:type="dxa" w:w="1123"/>
          </w:tcPr>
          <w:p>
            <w:pPr>
              <w:spacing w:after="20"/>
            </w:pPr>
            <w:r>
              <w:rPr>
                <w:color w:val="1C3A36"/>
                <w:sz w:val="15"/>
              </w:rPr>
              <w:t>2025-03-13</w:t>
            </w:r>
          </w:p>
        </w:tc>
        <w:tc>
          <w:tcPr>
            <w:tcW w:type="dxa" w:w="5933"/>
          </w:tcPr>
          <w:p>
            <w:pPr>
              <w:spacing w:after="20"/>
            </w:pPr>
            <w:r>
              <w:rPr>
                <w:color w:val="1C3A36"/>
                <w:sz w:val="15"/>
              </w:rPr>
              <w:t>Net finance costs, FY2024 audited financial statements: finance income 4,247.625658 less finance costs 7,762.991604</w:t>
            </w:r>
          </w:p>
        </w:tc>
      </w:tr>
      <w:tr>
        <w:tc>
          <w:tcPr>
            <w:tcW w:type="dxa" w:w="1656"/>
          </w:tcPr>
          <w:p>
            <w:pPr>
              <w:spacing w:after="20"/>
            </w:pPr>
            <w:r>
              <w:rPr>
                <w:color w:val="1C3A36"/>
                <w:sz w:val="15"/>
              </w:rPr>
              <w:t>netfin fy25</w:t>
            </w:r>
          </w:p>
        </w:tc>
        <w:tc>
          <w:tcPr>
            <w:tcW w:type="dxa" w:w="1368"/>
          </w:tcPr>
          <w:p>
            <w:pPr>
              <w:spacing w:after="20"/>
            </w:pPr>
            <w:r>
              <w:rPr>
                <w:color w:val="1C3A36"/>
                <w:sz w:val="15"/>
              </w:rPr>
              <w:t>-2,145.4</w:t>
            </w:r>
          </w:p>
        </w:tc>
        <w:tc>
          <w:tcPr>
            <w:tcW w:type="dxa" w:w="1123"/>
          </w:tcPr>
          <w:p>
            <w:pPr>
              <w:spacing w:after="20"/>
            </w:pPr>
            <w:r>
              <w:rPr>
                <w:color w:val="1C3A36"/>
                <w:sz w:val="15"/>
              </w:rPr>
              <w:t>2026-03-15</w:t>
            </w:r>
          </w:p>
        </w:tc>
        <w:tc>
          <w:tcPr>
            <w:tcW w:type="dxa" w:w="5933"/>
          </w:tcPr>
          <w:p>
            <w:pPr>
              <w:spacing w:after="20"/>
            </w:pPr>
            <w:r>
              <w:rPr>
                <w:color w:val="1C3A36"/>
                <w:sz w:val="15"/>
              </w:rPr>
              <w:t>Net finance costs, FY2025 audited financial statements: finance income 3,713.003271 less finance costs 5,858.442026. REPLACES a previous estimate of -3,400 struck when the filing was not reachable — this is the exact audited figure and it is materially smaller (net finance improved even as gross debt grew, because the CBE's easing cycle and a larger cash pile both cut the net charge)</w:t>
            </w:r>
          </w:p>
        </w:tc>
      </w:tr>
      <w:tr>
        <w:tc>
          <w:tcPr>
            <w:tcW w:type="dxa" w:w="1656"/>
          </w:tcPr>
          <w:p>
            <w:pPr>
              <w:spacing w:after="20"/>
            </w:pPr>
            <w:r>
              <w:rPr>
                <w:color w:val="1C3A36"/>
                <w:sz w:val="15"/>
              </w:rPr>
              <w:t>assoc fy23</w:t>
            </w:r>
          </w:p>
        </w:tc>
        <w:tc>
          <w:tcPr>
            <w:tcW w:type="dxa" w:w="1368"/>
          </w:tcPr>
          <w:p>
            <w:pPr>
              <w:spacing w:after="20"/>
            </w:pPr>
            <w:r>
              <w:rPr>
                <w:color w:val="1C3A36"/>
                <w:sz w:val="15"/>
              </w:rPr>
              <w:t>603.6</w:t>
            </w:r>
          </w:p>
        </w:tc>
        <w:tc>
          <w:tcPr>
            <w:tcW w:type="dxa" w:w="1123"/>
          </w:tcPr>
          <w:p>
            <w:pPr>
              <w:spacing w:after="20"/>
            </w:pPr>
            <w:r>
              <w:rPr>
                <w:color w:val="1C3A36"/>
                <w:sz w:val="15"/>
              </w:rPr>
              <w:t>2024-03-13</w:t>
            </w:r>
          </w:p>
        </w:tc>
        <w:tc>
          <w:tcPr>
            <w:tcW w:type="dxa" w:w="5933"/>
          </w:tcPr>
          <w:p>
            <w:pPr>
              <w:spacing w:after="20"/>
            </w:pPr>
            <w:r>
              <w:rPr>
                <w:color w:val="1C3A36"/>
                <w:sz w:val="15"/>
              </w:rPr>
              <w:t>Group's share of profit of equity-accounted investees, FY2023 audited financial statements</w:t>
            </w:r>
          </w:p>
        </w:tc>
      </w:tr>
      <w:tr>
        <w:tc>
          <w:tcPr>
            <w:tcW w:type="dxa" w:w="1656"/>
          </w:tcPr>
          <w:p>
            <w:pPr>
              <w:spacing w:after="20"/>
            </w:pPr>
            <w:r>
              <w:rPr>
                <w:color w:val="1C3A36"/>
                <w:sz w:val="15"/>
              </w:rPr>
              <w:t>assoc fy24</w:t>
            </w:r>
          </w:p>
        </w:tc>
        <w:tc>
          <w:tcPr>
            <w:tcW w:type="dxa" w:w="1368"/>
          </w:tcPr>
          <w:p>
            <w:pPr>
              <w:spacing w:after="20"/>
            </w:pPr>
            <w:r>
              <w:rPr>
                <w:color w:val="1C3A36"/>
                <w:sz w:val="15"/>
              </w:rPr>
              <w:t>1,132.4</w:t>
            </w:r>
          </w:p>
        </w:tc>
        <w:tc>
          <w:tcPr>
            <w:tcW w:type="dxa" w:w="1123"/>
          </w:tcPr>
          <w:p>
            <w:pPr>
              <w:spacing w:after="20"/>
            </w:pPr>
            <w:r>
              <w:rPr>
                <w:color w:val="1C3A36"/>
                <w:sz w:val="15"/>
              </w:rPr>
              <w:t>2025-03-13</w:t>
            </w:r>
          </w:p>
        </w:tc>
        <w:tc>
          <w:tcPr>
            <w:tcW w:type="dxa" w:w="5933"/>
          </w:tcPr>
          <w:p>
            <w:pPr>
              <w:spacing w:after="20"/>
            </w:pPr>
            <w:r>
              <w:rPr>
                <w:color w:val="1C3A36"/>
                <w:sz w:val="15"/>
              </w:rPr>
              <w:t>Group's share of profit of equity-accounted investees, FY2024 audited financial statements</w:t>
            </w:r>
          </w:p>
        </w:tc>
      </w:tr>
      <w:tr>
        <w:tc>
          <w:tcPr>
            <w:tcW w:type="dxa" w:w="1656"/>
          </w:tcPr>
          <w:p>
            <w:pPr>
              <w:spacing w:after="20"/>
            </w:pPr>
            <w:r>
              <w:rPr>
                <w:color w:val="1C3A36"/>
                <w:sz w:val="15"/>
              </w:rPr>
              <w:t>assoc fy25</w:t>
            </w:r>
          </w:p>
        </w:tc>
        <w:tc>
          <w:tcPr>
            <w:tcW w:type="dxa" w:w="1368"/>
          </w:tcPr>
          <w:p>
            <w:pPr>
              <w:spacing w:after="20"/>
            </w:pPr>
            <w:r>
              <w:rPr>
                <w:color w:val="1C3A36"/>
                <w:sz w:val="15"/>
              </w:rPr>
              <w:t>1,568.9</w:t>
            </w:r>
          </w:p>
        </w:tc>
        <w:tc>
          <w:tcPr>
            <w:tcW w:type="dxa" w:w="1123"/>
          </w:tcPr>
          <w:p>
            <w:pPr>
              <w:spacing w:after="20"/>
            </w:pPr>
            <w:r>
              <w:rPr>
                <w:color w:val="1C3A36"/>
                <w:sz w:val="15"/>
              </w:rPr>
              <w:t>2026-03-15</w:t>
            </w:r>
          </w:p>
        </w:tc>
        <w:tc>
          <w:tcPr>
            <w:tcW w:type="dxa" w:w="5933"/>
          </w:tcPr>
          <w:p>
            <w:pPr>
              <w:spacing w:after="20"/>
            </w:pPr>
            <w:r>
              <w:rPr>
                <w:color w:val="1C3A36"/>
                <w:sz w:val="15"/>
              </w:rPr>
              <w:t>Group's share of profit of equity-accounted investees, FY2025 audited financial statements — reconciles exactly to the sum of the per-investee shares in Note 20 (Doha Cables 940.3, Elsewedy Cables-Qatar 259.2, SC Zone Utilities 255.5, SWIEP 73.4, Aloula 96.9, Raneen 15.5, Senyar -71.9). REPLACES a previous 1.15x uplift on the FY2024 figure, no longer needed now the actual number is disclosed</w:t>
            </w:r>
          </w:p>
        </w:tc>
      </w:tr>
      <w:tr>
        <w:tc>
          <w:tcPr>
            <w:tcW w:type="dxa" w:w="1656"/>
          </w:tcPr>
          <w:p>
            <w:pPr>
              <w:spacing w:after="20"/>
            </w:pPr>
            <w:r>
              <w:rPr>
                <w:color w:val="1C3A36"/>
                <w:sz w:val="15"/>
              </w:rPr>
              <w:t>tax fy23</w:t>
            </w:r>
          </w:p>
        </w:tc>
        <w:tc>
          <w:tcPr>
            <w:tcW w:type="dxa" w:w="1368"/>
          </w:tcPr>
          <w:p>
            <w:pPr>
              <w:spacing w:after="20"/>
            </w:pPr>
            <w:r>
              <w:rPr>
                <w:color w:val="1C3A36"/>
                <w:sz w:val="15"/>
              </w:rPr>
              <w:t>-5,080.4</w:t>
            </w:r>
          </w:p>
        </w:tc>
        <w:tc>
          <w:tcPr>
            <w:tcW w:type="dxa" w:w="1123"/>
          </w:tcPr>
          <w:p>
            <w:pPr>
              <w:spacing w:after="20"/>
            </w:pPr>
            <w:r>
              <w:rPr>
                <w:color w:val="1C3A36"/>
                <w:sz w:val="15"/>
              </w:rPr>
              <w:t>2024-03-13</w:t>
            </w:r>
          </w:p>
        </w:tc>
        <w:tc>
          <w:tcPr>
            <w:tcW w:type="dxa" w:w="5933"/>
          </w:tcPr>
          <w:p>
            <w:pPr>
              <w:spacing w:after="20"/>
            </w:pPr>
            <w:r>
              <w:rPr>
                <w:color w:val="1C3A36"/>
                <w:sz w:val="15"/>
              </w:rPr>
              <w:t>Income tax expense, FY2023 audited financial statements</w:t>
            </w:r>
          </w:p>
        </w:tc>
      </w:tr>
      <w:tr>
        <w:tc>
          <w:tcPr>
            <w:tcW w:type="dxa" w:w="1656"/>
          </w:tcPr>
          <w:p>
            <w:pPr>
              <w:spacing w:after="20"/>
            </w:pPr>
            <w:r>
              <w:rPr>
                <w:color w:val="1C3A36"/>
                <w:sz w:val="15"/>
              </w:rPr>
              <w:t>tax fy24</w:t>
            </w:r>
          </w:p>
        </w:tc>
        <w:tc>
          <w:tcPr>
            <w:tcW w:type="dxa" w:w="1368"/>
          </w:tcPr>
          <w:p>
            <w:pPr>
              <w:spacing w:after="20"/>
            </w:pPr>
            <w:r>
              <w:rPr>
                <w:color w:val="1C3A36"/>
                <w:sz w:val="15"/>
              </w:rPr>
              <w:t>-8,121.5</w:t>
            </w:r>
          </w:p>
        </w:tc>
        <w:tc>
          <w:tcPr>
            <w:tcW w:type="dxa" w:w="1123"/>
          </w:tcPr>
          <w:p>
            <w:pPr>
              <w:spacing w:after="20"/>
            </w:pPr>
            <w:r>
              <w:rPr>
                <w:color w:val="1C3A36"/>
                <w:sz w:val="15"/>
              </w:rPr>
              <w:t>2025-03-13</w:t>
            </w:r>
          </w:p>
        </w:tc>
        <w:tc>
          <w:tcPr>
            <w:tcW w:type="dxa" w:w="5933"/>
          </w:tcPr>
          <w:p>
            <w:pPr>
              <w:spacing w:after="20"/>
            </w:pPr>
            <w:r>
              <w:rPr>
                <w:color w:val="1C3A36"/>
                <w:sz w:val="15"/>
              </w:rPr>
              <w:t>Income tax expense, FY2024 audited financial statements</w:t>
            </w:r>
          </w:p>
        </w:tc>
      </w:tr>
      <w:tr>
        <w:tc>
          <w:tcPr>
            <w:tcW w:type="dxa" w:w="1656"/>
          </w:tcPr>
          <w:p>
            <w:pPr>
              <w:spacing w:after="20"/>
            </w:pPr>
            <w:r>
              <w:rPr>
                <w:color w:val="1C3A36"/>
                <w:sz w:val="15"/>
              </w:rPr>
              <w:t>tax fy25</w:t>
            </w:r>
          </w:p>
        </w:tc>
        <w:tc>
          <w:tcPr>
            <w:tcW w:type="dxa" w:w="1368"/>
          </w:tcPr>
          <w:p>
            <w:pPr>
              <w:spacing w:after="20"/>
            </w:pPr>
            <w:r>
              <w:rPr>
                <w:color w:val="1C3A36"/>
                <w:sz w:val="15"/>
              </w:rPr>
              <w:t>-5,591.1</w:t>
            </w:r>
          </w:p>
        </w:tc>
        <w:tc>
          <w:tcPr>
            <w:tcW w:type="dxa" w:w="1123"/>
          </w:tcPr>
          <w:p>
            <w:pPr>
              <w:spacing w:after="20"/>
            </w:pPr>
            <w:r>
              <w:rPr>
                <w:color w:val="1C3A36"/>
                <w:sz w:val="15"/>
              </w:rPr>
              <w:t>2026-03-15</w:t>
            </w:r>
          </w:p>
        </w:tc>
        <w:tc>
          <w:tcPr>
            <w:tcW w:type="dxa" w:w="5933"/>
          </w:tcPr>
          <w:p>
            <w:pPr>
              <w:spacing w:after="20"/>
            </w:pPr>
            <w:r>
              <w:rPr>
                <w:color w:val="1C3A36"/>
                <w:sz w:val="15"/>
              </w:rPr>
              <w:t>Income tax expense, FY2025 audited financial statements: current tax 6,312.161650 less deferred tax credit 721.021868. Effective rate 22.57% against 24,777.689839 pre-tax profit — REPLACES a previous house assumption, registered beside it as tax_rate_retired so the figure this study cites is one it holds rather than one it types</w:t>
            </w:r>
          </w:p>
        </w:tc>
      </w:tr>
      <w:tr>
        <w:tc>
          <w:tcPr>
            <w:tcW w:type="dxa" w:w="1656"/>
          </w:tcPr>
          <w:p>
            <w:pPr>
              <w:spacing w:after="20"/>
            </w:pPr>
            <w:r>
              <w:rPr>
                <w:color w:val="1C3A36"/>
                <w:sz w:val="15"/>
              </w:rPr>
              <w:t>pat fy23</w:t>
            </w:r>
          </w:p>
        </w:tc>
        <w:tc>
          <w:tcPr>
            <w:tcW w:type="dxa" w:w="1368"/>
          </w:tcPr>
          <w:p>
            <w:pPr>
              <w:spacing w:after="20"/>
            </w:pPr>
            <w:r>
              <w:rPr>
                <w:color w:val="1C3A36"/>
                <w:sz w:val="15"/>
              </w:rPr>
              <w:t>11,138.0</w:t>
            </w:r>
          </w:p>
        </w:tc>
        <w:tc>
          <w:tcPr>
            <w:tcW w:type="dxa" w:w="1123"/>
          </w:tcPr>
          <w:p>
            <w:pPr>
              <w:spacing w:after="20"/>
            </w:pPr>
            <w:r>
              <w:rPr>
                <w:color w:val="1C3A36"/>
                <w:sz w:val="15"/>
              </w:rPr>
              <w:t>2024-03-13</w:t>
            </w:r>
          </w:p>
        </w:tc>
        <w:tc>
          <w:tcPr>
            <w:tcW w:type="dxa" w:w="5933"/>
          </w:tcPr>
          <w:p>
            <w:pPr>
              <w:spacing w:after="20"/>
            </w:pPr>
            <w:r>
              <w:rPr>
                <w:color w:val="1C3A36"/>
                <w:sz w:val="15"/>
              </w:rPr>
              <w:t>Profit for the year, FY2023 audited financial statements</w:t>
            </w:r>
          </w:p>
        </w:tc>
      </w:tr>
      <w:tr>
        <w:tc>
          <w:tcPr>
            <w:tcW w:type="dxa" w:w="1656"/>
          </w:tcPr>
          <w:p>
            <w:pPr>
              <w:spacing w:after="20"/>
            </w:pPr>
            <w:r>
              <w:rPr>
                <w:color w:val="1C3A36"/>
                <w:sz w:val="15"/>
              </w:rPr>
              <w:t>pat fy24</w:t>
            </w:r>
          </w:p>
        </w:tc>
        <w:tc>
          <w:tcPr>
            <w:tcW w:type="dxa" w:w="1368"/>
          </w:tcPr>
          <w:p>
            <w:pPr>
              <w:spacing w:after="20"/>
            </w:pPr>
            <w:r>
              <w:rPr>
                <w:color w:val="1C3A36"/>
                <w:sz w:val="15"/>
              </w:rPr>
              <w:t>18,837.2</w:t>
            </w:r>
          </w:p>
        </w:tc>
        <w:tc>
          <w:tcPr>
            <w:tcW w:type="dxa" w:w="1123"/>
          </w:tcPr>
          <w:p>
            <w:pPr>
              <w:spacing w:after="20"/>
            </w:pPr>
            <w:r>
              <w:rPr>
                <w:color w:val="1C3A36"/>
                <w:sz w:val="15"/>
              </w:rPr>
              <w:t>2025-03-13</w:t>
            </w:r>
          </w:p>
        </w:tc>
        <w:tc>
          <w:tcPr>
            <w:tcW w:type="dxa" w:w="5933"/>
          </w:tcPr>
          <w:p>
            <w:pPr>
              <w:spacing w:after="20"/>
            </w:pPr>
            <w:r>
              <w:rPr>
                <w:color w:val="1C3A36"/>
                <w:sz w:val="15"/>
              </w:rPr>
              <w:t>Profit for the year, FY2024 audited financial statements</w:t>
            </w:r>
          </w:p>
        </w:tc>
      </w:tr>
      <w:tr>
        <w:tc>
          <w:tcPr>
            <w:tcW w:type="dxa" w:w="1656"/>
          </w:tcPr>
          <w:p>
            <w:pPr>
              <w:spacing w:after="20"/>
            </w:pPr>
            <w:r>
              <w:rPr>
                <w:color w:val="1C3A36"/>
                <w:sz w:val="15"/>
              </w:rPr>
              <w:t>pat fy25</w:t>
            </w:r>
          </w:p>
        </w:tc>
        <w:tc>
          <w:tcPr>
            <w:tcW w:type="dxa" w:w="1368"/>
          </w:tcPr>
          <w:p>
            <w:pPr>
              <w:spacing w:after="20"/>
            </w:pPr>
            <w:r>
              <w:rPr>
                <w:color w:val="1C3A36"/>
                <w:sz w:val="15"/>
              </w:rPr>
              <w:t>19,186.6</w:t>
            </w:r>
          </w:p>
        </w:tc>
        <w:tc>
          <w:tcPr>
            <w:tcW w:type="dxa" w:w="1123"/>
          </w:tcPr>
          <w:p>
            <w:pPr>
              <w:spacing w:after="20"/>
            </w:pPr>
            <w:r>
              <w:rPr>
                <w:color w:val="1C3A36"/>
                <w:sz w:val="15"/>
              </w:rPr>
              <w:t>2026-03-15</w:t>
            </w:r>
          </w:p>
        </w:tc>
        <w:tc>
          <w:tcPr>
            <w:tcW w:type="dxa" w:w="5933"/>
          </w:tcPr>
          <w:p>
            <w:pPr>
              <w:spacing w:after="20"/>
            </w:pPr>
            <w:r>
              <w:rPr>
                <w:color w:val="1C3A36"/>
                <w:sz w:val="15"/>
              </w:rPr>
              <w:t>Profit for the year, FY2025 audited financial statements</w:t>
            </w:r>
          </w:p>
        </w:tc>
      </w:tr>
      <w:tr>
        <w:tc>
          <w:tcPr>
            <w:tcW w:type="dxa" w:w="1656"/>
          </w:tcPr>
          <w:p>
            <w:pPr>
              <w:spacing w:after="20"/>
            </w:pPr>
            <w:r>
              <w:rPr>
                <w:color w:val="1C3A36"/>
                <w:sz w:val="15"/>
              </w:rPr>
              <w:t>npa fy23</w:t>
            </w:r>
          </w:p>
        </w:tc>
        <w:tc>
          <w:tcPr>
            <w:tcW w:type="dxa" w:w="1368"/>
          </w:tcPr>
          <w:p>
            <w:pPr>
              <w:spacing w:after="20"/>
            </w:pPr>
            <w:r>
              <w:rPr>
                <w:color w:val="1C3A36"/>
                <w:sz w:val="15"/>
              </w:rPr>
              <w:t>10,115.7</w:t>
            </w:r>
          </w:p>
        </w:tc>
        <w:tc>
          <w:tcPr>
            <w:tcW w:type="dxa" w:w="1123"/>
          </w:tcPr>
          <w:p>
            <w:pPr>
              <w:spacing w:after="20"/>
            </w:pPr>
            <w:r>
              <w:rPr>
                <w:color w:val="1C3A36"/>
                <w:sz w:val="15"/>
              </w:rPr>
              <w:t>2024-03-13</w:t>
            </w:r>
          </w:p>
        </w:tc>
        <w:tc>
          <w:tcPr>
            <w:tcW w:type="dxa" w:w="5933"/>
          </w:tcPr>
          <w:p>
            <w:pPr>
              <w:spacing w:after="20"/>
            </w:pPr>
            <w:r>
              <w:rPr>
                <w:color w:val="1C3A36"/>
                <w:sz w:val="15"/>
              </w:rPr>
              <w:t>Profit attributable to owners of the parent, FY2023 audited financial statements. Basic EPS 4.26, diluted 4.25</w:t>
            </w:r>
          </w:p>
        </w:tc>
      </w:tr>
      <w:tr>
        <w:tc>
          <w:tcPr>
            <w:tcW w:type="dxa" w:w="1656"/>
          </w:tcPr>
          <w:p>
            <w:pPr>
              <w:spacing w:after="20"/>
            </w:pPr>
            <w:r>
              <w:rPr>
                <w:color w:val="1C3A36"/>
                <w:sz w:val="15"/>
              </w:rPr>
              <w:t>npa fy24</w:t>
            </w:r>
          </w:p>
        </w:tc>
        <w:tc>
          <w:tcPr>
            <w:tcW w:type="dxa" w:w="1368"/>
          </w:tcPr>
          <w:p>
            <w:pPr>
              <w:spacing w:after="20"/>
            </w:pPr>
            <w:r>
              <w:rPr>
                <w:color w:val="1C3A36"/>
                <w:sz w:val="15"/>
              </w:rPr>
              <w:t>17,461.4</w:t>
            </w:r>
          </w:p>
        </w:tc>
        <w:tc>
          <w:tcPr>
            <w:tcW w:type="dxa" w:w="1123"/>
          </w:tcPr>
          <w:p>
            <w:pPr>
              <w:spacing w:after="20"/>
            </w:pPr>
            <w:r>
              <w:rPr>
                <w:color w:val="1C3A36"/>
                <w:sz w:val="15"/>
              </w:rPr>
              <w:t>2025-03-13</w:t>
            </w:r>
          </w:p>
        </w:tc>
        <w:tc>
          <w:tcPr>
            <w:tcW w:type="dxa" w:w="5933"/>
          </w:tcPr>
          <w:p>
            <w:pPr>
              <w:spacing w:after="20"/>
            </w:pPr>
            <w:r>
              <w:rPr>
                <w:color w:val="1C3A36"/>
                <w:sz w:val="15"/>
              </w:rPr>
              <w:t>Profit attributable to owners of the parent, FY2024 audited financial statements. Basic EPS 7.22, diluted 7.21</w:t>
            </w:r>
          </w:p>
        </w:tc>
      </w:tr>
      <w:tr>
        <w:tc>
          <w:tcPr>
            <w:tcW w:type="dxa" w:w="1656"/>
          </w:tcPr>
          <w:p>
            <w:pPr>
              <w:spacing w:after="20"/>
            </w:pPr>
            <w:r>
              <w:rPr>
                <w:color w:val="1C3A36"/>
                <w:sz w:val="15"/>
              </w:rPr>
              <w:t>npa fy25</w:t>
            </w:r>
          </w:p>
        </w:tc>
        <w:tc>
          <w:tcPr>
            <w:tcW w:type="dxa" w:w="1368"/>
          </w:tcPr>
          <w:p>
            <w:pPr>
              <w:spacing w:after="20"/>
            </w:pPr>
            <w:r>
              <w:rPr>
                <w:color w:val="1C3A36"/>
                <w:sz w:val="15"/>
              </w:rPr>
              <w:t>17,330.2</w:t>
            </w:r>
          </w:p>
        </w:tc>
        <w:tc>
          <w:tcPr>
            <w:tcW w:type="dxa" w:w="1123"/>
          </w:tcPr>
          <w:p>
            <w:pPr>
              <w:spacing w:after="20"/>
            </w:pPr>
            <w:r>
              <w:rPr>
                <w:color w:val="1C3A36"/>
                <w:sz w:val="15"/>
              </w:rPr>
              <w:t>2026-03-15</w:t>
            </w:r>
          </w:p>
        </w:tc>
        <w:tc>
          <w:tcPr>
            <w:tcW w:type="dxa" w:w="5933"/>
          </w:tcPr>
          <w:p>
            <w:pPr>
              <w:spacing w:after="20"/>
            </w:pPr>
            <w:r>
              <w:rPr>
                <w:color w:val="1C3A36"/>
                <w:sz w:val="15"/>
              </w:rPr>
              <w:t>Profit attributable to owners of the parent, FY2025 audited financial statements. Basic and diluted EPS both 7.13 (no dilutive instruments beyond the already-deducted ESOP shares)</w:t>
            </w:r>
          </w:p>
        </w:tc>
      </w:tr>
      <w:tr>
        <w:tc>
          <w:tcPr>
            <w:tcW w:type="dxa" w:w="1656"/>
          </w:tcPr>
          <w:p>
            <w:pPr>
              <w:spacing w:after="20"/>
            </w:pPr>
            <w:r>
              <w:rPr>
                <w:color w:val="1C3A36"/>
                <w:sz w:val="15"/>
              </w:rPr>
              <w:t>ppe fy23</w:t>
            </w:r>
          </w:p>
        </w:tc>
        <w:tc>
          <w:tcPr>
            <w:tcW w:type="dxa" w:w="1368"/>
          </w:tcPr>
          <w:p>
            <w:pPr>
              <w:spacing w:after="20"/>
            </w:pPr>
            <w:r>
              <w:rPr>
                <w:color w:val="1C3A36"/>
                <w:sz w:val="15"/>
              </w:rPr>
              <w:t>18,009.2</w:t>
            </w:r>
          </w:p>
        </w:tc>
        <w:tc>
          <w:tcPr>
            <w:tcW w:type="dxa" w:w="1123"/>
          </w:tcPr>
          <w:p>
            <w:pPr>
              <w:spacing w:after="20"/>
            </w:pPr>
            <w:r>
              <w:rPr>
                <w:color w:val="1C3A36"/>
                <w:sz w:val="15"/>
              </w:rPr>
              <w:t>2024-03-13</w:t>
            </w:r>
          </w:p>
        </w:tc>
        <w:tc>
          <w:tcPr>
            <w:tcW w:type="dxa" w:w="5933"/>
          </w:tcPr>
          <w:p>
            <w:pPr>
              <w:spacing w:after="20"/>
            </w:pPr>
            <w:r>
              <w:rPr>
                <w:color w:val="1C3A36"/>
                <w:sz w:val="15"/>
              </w:rPr>
              <w:t>Consolidated statement of financial position, 31 Dec 2023</w:t>
            </w:r>
          </w:p>
        </w:tc>
      </w:tr>
      <w:tr>
        <w:tc>
          <w:tcPr>
            <w:tcW w:type="dxa" w:w="1656"/>
          </w:tcPr>
          <w:p>
            <w:pPr>
              <w:spacing w:after="20"/>
            </w:pPr>
            <w:r>
              <w:rPr>
                <w:color w:val="1C3A36"/>
                <w:sz w:val="15"/>
              </w:rPr>
              <w:t>ppe fy24</w:t>
            </w:r>
          </w:p>
        </w:tc>
        <w:tc>
          <w:tcPr>
            <w:tcW w:type="dxa" w:w="1368"/>
          </w:tcPr>
          <w:p>
            <w:pPr>
              <w:spacing w:after="20"/>
            </w:pPr>
            <w:r>
              <w:rPr>
                <w:color w:val="1C3A36"/>
                <w:sz w:val="15"/>
              </w:rPr>
              <w:t>27,543.8</w:t>
            </w:r>
          </w:p>
        </w:tc>
        <w:tc>
          <w:tcPr>
            <w:tcW w:type="dxa" w:w="1123"/>
          </w:tcPr>
          <w:p>
            <w:pPr>
              <w:spacing w:after="20"/>
            </w:pPr>
            <w:r>
              <w:rPr>
                <w:color w:val="1C3A36"/>
                <w:sz w:val="15"/>
              </w:rPr>
              <w:t>2025-03-13</w:t>
            </w:r>
          </w:p>
        </w:tc>
        <w:tc>
          <w:tcPr>
            <w:tcW w:type="dxa" w:w="5933"/>
          </w:tcPr>
          <w:p>
            <w:pPr>
              <w:spacing w:after="20"/>
            </w:pPr>
            <w:r>
              <w:rPr>
                <w:color w:val="1C3A36"/>
                <w:sz w:val="15"/>
              </w:rPr>
              <w:t>Consolidated statement of financial position, 31 Dec 2024</w:t>
            </w:r>
          </w:p>
        </w:tc>
      </w:tr>
      <w:tr>
        <w:tc>
          <w:tcPr>
            <w:tcW w:type="dxa" w:w="1656"/>
          </w:tcPr>
          <w:p>
            <w:pPr>
              <w:spacing w:after="20"/>
            </w:pPr>
            <w:r>
              <w:rPr>
                <w:color w:val="1C3A36"/>
                <w:sz w:val="15"/>
              </w:rPr>
              <w:t>ppe fy25</w:t>
            </w:r>
          </w:p>
        </w:tc>
        <w:tc>
          <w:tcPr>
            <w:tcW w:type="dxa" w:w="1368"/>
          </w:tcPr>
          <w:p>
            <w:pPr>
              <w:spacing w:after="20"/>
            </w:pPr>
            <w:r>
              <w:rPr>
                <w:color w:val="1C3A36"/>
                <w:sz w:val="15"/>
              </w:rPr>
              <w:t>35,961.1</w:t>
            </w:r>
          </w:p>
        </w:tc>
        <w:tc>
          <w:tcPr>
            <w:tcW w:type="dxa" w:w="1123"/>
          </w:tcPr>
          <w:p>
            <w:pPr>
              <w:spacing w:after="20"/>
            </w:pPr>
            <w:r>
              <w:rPr>
                <w:color w:val="1C3A36"/>
                <w:sz w:val="15"/>
              </w:rPr>
              <w:t>2026-03-15</w:t>
            </w:r>
          </w:p>
        </w:tc>
        <w:tc>
          <w:tcPr>
            <w:tcW w:type="dxa" w:w="5933"/>
          </w:tcPr>
          <w:p>
            <w:pPr>
              <w:spacing w:after="20"/>
            </w:pPr>
            <w:r>
              <w:rPr>
                <w:color w:val="1C3A36"/>
                <w:sz w:val="15"/>
              </w:rPr>
              <w:t>Consolidated statement of financial position, 31 Dec 2025</w:t>
            </w:r>
          </w:p>
        </w:tc>
      </w:tr>
      <w:tr>
        <w:tc>
          <w:tcPr>
            <w:tcW w:type="dxa" w:w="1656"/>
          </w:tcPr>
          <w:p>
            <w:pPr>
              <w:spacing w:after="20"/>
            </w:pPr>
            <w:r>
              <w:rPr>
                <w:color w:val="1C3A36"/>
                <w:sz w:val="15"/>
              </w:rPr>
              <w:t>inv fy23</w:t>
            </w:r>
          </w:p>
        </w:tc>
        <w:tc>
          <w:tcPr>
            <w:tcW w:type="dxa" w:w="1368"/>
          </w:tcPr>
          <w:p>
            <w:pPr>
              <w:spacing w:after="20"/>
            </w:pPr>
            <w:r>
              <w:rPr>
                <w:color w:val="1C3A36"/>
                <w:sz w:val="15"/>
              </w:rPr>
              <w:t>30,881.8</w:t>
            </w:r>
          </w:p>
        </w:tc>
        <w:tc>
          <w:tcPr>
            <w:tcW w:type="dxa" w:w="1123"/>
          </w:tcPr>
          <w:p>
            <w:pPr>
              <w:spacing w:after="20"/>
            </w:pPr>
            <w:r>
              <w:rPr>
                <w:color w:val="1C3A36"/>
                <w:sz w:val="15"/>
              </w:rPr>
              <w:t>2024-03-13</w:t>
            </w:r>
          </w:p>
        </w:tc>
        <w:tc>
          <w:tcPr>
            <w:tcW w:type="dxa" w:w="5933"/>
          </w:tcPr>
          <w:p>
            <w:pPr>
              <w:spacing w:after="20"/>
            </w:pPr>
            <w:r>
              <w:rPr>
                <w:color w:val="1C3A36"/>
                <w:sz w:val="15"/>
              </w:rPr>
              <w:t>Inventories, 31 Dec 2023 (net of write-down)</w:t>
            </w:r>
          </w:p>
        </w:tc>
      </w:tr>
      <w:tr>
        <w:tc>
          <w:tcPr>
            <w:tcW w:type="dxa" w:w="1656"/>
          </w:tcPr>
          <w:p>
            <w:pPr>
              <w:spacing w:after="20"/>
            </w:pPr>
            <w:r>
              <w:rPr>
                <w:color w:val="1C3A36"/>
                <w:sz w:val="15"/>
              </w:rPr>
              <w:t>inv fy24</w:t>
            </w:r>
          </w:p>
        </w:tc>
        <w:tc>
          <w:tcPr>
            <w:tcW w:type="dxa" w:w="1368"/>
          </w:tcPr>
          <w:p>
            <w:pPr>
              <w:spacing w:after="20"/>
            </w:pPr>
            <w:r>
              <w:rPr>
                <w:color w:val="1C3A36"/>
                <w:sz w:val="15"/>
              </w:rPr>
              <w:t>56,795.9</w:t>
            </w:r>
          </w:p>
        </w:tc>
        <w:tc>
          <w:tcPr>
            <w:tcW w:type="dxa" w:w="1123"/>
          </w:tcPr>
          <w:p>
            <w:pPr>
              <w:spacing w:after="20"/>
            </w:pPr>
            <w:r>
              <w:rPr>
                <w:color w:val="1C3A36"/>
                <w:sz w:val="15"/>
              </w:rPr>
              <w:t>2025-03-13</w:t>
            </w:r>
          </w:p>
        </w:tc>
        <w:tc>
          <w:tcPr>
            <w:tcW w:type="dxa" w:w="5933"/>
          </w:tcPr>
          <w:p>
            <w:pPr>
              <w:spacing w:after="20"/>
            </w:pPr>
            <w:r>
              <w:rPr>
                <w:color w:val="1C3A36"/>
                <w:sz w:val="15"/>
              </w:rPr>
              <w:t>Inventories, 31 Dec 2024 (net of write-down)</w:t>
            </w:r>
          </w:p>
        </w:tc>
      </w:tr>
      <w:tr>
        <w:tc>
          <w:tcPr>
            <w:tcW w:type="dxa" w:w="1656"/>
          </w:tcPr>
          <w:p>
            <w:pPr>
              <w:spacing w:after="20"/>
            </w:pPr>
            <w:r>
              <w:rPr>
                <w:color w:val="1C3A36"/>
                <w:sz w:val="15"/>
              </w:rPr>
              <w:t>inv fy25</w:t>
            </w:r>
          </w:p>
        </w:tc>
        <w:tc>
          <w:tcPr>
            <w:tcW w:type="dxa" w:w="1368"/>
          </w:tcPr>
          <w:p>
            <w:pPr>
              <w:spacing w:after="20"/>
            </w:pPr>
            <w:r>
              <w:rPr>
                <w:color w:val="1C3A36"/>
                <w:sz w:val="15"/>
              </w:rPr>
              <w:t>59,860.0</w:t>
            </w:r>
          </w:p>
        </w:tc>
        <w:tc>
          <w:tcPr>
            <w:tcW w:type="dxa" w:w="1123"/>
          </w:tcPr>
          <w:p>
            <w:pPr>
              <w:spacing w:after="20"/>
            </w:pPr>
            <w:r>
              <w:rPr>
                <w:color w:val="1C3A36"/>
                <w:sz w:val="15"/>
              </w:rPr>
              <w:t>2026-03-15</w:t>
            </w:r>
          </w:p>
        </w:tc>
        <w:tc>
          <w:tcPr>
            <w:tcW w:type="dxa" w:w="5933"/>
          </w:tcPr>
          <w:p>
            <w:pPr>
              <w:spacing w:after="20"/>
            </w:pPr>
            <w:r>
              <w:rPr>
                <w:color w:val="1C3A36"/>
                <w:sz w:val="15"/>
              </w:rPr>
              <w:t>Inventories, 31 Dec 2025 (net of write-down)</w:t>
            </w:r>
          </w:p>
        </w:tc>
      </w:tr>
      <w:tr>
        <w:tc>
          <w:tcPr>
            <w:tcW w:type="dxa" w:w="1656"/>
          </w:tcPr>
          <w:p>
            <w:pPr>
              <w:spacing w:after="20"/>
            </w:pPr>
            <w:r>
              <w:rPr>
                <w:color w:val="1C3A36"/>
                <w:sz w:val="15"/>
              </w:rPr>
              <w:t>ca fy23</w:t>
            </w:r>
          </w:p>
        </w:tc>
        <w:tc>
          <w:tcPr>
            <w:tcW w:type="dxa" w:w="1368"/>
          </w:tcPr>
          <w:p>
            <w:pPr>
              <w:spacing w:after="20"/>
            </w:pPr>
            <w:r>
              <w:rPr>
                <w:color w:val="1C3A36"/>
                <w:sz w:val="15"/>
              </w:rPr>
              <w:t>16,179.6</w:t>
            </w:r>
          </w:p>
        </w:tc>
        <w:tc>
          <w:tcPr>
            <w:tcW w:type="dxa" w:w="1123"/>
          </w:tcPr>
          <w:p>
            <w:pPr>
              <w:spacing w:after="20"/>
            </w:pPr>
            <w:r>
              <w:rPr>
                <w:color w:val="1C3A36"/>
                <w:sz w:val="15"/>
              </w:rPr>
              <w:t>2024-03-13</w:t>
            </w:r>
          </w:p>
        </w:tc>
        <w:tc>
          <w:tcPr>
            <w:tcW w:type="dxa" w:w="5933"/>
          </w:tcPr>
          <w:p>
            <w:pPr>
              <w:spacing w:after="20"/>
            </w:pPr>
            <w:r>
              <w:rPr>
                <w:color w:val="1C3A36"/>
                <w:sz w:val="15"/>
              </w:rPr>
              <w:t>Contract assets, 31 Dec 2023</w:t>
            </w:r>
          </w:p>
        </w:tc>
      </w:tr>
      <w:tr>
        <w:tc>
          <w:tcPr>
            <w:tcW w:type="dxa" w:w="1656"/>
          </w:tcPr>
          <w:p>
            <w:pPr>
              <w:spacing w:after="20"/>
            </w:pPr>
            <w:r>
              <w:rPr>
                <w:color w:val="1C3A36"/>
                <w:sz w:val="15"/>
              </w:rPr>
              <w:t>ca fy24</w:t>
            </w:r>
          </w:p>
        </w:tc>
        <w:tc>
          <w:tcPr>
            <w:tcW w:type="dxa" w:w="1368"/>
          </w:tcPr>
          <w:p>
            <w:pPr>
              <w:spacing w:after="20"/>
            </w:pPr>
            <w:r>
              <w:rPr>
                <w:color w:val="1C3A36"/>
                <w:sz w:val="15"/>
              </w:rPr>
              <w:t>18,052.0</w:t>
            </w:r>
          </w:p>
        </w:tc>
        <w:tc>
          <w:tcPr>
            <w:tcW w:type="dxa" w:w="1123"/>
          </w:tcPr>
          <w:p>
            <w:pPr>
              <w:spacing w:after="20"/>
            </w:pPr>
            <w:r>
              <w:rPr>
                <w:color w:val="1C3A36"/>
                <w:sz w:val="15"/>
              </w:rPr>
              <w:t>2025-03-13</w:t>
            </w:r>
          </w:p>
        </w:tc>
        <w:tc>
          <w:tcPr>
            <w:tcW w:type="dxa" w:w="5933"/>
          </w:tcPr>
          <w:p>
            <w:pPr>
              <w:spacing w:after="20"/>
            </w:pPr>
            <w:r>
              <w:rPr>
                <w:color w:val="1C3A36"/>
                <w:sz w:val="15"/>
              </w:rPr>
              <w:t>Contract assets, 31 Dec 2024</w:t>
            </w:r>
          </w:p>
        </w:tc>
      </w:tr>
      <w:tr>
        <w:tc>
          <w:tcPr>
            <w:tcW w:type="dxa" w:w="1656"/>
          </w:tcPr>
          <w:p>
            <w:pPr>
              <w:spacing w:after="20"/>
            </w:pPr>
            <w:r>
              <w:rPr>
                <w:color w:val="1C3A36"/>
                <w:sz w:val="15"/>
              </w:rPr>
              <w:t>ca fy25</w:t>
            </w:r>
          </w:p>
        </w:tc>
        <w:tc>
          <w:tcPr>
            <w:tcW w:type="dxa" w:w="1368"/>
          </w:tcPr>
          <w:p>
            <w:pPr>
              <w:spacing w:after="20"/>
            </w:pPr>
            <w:r>
              <w:rPr>
                <w:color w:val="1C3A36"/>
                <w:sz w:val="15"/>
              </w:rPr>
              <w:t>29,894.6</w:t>
            </w:r>
          </w:p>
        </w:tc>
        <w:tc>
          <w:tcPr>
            <w:tcW w:type="dxa" w:w="1123"/>
          </w:tcPr>
          <w:p>
            <w:pPr>
              <w:spacing w:after="20"/>
            </w:pPr>
            <w:r>
              <w:rPr>
                <w:color w:val="1C3A36"/>
                <w:sz w:val="15"/>
              </w:rPr>
              <w:t>2026-03-15</w:t>
            </w:r>
          </w:p>
        </w:tc>
        <w:tc>
          <w:tcPr>
            <w:tcW w:type="dxa" w:w="5933"/>
          </w:tcPr>
          <w:p>
            <w:pPr>
              <w:spacing w:after="20"/>
            </w:pPr>
            <w:r>
              <w:rPr>
                <w:color w:val="1C3A36"/>
                <w:sz w:val="15"/>
              </w:rPr>
              <w:t>Contract assets, 31 Dec 2025</w:t>
            </w:r>
          </w:p>
        </w:tc>
      </w:tr>
      <w:tr>
        <w:tc>
          <w:tcPr>
            <w:tcW w:type="dxa" w:w="1656"/>
          </w:tcPr>
          <w:p>
            <w:pPr>
              <w:spacing w:after="20"/>
            </w:pPr>
            <w:r>
              <w:rPr>
                <w:color w:val="1C3A36"/>
                <w:sz w:val="15"/>
              </w:rPr>
              <w:t>recv fy23</w:t>
            </w:r>
          </w:p>
        </w:tc>
        <w:tc>
          <w:tcPr>
            <w:tcW w:type="dxa" w:w="1368"/>
          </w:tcPr>
          <w:p>
            <w:pPr>
              <w:spacing w:after="20"/>
            </w:pPr>
            <w:r>
              <w:rPr>
                <w:color w:val="1C3A36"/>
                <w:sz w:val="15"/>
              </w:rPr>
              <w:t>46,591.9</w:t>
            </w:r>
          </w:p>
        </w:tc>
        <w:tc>
          <w:tcPr>
            <w:tcW w:type="dxa" w:w="1123"/>
          </w:tcPr>
          <w:p>
            <w:pPr>
              <w:spacing w:after="20"/>
            </w:pPr>
            <w:r>
              <w:rPr>
                <w:color w:val="1C3A36"/>
                <w:sz w:val="15"/>
              </w:rPr>
              <w:t>2024-03-13</w:t>
            </w:r>
          </w:p>
        </w:tc>
        <w:tc>
          <w:tcPr>
            <w:tcW w:type="dxa" w:w="5933"/>
          </w:tcPr>
          <w:p>
            <w:pPr>
              <w:spacing w:after="20"/>
            </w:pPr>
            <w:r>
              <w:rPr>
                <w:color w:val="1C3A36"/>
                <w:sz w:val="15"/>
              </w:rPr>
              <w:t>Trade and other receivables (current), 31 Dec 2023</w:t>
            </w:r>
          </w:p>
        </w:tc>
      </w:tr>
      <w:tr>
        <w:tc>
          <w:tcPr>
            <w:tcW w:type="dxa" w:w="1656"/>
          </w:tcPr>
          <w:p>
            <w:pPr>
              <w:spacing w:after="20"/>
            </w:pPr>
            <w:r>
              <w:rPr>
                <w:color w:val="1C3A36"/>
                <w:sz w:val="15"/>
              </w:rPr>
              <w:t>recv fy24</w:t>
            </w:r>
          </w:p>
        </w:tc>
        <w:tc>
          <w:tcPr>
            <w:tcW w:type="dxa" w:w="1368"/>
          </w:tcPr>
          <w:p>
            <w:pPr>
              <w:spacing w:after="20"/>
            </w:pPr>
            <w:r>
              <w:rPr>
                <w:color w:val="1C3A36"/>
                <w:sz w:val="15"/>
              </w:rPr>
              <w:t>86,736.3</w:t>
            </w:r>
          </w:p>
        </w:tc>
        <w:tc>
          <w:tcPr>
            <w:tcW w:type="dxa" w:w="1123"/>
          </w:tcPr>
          <w:p>
            <w:pPr>
              <w:spacing w:after="20"/>
            </w:pPr>
            <w:r>
              <w:rPr>
                <w:color w:val="1C3A36"/>
                <w:sz w:val="15"/>
              </w:rPr>
              <w:t>2025-03-13</w:t>
            </w:r>
          </w:p>
        </w:tc>
        <w:tc>
          <w:tcPr>
            <w:tcW w:type="dxa" w:w="5933"/>
          </w:tcPr>
          <w:p>
            <w:pPr>
              <w:spacing w:after="20"/>
            </w:pPr>
            <w:r>
              <w:rPr>
                <w:color w:val="1C3A36"/>
                <w:sz w:val="15"/>
              </w:rPr>
              <w:t>Trade and other receivables (current), 31 Dec 2024</w:t>
            </w:r>
          </w:p>
        </w:tc>
      </w:tr>
      <w:tr>
        <w:tc>
          <w:tcPr>
            <w:tcW w:type="dxa" w:w="1656"/>
          </w:tcPr>
          <w:p>
            <w:pPr>
              <w:spacing w:after="20"/>
            </w:pPr>
            <w:r>
              <w:rPr>
                <w:color w:val="1C3A36"/>
                <w:sz w:val="15"/>
              </w:rPr>
              <w:t>recv fy25</w:t>
            </w:r>
          </w:p>
        </w:tc>
        <w:tc>
          <w:tcPr>
            <w:tcW w:type="dxa" w:w="1368"/>
          </w:tcPr>
          <w:p>
            <w:pPr>
              <w:spacing w:after="20"/>
            </w:pPr>
            <w:r>
              <w:rPr>
                <w:color w:val="1C3A36"/>
                <w:sz w:val="15"/>
              </w:rPr>
              <w:t>116,259.8</w:t>
            </w:r>
          </w:p>
        </w:tc>
        <w:tc>
          <w:tcPr>
            <w:tcW w:type="dxa" w:w="1123"/>
          </w:tcPr>
          <w:p>
            <w:pPr>
              <w:spacing w:after="20"/>
            </w:pPr>
            <w:r>
              <w:rPr>
                <w:color w:val="1C3A36"/>
                <w:sz w:val="15"/>
              </w:rPr>
              <w:t>2026-03-15</w:t>
            </w:r>
          </w:p>
        </w:tc>
        <w:tc>
          <w:tcPr>
            <w:tcW w:type="dxa" w:w="5933"/>
          </w:tcPr>
          <w:p>
            <w:pPr>
              <w:spacing w:after="20"/>
            </w:pPr>
            <w:r>
              <w:rPr>
                <w:color w:val="1C3A36"/>
                <w:sz w:val="15"/>
              </w:rPr>
              <w:t>Trade and other receivables (current), 31 Dec 2025</w:t>
            </w:r>
          </w:p>
        </w:tc>
      </w:tr>
      <w:tr>
        <w:tc>
          <w:tcPr>
            <w:tcW w:type="dxa" w:w="1656"/>
          </w:tcPr>
          <w:p>
            <w:pPr>
              <w:spacing w:after="20"/>
            </w:pPr>
            <w:r>
              <w:rPr>
                <w:color w:val="1C3A36"/>
                <w:sz w:val="15"/>
              </w:rPr>
              <w:t>pay fy23</w:t>
            </w:r>
          </w:p>
        </w:tc>
        <w:tc>
          <w:tcPr>
            <w:tcW w:type="dxa" w:w="1368"/>
          </w:tcPr>
          <w:p>
            <w:pPr>
              <w:spacing w:after="20"/>
            </w:pPr>
            <w:r>
              <w:rPr>
                <w:color w:val="1C3A36"/>
                <w:sz w:val="15"/>
              </w:rPr>
              <w:t>31,938.1</w:t>
            </w:r>
          </w:p>
        </w:tc>
        <w:tc>
          <w:tcPr>
            <w:tcW w:type="dxa" w:w="1123"/>
          </w:tcPr>
          <w:p>
            <w:pPr>
              <w:spacing w:after="20"/>
            </w:pPr>
            <w:r>
              <w:rPr>
                <w:color w:val="1C3A36"/>
                <w:sz w:val="15"/>
              </w:rPr>
              <w:t>2024-03-13</w:t>
            </w:r>
          </w:p>
        </w:tc>
        <w:tc>
          <w:tcPr>
            <w:tcW w:type="dxa" w:w="5933"/>
          </w:tcPr>
          <w:p>
            <w:pPr>
              <w:spacing w:after="20"/>
            </w:pPr>
            <w:r>
              <w:rPr>
                <w:color w:val="1C3A36"/>
                <w:sz w:val="15"/>
              </w:rPr>
              <w:t>Trade and other payables, 31 Dec 2023</w:t>
            </w:r>
          </w:p>
        </w:tc>
      </w:tr>
      <w:tr>
        <w:tc>
          <w:tcPr>
            <w:tcW w:type="dxa" w:w="1656"/>
          </w:tcPr>
          <w:p>
            <w:pPr>
              <w:spacing w:after="20"/>
            </w:pPr>
            <w:r>
              <w:rPr>
                <w:color w:val="1C3A36"/>
                <w:sz w:val="15"/>
              </w:rPr>
              <w:t>pay fy24</w:t>
            </w:r>
          </w:p>
        </w:tc>
        <w:tc>
          <w:tcPr>
            <w:tcW w:type="dxa" w:w="1368"/>
          </w:tcPr>
          <w:p>
            <w:pPr>
              <w:spacing w:after="20"/>
            </w:pPr>
            <w:r>
              <w:rPr>
                <w:color w:val="1C3A36"/>
                <w:sz w:val="15"/>
              </w:rPr>
              <w:t>54,808.2</w:t>
            </w:r>
          </w:p>
        </w:tc>
        <w:tc>
          <w:tcPr>
            <w:tcW w:type="dxa" w:w="1123"/>
          </w:tcPr>
          <w:p>
            <w:pPr>
              <w:spacing w:after="20"/>
            </w:pPr>
            <w:r>
              <w:rPr>
                <w:color w:val="1C3A36"/>
                <w:sz w:val="15"/>
              </w:rPr>
              <w:t>2025-03-13</w:t>
            </w:r>
          </w:p>
        </w:tc>
        <w:tc>
          <w:tcPr>
            <w:tcW w:type="dxa" w:w="5933"/>
          </w:tcPr>
          <w:p>
            <w:pPr>
              <w:spacing w:after="20"/>
            </w:pPr>
            <w:r>
              <w:rPr>
                <w:color w:val="1C3A36"/>
                <w:sz w:val="15"/>
              </w:rPr>
              <w:t>Trade and other payables, 31 Dec 2024</w:t>
            </w:r>
          </w:p>
        </w:tc>
      </w:tr>
      <w:tr>
        <w:tc>
          <w:tcPr>
            <w:tcW w:type="dxa" w:w="1656"/>
          </w:tcPr>
          <w:p>
            <w:pPr>
              <w:spacing w:after="20"/>
            </w:pPr>
            <w:r>
              <w:rPr>
                <w:color w:val="1C3A36"/>
                <w:sz w:val="15"/>
              </w:rPr>
              <w:t>pay fy25</w:t>
            </w:r>
          </w:p>
        </w:tc>
        <w:tc>
          <w:tcPr>
            <w:tcW w:type="dxa" w:w="1368"/>
          </w:tcPr>
          <w:p>
            <w:pPr>
              <w:spacing w:after="20"/>
            </w:pPr>
            <w:r>
              <w:rPr>
                <w:color w:val="1C3A36"/>
                <w:sz w:val="15"/>
              </w:rPr>
              <w:t>68,895.7</w:t>
            </w:r>
          </w:p>
        </w:tc>
        <w:tc>
          <w:tcPr>
            <w:tcW w:type="dxa" w:w="1123"/>
          </w:tcPr>
          <w:p>
            <w:pPr>
              <w:spacing w:after="20"/>
            </w:pPr>
            <w:r>
              <w:rPr>
                <w:color w:val="1C3A36"/>
                <w:sz w:val="15"/>
              </w:rPr>
              <w:t>2026-03-15</w:t>
            </w:r>
          </w:p>
        </w:tc>
        <w:tc>
          <w:tcPr>
            <w:tcW w:type="dxa" w:w="5933"/>
          </w:tcPr>
          <w:p>
            <w:pPr>
              <w:spacing w:after="20"/>
            </w:pPr>
            <w:r>
              <w:rPr>
                <w:color w:val="1C3A36"/>
                <w:sz w:val="15"/>
              </w:rPr>
              <w:t>Trade and other payables, 31 Dec 2025</w:t>
            </w:r>
          </w:p>
        </w:tc>
      </w:tr>
      <w:tr>
        <w:tc>
          <w:tcPr>
            <w:tcW w:type="dxa" w:w="1656"/>
          </w:tcPr>
          <w:p>
            <w:pPr>
              <w:spacing w:after="20"/>
            </w:pPr>
            <w:r>
              <w:rPr>
                <w:color w:val="1C3A36"/>
                <w:sz w:val="15"/>
              </w:rPr>
              <w:t>cl fy23</w:t>
            </w:r>
          </w:p>
        </w:tc>
        <w:tc>
          <w:tcPr>
            <w:tcW w:type="dxa" w:w="1368"/>
          </w:tcPr>
          <w:p>
            <w:pPr>
              <w:spacing w:after="20"/>
            </w:pPr>
            <w:r>
              <w:rPr>
                <w:color w:val="1C3A36"/>
                <w:sz w:val="15"/>
              </w:rPr>
              <w:t>25,060.3</w:t>
            </w:r>
          </w:p>
        </w:tc>
        <w:tc>
          <w:tcPr>
            <w:tcW w:type="dxa" w:w="1123"/>
          </w:tcPr>
          <w:p>
            <w:pPr>
              <w:spacing w:after="20"/>
            </w:pPr>
            <w:r>
              <w:rPr>
                <w:color w:val="1C3A36"/>
                <w:sz w:val="15"/>
              </w:rPr>
              <w:t>2024-03-13</w:t>
            </w:r>
          </w:p>
        </w:tc>
        <w:tc>
          <w:tcPr>
            <w:tcW w:type="dxa" w:w="5933"/>
          </w:tcPr>
          <w:p>
            <w:pPr>
              <w:spacing w:after="20"/>
            </w:pPr>
            <w:r>
              <w:rPr>
                <w:color w:val="1C3A36"/>
                <w:sz w:val="15"/>
              </w:rPr>
              <w:t>Contract liabilities, 31 Dec 2023</w:t>
            </w:r>
          </w:p>
        </w:tc>
      </w:tr>
      <w:tr>
        <w:tc>
          <w:tcPr>
            <w:tcW w:type="dxa" w:w="1656"/>
          </w:tcPr>
          <w:p>
            <w:pPr>
              <w:spacing w:after="20"/>
            </w:pPr>
            <w:r>
              <w:rPr>
                <w:color w:val="1C3A36"/>
                <w:sz w:val="15"/>
              </w:rPr>
              <w:t>cl fy24</w:t>
            </w:r>
          </w:p>
        </w:tc>
        <w:tc>
          <w:tcPr>
            <w:tcW w:type="dxa" w:w="1368"/>
          </w:tcPr>
          <w:p>
            <w:pPr>
              <w:spacing w:after="20"/>
            </w:pPr>
            <w:r>
              <w:rPr>
                <w:color w:val="1C3A36"/>
                <w:sz w:val="15"/>
              </w:rPr>
              <w:t>53,281.1</w:t>
            </w:r>
          </w:p>
        </w:tc>
        <w:tc>
          <w:tcPr>
            <w:tcW w:type="dxa" w:w="1123"/>
          </w:tcPr>
          <w:p>
            <w:pPr>
              <w:spacing w:after="20"/>
            </w:pPr>
            <w:r>
              <w:rPr>
                <w:color w:val="1C3A36"/>
                <w:sz w:val="15"/>
              </w:rPr>
              <w:t>2025-03-13</w:t>
            </w:r>
          </w:p>
        </w:tc>
        <w:tc>
          <w:tcPr>
            <w:tcW w:type="dxa" w:w="5933"/>
          </w:tcPr>
          <w:p>
            <w:pPr>
              <w:spacing w:after="20"/>
            </w:pPr>
            <w:r>
              <w:rPr>
                <w:color w:val="1C3A36"/>
                <w:sz w:val="15"/>
              </w:rPr>
              <w:t>Contract liabilities, 31 Dec 2024</w:t>
            </w:r>
          </w:p>
        </w:tc>
      </w:tr>
      <w:tr>
        <w:tc>
          <w:tcPr>
            <w:tcW w:type="dxa" w:w="1656"/>
          </w:tcPr>
          <w:p>
            <w:pPr>
              <w:spacing w:after="20"/>
            </w:pPr>
            <w:r>
              <w:rPr>
                <w:color w:val="1C3A36"/>
                <w:sz w:val="15"/>
              </w:rPr>
              <w:t>cl fy25</w:t>
            </w:r>
          </w:p>
        </w:tc>
        <w:tc>
          <w:tcPr>
            <w:tcW w:type="dxa" w:w="1368"/>
          </w:tcPr>
          <w:p>
            <w:pPr>
              <w:spacing w:after="20"/>
            </w:pPr>
            <w:r>
              <w:rPr>
                <w:color w:val="1C3A36"/>
                <w:sz w:val="15"/>
              </w:rPr>
              <w:t>81,266.2</w:t>
            </w:r>
          </w:p>
        </w:tc>
        <w:tc>
          <w:tcPr>
            <w:tcW w:type="dxa" w:w="1123"/>
          </w:tcPr>
          <w:p>
            <w:pPr>
              <w:spacing w:after="20"/>
            </w:pPr>
            <w:r>
              <w:rPr>
                <w:color w:val="1C3A36"/>
                <w:sz w:val="15"/>
              </w:rPr>
              <w:t>2026-03-15</w:t>
            </w:r>
          </w:p>
        </w:tc>
        <w:tc>
          <w:tcPr>
            <w:tcW w:type="dxa" w:w="5933"/>
          </w:tcPr>
          <w:p>
            <w:pPr>
              <w:spacing w:after="20"/>
            </w:pPr>
            <w:r>
              <w:rPr>
                <w:color w:val="1C3A36"/>
                <w:sz w:val="15"/>
              </w:rPr>
              <w:t>Contract liabilities, 31 Dec 2025</w:t>
            </w:r>
          </w:p>
        </w:tc>
      </w:tr>
      <w:tr>
        <w:tc>
          <w:tcPr>
            <w:tcW w:type="dxa" w:w="1656"/>
          </w:tcPr>
          <w:p>
            <w:pPr>
              <w:spacing w:after="20"/>
            </w:pPr>
            <w:r>
              <w:rPr>
                <w:color w:val="1C3A36"/>
                <w:sz w:val="15"/>
              </w:rPr>
              <w:t>cash fy23</w:t>
            </w:r>
          </w:p>
        </w:tc>
        <w:tc>
          <w:tcPr>
            <w:tcW w:type="dxa" w:w="1368"/>
          </w:tcPr>
          <w:p>
            <w:pPr>
              <w:spacing w:after="20"/>
            </w:pPr>
            <w:r>
              <w:rPr>
                <w:color w:val="1C3A36"/>
                <w:sz w:val="15"/>
              </w:rPr>
              <w:t>25,552.0</w:t>
            </w:r>
          </w:p>
        </w:tc>
        <w:tc>
          <w:tcPr>
            <w:tcW w:type="dxa" w:w="1123"/>
          </w:tcPr>
          <w:p>
            <w:pPr>
              <w:spacing w:after="20"/>
            </w:pPr>
            <w:r>
              <w:rPr>
                <w:color w:val="1C3A36"/>
                <w:sz w:val="15"/>
              </w:rPr>
              <w:t>2024-03-13</w:t>
            </w:r>
          </w:p>
        </w:tc>
        <w:tc>
          <w:tcPr>
            <w:tcW w:type="dxa" w:w="5933"/>
          </w:tcPr>
          <w:p>
            <w:pPr>
              <w:spacing w:after="20"/>
            </w:pPr>
            <w:r>
              <w:rPr>
                <w:color w:val="1C3A36"/>
                <w:sz w:val="15"/>
              </w:rPr>
              <w:t>Cash and cash equivalents, 31 Dec 2023</w:t>
            </w:r>
          </w:p>
        </w:tc>
      </w:tr>
      <w:tr>
        <w:tc>
          <w:tcPr>
            <w:tcW w:type="dxa" w:w="1656"/>
          </w:tcPr>
          <w:p>
            <w:pPr>
              <w:spacing w:after="20"/>
            </w:pPr>
            <w:r>
              <w:rPr>
                <w:color w:val="1C3A36"/>
                <w:sz w:val="15"/>
              </w:rPr>
              <w:t>cash fy24</w:t>
            </w:r>
          </w:p>
        </w:tc>
        <w:tc>
          <w:tcPr>
            <w:tcW w:type="dxa" w:w="1368"/>
          </w:tcPr>
          <w:p>
            <w:pPr>
              <w:spacing w:after="20"/>
            </w:pPr>
            <w:r>
              <w:rPr>
                <w:color w:val="1C3A36"/>
                <w:sz w:val="15"/>
              </w:rPr>
              <w:t>38,180.0</w:t>
            </w:r>
          </w:p>
        </w:tc>
        <w:tc>
          <w:tcPr>
            <w:tcW w:type="dxa" w:w="1123"/>
          </w:tcPr>
          <w:p>
            <w:pPr>
              <w:spacing w:after="20"/>
            </w:pPr>
            <w:r>
              <w:rPr>
                <w:color w:val="1C3A36"/>
                <w:sz w:val="15"/>
              </w:rPr>
              <w:t>2025-03-13</w:t>
            </w:r>
          </w:p>
        </w:tc>
        <w:tc>
          <w:tcPr>
            <w:tcW w:type="dxa" w:w="5933"/>
          </w:tcPr>
          <w:p>
            <w:pPr>
              <w:spacing w:after="20"/>
            </w:pPr>
            <w:r>
              <w:rPr>
                <w:color w:val="1C3A36"/>
                <w:sz w:val="15"/>
              </w:rPr>
              <w:t>Cash and cash equivalents, 31 Dec 2024</w:t>
            </w:r>
          </w:p>
        </w:tc>
      </w:tr>
      <w:tr>
        <w:tc>
          <w:tcPr>
            <w:tcW w:type="dxa" w:w="1656"/>
          </w:tcPr>
          <w:p>
            <w:pPr>
              <w:spacing w:after="20"/>
            </w:pPr>
            <w:r>
              <w:rPr>
                <w:color w:val="1C3A36"/>
                <w:sz w:val="15"/>
              </w:rPr>
              <w:t>cash fy25</w:t>
            </w:r>
          </w:p>
        </w:tc>
        <w:tc>
          <w:tcPr>
            <w:tcW w:type="dxa" w:w="1368"/>
          </w:tcPr>
          <w:p>
            <w:pPr>
              <w:spacing w:after="20"/>
            </w:pPr>
            <w:r>
              <w:rPr>
                <w:color w:val="1C3A36"/>
                <w:sz w:val="15"/>
              </w:rPr>
              <w:t>41,949.2</w:t>
            </w:r>
          </w:p>
        </w:tc>
        <w:tc>
          <w:tcPr>
            <w:tcW w:type="dxa" w:w="1123"/>
          </w:tcPr>
          <w:p>
            <w:pPr>
              <w:spacing w:after="20"/>
            </w:pPr>
            <w:r>
              <w:rPr>
                <w:color w:val="1C3A36"/>
                <w:sz w:val="15"/>
              </w:rPr>
              <w:t>2026-03-15</w:t>
            </w:r>
          </w:p>
        </w:tc>
        <w:tc>
          <w:tcPr>
            <w:tcW w:type="dxa" w:w="5933"/>
          </w:tcPr>
          <w:p>
            <w:pPr>
              <w:spacing w:after="20"/>
            </w:pPr>
            <w:r>
              <w:rPr>
                <w:color w:val="1C3A36"/>
                <w:sz w:val="15"/>
              </w:rPr>
              <w:t>Cash and cash equivalents, 31 Dec 2025: bank time deposits 9,689.1, bank current accounts 32,157.7, cash on hand 102.4</w:t>
            </w:r>
          </w:p>
        </w:tc>
      </w:tr>
      <w:tr>
        <w:tc>
          <w:tcPr>
            <w:tcW w:type="dxa" w:w="1656"/>
          </w:tcPr>
          <w:p>
            <w:pPr>
              <w:spacing w:after="20"/>
            </w:pPr>
            <w:r>
              <w:rPr>
                <w:color w:val="1C3A36"/>
                <w:sz w:val="15"/>
              </w:rPr>
              <w:t>assets fy23</w:t>
            </w:r>
          </w:p>
        </w:tc>
        <w:tc>
          <w:tcPr>
            <w:tcW w:type="dxa" w:w="1368"/>
          </w:tcPr>
          <w:p>
            <w:pPr>
              <w:spacing w:after="20"/>
            </w:pPr>
            <w:r>
              <w:rPr>
                <w:color w:val="1C3A36"/>
                <w:sz w:val="15"/>
              </w:rPr>
              <w:t>151,448.7</w:t>
            </w:r>
          </w:p>
        </w:tc>
        <w:tc>
          <w:tcPr>
            <w:tcW w:type="dxa" w:w="1123"/>
          </w:tcPr>
          <w:p>
            <w:pPr>
              <w:spacing w:after="20"/>
            </w:pPr>
            <w:r>
              <w:rPr>
                <w:color w:val="1C3A36"/>
                <w:sz w:val="15"/>
              </w:rPr>
              <w:t>2024-03-13</w:t>
            </w:r>
          </w:p>
        </w:tc>
        <w:tc>
          <w:tcPr>
            <w:tcW w:type="dxa" w:w="5933"/>
          </w:tcPr>
          <w:p>
            <w:pPr>
              <w:spacing w:after="20"/>
            </w:pPr>
            <w:r>
              <w:rPr>
                <w:color w:val="1C3A36"/>
                <w:sz w:val="15"/>
              </w:rPr>
              <w:t>Total assets, 31 Dec 2023</w:t>
            </w:r>
          </w:p>
        </w:tc>
      </w:tr>
      <w:tr>
        <w:tc>
          <w:tcPr>
            <w:tcW w:type="dxa" w:w="1656"/>
          </w:tcPr>
          <w:p>
            <w:pPr>
              <w:spacing w:after="20"/>
            </w:pPr>
            <w:r>
              <w:rPr>
                <w:color w:val="1C3A36"/>
                <w:sz w:val="15"/>
              </w:rPr>
              <w:t>assets fy24</w:t>
            </w:r>
          </w:p>
        </w:tc>
        <w:tc>
          <w:tcPr>
            <w:tcW w:type="dxa" w:w="1368"/>
          </w:tcPr>
          <w:p>
            <w:pPr>
              <w:spacing w:after="20"/>
            </w:pPr>
            <w:r>
              <w:rPr>
                <w:color w:val="1C3A36"/>
                <w:sz w:val="15"/>
              </w:rPr>
              <w:t>249,527.1</w:t>
            </w:r>
          </w:p>
        </w:tc>
        <w:tc>
          <w:tcPr>
            <w:tcW w:type="dxa" w:w="1123"/>
          </w:tcPr>
          <w:p>
            <w:pPr>
              <w:spacing w:after="20"/>
            </w:pPr>
            <w:r>
              <w:rPr>
                <w:color w:val="1C3A36"/>
                <w:sz w:val="15"/>
              </w:rPr>
              <w:t>2025-03-13</w:t>
            </w:r>
          </w:p>
        </w:tc>
        <w:tc>
          <w:tcPr>
            <w:tcW w:type="dxa" w:w="5933"/>
          </w:tcPr>
          <w:p>
            <w:pPr>
              <w:spacing w:after="20"/>
            </w:pPr>
            <w:r>
              <w:rPr>
                <w:color w:val="1C3A36"/>
                <w:sz w:val="15"/>
              </w:rPr>
              <w:t>Total assets, 31 Dec 2024</w:t>
            </w:r>
          </w:p>
        </w:tc>
      </w:tr>
      <w:tr>
        <w:tc>
          <w:tcPr>
            <w:tcW w:type="dxa" w:w="1656"/>
          </w:tcPr>
          <w:p>
            <w:pPr>
              <w:spacing w:after="20"/>
            </w:pPr>
            <w:r>
              <w:rPr>
                <w:color w:val="1C3A36"/>
                <w:sz w:val="15"/>
              </w:rPr>
              <w:t>assets fy25</w:t>
            </w:r>
          </w:p>
        </w:tc>
        <w:tc>
          <w:tcPr>
            <w:tcW w:type="dxa" w:w="1368"/>
          </w:tcPr>
          <w:p>
            <w:pPr>
              <w:spacing w:after="20"/>
            </w:pPr>
            <w:r>
              <w:rPr>
                <w:color w:val="1C3A36"/>
                <w:sz w:val="15"/>
              </w:rPr>
              <w:t>311,099.1</w:t>
            </w:r>
          </w:p>
        </w:tc>
        <w:tc>
          <w:tcPr>
            <w:tcW w:type="dxa" w:w="1123"/>
          </w:tcPr>
          <w:p>
            <w:pPr>
              <w:spacing w:after="20"/>
            </w:pPr>
            <w:r>
              <w:rPr>
                <w:color w:val="1C3A36"/>
                <w:sz w:val="15"/>
              </w:rPr>
              <w:t>2026-03-15</w:t>
            </w:r>
          </w:p>
        </w:tc>
        <w:tc>
          <w:tcPr>
            <w:tcW w:type="dxa" w:w="5933"/>
          </w:tcPr>
          <w:p>
            <w:pPr>
              <w:spacing w:after="20"/>
            </w:pPr>
            <w:r>
              <w:rPr>
                <w:color w:val="1C3A36"/>
                <w:sz w:val="15"/>
              </w:rPr>
              <w:t>Total assets, 31 Dec 2025</w:t>
            </w:r>
          </w:p>
        </w:tc>
      </w:tr>
      <w:tr>
        <w:tc>
          <w:tcPr>
            <w:tcW w:type="dxa" w:w="1656"/>
          </w:tcPr>
          <w:p>
            <w:pPr>
              <w:spacing w:after="20"/>
            </w:pPr>
            <w:r>
              <w:rPr>
                <w:color w:val="1C3A36"/>
                <w:sz w:val="15"/>
              </w:rPr>
              <w:t>debt fy23</w:t>
            </w:r>
          </w:p>
        </w:tc>
        <w:tc>
          <w:tcPr>
            <w:tcW w:type="dxa" w:w="1368"/>
          </w:tcPr>
          <w:p>
            <w:pPr>
              <w:spacing w:after="20"/>
            </w:pPr>
            <w:r>
              <w:rPr>
                <w:color w:val="1C3A36"/>
                <w:sz w:val="15"/>
              </w:rPr>
              <w:t>41,766.5</w:t>
            </w:r>
          </w:p>
        </w:tc>
        <w:tc>
          <w:tcPr>
            <w:tcW w:type="dxa" w:w="1123"/>
          </w:tcPr>
          <w:p>
            <w:pPr>
              <w:spacing w:after="20"/>
            </w:pPr>
            <w:r>
              <w:rPr>
                <w:color w:val="1C3A36"/>
                <w:sz w:val="15"/>
              </w:rPr>
              <w:t>2024-03-13</w:t>
            </w:r>
          </w:p>
        </w:tc>
        <w:tc>
          <w:tcPr>
            <w:tcW w:type="dxa" w:w="5933"/>
          </w:tcPr>
          <w:p>
            <w:pPr>
              <w:spacing w:after="20"/>
            </w:pPr>
            <w:r>
              <w:rPr>
                <w:color w:val="1C3A36"/>
                <w:sz w:val="15"/>
              </w:rPr>
              <w:t>Loans and borrowings including lease liabilities, 31 Dec 2023: current 34,950.810105 (loans 7,401.079843 + bank facilities 27,530.523733 + leases 19.206529) + non-current 6,815.681966 (loans 6,235.939701 + leases 579.742265)</w:t>
            </w:r>
          </w:p>
        </w:tc>
      </w:tr>
      <w:tr>
        <w:tc>
          <w:tcPr>
            <w:tcW w:type="dxa" w:w="1656"/>
          </w:tcPr>
          <w:p>
            <w:pPr>
              <w:spacing w:after="20"/>
            </w:pPr>
            <w:r>
              <w:rPr>
                <w:color w:val="1C3A36"/>
                <w:sz w:val="15"/>
              </w:rPr>
              <w:t>debt fy24</w:t>
            </w:r>
          </w:p>
        </w:tc>
        <w:tc>
          <w:tcPr>
            <w:tcW w:type="dxa" w:w="1368"/>
          </w:tcPr>
          <w:p>
            <w:pPr>
              <w:spacing w:after="20"/>
            </w:pPr>
            <w:r>
              <w:rPr>
                <w:color w:val="1C3A36"/>
                <w:sz w:val="15"/>
              </w:rPr>
              <w:t>59,082.9</w:t>
            </w:r>
          </w:p>
        </w:tc>
        <w:tc>
          <w:tcPr>
            <w:tcW w:type="dxa" w:w="1123"/>
          </w:tcPr>
          <w:p>
            <w:pPr>
              <w:spacing w:after="20"/>
            </w:pPr>
            <w:r>
              <w:rPr>
                <w:color w:val="1C3A36"/>
                <w:sz w:val="15"/>
              </w:rPr>
              <w:t>2025-03-13</w:t>
            </w:r>
          </w:p>
        </w:tc>
        <w:tc>
          <w:tcPr>
            <w:tcW w:type="dxa" w:w="5933"/>
          </w:tcPr>
          <w:p>
            <w:pPr>
              <w:spacing w:after="20"/>
            </w:pPr>
            <w:r>
              <w:rPr>
                <w:color w:val="1C3A36"/>
                <w:sz w:val="15"/>
              </w:rPr>
              <w:t>Loans and borrowings including lease liabilities, 31 Dec 2024: current 52,733.931099 (loans 12,580.708167 + bank facilities 40,049.471127 + leases 103.751805) + non-current 6,349.010708 (loans 6,166.616210 + leases 182.394498)</w:t>
            </w:r>
          </w:p>
        </w:tc>
      </w:tr>
      <w:tr>
        <w:tc>
          <w:tcPr>
            <w:tcW w:type="dxa" w:w="1656"/>
          </w:tcPr>
          <w:p>
            <w:pPr>
              <w:spacing w:after="20"/>
            </w:pPr>
            <w:r>
              <w:rPr>
                <w:color w:val="1C3A36"/>
                <w:sz w:val="15"/>
              </w:rPr>
              <w:t>debt fy25</w:t>
            </w:r>
          </w:p>
        </w:tc>
        <w:tc>
          <w:tcPr>
            <w:tcW w:type="dxa" w:w="1368"/>
          </w:tcPr>
          <w:p>
            <w:pPr>
              <w:spacing w:after="20"/>
            </w:pPr>
            <w:r>
              <w:rPr>
                <w:color w:val="1C3A36"/>
                <w:sz w:val="15"/>
              </w:rPr>
              <w:t>62,509.2</w:t>
            </w:r>
          </w:p>
        </w:tc>
        <w:tc>
          <w:tcPr>
            <w:tcW w:type="dxa" w:w="1123"/>
          </w:tcPr>
          <w:p>
            <w:pPr>
              <w:spacing w:after="20"/>
            </w:pPr>
            <w:r>
              <w:rPr>
                <w:color w:val="1C3A36"/>
                <w:sz w:val="15"/>
              </w:rPr>
              <w:t>2026-03-15</w:t>
            </w:r>
          </w:p>
        </w:tc>
        <w:tc>
          <w:tcPr>
            <w:tcW w:type="dxa" w:w="5933"/>
          </w:tcPr>
          <w:p>
            <w:pPr>
              <w:spacing w:after="20"/>
            </w:pPr>
            <w:r>
              <w:rPr>
                <w:color w:val="1C3A36"/>
                <w:sz w:val="15"/>
              </w:rPr>
              <w:t>Loans and borrowings including lease liabilities, 31 Dec 2025: current 53,888.496799 (loans 26,673.246745 + bank facilities 27,183.559774 + leases 31.690280) + non-current 8,620.714998 (loans 8,605.301580 + leases 15.413418)</w:t>
            </w:r>
          </w:p>
        </w:tc>
      </w:tr>
      <w:tr>
        <w:tc>
          <w:tcPr>
            <w:tcW w:type="dxa" w:w="1656"/>
          </w:tcPr>
          <w:p>
            <w:pPr>
              <w:spacing w:after="20"/>
            </w:pPr>
            <w:r>
              <w:rPr>
                <w:color w:val="1C3A36"/>
                <w:sz w:val="15"/>
              </w:rPr>
              <w:t>nd fy23</w:t>
            </w:r>
          </w:p>
        </w:tc>
        <w:tc>
          <w:tcPr>
            <w:tcW w:type="dxa" w:w="1368"/>
          </w:tcPr>
          <w:p>
            <w:pPr>
              <w:spacing w:after="20"/>
            </w:pPr>
            <w:r>
              <w:rPr>
                <w:color w:val="1C3A36"/>
                <w:sz w:val="15"/>
              </w:rPr>
              <w:t>16,214.4</w:t>
            </w:r>
          </w:p>
        </w:tc>
        <w:tc>
          <w:tcPr>
            <w:tcW w:type="dxa" w:w="1123"/>
          </w:tcPr>
          <w:p>
            <w:pPr>
              <w:spacing w:after="20"/>
            </w:pPr>
            <w:r>
              <w:rPr>
                <w:color w:val="1C3A36"/>
                <w:sz w:val="15"/>
              </w:rPr>
              <w:t>2024-03-13</w:t>
            </w:r>
          </w:p>
        </w:tc>
        <w:tc>
          <w:tcPr>
            <w:tcW w:type="dxa" w:w="5933"/>
          </w:tcPr>
          <w:p>
            <w:pPr>
              <w:spacing w:after="20"/>
            </w:pPr>
            <w:r>
              <w:rPr>
                <w:color w:val="1C3A36"/>
                <w:sz w:val="15"/>
              </w:rPr>
              <w:t>Net financial debt, 31 Dec 2023: total loans and borrowings including leases 41,766.492071 less cash and cash equivalents 25,552.044800. NOTE: this is the interest-bearing-debt definition used for the equity bridge, not the company's own 'net debt' capital-management ratio (Note 29-1), which nets a much broader liability base (total liabilities less deferred tax and provisions) against cash and is a leverage-monitoring metric, not a valuation-bridge quantity</w:t>
            </w:r>
          </w:p>
        </w:tc>
      </w:tr>
      <w:tr>
        <w:tc>
          <w:tcPr>
            <w:tcW w:type="dxa" w:w="1656"/>
          </w:tcPr>
          <w:p>
            <w:pPr>
              <w:spacing w:after="20"/>
            </w:pPr>
            <w:r>
              <w:rPr>
                <w:color w:val="1C3A36"/>
                <w:sz w:val="15"/>
              </w:rPr>
              <w:t>nd fy24</w:t>
            </w:r>
          </w:p>
        </w:tc>
        <w:tc>
          <w:tcPr>
            <w:tcW w:type="dxa" w:w="1368"/>
          </w:tcPr>
          <w:p>
            <w:pPr>
              <w:spacing w:after="20"/>
            </w:pPr>
            <w:r>
              <w:rPr>
                <w:color w:val="1C3A36"/>
                <w:sz w:val="15"/>
              </w:rPr>
              <w:t>20,902.9</w:t>
            </w:r>
          </w:p>
        </w:tc>
        <w:tc>
          <w:tcPr>
            <w:tcW w:type="dxa" w:w="1123"/>
          </w:tcPr>
          <w:p>
            <w:pPr>
              <w:spacing w:after="20"/>
            </w:pPr>
            <w:r>
              <w:rPr>
                <w:color w:val="1C3A36"/>
                <w:sz w:val="15"/>
              </w:rPr>
              <w:t>2025-03-13</w:t>
            </w:r>
          </w:p>
        </w:tc>
        <w:tc>
          <w:tcPr>
            <w:tcW w:type="dxa" w:w="5933"/>
          </w:tcPr>
          <w:p>
            <w:pPr>
              <w:spacing w:after="20"/>
            </w:pPr>
            <w:r>
              <w:rPr>
                <w:color w:val="1C3A36"/>
                <w:sz w:val="15"/>
              </w:rPr>
              <w:t>Net financial debt, 31 Dec 2024: total loans and borrowings including leases 59,082.941807 less cash 38,180.002322</w:t>
            </w:r>
          </w:p>
        </w:tc>
      </w:tr>
      <w:tr>
        <w:tc>
          <w:tcPr>
            <w:tcW w:type="dxa" w:w="1656"/>
          </w:tcPr>
          <w:p>
            <w:pPr>
              <w:spacing w:after="20"/>
            </w:pPr>
            <w:r>
              <w:rPr>
                <w:color w:val="1C3A36"/>
                <w:sz w:val="15"/>
              </w:rPr>
              <w:t>nd fy25</w:t>
            </w:r>
          </w:p>
        </w:tc>
        <w:tc>
          <w:tcPr>
            <w:tcW w:type="dxa" w:w="1368"/>
          </w:tcPr>
          <w:p>
            <w:pPr>
              <w:spacing w:after="20"/>
            </w:pPr>
            <w:r>
              <w:rPr>
                <w:color w:val="1C3A36"/>
                <w:sz w:val="15"/>
              </w:rPr>
              <w:t>20,560.0</w:t>
            </w:r>
          </w:p>
        </w:tc>
        <w:tc>
          <w:tcPr>
            <w:tcW w:type="dxa" w:w="1123"/>
          </w:tcPr>
          <w:p>
            <w:pPr>
              <w:spacing w:after="20"/>
            </w:pPr>
            <w:r>
              <w:rPr>
                <w:color w:val="1C3A36"/>
                <w:sz w:val="15"/>
              </w:rPr>
              <w:t>2026-03-15</w:t>
            </w:r>
          </w:p>
        </w:tc>
        <w:tc>
          <w:tcPr>
            <w:tcW w:type="dxa" w:w="5933"/>
          </w:tcPr>
          <w:p>
            <w:pPr>
              <w:spacing w:after="20"/>
            </w:pPr>
            <w:r>
              <w:rPr>
                <w:color w:val="1C3A36"/>
                <w:sz w:val="15"/>
              </w:rPr>
              <w:t>Net financial debt, 31 Dec 2025: total loans and borrowings including leases 62,509.211797 less cash 41,949.208624. The company's OWN 'net debt' figure (Note 29-1) is EGP 180,102.969196 — total liabilities LESS deferred tax and provisions, less cash — a capital-structure leverage ratio (net debt/equity 2.50x) that nets trade payables and contract liabilities against cash. Using it in an EV-to-equity bridge would double-count operating liabilities already reflected in working capital; the interest-bearing figure above is the correct bridge quantity and is used throughout</w:t>
            </w:r>
          </w:p>
        </w:tc>
      </w:tr>
      <w:tr>
        <w:tc>
          <w:tcPr>
            <w:tcW w:type="dxa" w:w="1656"/>
          </w:tcPr>
          <w:p>
            <w:pPr>
              <w:spacing w:after="20"/>
            </w:pPr>
            <w:r>
              <w:rPr>
                <w:color w:val="1C3A36"/>
                <w:sz w:val="15"/>
              </w:rPr>
              <w:t>eqp fy23</w:t>
            </w:r>
          </w:p>
        </w:tc>
        <w:tc>
          <w:tcPr>
            <w:tcW w:type="dxa" w:w="1368"/>
          </w:tcPr>
          <w:p>
            <w:pPr>
              <w:spacing w:after="20"/>
            </w:pPr>
            <w:r>
              <w:rPr>
                <w:color w:val="1C3A36"/>
                <w:sz w:val="15"/>
              </w:rPr>
              <w:t>35,724.5</w:t>
            </w:r>
          </w:p>
        </w:tc>
        <w:tc>
          <w:tcPr>
            <w:tcW w:type="dxa" w:w="1123"/>
          </w:tcPr>
          <w:p>
            <w:pPr>
              <w:spacing w:after="20"/>
            </w:pPr>
            <w:r>
              <w:rPr>
                <w:color w:val="1C3A36"/>
                <w:sz w:val="15"/>
              </w:rPr>
              <w:t>2024-03-13</w:t>
            </w:r>
          </w:p>
        </w:tc>
        <w:tc>
          <w:tcPr>
            <w:tcW w:type="dxa" w:w="5933"/>
          </w:tcPr>
          <w:p>
            <w:pPr>
              <w:spacing w:after="20"/>
            </w:pPr>
            <w:r>
              <w:rPr>
                <w:color w:val="1C3A36"/>
                <w:sz w:val="15"/>
              </w:rPr>
              <w:t>Equity attributable to owners of the parent, 31 Dec 2023</w:t>
            </w:r>
          </w:p>
        </w:tc>
      </w:tr>
      <w:tr>
        <w:tc>
          <w:tcPr>
            <w:tcW w:type="dxa" w:w="1656"/>
          </w:tcPr>
          <w:p>
            <w:pPr>
              <w:spacing w:after="20"/>
            </w:pPr>
            <w:r>
              <w:rPr>
                <w:color w:val="1C3A36"/>
                <w:sz w:val="15"/>
              </w:rPr>
              <w:t>eqp fy24</w:t>
            </w:r>
          </w:p>
        </w:tc>
        <w:tc>
          <w:tcPr>
            <w:tcW w:type="dxa" w:w="1368"/>
          </w:tcPr>
          <w:p>
            <w:pPr>
              <w:spacing w:after="20"/>
            </w:pPr>
            <w:r>
              <w:rPr>
                <w:color w:val="1C3A36"/>
                <w:sz w:val="15"/>
              </w:rPr>
              <w:t>55,274.9</w:t>
            </w:r>
          </w:p>
        </w:tc>
        <w:tc>
          <w:tcPr>
            <w:tcW w:type="dxa" w:w="1123"/>
          </w:tcPr>
          <w:p>
            <w:pPr>
              <w:spacing w:after="20"/>
            </w:pPr>
            <w:r>
              <w:rPr>
                <w:color w:val="1C3A36"/>
                <w:sz w:val="15"/>
              </w:rPr>
              <w:t>2025-03-13</w:t>
            </w:r>
          </w:p>
        </w:tc>
        <w:tc>
          <w:tcPr>
            <w:tcW w:type="dxa" w:w="5933"/>
          </w:tcPr>
          <w:p>
            <w:pPr>
              <w:spacing w:after="20"/>
            </w:pPr>
            <w:r>
              <w:rPr>
                <w:color w:val="1C3A36"/>
                <w:sz w:val="15"/>
              </w:rPr>
              <w:t>Equity attributable to owners of the parent, 31 Dec 2024</w:t>
            </w:r>
          </w:p>
        </w:tc>
      </w:tr>
      <w:tr>
        <w:tc>
          <w:tcPr>
            <w:tcW w:type="dxa" w:w="1656"/>
          </w:tcPr>
          <w:p>
            <w:pPr>
              <w:spacing w:after="20"/>
            </w:pPr>
            <w:r>
              <w:rPr>
                <w:color w:val="1C3A36"/>
                <w:sz w:val="15"/>
              </w:rPr>
              <w:t>eqp fy25</w:t>
            </w:r>
          </w:p>
        </w:tc>
        <w:tc>
          <w:tcPr>
            <w:tcW w:type="dxa" w:w="1368"/>
          </w:tcPr>
          <w:p>
            <w:pPr>
              <w:spacing w:after="20"/>
            </w:pPr>
            <w:r>
              <w:rPr>
                <w:color w:val="1C3A36"/>
                <w:sz w:val="15"/>
              </w:rPr>
              <w:t>66,870.9</w:t>
            </w:r>
          </w:p>
        </w:tc>
        <w:tc>
          <w:tcPr>
            <w:tcW w:type="dxa" w:w="1123"/>
          </w:tcPr>
          <w:p>
            <w:pPr>
              <w:spacing w:after="20"/>
            </w:pPr>
            <w:r>
              <w:rPr>
                <w:color w:val="1C3A36"/>
                <w:sz w:val="15"/>
              </w:rPr>
              <w:t>2026-03-15</w:t>
            </w:r>
          </w:p>
        </w:tc>
        <w:tc>
          <w:tcPr>
            <w:tcW w:type="dxa" w:w="5933"/>
          </w:tcPr>
          <w:p>
            <w:pPr>
              <w:spacing w:after="20"/>
            </w:pPr>
            <w:r>
              <w:rPr>
                <w:color w:val="1C3A36"/>
                <w:sz w:val="15"/>
              </w:rPr>
              <w:t>Equity attributable to owners of the parent, 31 Dec 2025 — now the audited closing figure, not derived from the prior year plus profit less an assumed dividend</w:t>
            </w:r>
          </w:p>
        </w:tc>
      </w:tr>
      <w:tr>
        <w:tc>
          <w:tcPr>
            <w:tcW w:type="dxa" w:w="1656"/>
          </w:tcPr>
          <w:p>
            <w:pPr>
              <w:spacing w:after="20"/>
            </w:pPr>
            <w:r>
              <w:rPr>
                <w:color w:val="1C3A36"/>
                <w:sz w:val="15"/>
              </w:rPr>
              <w:t>nci fy23</w:t>
            </w:r>
          </w:p>
        </w:tc>
        <w:tc>
          <w:tcPr>
            <w:tcW w:type="dxa" w:w="1368"/>
          </w:tcPr>
          <w:p>
            <w:pPr>
              <w:spacing w:after="20"/>
            </w:pPr>
            <w:r>
              <w:rPr>
                <w:color w:val="1C3A36"/>
                <w:sz w:val="15"/>
              </w:rPr>
              <w:t>2,384.0</w:t>
            </w:r>
          </w:p>
        </w:tc>
        <w:tc>
          <w:tcPr>
            <w:tcW w:type="dxa" w:w="1123"/>
          </w:tcPr>
          <w:p>
            <w:pPr>
              <w:spacing w:after="20"/>
            </w:pPr>
            <w:r>
              <w:rPr>
                <w:color w:val="1C3A36"/>
                <w:sz w:val="15"/>
              </w:rPr>
              <w:t>2024-03-13</w:t>
            </w:r>
          </w:p>
        </w:tc>
        <w:tc>
          <w:tcPr>
            <w:tcW w:type="dxa" w:w="5933"/>
          </w:tcPr>
          <w:p>
            <w:pPr>
              <w:spacing w:after="20"/>
            </w:pPr>
            <w:r>
              <w:rPr>
                <w:color w:val="1C3A36"/>
                <w:sz w:val="15"/>
              </w:rPr>
              <w:t>Non-controlling interests, 31 Dec 2023</w:t>
            </w:r>
          </w:p>
        </w:tc>
      </w:tr>
      <w:tr>
        <w:tc>
          <w:tcPr>
            <w:tcW w:type="dxa" w:w="1656"/>
          </w:tcPr>
          <w:p>
            <w:pPr>
              <w:spacing w:after="20"/>
            </w:pPr>
            <w:r>
              <w:rPr>
                <w:color w:val="1C3A36"/>
                <w:sz w:val="15"/>
              </w:rPr>
              <w:t>nci fy24</w:t>
            </w:r>
          </w:p>
        </w:tc>
        <w:tc>
          <w:tcPr>
            <w:tcW w:type="dxa" w:w="1368"/>
          </w:tcPr>
          <w:p>
            <w:pPr>
              <w:spacing w:after="20"/>
            </w:pPr>
            <w:r>
              <w:rPr>
                <w:color w:val="1C3A36"/>
                <w:sz w:val="15"/>
              </w:rPr>
              <w:t>4,251.8</w:t>
            </w:r>
          </w:p>
        </w:tc>
        <w:tc>
          <w:tcPr>
            <w:tcW w:type="dxa" w:w="1123"/>
          </w:tcPr>
          <w:p>
            <w:pPr>
              <w:spacing w:after="20"/>
            </w:pPr>
            <w:r>
              <w:rPr>
                <w:color w:val="1C3A36"/>
                <w:sz w:val="15"/>
              </w:rPr>
              <w:t>2025-03-13</w:t>
            </w:r>
          </w:p>
        </w:tc>
        <w:tc>
          <w:tcPr>
            <w:tcW w:type="dxa" w:w="5933"/>
          </w:tcPr>
          <w:p>
            <w:pPr>
              <w:spacing w:after="20"/>
            </w:pPr>
            <w:r>
              <w:rPr>
                <w:color w:val="1C3A36"/>
                <w:sz w:val="15"/>
              </w:rPr>
              <w:t>Non-controlling interests, 31 Dec 2024</w:t>
            </w:r>
          </w:p>
        </w:tc>
      </w:tr>
      <w:tr>
        <w:tc>
          <w:tcPr>
            <w:tcW w:type="dxa" w:w="1656"/>
          </w:tcPr>
          <w:p>
            <w:pPr>
              <w:spacing w:after="20"/>
            </w:pPr>
            <w:r>
              <w:rPr>
                <w:color w:val="1C3A36"/>
                <w:sz w:val="15"/>
              </w:rPr>
              <w:t>nci fy25</w:t>
            </w:r>
          </w:p>
        </w:tc>
        <w:tc>
          <w:tcPr>
            <w:tcW w:type="dxa" w:w="1368"/>
          </w:tcPr>
          <w:p>
            <w:pPr>
              <w:spacing w:after="20"/>
            </w:pPr>
            <w:r>
              <w:rPr>
                <w:color w:val="1C3A36"/>
                <w:sz w:val="15"/>
              </w:rPr>
              <w:t>5,119.0</w:t>
            </w:r>
          </w:p>
        </w:tc>
        <w:tc>
          <w:tcPr>
            <w:tcW w:type="dxa" w:w="1123"/>
          </w:tcPr>
          <w:p>
            <w:pPr>
              <w:spacing w:after="20"/>
            </w:pPr>
            <w:r>
              <w:rPr>
                <w:color w:val="1C3A36"/>
                <w:sz w:val="15"/>
              </w:rPr>
              <w:t>2026-03-15</w:t>
            </w:r>
          </w:p>
        </w:tc>
        <w:tc>
          <w:tcPr>
            <w:tcW w:type="dxa" w:w="5933"/>
          </w:tcPr>
          <w:p>
            <w:pPr>
              <w:spacing w:after="20"/>
            </w:pPr>
            <w:r>
              <w:rPr>
                <w:color w:val="1C3A36"/>
                <w:sz w:val="15"/>
              </w:rPr>
              <w:t>Non-controlling interests, 31 Dec 2025: Rowad for Modern Engineering (49%) 1,429.7, Elsewedy Cables-KSA (40%) 2,546.8, Egyptian Co. for Solar Energy (49%) 297.5, Elsewedy Electric Zambia (40%) 453.2, Egyptian Co. for Electrical Insulators (25.17%) 76.1, Pyramids Zona Franca (5%) 17.9, others 297.7</w:t>
            </w:r>
          </w:p>
        </w:tc>
      </w:tr>
      <w:tr>
        <w:tc>
          <w:tcPr>
            <w:tcW w:type="dxa" w:w="1656"/>
          </w:tcPr>
          <w:p>
            <w:pPr>
              <w:spacing w:after="20"/>
            </w:pPr>
            <w:r>
              <w:rPr>
                <w:color w:val="1C3A36"/>
                <w:sz w:val="15"/>
              </w:rPr>
              <w:t>assoc bv fy24</w:t>
            </w:r>
          </w:p>
        </w:tc>
        <w:tc>
          <w:tcPr>
            <w:tcW w:type="dxa" w:w="1368"/>
          </w:tcPr>
          <w:p>
            <w:pPr>
              <w:spacing w:after="20"/>
            </w:pPr>
            <w:r>
              <w:rPr>
                <w:color w:val="1C3A36"/>
                <w:sz w:val="15"/>
              </w:rPr>
              <w:t>6,474.0</w:t>
            </w:r>
          </w:p>
        </w:tc>
        <w:tc>
          <w:tcPr>
            <w:tcW w:type="dxa" w:w="1123"/>
          </w:tcPr>
          <w:p>
            <w:pPr>
              <w:spacing w:after="20"/>
            </w:pPr>
            <w:r>
              <w:rPr>
                <w:color w:val="1C3A36"/>
                <w:sz w:val="15"/>
              </w:rPr>
              <w:t>2025-03-13</w:t>
            </w:r>
          </w:p>
        </w:tc>
        <w:tc>
          <w:tcPr>
            <w:tcW w:type="dxa" w:w="5933"/>
          </w:tcPr>
          <w:p>
            <w:pPr>
              <w:spacing w:after="20"/>
            </w:pPr>
            <w:r>
              <w:rPr>
                <w:color w:val="1C3A36"/>
                <w:sz w:val="15"/>
              </w:rPr>
              <w:t>Equity-accounted investees, carrying value, 31 Dec 2024</w:t>
            </w:r>
          </w:p>
        </w:tc>
      </w:tr>
      <w:tr>
        <w:tc>
          <w:tcPr>
            <w:tcW w:type="dxa" w:w="1656"/>
          </w:tcPr>
          <w:p>
            <w:pPr>
              <w:spacing w:after="20"/>
            </w:pPr>
            <w:r>
              <w:rPr>
                <w:color w:val="1C3A36"/>
                <w:sz w:val="15"/>
              </w:rPr>
              <w:t>assoc bv fy25</w:t>
            </w:r>
          </w:p>
        </w:tc>
        <w:tc>
          <w:tcPr>
            <w:tcW w:type="dxa" w:w="1368"/>
          </w:tcPr>
          <w:p>
            <w:pPr>
              <w:spacing w:after="20"/>
            </w:pPr>
            <w:r>
              <w:rPr>
                <w:color w:val="1C3A36"/>
                <w:sz w:val="15"/>
              </w:rPr>
              <w:t>6,757.7</w:t>
            </w:r>
          </w:p>
        </w:tc>
        <w:tc>
          <w:tcPr>
            <w:tcW w:type="dxa" w:w="1123"/>
          </w:tcPr>
          <w:p>
            <w:pPr>
              <w:spacing w:after="20"/>
            </w:pPr>
            <w:r>
              <w:rPr>
                <w:color w:val="1C3A36"/>
                <w:sz w:val="15"/>
              </w:rPr>
              <w:t>2026-03-15</w:t>
            </w:r>
          </w:p>
        </w:tc>
        <w:tc>
          <w:tcPr>
            <w:tcW w:type="dxa" w:w="5933"/>
          </w:tcPr>
          <w:p>
            <w:pPr>
              <w:spacing w:after="20"/>
            </w:pPr>
            <w:r>
              <w:rPr>
                <w:color w:val="1C3A36"/>
                <w:sz w:val="15"/>
              </w:rPr>
              <w:t>Equity-accounted investees, carrying value, 31 Dec 2025 — the closing balance used in the valuation bridge (the anchor date is Aug-2026, so the FY2025 close is the most recent audited figure, not FY2024's). Note 20 names every investee and none is listed, so the house rule leaves book as the only route; the balance reconciles to the prior year through the disclosed 1,174.475 Senyar dividend and 135.317 of translation</w:t>
            </w:r>
          </w:p>
        </w:tc>
      </w:tr>
      <w:tr>
        <w:tc>
          <w:tcPr>
            <w:tcW w:type="dxa" w:w="1656"/>
          </w:tcPr>
          <w:p>
            <w:pPr>
              <w:spacing w:after="20"/>
            </w:pPr>
            <w:r>
              <w:rPr>
                <w:color w:val="1C3A36"/>
                <w:sz w:val="15"/>
              </w:rPr>
              <w:t>intang fy24</w:t>
            </w:r>
          </w:p>
        </w:tc>
        <w:tc>
          <w:tcPr>
            <w:tcW w:type="dxa" w:w="1368"/>
          </w:tcPr>
          <w:p>
            <w:pPr>
              <w:spacing w:after="20"/>
            </w:pPr>
            <w:r>
              <w:rPr>
                <w:color w:val="1C3A36"/>
                <w:sz w:val="15"/>
              </w:rPr>
              <w:t>1,459.2</w:t>
            </w:r>
          </w:p>
        </w:tc>
        <w:tc>
          <w:tcPr>
            <w:tcW w:type="dxa" w:w="1123"/>
          </w:tcPr>
          <w:p>
            <w:pPr>
              <w:spacing w:after="20"/>
            </w:pPr>
            <w:r>
              <w:rPr>
                <w:color w:val="1C3A36"/>
                <w:sz w:val="15"/>
              </w:rPr>
              <w:t>2025-03-13</w:t>
            </w:r>
          </w:p>
        </w:tc>
        <w:tc>
          <w:tcPr>
            <w:tcW w:type="dxa" w:w="5933"/>
          </w:tcPr>
          <w:p>
            <w:pPr>
              <w:spacing w:after="20"/>
            </w:pPr>
            <w:r>
              <w:rPr>
                <w:color w:val="1C3A36"/>
                <w:sz w:val="15"/>
              </w:rPr>
              <w:t>Intangible assets and goodwill, 31 Dec 2024</w:t>
            </w:r>
          </w:p>
        </w:tc>
      </w:tr>
      <w:tr>
        <w:tc>
          <w:tcPr>
            <w:tcW w:type="dxa" w:w="1656"/>
          </w:tcPr>
          <w:p>
            <w:pPr>
              <w:spacing w:after="20"/>
            </w:pPr>
            <w:r>
              <w:rPr>
                <w:color w:val="1C3A36"/>
                <w:sz w:val="15"/>
              </w:rPr>
              <w:t>intang fy25</w:t>
            </w:r>
          </w:p>
        </w:tc>
        <w:tc>
          <w:tcPr>
            <w:tcW w:type="dxa" w:w="1368"/>
          </w:tcPr>
          <w:p>
            <w:pPr>
              <w:spacing w:after="20"/>
            </w:pPr>
            <w:r>
              <w:rPr>
                <w:color w:val="1C3A36"/>
                <w:sz w:val="15"/>
              </w:rPr>
              <w:t>1,748.8</w:t>
            </w:r>
          </w:p>
        </w:tc>
        <w:tc>
          <w:tcPr>
            <w:tcW w:type="dxa" w:w="1123"/>
          </w:tcPr>
          <w:p>
            <w:pPr>
              <w:spacing w:after="20"/>
            </w:pPr>
            <w:r>
              <w:rPr>
                <w:color w:val="1C3A36"/>
                <w:sz w:val="15"/>
              </w:rPr>
              <w:t>2026-03-15</w:t>
            </w:r>
          </w:p>
        </w:tc>
        <w:tc>
          <w:tcPr>
            <w:tcW w:type="dxa" w:w="5933"/>
          </w:tcPr>
          <w:p>
            <w:pPr>
              <w:spacing w:after="20"/>
            </w:pPr>
            <w:r>
              <w:rPr>
                <w:color w:val="1C3A36"/>
                <w:sz w:val="15"/>
              </w:rPr>
              <w:t>Intangible assets and goodwill, 31 Dec 2025</w:t>
            </w:r>
          </w:p>
        </w:tc>
      </w:tr>
      <w:tr>
        <w:tc>
          <w:tcPr>
            <w:tcW w:type="dxa" w:w="1656"/>
          </w:tcPr>
          <w:p>
            <w:pPr>
              <w:spacing w:after="20"/>
            </w:pPr>
            <w:r>
              <w:rPr>
                <w:color w:val="1C3A36"/>
                <w:sz w:val="15"/>
              </w:rPr>
              <w:t>dps fy24</w:t>
            </w:r>
          </w:p>
        </w:tc>
        <w:tc>
          <w:tcPr>
            <w:tcW w:type="dxa" w:w="1368"/>
          </w:tcPr>
          <w:p>
            <w:pPr>
              <w:spacing w:after="20"/>
            </w:pPr>
            <w:r>
              <w:rPr>
                <w:color w:val="1C3A36"/>
                <w:sz w:val="15"/>
              </w:rPr>
              <w:t>1</w:t>
            </w:r>
          </w:p>
        </w:tc>
        <w:tc>
          <w:tcPr>
            <w:tcW w:type="dxa" w:w="1123"/>
          </w:tcPr>
          <w:p>
            <w:pPr>
              <w:spacing w:after="20"/>
            </w:pPr>
            <w:r>
              <w:rPr>
                <w:color w:val="1C3A36"/>
                <w:sz w:val="15"/>
              </w:rPr>
              <w:t>2026-03-15</w:t>
            </w:r>
          </w:p>
        </w:tc>
        <w:tc>
          <w:tcPr>
            <w:tcW w:type="dxa" w:w="5933"/>
          </w:tcPr>
          <w:p>
            <w:pPr>
              <w:spacing w:after="20"/>
            </w:pPr>
            <w:r>
              <w:rPr>
                <w:color w:val="1C3A36"/>
                <w:sz w:val="15"/>
              </w:rPr>
              <w:t>FY2024 dividend, paid during FY2025: cash flow statement 'dividends paid to shareholders' of 3,111.384454 splits into 2,139.355716 to owners of the parent and 972.028738 to non-controlling interests; 2,139.355716 / 2,139,355,716 weighted shares = EXACTLY EGP 1.00 per share</w:t>
            </w:r>
          </w:p>
        </w:tc>
      </w:tr>
      <w:tr>
        <w:tc>
          <w:tcPr>
            <w:tcW w:type="dxa" w:w="1656"/>
          </w:tcPr>
          <w:p>
            <w:pPr>
              <w:spacing w:after="20"/>
            </w:pPr>
            <w:r>
              <w:rPr>
                <w:color w:val="1C3A36"/>
                <w:sz w:val="15"/>
              </w:rPr>
              <w:t>dps fy25</w:t>
            </w:r>
          </w:p>
        </w:tc>
        <w:tc>
          <w:tcPr>
            <w:tcW w:type="dxa" w:w="1368"/>
          </w:tcPr>
          <w:p>
            <w:pPr>
              <w:spacing w:after="20"/>
            </w:pPr>
            <w:r>
              <w:rPr>
                <w:color w:val="1C3A36"/>
                <w:sz w:val="15"/>
              </w:rPr>
              <w:t>1.85</w:t>
            </w:r>
          </w:p>
        </w:tc>
        <w:tc>
          <w:tcPr>
            <w:tcW w:type="dxa" w:w="1123"/>
          </w:tcPr>
          <w:p>
            <w:pPr>
              <w:spacing w:after="20"/>
            </w:pPr>
            <w:r>
              <w:rPr>
                <w:color w:val="1C3A36"/>
                <w:sz w:val="15"/>
              </w:rPr>
              <w:t>2026-05-06</w:t>
            </w:r>
          </w:p>
        </w:tc>
        <w:tc>
          <w:tcPr>
            <w:tcW w:type="dxa" w:w="5933"/>
          </w:tcPr>
          <w:p>
            <w:pPr>
              <w:spacing w:after="20"/>
            </w:pPr>
            <w:r>
              <w:rPr>
                <w:color w:val="1C3A36"/>
                <w:sz w:val="15"/>
              </w:rPr>
              <w:t>FY2025 cash dividend of EGP 1.85/share: recommended with the FY2025 results, ratified by the ordinary general assembly on 6 May 2026, rights with the share through 1 June, paid from 4 June 2026 (EGX disclosure, corroborated by Arab Finance coverage and the quoted ~2.0% trailing yield). RESTORED after external critique: an earlier revision removed this figure because neither the FY2025 annual filing (board-approved 12 Mar 2026) nor the Q1-2026 interim disclosed it — an absence-of-evidence error, since the interim covers a period ending 31 March and carries no subsequent-events note, so its silence was never evidence. Payout = 1.85 / 8.10 attributable EPS = 22.8%</w:t>
            </w:r>
          </w:p>
        </w:tc>
      </w:tr>
      <w:tr>
        <w:tc>
          <w:tcPr>
            <w:tcW w:type="dxa" w:w="1656"/>
          </w:tcPr>
          <w:p>
            <w:pPr>
              <w:spacing w:after="20"/>
            </w:pPr>
            <w:r>
              <w:rPr>
                <w:color w:val="1C3A36"/>
                <w:sz w:val="15"/>
              </w:rPr>
              <w:t>capex fy23</w:t>
            </w:r>
          </w:p>
        </w:tc>
        <w:tc>
          <w:tcPr>
            <w:tcW w:type="dxa" w:w="1368"/>
          </w:tcPr>
          <w:p>
            <w:pPr>
              <w:spacing w:after="20"/>
            </w:pPr>
            <w:r>
              <w:rPr>
                <w:color w:val="1C3A36"/>
                <w:sz w:val="15"/>
              </w:rPr>
              <w:t>4,748.6</w:t>
            </w:r>
          </w:p>
        </w:tc>
        <w:tc>
          <w:tcPr>
            <w:tcW w:type="dxa" w:w="1123"/>
          </w:tcPr>
          <w:p>
            <w:pPr>
              <w:spacing w:after="20"/>
            </w:pPr>
            <w:r>
              <w:rPr>
                <w:color w:val="1C3A36"/>
                <w:sz w:val="15"/>
              </w:rPr>
              <w:t>2024-03-13</w:t>
            </w:r>
          </w:p>
        </w:tc>
        <w:tc>
          <w:tcPr>
            <w:tcW w:type="dxa" w:w="5933"/>
          </w:tcPr>
          <w:p>
            <w:pPr>
              <w:spacing w:after="20"/>
            </w:pPr>
            <w:r>
              <w:rPr>
                <w:color w:val="1C3A36"/>
                <w:sz w:val="15"/>
              </w:rPr>
              <w:t>Audited FY2023 consolidated cash flow statement: 'acquisition of property, plant and equipment'</w:t>
            </w:r>
          </w:p>
        </w:tc>
      </w:tr>
      <w:tr>
        <w:tc>
          <w:tcPr>
            <w:tcW w:type="dxa" w:w="1656"/>
          </w:tcPr>
          <w:p>
            <w:pPr>
              <w:spacing w:after="20"/>
            </w:pPr>
            <w:r>
              <w:rPr>
                <w:color w:val="1C3A36"/>
                <w:sz w:val="15"/>
              </w:rPr>
              <w:t>capex fy24</w:t>
            </w:r>
          </w:p>
        </w:tc>
        <w:tc>
          <w:tcPr>
            <w:tcW w:type="dxa" w:w="1368"/>
          </w:tcPr>
          <w:p>
            <w:pPr>
              <w:spacing w:after="20"/>
            </w:pPr>
            <w:r>
              <w:rPr>
                <w:color w:val="1C3A36"/>
                <w:sz w:val="15"/>
              </w:rPr>
              <w:t>8,489.8</w:t>
            </w:r>
          </w:p>
        </w:tc>
        <w:tc>
          <w:tcPr>
            <w:tcW w:type="dxa" w:w="1123"/>
          </w:tcPr>
          <w:p>
            <w:pPr>
              <w:spacing w:after="20"/>
            </w:pPr>
            <w:r>
              <w:rPr>
                <w:color w:val="1C3A36"/>
                <w:sz w:val="15"/>
              </w:rPr>
              <w:t>2025-03-13</w:t>
            </w:r>
          </w:p>
        </w:tc>
        <w:tc>
          <w:tcPr>
            <w:tcW w:type="dxa" w:w="5933"/>
          </w:tcPr>
          <w:p>
            <w:pPr>
              <w:spacing w:after="20"/>
            </w:pPr>
            <w:r>
              <w:rPr>
                <w:color w:val="1C3A36"/>
                <w:sz w:val="15"/>
              </w:rPr>
              <w:t>Audited FY2024 consolidated cash flow statement: 'paid for acquisition of property, plant and equipment and projects under construction'</w:t>
            </w:r>
          </w:p>
        </w:tc>
      </w:tr>
      <w:tr>
        <w:tc>
          <w:tcPr>
            <w:tcW w:type="dxa" w:w="1656"/>
          </w:tcPr>
          <w:p>
            <w:pPr>
              <w:spacing w:after="20"/>
            </w:pPr>
            <w:r>
              <w:rPr>
                <w:color w:val="1C3A36"/>
                <w:sz w:val="15"/>
              </w:rPr>
              <w:t>capex fy25</w:t>
            </w:r>
          </w:p>
        </w:tc>
        <w:tc>
          <w:tcPr>
            <w:tcW w:type="dxa" w:w="1368"/>
          </w:tcPr>
          <w:p>
            <w:pPr>
              <w:spacing w:after="20"/>
            </w:pPr>
            <w:r>
              <w:rPr>
                <w:color w:val="1C3A36"/>
                <w:sz w:val="15"/>
              </w:rPr>
              <w:t>13,112.0</w:t>
            </w:r>
          </w:p>
        </w:tc>
        <w:tc>
          <w:tcPr>
            <w:tcW w:type="dxa" w:w="1123"/>
          </w:tcPr>
          <w:p>
            <w:pPr>
              <w:spacing w:after="20"/>
            </w:pPr>
            <w:r>
              <w:rPr>
                <w:color w:val="1C3A36"/>
                <w:sz w:val="15"/>
              </w:rPr>
              <w:t>2026-03-15</w:t>
            </w:r>
          </w:p>
        </w:tc>
        <w:tc>
          <w:tcPr>
            <w:tcW w:type="dxa" w:w="5933"/>
          </w:tcPr>
          <w:p>
            <w:pPr>
              <w:spacing w:after="20"/>
            </w:pPr>
            <w:r>
              <w:rPr>
                <w:color w:val="1C3A36"/>
                <w:sz w:val="15"/>
              </w:rPr>
              <w:t>Audited FY2025 consolidated cash flow statement: 'paid for acquisition of property, plant and equipment and projects under construction' — a 55% step-up on FY2024, the capacity-expansion cycle referenced throughout this study</w:t>
            </w:r>
          </w:p>
        </w:tc>
      </w:tr>
      <w:tr>
        <w:tc>
          <w:tcPr>
            <w:tcW w:type="dxa" w:w="1656"/>
          </w:tcPr>
          <w:p>
            <w:pPr>
              <w:spacing w:after="20"/>
            </w:pPr>
            <w:r>
              <w:rPr>
                <w:color w:val="1C3A36"/>
                <w:sz w:val="15"/>
              </w:rPr>
              <w:t>int paid fy25</w:t>
            </w:r>
          </w:p>
        </w:tc>
        <w:tc>
          <w:tcPr>
            <w:tcW w:type="dxa" w:w="1368"/>
          </w:tcPr>
          <w:p>
            <w:pPr>
              <w:spacing w:after="20"/>
            </w:pPr>
            <w:r>
              <w:rPr>
                <w:color w:val="1C3A36"/>
                <w:sz w:val="15"/>
              </w:rPr>
              <w:t>5,740.3</w:t>
            </w:r>
          </w:p>
        </w:tc>
        <w:tc>
          <w:tcPr>
            <w:tcW w:type="dxa" w:w="1123"/>
          </w:tcPr>
          <w:p>
            <w:pPr>
              <w:spacing w:after="20"/>
            </w:pPr>
            <w:r>
              <w:rPr>
                <w:color w:val="1C3A36"/>
                <w:sz w:val="15"/>
              </w:rPr>
              <w:t>2026-03-15</w:t>
            </w:r>
          </w:p>
        </w:tc>
        <w:tc>
          <w:tcPr>
            <w:tcW w:type="dxa" w:w="5933"/>
          </w:tcPr>
          <w:p>
            <w:pPr>
              <w:spacing w:after="20"/>
            </w:pPr>
            <w:r>
              <w:rPr>
                <w:color w:val="1C3A36"/>
                <w:sz w:val="15"/>
              </w:rPr>
              <w:t>Interest paid, audited FY2025 consolidated statement of cash flows</w:t>
            </w:r>
          </w:p>
        </w:tc>
      </w:tr>
      <w:tr>
        <w:tc>
          <w:tcPr>
            <w:tcW w:type="dxa" w:w="1656"/>
          </w:tcPr>
          <w:p>
            <w:pPr>
              <w:spacing w:after="20"/>
            </w:pPr>
            <w:r>
              <w:rPr>
                <w:color w:val="1C3A36"/>
                <w:sz w:val="15"/>
              </w:rPr>
              <w:t>tax paid fy25</w:t>
            </w:r>
          </w:p>
        </w:tc>
        <w:tc>
          <w:tcPr>
            <w:tcW w:type="dxa" w:w="1368"/>
          </w:tcPr>
          <w:p>
            <w:pPr>
              <w:spacing w:after="20"/>
            </w:pPr>
            <w:r>
              <w:rPr>
                <w:color w:val="1C3A36"/>
                <w:sz w:val="15"/>
              </w:rPr>
              <w:t>8,298.8</w:t>
            </w:r>
          </w:p>
        </w:tc>
        <w:tc>
          <w:tcPr>
            <w:tcW w:type="dxa" w:w="1123"/>
          </w:tcPr>
          <w:p>
            <w:pPr>
              <w:spacing w:after="20"/>
            </w:pPr>
            <w:r>
              <w:rPr>
                <w:color w:val="1C3A36"/>
                <w:sz w:val="15"/>
              </w:rPr>
              <w:t>2026-03-15</w:t>
            </w:r>
          </w:p>
        </w:tc>
        <w:tc>
          <w:tcPr>
            <w:tcW w:type="dxa" w:w="5933"/>
          </w:tcPr>
          <w:p>
            <w:pPr>
              <w:spacing w:after="20"/>
            </w:pPr>
            <w:r>
              <w:rPr>
                <w:color w:val="1C3A36"/>
                <w:sz w:val="15"/>
              </w:rPr>
              <w:t>Income tax paid, audited FY2025 consolidated statement of cash flows</w:t>
            </w:r>
          </w:p>
        </w:tc>
      </w:tr>
      <w:tr>
        <w:tc>
          <w:tcPr>
            <w:tcW w:type="dxa" w:w="1656"/>
          </w:tcPr>
          <w:p>
            <w:pPr>
              <w:spacing w:after="20"/>
            </w:pPr>
            <w:r>
              <w:rPr>
                <w:color w:val="1C3A36"/>
                <w:sz w:val="15"/>
              </w:rPr>
              <w:t>ocf fy25</w:t>
            </w:r>
          </w:p>
        </w:tc>
        <w:tc>
          <w:tcPr>
            <w:tcW w:type="dxa" w:w="1368"/>
          </w:tcPr>
          <w:p>
            <w:pPr>
              <w:spacing w:after="20"/>
            </w:pPr>
            <w:r>
              <w:rPr>
                <w:color w:val="1C3A36"/>
                <w:sz w:val="15"/>
              </w:rPr>
              <w:t>12,765.9</w:t>
            </w:r>
          </w:p>
        </w:tc>
        <w:tc>
          <w:tcPr>
            <w:tcW w:type="dxa" w:w="1123"/>
          </w:tcPr>
          <w:p>
            <w:pPr>
              <w:spacing w:after="20"/>
            </w:pPr>
            <w:r>
              <w:rPr>
                <w:color w:val="1C3A36"/>
                <w:sz w:val="15"/>
              </w:rPr>
              <w:t>2026-03-15</w:t>
            </w:r>
          </w:p>
        </w:tc>
        <w:tc>
          <w:tcPr>
            <w:tcW w:type="dxa" w:w="5933"/>
          </w:tcPr>
          <w:p>
            <w:pPr>
              <w:spacing w:after="20"/>
            </w:pPr>
            <w:r>
              <w:rPr>
                <w:color w:val="1C3A36"/>
                <w:sz w:val="15"/>
              </w:rPr>
              <w:t>Net cash flows from operating activities, FY2025 (after interest and tax) — 12,765.9 against house EBITDA of 28,363.2, still well below full conversion but a sharp recovery from FY2024's 3,979.4, as the pace of working-capital absorption slowed</w:t>
            </w:r>
          </w:p>
        </w:tc>
      </w:tr>
      <w:tr>
        <w:tc>
          <w:tcPr>
            <w:tcW w:type="dxa" w:w="1656"/>
          </w:tcPr>
          <w:p>
            <w:pPr>
              <w:spacing w:after="20"/>
            </w:pPr>
            <w:r>
              <w:rPr>
                <w:color w:val="1C3A36"/>
                <w:sz w:val="15"/>
              </w:rPr>
              <w:t>q1 25 rev</w:t>
            </w:r>
          </w:p>
        </w:tc>
        <w:tc>
          <w:tcPr>
            <w:tcW w:type="dxa" w:w="1368"/>
          </w:tcPr>
          <w:p>
            <w:pPr>
              <w:spacing w:after="20"/>
            </w:pPr>
            <w:r>
              <w:rPr>
                <w:color w:val="1C3A36"/>
                <w:sz w:val="15"/>
              </w:rPr>
              <w:t>59,391.5</w:t>
            </w:r>
          </w:p>
        </w:tc>
        <w:tc>
          <w:tcPr>
            <w:tcW w:type="dxa" w:w="1123"/>
          </w:tcPr>
          <w:p>
            <w:pPr>
              <w:spacing w:after="20"/>
            </w:pPr>
            <w:r>
              <w:rPr>
                <w:color w:val="1C3A36"/>
                <w:sz w:val="15"/>
              </w:rPr>
              <w:t>2026-05-13</w:t>
            </w:r>
          </w:p>
        </w:tc>
        <w:tc>
          <w:tcPr>
            <w:tcW w:type="dxa" w:w="5933"/>
          </w:tcPr>
          <w:p>
            <w:pPr>
              <w:spacing w:after="20"/>
            </w:pPr>
            <w:r>
              <w:rPr>
                <w:color w:val="1C3A36"/>
                <w:sz w:val="15"/>
              </w:rPr>
              <w:t>Condensed consolidated interim statement of profit or loss, 3M to 31-Mar-2025 (comparative column of the Q1-2026 filing)</w:t>
            </w:r>
          </w:p>
        </w:tc>
      </w:tr>
      <w:tr>
        <w:tc>
          <w:tcPr>
            <w:tcW w:type="dxa" w:w="1656"/>
          </w:tcPr>
          <w:p>
            <w:pPr>
              <w:spacing w:after="20"/>
            </w:pPr>
            <w:r>
              <w:rPr>
                <w:color w:val="1C3A36"/>
                <w:sz w:val="15"/>
              </w:rPr>
              <w:t>q1 25 npa</w:t>
            </w:r>
          </w:p>
        </w:tc>
        <w:tc>
          <w:tcPr>
            <w:tcW w:type="dxa" w:w="1368"/>
          </w:tcPr>
          <w:p>
            <w:pPr>
              <w:spacing w:after="20"/>
            </w:pPr>
            <w:r>
              <w:rPr>
                <w:color w:val="1C3A36"/>
                <w:sz w:val="15"/>
              </w:rPr>
              <w:t>4,146.4</w:t>
            </w:r>
          </w:p>
        </w:tc>
        <w:tc>
          <w:tcPr>
            <w:tcW w:type="dxa" w:w="1123"/>
          </w:tcPr>
          <w:p>
            <w:pPr>
              <w:spacing w:after="20"/>
            </w:pPr>
            <w:r>
              <w:rPr>
                <w:color w:val="1C3A36"/>
                <w:sz w:val="15"/>
              </w:rPr>
              <w:t>2026-05-13</w:t>
            </w:r>
          </w:p>
        </w:tc>
        <w:tc>
          <w:tcPr>
            <w:tcW w:type="dxa" w:w="5933"/>
          </w:tcPr>
          <w:p>
            <w:pPr>
              <w:spacing w:after="20"/>
            </w:pPr>
            <w:r>
              <w:rPr>
                <w:color w:val="1C3A36"/>
                <w:sz w:val="15"/>
              </w:rPr>
              <w:t>Profit attributable to owners of the parent, Q1-2025</w:t>
            </w:r>
          </w:p>
        </w:tc>
      </w:tr>
      <w:tr>
        <w:tc>
          <w:tcPr>
            <w:tcW w:type="dxa" w:w="1656"/>
          </w:tcPr>
          <w:p>
            <w:pPr>
              <w:spacing w:after="20"/>
            </w:pPr>
            <w:r>
              <w:rPr>
                <w:color w:val="1C3A36"/>
                <w:sz w:val="15"/>
              </w:rPr>
              <w:t>q1 26 rev</w:t>
            </w:r>
          </w:p>
        </w:tc>
        <w:tc>
          <w:tcPr>
            <w:tcW w:type="dxa" w:w="1368"/>
          </w:tcPr>
          <w:p>
            <w:pPr>
              <w:spacing w:after="20"/>
            </w:pPr>
            <w:r>
              <w:rPr>
                <w:color w:val="1C3A36"/>
                <w:sz w:val="15"/>
              </w:rPr>
              <w:t>75,298.4</w:t>
            </w:r>
          </w:p>
        </w:tc>
        <w:tc>
          <w:tcPr>
            <w:tcW w:type="dxa" w:w="1123"/>
          </w:tcPr>
          <w:p>
            <w:pPr>
              <w:spacing w:after="20"/>
            </w:pPr>
            <w:r>
              <w:rPr>
                <w:color w:val="1C3A36"/>
                <w:sz w:val="15"/>
              </w:rPr>
              <w:t>2026-05-13</w:t>
            </w:r>
          </w:p>
        </w:tc>
        <w:tc>
          <w:tcPr>
            <w:tcW w:type="dxa" w:w="5933"/>
          </w:tcPr>
          <w:p>
            <w:pPr>
              <w:spacing w:after="20"/>
            </w:pPr>
            <w:r>
              <w:rPr>
                <w:color w:val="1C3A36"/>
                <w:sz w:val="15"/>
              </w:rPr>
              <w:t>Condensed consolidated interim statement of profit or loss, 3M to 31-Mar-2026</w:t>
            </w:r>
          </w:p>
        </w:tc>
      </w:tr>
      <w:tr>
        <w:tc>
          <w:tcPr>
            <w:tcW w:type="dxa" w:w="1656"/>
          </w:tcPr>
          <w:p>
            <w:pPr>
              <w:spacing w:after="20"/>
            </w:pPr>
            <w:r>
              <w:rPr>
                <w:color w:val="1C3A36"/>
                <w:sz w:val="15"/>
              </w:rPr>
              <w:t>q1 26 gp</w:t>
            </w:r>
          </w:p>
        </w:tc>
        <w:tc>
          <w:tcPr>
            <w:tcW w:type="dxa" w:w="1368"/>
          </w:tcPr>
          <w:p>
            <w:pPr>
              <w:spacing w:after="20"/>
            </w:pPr>
            <w:r>
              <w:rPr>
                <w:color w:val="1C3A36"/>
                <w:sz w:val="15"/>
              </w:rPr>
              <w:t>13,128.2</w:t>
            </w:r>
          </w:p>
        </w:tc>
        <w:tc>
          <w:tcPr>
            <w:tcW w:type="dxa" w:w="1123"/>
          </w:tcPr>
          <w:p>
            <w:pPr>
              <w:spacing w:after="20"/>
            </w:pPr>
            <w:r>
              <w:rPr>
                <w:color w:val="1C3A36"/>
                <w:sz w:val="15"/>
              </w:rPr>
              <w:t>2026-05-13</w:t>
            </w:r>
          </w:p>
        </w:tc>
        <w:tc>
          <w:tcPr>
            <w:tcW w:type="dxa" w:w="5933"/>
          </w:tcPr>
          <w:p>
            <w:pPr>
              <w:spacing w:after="20"/>
            </w:pPr>
            <w:r>
              <w:rPr>
                <w:color w:val="1C3A36"/>
                <w:sz w:val="15"/>
              </w:rPr>
              <w:t>Gross profit, Q1-2026 interim statements</w:t>
            </w:r>
          </w:p>
        </w:tc>
      </w:tr>
      <w:tr>
        <w:tc>
          <w:tcPr>
            <w:tcW w:type="dxa" w:w="1656"/>
          </w:tcPr>
          <w:p>
            <w:pPr>
              <w:spacing w:after="20"/>
            </w:pPr>
            <w:r>
              <w:rPr>
                <w:color w:val="1C3A36"/>
                <w:sz w:val="15"/>
              </w:rPr>
              <w:t>q1 26 op</w:t>
            </w:r>
          </w:p>
        </w:tc>
        <w:tc>
          <w:tcPr>
            <w:tcW w:type="dxa" w:w="1368"/>
          </w:tcPr>
          <w:p>
            <w:pPr>
              <w:spacing w:after="20"/>
            </w:pPr>
            <w:r>
              <w:rPr>
                <w:color w:val="1C3A36"/>
                <w:sz w:val="15"/>
              </w:rPr>
              <w:t>8,247.2</w:t>
            </w:r>
          </w:p>
        </w:tc>
        <w:tc>
          <w:tcPr>
            <w:tcW w:type="dxa" w:w="1123"/>
          </w:tcPr>
          <w:p>
            <w:pPr>
              <w:spacing w:after="20"/>
            </w:pPr>
            <w:r>
              <w:rPr>
                <w:color w:val="1C3A36"/>
                <w:sz w:val="15"/>
              </w:rPr>
              <w:t>2026-05-13</w:t>
            </w:r>
          </w:p>
        </w:tc>
        <w:tc>
          <w:tcPr>
            <w:tcW w:type="dxa" w:w="5933"/>
          </w:tcPr>
          <w:p>
            <w:pPr>
              <w:spacing w:after="20"/>
            </w:pPr>
            <w:r>
              <w:rPr>
                <w:color w:val="1C3A36"/>
                <w:sz w:val="15"/>
              </w:rPr>
              <w:t>Operating profit, Q1-2026 interim statements</w:t>
            </w:r>
          </w:p>
        </w:tc>
      </w:tr>
      <w:tr>
        <w:tc>
          <w:tcPr>
            <w:tcW w:type="dxa" w:w="1656"/>
          </w:tcPr>
          <w:p>
            <w:pPr>
              <w:spacing w:after="20"/>
            </w:pPr>
            <w:r>
              <w:rPr>
                <w:color w:val="1C3A36"/>
                <w:sz w:val="15"/>
              </w:rPr>
              <w:t>q1 26 netfin</w:t>
            </w:r>
          </w:p>
        </w:tc>
        <w:tc>
          <w:tcPr>
            <w:tcW w:type="dxa" w:w="1368"/>
          </w:tcPr>
          <w:p>
            <w:pPr>
              <w:spacing w:after="20"/>
            </w:pPr>
            <w:r>
              <w:rPr>
                <w:color w:val="1C3A36"/>
                <w:sz w:val="15"/>
              </w:rPr>
              <w:t>-1,458.5</w:t>
            </w:r>
          </w:p>
        </w:tc>
        <w:tc>
          <w:tcPr>
            <w:tcW w:type="dxa" w:w="1123"/>
          </w:tcPr>
          <w:p>
            <w:pPr>
              <w:spacing w:after="20"/>
            </w:pPr>
            <w:r>
              <w:rPr>
                <w:color w:val="1C3A36"/>
                <w:sz w:val="15"/>
              </w:rPr>
              <w:t>2026-05-13</w:t>
            </w:r>
          </w:p>
        </w:tc>
        <w:tc>
          <w:tcPr>
            <w:tcW w:type="dxa" w:w="5933"/>
          </w:tcPr>
          <w:p>
            <w:pPr>
              <w:spacing w:after="20"/>
            </w:pPr>
            <w:r>
              <w:rPr>
                <w:color w:val="1C3A36"/>
                <w:sz w:val="15"/>
              </w:rPr>
              <w:t>Net finance costs, Q1-2026 interim statements: finance income 683.569177 less finance costs 2,142.046788</w:t>
            </w:r>
          </w:p>
        </w:tc>
      </w:tr>
      <w:tr>
        <w:tc>
          <w:tcPr>
            <w:tcW w:type="dxa" w:w="1656"/>
          </w:tcPr>
          <w:p>
            <w:pPr>
              <w:spacing w:after="20"/>
            </w:pPr>
            <w:r>
              <w:rPr>
                <w:color w:val="1C3A36"/>
                <w:sz w:val="15"/>
              </w:rPr>
              <w:t>q1 26 assoc</w:t>
            </w:r>
          </w:p>
        </w:tc>
        <w:tc>
          <w:tcPr>
            <w:tcW w:type="dxa" w:w="1368"/>
          </w:tcPr>
          <w:p>
            <w:pPr>
              <w:spacing w:after="20"/>
            </w:pPr>
            <w:r>
              <w:rPr>
                <w:color w:val="1C3A36"/>
                <w:sz w:val="15"/>
              </w:rPr>
              <w:t>253.2</w:t>
            </w:r>
          </w:p>
        </w:tc>
        <w:tc>
          <w:tcPr>
            <w:tcW w:type="dxa" w:w="1123"/>
          </w:tcPr>
          <w:p>
            <w:pPr>
              <w:spacing w:after="20"/>
            </w:pPr>
            <w:r>
              <w:rPr>
                <w:color w:val="1C3A36"/>
                <w:sz w:val="15"/>
              </w:rPr>
              <w:t>2026-05-13</w:t>
            </w:r>
          </w:p>
        </w:tc>
        <w:tc>
          <w:tcPr>
            <w:tcW w:type="dxa" w:w="5933"/>
          </w:tcPr>
          <w:p>
            <w:pPr>
              <w:spacing w:after="20"/>
            </w:pPr>
            <w:r>
              <w:rPr>
                <w:color w:val="1C3A36"/>
                <w:sz w:val="15"/>
              </w:rPr>
              <w:t>Share of profit of equity-accounted investees, Q1-2026 interim statements</w:t>
            </w:r>
          </w:p>
        </w:tc>
      </w:tr>
      <w:tr>
        <w:tc>
          <w:tcPr>
            <w:tcW w:type="dxa" w:w="1656"/>
          </w:tcPr>
          <w:p>
            <w:pPr>
              <w:spacing w:after="20"/>
            </w:pPr>
            <w:r>
              <w:rPr>
                <w:color w:val="1C3A36"/>
                <w:sz w:val="15"/>
              </w:rPr>
              <w:t>q1 26 tax</w:t>
            </w:r>
          </w:p>
        </w:tc>
        <w:tc>
          <w:tcPr>
            <w:tcW w:type="dxa" w:w="1368"/>
          </w:tcPr>
          <w:p>
            <w:pPr>
              <w:spacing w:after="20"/>
            </w:pPr>
            <w:r>
              <w:rPr>
                <w:color w:val="1C3A36"/>
                <w:sz w:val="15"/>
              </w:rPr>
              <w:t>-1,813.2</w:t>
            </w:r>
          </w:p>
        </w:tc>
        <w:tc>
          <w:tcPr>
            <w:tcW w:type="dxa" w:w="1123"/>
          </w:tcPr>
          <w:p>
            <w:pPr>
              <w:spacing w:after="20"/>
            </w:pPr>
            <w:r>
              <w:rPr>
                <w:color w:val="1C3A36"/>
                <w:sz w:val="15"/>
              </w:rPr>
              <w:t>2026-05-13</w:t>
            </w:r>
          </w:p>
        </w:tc>
        <w:tc>
          <w:tcPr>
            <w:tcW w:type="dxa" w:w="5933"/>
          </w:tcPr>
          <w:p>
            <w:pPr>
              <w:spacing w:after="20"/>
            </w:pPr>
            <w:r>
              <w:rPr>
                <w:color w:val="1C3A36"/>
                <w:sz w:val="15"/>
              </w:rPr>
              <w:t>Income tax expense, Q1-2026 interim statements (effective rate 25.75% on pre-tax profit of 7,041.966803, up from 21.96% in Q1-2025)</w:t>
            </w:r>
          </w:p>
        </w:tc>
      </w:tr>
      <w:tr>
        <w:tc>
          <w:tcPr>
            <w:tcW w:type="dxa" w:w="1656"/>
          </w:tcPr>
          <w:p>
            <w:pPr>
              <w:spacing w:after="20"/>
            </w:pPr>
            <w:r>
              <w:rPr>
                <w:color w:val="1C3A36"/>
                <w:sz w:val="15"/>
              </w:rPr>
              <w:t>q1 26 npa</w:t>
            </w:r>
          </w:p>
        </w:tc>
        <w:tc>
          <w:tcPr>
            <w:tcW w:type="dxa" w:w="1368"/>
          </w:tcPr>
          <w:p>
            <w:pPr>
              <w:spacing w:after="20"/>
            </w:pPr>
            <w:r>
              <w:rPr>
                <w:color w:val="1C3A36"/>
                <w:sz w:val="15"/>
              </w:rPr>
              <w:t>4,845.3</w:t>
            </w:r>
          </w:p>
        </w:tc>
        <w:tc>
          <w:tcPr>
            <w:tcW w:type="dxa" w:w="1123"/>
          </w:tcPr>
          <w:p>
            <w:pPr>
              <w:spacing w:after="20"/>
            </w:pPr>
            <w:r>
              <w:rPr>
                <w:color w:val="1C3A36"/>
                <w:sz w:val="15"/>
              </w:rPr>
              <w:t>2026-05-13</w:t>
            </w:r>
          </w:p>
        </w:tc>
        <w:tc>
          <w:tcPr>
            <w:tcW w:type="dxa" w:w="5933"/>
          </w:tcPr>
          <w:p>
            <w:pPr>
              <w:spacing w:after="20"/>
            </w:pPr>
            <w:r>
              <w:rPr>
                <w:color w:val="1C3A36"/>
                <w:sz w:val="15"/>
              </w:rPr>
              <w:t>Profit attributable to owners of the parent, Q1-2026, +16.9% y/y</w:t>
            </w:r>
          </w:p>
        </w:tc>
      </w:tr>
      <w:tr>
        <w:tc>
          <w:tcPr>
            <w:tcW w:type="dxa" w:w="1656"/>
          </w:tcPr>
          <w:p>
            <w:pPr>
              <w:spacing w:after="20"/>
            </w:pPr>
            <w:r>
              <w:rPr>
                <w:color w:val="1C3A36"/>
                <w:sz w:val="15"/>
              </w:rPr>
              <w:t>q1 26 nd</w:t>
            </w:r>
          </w:p>
        </w:tc>
        <w:tc>
          <w:tcPr>
            <w:tcW w:type="dxa" w:w="1368"/>
          </w:tcPr>
          <w:p>
            <w:pPr>
              <w:spacing w:after="20"/>
            </w:pPr>
            <w:r>
              <w:rPr>
                <w:color w:val="1C3A36"/>
                <w:sz w:val="15"/>
              </w:rPr>
              <w:t>28,768.8</w:t>
            </w:r>
          </w:p>
        </w:tc>
        <w:tc>
          <w:tcPr>
            <w:tcW w:type="dxa" w:w="1123"/>
          </w:tcPr>
          <w:p>
            <w:pPr>
              <w:spacing w:after="20"/>
            </w:pPr>
            <w:r>
              <w:rPr>
                <w:color w:val="1C3A36"/>
                <w:sz w:val="15"/>
              </w:rPr>
              <w:t>2026-05-13</w:t>
            </w:r>
          </w:p>
        </w:tc>
        <w:tc>
          <w:tcPr>
            <w:tcW w:type="dxa" w:w="5933"/>
          </w:tcPr>
          <w:p>
            <w:pPr>
              <w:spacing w:after="20"/>
            </w:pPr>
            <w:r>
              <w:rPr>
                <w:color w:val="1C3A36"/>
                <w:sz w:val="15"/>
              </w:rPr>
              <w:t>Net financial debt, 31 Mar 2026: total loans and borrowings including leases 89,533.539777 less cash 60,764.752555 — up sharply from FY2025-close as working capital absorbed cash (net operating cash flow was NEGATIVE 1,665.1 in the quarter) funded by 30,364.3 of new loan drawdowns</w:t>
            </w:r>
          </w:p>
        </w:tc>
      </w:tr>
      <w:tr>
        <w:tc>
          <w:tcPr>
            <w:tcW w:type="dxa" w:w="1656"/>
          </w:tcPr>
          <w:p>
            <w:pPr>
              <w:spacing w:after="20"/>
            </w:pPr>
            <w:r>
              <w:rPr>
                <w:color w:val="1C3A36"/>
                <w:sz w:val="15"/>
              </w:rPr>
              <w:t>h1 26 rev</w:t>
            </w:r>
          </w:p>
        </w:tc>
        <w:tc>
          <w:tcPr>
            <w:tcW w:type="dxa" w:w="1368"/>
          </w:tcPr>
          <w:p>
            <w:pPr>
              <w:spacing w:after="20"/>
            </w:pPr>
            <w:r>
              <w:rPr>
                <w:color w:val="1C3A36"/>
                <w:sz w:val="15"/>
              </w:rPr>
              <w:t>163,315.7</w:t>
            </w:r>
          </w:p>
        </w:tc>
        <w:tc>
          <w:tcPr>
            <w:tcW w:type="dxa" w:w="1123"/>
          </w:tcPr>
          <w:p>
            <w:pPr>
              <w:spacing w:after="20"/>
            </w:pPr>
            <w:r>
              <w:rPr>
                <w:color w:val="1C3A36"/>
                <w:sz w:val="15"/>
              </w:rPr>
              <w:t>2026-08-11</w:t>
            </w:r>
          </w:p>
        </w:tc>
        <w:tc>
          <w:tcPr>
            <w:tcW w:type="dxa" w:w="5933"/>
          </w:tcPr>
          <w:p>
            <w:pPr>
              <w:spacing w:after="20"/>
            </w:pPr>
            <w:r>
              <w:rPr>
                <w:color w:val="1C3A36"/>
                <w:sz w:val="15"/>
              </w:rPr>
              <w:t>Reviewed condensed interim consolidated financial statements for the six months ended 30 June 2026, El Sewedy Electric Company, approved for issuance by the board on 11 August 2026 (note 2-1), published on the company's own investor-relations portal at ir.elsewedyelectric.com, condensed interim consolidated statement of profit or loss, six months to 30-Jun-2026 (H1-2025 comparative 123,800.551073, +31.9%)</w:t>
            </w:r>
          </w:p>
        </w:tc>
      </w:tr>
      <w:tr>
        <w:tc>
          <w:tcPr>
            <w:tcW w:type="dxa" w:w="1656"/>
          </w:tcPr>
          <w:p>
            <w:pPr>
              <w:spacing w:after="20"/>
            </w:pPr>
            <w:r>
              <w:rPr>
                <w:color w:val="1C3A36"/>
                <w:sz w:val="15"/>
              </w:rPr>
              <w:t>h1 26 gp</w:t>
            </w:r>
          </w:p>
        </w:tc>
        <w:tc>
          <w:tcPr>
            <w:tcW w:type="dxa" w:w="1368"/>
          </w:tcPr>
          <w:p>
            <w:pPr>
              <w:spacing w:after="20"/>
            </w:pPr>
            <w:r>
              <w:rPr>
                <w:color w:val="1C3A36"/>
                <w:sz w:val="15"/>
              </w:rPr>
              <w:t>26,333.3</w:t>
            </w:r>
          </w:p>
        </w:tc>
        <w:tc>
          <w:tcPr>
            <w:tcW w:type="dxa" w:w="1123"/>
          </w:tcPr>
          <w:p>
            <w:pPr>
              <w:spacing w:after="20"/>
            </w:pPr>
            <w:r>
              <w:rPr>
                <w:color w:val="1C3A36"/>
                <w:sz w:val="15"/>
              </w:rPr>
              <w:t>2026-08-11</w:t>
            </w:r>
          </w:p>
        </w:tc>
        <w:tc>
          <w:tcPr>
            <w:tcW w:type="dxa" w:w="5933"/>
          </w:tcPr>
          <w:p>
            <w:pPr>
              <w:spacing w:after="20"/>
            </w:pPr>
            <w:r>
              <w:rPr>
                <w:color w:val="1C3A36"/>
                <w:sz w:val="15"/>
              </w:rPr>
              <w:t>Reviewed condensed interim consolidated financial statements for the six months ended 30 June 2026, El Sewedy Electric Company, approved for issuance by the board on 11 August 2026 (note 2-1), published on the company's own investor-relations portal at ir.elsewedyelectric.com, gross profit on the face (H1-2025 20,245.400138)</w:t>
            </w:r>
          </w:p>
        </w:tc>
      </w:tr>
      <w:tr>
        <w:tc>
          <w:tcPr>
            <w:tcW w:type="dxa" w:w="1656"/>
          </w:tcPr>
          <w:p>
            <w:pPr>
              <w:spacing w:after="20"/>
            </w:pPr>
            <w:r>
              <w:rPr>
                <w:color w:val="1C3A36"/>
                <w:sz w:val="15"/>
              </w:rPr>
              <w:t>h1 26 op</w:t>
            </w:r>
          </w:p>
        </w:tc>
        <w:tc>
          <w:tcPr>
            <w:tcW w:type="dxa" w:w="1368"/>
          </w:tcPr>
          <w:p>
            <w:pPr>
              <w:spacing w:after="20"/>
            </w:pPr>
            <w:r>
              <w:rPr>
                <w:color w:val="1C3A36"/>
                <w:sz w:val="15"/>
              </w:rPr>
              <w:t>16,421.2</w:t>
            </w:r>
          </w:p>
        </w:tc>
        <w:tc>
          <w:tcPr>
            <w:tcW w:type="dxa" w:w="1123"/>
          </w:tcPr>
          <w:p>
            <w:pPr>
              <w:spacing w:after="20"/>
            </w:pPr>
            <w:r>
              <w:rPr>
                <w:color w:val="1C3A36"/>
                <w:sz w:val="15"/>
              </w:rPr>
              <w:t>2026-08-11</w:t>
            </w:r>
          </w:p>
        </w:tc>
        <w:tc>
          <w:tcPr>
            <w:tcW w:type="dxa" w:w="5933"/>
          </w:tcPr>
          <w:p>
            <w:pPr>
              <w:spacing w:after="20"/>
            </w:pPr>
            <w:r>
              <w:rPr>
                <w:color w:val="1C3A36"/>
                <w:sz w:val="15"/>
              </w:rPr>
              <w:t>Reviewed condensed interim consolidated financial statements for the six months ended 30 June 2026, El Sewedy Electric Company, approved for issuance by the board on 11 August 2026 (note 2-1), published on the company's own investor-relations portal at ir.elsewedyelectric.com, operating profit on the face (H1-2025 12,605.157783)</w:t>
            </w:r>
          </w:p>
        </w:tc>
      </w:tr>
      <w:tr>
        <w:tc>
          <w:tcPr>
            <w:tcW w:type="dxa" w:w="1656"/>
          </w:tcPr>
          <w:p>
            <w:pPr>
              <w:spacing w:after="20"/>
            </w:pPr>
            <w:r>
              <w:rPr>
                <w:color w:val="1C3A36"/>
                <w:sz w:val="15"/>
              </w:rPr>
              <w:t>h1 26 netfin</w:t>
            </w:r>
          </w:p>
        </w:tc>
        <w:tc>
          <w:tcPr>
            <w:tcW w:type="dxa" w:w="1368"/>
          </w:tcPr>
          <w:p>
            <w:pPr>
              <w:spacing w:after="20"/>
            </w:pPr>
            <w:r>
              <w:rPr>
                <w:color w:val="1C3A36"/>
                <w:sz w:val="15"/>
              </w:rPr>
              <w:t>-2,141.5</w:t>
            </w:r>
          </w:p>
        </w:tc>
        <w:tc>
          <w:tcPr>
            <w:tcW w:type="dxa" w:w="1123"/>
          </w:tcPr>
          <w:p>
            <w:pPr>
              <w:spacing w:after="20"/>
            </w:pPr>
            <w:r>
              <w:rPr>
                <w:color w:val="1C3A36"/>
                <w:sz w:val="15"/>
              </w:rPr>
              <w:t>2026-08-11</w:t>
            </w:r>
          </w:p>
        </w:tc>
        <w:tc>
          <w:tcPr>
            <w:tcW w:type="dxa" w:w="5933"/>
          </w:tcPr>
          <w:p>
            <w:pPr>
              <w:spacing w:after="20"/>
            </w:pPr>
            <w:r>
              <w:rPr>
                <w:color w:val="1C3A36"/>
                <w:sz w:val="15"/>
              </w:rPr>
              <w:t>Reviewed condensed interim consolidated financial statements for the six months ended 30 June 2026, El Sewedy Electric Company, approved for issuance by the board on 11 August 2026 (note 2-1), published on the company's own investor-relations portal at ir.elsewedyelectric.com, net finance costs: finance income 1,579.219385 less finance costs 3,720.742200</w:t>
            </w:r>
          </w:p>
        </w:tc>
      </w:tr>
      <w:tr>
        <w:tc>
          <w:tcPr>
            <w:tcW w:type="dxa" w:w="1656"/>
          </w:tcPr>
          <w:p>
            <w:pPr>
              <w:spacing w:after="20"/>
            </w:pPr>
            <w:r>
              <w:rPr>
                <w:color w:val="1C3A36"/>
                <w:sz w:val="15"/>
              </w:rPr>
              <w:t>h1 26 assoc</w:t>
            </w:r>
          </w:p>
        </w:tc>
        <w:tc>
          <w:tcPr>
            <w:tcW w:type="dxa" w:w="1368"/>
          </w:tcPr>
          <w:p>
            <w:pPr>
              <w:spacing w:after="20"/>
            </w:pPr>
            <w:r>
              <w:rPr>
                <w:color w:val="1C3A36"/>
                <w:sz w:val="15"/>
              </w:rPr>
              <w:t>572.6</w:t>
            </w:r>
          </w:p>
        </w:tc>
        <w:tc>
          <w:tcPr>
            <w:tcW w:type="dxa" w:w="1123"/>
          </w:tcPr>
          <w:p>
            <w:pPr>
              <w:spacing w:after="20"/>
            </w:pPr>
            <w:r>
              <w:rPr>
                <w:color w:val="1C3A36"/>
                <w:sz w:val="15"/>
              </w:rPr>
              <w:t>2026-08-11</w:t>
            </w:r>
          </w:p>
        </w:tc>
        <w:tc>
          <w:tcPr>
            <w:tcW w:type="dxa" w:w="5933"/>
          </w:tcPr>
          <w:p>
            <w:pPr>
              <w:spacing w:after="20"/>
            </w:pPr>
            <w:r>
              <w:rPr>
                <w:color w:val="1C3A36"/>
                <w:sz w:val="15"/>
              </w:rPr>
              <w:t>Reviewed condensed interim consolidated financial statements for the six months ended 30 June 2026, El Sewedy Electric Company, approved for issuance by the board on 11 August 2026 (note 2-1), published on the company's own investor-relations portal at ir.elsewedyelectric.com, group share of profit of equity-accounted investees net of tax. A further 542.976117 of gains on sale and revaluation of investments in equity-accounted investees is disclosed SEPARATELY (note 20-3) and is treated as a one-off, not as recurring associate income</w:t>
            </w:r>
          </w:p>
        </w:tc>
      </w:tr>
      <w:tr>
        <w:tc>
          <w:tcPr>
            <w:tcW w:type="dxa" w:w="1656"/>
          </w:tcPr>
          <w:p>
            <w:pPr>
              <w:spacing w:after="20"/>
            </w:pPr>
            <w:r>
              <w:rPr>
                <w:color w:val="1C3A36"/>
                <w:sz w:val="15"/>
              </w:rPr>
              <w:t>h1 26 assoc oneoff</w:t>
            </w:r>
          </w:p>
        </w:tc>
        <w:tc>
          <w:tcPr>
            <w:tcW w:type="dxa" w:w="1368"/>
          </w:tcPr>
          <w:p>
            <w:pPr>
              <w:spacing w:after="20"/>
            </w:pPr>
            <w:r>
              <w:rPr>
                <w:color w:val="1C3A36"/>
                <w:sz w:val="15"/>
              </w:rPr>
              <w:t>543.0</w:t>
            </w:r>
          </w:p>
        </w:tc>
        <w:tc>
          <w:tcPr>
            <w:tcW w:type="dxa" w:w="1123"/>
          </w:tcPr>
          <w:p>
            <w:pPr>
              <w:spacing w:after="20"/>
            </w:pPr>
            <w:r>
              <w:rPr>
                <w:color w:val="1C3A36"/>
                <w:sz w:val="15"/>
              </w:rPr>
              <w:t>2026-08-11</w:t>
            </w:r>
          </w:p>
        </w:tc>
        <w:tc>
          <w:tcPr>
            <w:tcW w:type="dxa" w:w="5933"/>
          </w:tcPr>
          <w:p>
            <w:pPr>
              <w:spacing w:after="20"/>
            </w:pPr>
            <w:r>
              <w:rPr>
                <w:color w:val="1C3A36"/>
                <w:sz w:val="15"/>
              </w:rPr>
              <w:t>Reviewed condensed interim consolidated financial statements for the six months ended 30 June 2026, El Sewedy Electric Company, approved for issuance by the board on 11 August 2026 (note 2-1), published on the company's own investor-relations portal at ir.elsewedyelectric.com, note 20-3: gains on sale and revaluation of investments in equity-accounted investees. Disclosed on its own line with no comparative, i.e. nothing in H1-2025 — a one-off</w:t>
            </w:r>
          </w:p>
        </w:tc>
      </w:tr>
      <w:tr>
        <w:tc>
          <w:tcPr>
            <w:tcW w:type="dxa" w:w="1656"/>
          </w:tcPr>
          <w:p>
            <w:pPr>
              <w:spacing w:after="20"/>
            </w:pPr>
            <w:r>
              <w:rPr>
                <w:color w:val="1C3A36"/>
                <w:sz w:val="15"/>
              </w:rPr>
              <w:t>h1 26 tax</w:t>
            </w:r>
          </w:p>
        </w:tc>
        <w:tc>
          <w:tcPr>
            <w:tcW w:type="dxa" w:w="1368"/>
          </w:tcPr>
          <w:p>
            <w:pPr>
              <w:spacing w:after="20"/>
            </w:pPr>
            <w:r>
              <w:rPr>
                <w:color w:val="1C3A36"/>
                <w:sz w:val="15"/>
              </w:rPr>
              <w:t>-4,748.6</w:t>
            </w:r>
          </w:p>
        </w:tc>
        <w:tc>
          <w:tcPr>
            <w:tcW w:type="dxa" w:w="1123"/>
          </w:tcPr>
          <w:p>
            <w:pPr>
              <w:spacing w:after="20"/>
            </w:pPr>
            <w:r>
              <w:rPr>
                <w:color w:val="1C3A36"/>
                <w:sz w:val="15"/>
              </w:rPr>
              <w:t>2026-08-11</w:t>
            </w:r>
          </w:p>
        </w:tc>
        <w:tc>
          <w:tcPr>
            <w:tcW w:type="dxa" w:w="5933"/>
          </w:tcPr>
          <w:p>
            <w:pPr>
              <w:spacing w:after="20"/>
            </w:pPr>
            <w:r>
              <w:rPr>
                <w:color w:val="1C3A36"/>
                <w:sz w:val="15"/>
              </w:rPr>
              <w:t>Reviewed condensed interim consolidated financial statements for the six months ended 30 June 2026, El Sewedy Electric Company, approved for issuance by the board on 11 August 2026 (note 2-1), published on the company's own investor-relations portal at ir.elsewedyelectric.com, income tax expense. Effective rate 30.85% on pre-tax profit of 15,395.270255, against 19.39% in H1-2025 and the 24.5% the forecast carries — a material step this re-issue must price rather than average away</w:t>
            </w:r>
          </w:p>
        </w:tc>
      </w:tr>
      <w:tr>
        <w:tc>
          <w:tcPr>
            <w:tcW w:type="dxa" w:w="1656"/>
          </w:tcPr>
          <w:p>
            <w:pPr>
              <w:spacing w:after="20"/>
            </w:pPr>
            <w:r>
              <w:rPr>
                <w:color w:val="1C3A36"/>
                <w:sz w:val="15"/>
              </w:rPr>
              <w:t>h1 26 npa</w:t>
            </w:r>
          </w:p>
        </w:tc>
        <w:tc>
          <w:tcPr>
            <w:tcW w:type="dxa" w:w="1368"/>
          </w:tcPr>
          <w:p>
            <w:pPr>
              <w:spacing w:after="20"/>
            </w:pPr>
            <w:r>
              <w:rPr>
                <w:color w:val="1C3A36"/>
                <w:sz w:val="15"/>
              </w:rPr>
              <w:t>9,921.7</w:t>
            </w:r>
          </w:p>
        </w:tc>
        <w:tc>
          <w:tcPr>
            <w:tcW w:type="dxa" w:w="1123"/>
          </w:tcPr>
          <w:p>
            <w:pPr>
              <w:spacing w:after="20"/>
            </w:pPr>
            <w:r>
              <w:rPr>
                <w:color w:val="1C3A36"/>
                <w:sz w:val="15"/>
              </w:rPr>
              <w:t>2026-08-11</w:t>
            </w:r>
          </w:p>
        </w:tc>
        <w:tc>
          <w:tcPr>
            <w:tcW w:type="dxa" w:w="5933"/>
          </w:tcPr>
          <w:p>
            <w:pPr>
              <w:spacing w:after="20"/>
            </w:pPr>
            <w:r>
              <w:rPr>
                <w:color w:val="1C3A36"/>
                <w:sz w:val="15"/>
              </w:rPr>
              <w:t>Reviewed condensed interim consolidated financial statements for the six months ended 30 June 2026, El Sewedy Electric Company, approved for issuance by the board on 11 August 2026 (note 2-1), published on the company's own investor-relations portal at ir.elsewedyelectric.com, profit attributable to owners of the parent company (H1-2025 8,694.611825, +14.1%)</w:t>
            </w:r>
          </w:p>
        </w:tc>
      </w:tr>
      <w:tr>
        <w:tc>
          <w:tcPr>
            <w:tcW w:type="dxa" w:w="1656"/>
          </w:tcPr>
          <w:p>
            <w:pPr>
              <w:spacing w:after="20"/>
            </w:pPr>
            <w:r>
              <w:rPr>
                <w:color w:val="1C3A36"/>
                <w:sz w:val="15"/>
              </w:rPr>
              <w:t>h1 26 nci</w:t>
            </w:r>
          </w:p>
        </w:tc>
        <w:tc>
          <w:tcPr>
            <w:tcW w:type="dxa" w:w="1368"/>
          </w:tcPr>
          <w:p>
            <w:pPr>
              <w:spacing w:after="20"/>
            </w:pPr>
            <w:r>
              <w:rPr>
                <w:color w:val="1C3A36"/>
                <w:sz w:val="15"/>
              </w:rPr>
              <w:t>725.0</w:t>
            </w:r>
          </w:p>
        </w:tc>
        <w:tc>
          <w:tcPr>
            <w:tcW w:type="dxa" w:w="1123"/>
          </w:tcPr>
          <w:p>
            <w:pPr>
              <w:spacing w:after="20"/>
            </w:pPr>
            <w:r>
              <w:rPr>
                <w:color w:val="1C3A36"/>
                <w:sz w:val="15"/>
              </w:rPr>
              <w:t>2026-08-11</w:t>
            </w:r>
          </w:p>
        </w:tc>
        <w:tc>
          <w:tcPr>
            <w:tcW w:type="dxa" w:w="5933"/>
          </w:tcPr>
          <w:p>
            <w:pPr>
              <w:spacing w:after="20"/>
            </w:pPr>
            <w:r>
              <w:rPr>
                <w:color w:val="1C3A36"/>
                <w:sz w:val="15"/>
              </w:rPr>
              <w:t>Reviewed condensed interim consolidated financial statements for the six months ended 30 June 2026, El Sewedy Electric Company, approved for issuance by the board on 11 August 2026 (note 2-1), published on the company's own investor-relations portal at ir.elsewedyelectric.com, profit attributable to non-controlling interests — 6.81% of the period's total profit after tax of 10,646.715151</w:t>
            </w:r>
          </w:p>
        </w:tc>
      </w:tr>
      <w:tr>
        <w:tc>
          <w:tcPr>
            <w:tcW w:type="dxa" w:w="1656"/>
          </w:tcPr>
          <w:p>
            <w:pPr>
              <w:spacing w:after="20"/>
            </w:pPr>
            <w:r>
              <w:rPr>
                <w:color w:val="1C3A36"/>
                <w:sz w:val="15"/>
              </w:rPr>
              <w:t>h1 26 eps</w:t>
            </w:r>
          </w:p>
        </w:tc>
        <w:tc>
          <w:tcPr>
            <w:tcW w:type="dxa" w:w="1368"/>
          </w:tcPr>
          <w:p>
            <w:pPr>
              <w:spacing w:after="20"/>
            </w:pPr>
            <w:r>
              <w:rPr>
                <w:color w:val="1C3A36"/>
                <w:sz w:val="15"/>
              </w:rPr>
              <w:t>4.03</w:t>
            </w:r>
          </w:p>
        </w:tc>
        <w:tc>
          <w:tcPr>
            <w:tcW w:type="dxa" w:w="1123"/>
          </w:tcPr>
          <w:p>
            <w:pPr>
              <w:spacing w:after="20"/>
            </w:pPr>
            <w:r>
              <w:rPr>
                <w:color w:val="1C3A36"/>
                <w:sz w:val="15"/>
              </w:rPr>
              <w:t>2026-08-11</w:t>
            </w:r>
          </w:p>
        </w:tc>
        <w:tc>
          <w:tcPr>
            <w:tcW w:type="dxa" w:w="5933"/>
          </w:tcPr>
          <w:p>
            <w:pPr>
              <w:spacing w:after="20"/>
            </w:pPr>
            <w:r>
              <w:rPr>
                <w:color w:val="1C3A36"/>
                <w:sz w:val="15"/>
              </w:rPr>
              <w:t>Reviewed condensed interim consolidated financial statements for the six months ended 30 June 2026, El Sewedy Electric Company, approved for issuance by the board on 11 August 2026 (note 2-1), published on the company's own investor-relations portal at ir.elsewedyelectric.com, note 38: basic and diluted earnings per share (H1-2025 3.55)</w:t>
            </w:r>
          </w:p>
        </w:tc>
      </w:tr>
      <w:tr>
        <w:tc>
          <w:tcPr>
            <w:tcW w:type="dxa" w:w="1656"/>
          </w:tcPr>
          <w:p>
            <w:pPr>
              <w:spacing w:after="20"/>
            </w:pPr>
            <w:r>
              <w:rPr>
                <w:color w:val="1C3A36"/>
                <w:sz w:val="15"/>
              </w:rPr>
              <w:t>emp share fy24</w:t>
            </w:r>
          </w:p>
        </w:tc>
        <w:tc>
          <w:tcPr>
            <w:tcW w:type="dxa" w:w="1368"/>
          </w:tcPr>
          <w:p>
            <w:pPr>
              <w:spacing w:after="20"/>
            </w:pPr>
            <w:r>
              <w:rPr>
                <w:color w:val="1C3A36"/>
                <w:sz w:val="15"/>
              </w:rPr>
              <w:t>2,025.8</w:t>
            </w:r>
          </w:p>
        </w:tc>
        <w:tc>
          <w:tcPr>
            <w:tcW w:type="dxa" w:w="1123"/>
          </w:tcPr>
          <w:p>
            <w:pPr>
              <w:spacing w:after="20"/>
            </w:pPr>
            <w:r>
              <w:rPr>
                <w:color w:val="1C3A36"/>
                <w:sz w:val="15"/>
              </w:rPr>
              <w:t>2026-03-01</w:t>
            </w:r>
          </w:p>
        </w:tc>
        <w:tc>
          <w:tcPr>
            <w:tcW w:type="dxa" w:w="5933"/>
          </w:tcPr>
          <w:p>
            <w:pPr>
              <w:spacing w:after="20"/>
            </w:pPr>
            <w:r>
              <w:rPr>
                <w:color w:val="1C3A36"/>
                <w:sz w:val="15"/>
              </w:rPr>
              <w:t>Audited FY2025 consolidated financial statements, note 39 (FY2024 comparative): employees' share in profit (estimated), deducted from profit attributable to owners to reach profit attributable to ordinary shareholders — 11.60% of the 17,461.358714 attributable</w:t>
            </w:r>
          </w:p>
        </w:tc>
      </w:tr>
      <w:tr>
        <w:tc>
          <w:tcPr>
            <w:tcW w:type="dxa" w:w="1656"/>
          </w:tcPr>
          <w:p>
            <w:pPr>
              <w:spacing w:after="20"/>
            </w:pPr>
            <w:r>
              <w:rPr>
                <w:color w:val="1C3A36"/>
                <w:sz w:val="15"/>
              </w:rPr>
              <w:t>emp share fy25</w:t>
            </w:r>
          </w:p>
        </w:tc>
        <w:tc>
          <w:tcPr>
            <w:tcW w:type="dxa" w:w="1368"/>
          </w:tcPr>
          <w:p>
            <w:pPr>
              <w:spacing w:after="20"/>
            </w:pPr>
            <w:r>
              <w:rPr>
                <w:color w:val="1C3A36"/>
                <w:sz w:val="15"/>
              </w:rPr>
              <w:t>2,073.1</w:t>
            </w:r>
          </w:p>
        </w:tc>
        <w:tc>
          <w:tcPr>
            <w:tcW w:type="dxa" w:w="1123"/>
          </w:tcPr>
          <w:p>
            <w:pPr>
              <w:spacing w:after="20"/>
            </w:pPr>
            <w:r>
              <w:rPr>
                <w:color w:val="1C3A36"/>
                <w:sz w:val="15"/>
              </w:rPr>
              <w:t>2026-03-01</w:t>
            </w:r>
          </w:p>
        </w:tc>
        <w:tc>
          <w:tcPr>
            <w:tcW w:type="dxa" w:w="5933"/>
          </w:tcPr>
          <w:p>
            <w:pPr>
              <w:spacing w:after="20"/>
            </w:pPr>
            <w:r>
              <w:rPr>
                <w:color w:val="1C3A36"/>
                <w:sz w:val="15"/>
              </w:rPr>
              <w:t>Audited FY2025 consolidated financial statements, note 39: employees' share in profit (estimated) — 11.96% of the 17,330.244990 attributable to owners. The reported EPS of 7.13 is struck on the 15,257.140146 that remains, over a weighted-average 2,139,355,716 shares (issued 2,140,777,876 less 1,422,160 ESOP shares issued not granted)</w:t>
            </w:r>
          </w:p>
        </w:tc>
      </w:tr>
      <w:tr>
        <w:tc>
          <w:tcPr>
            <w:tcW w:type="dxa" w:w="1656"/>
          </w:tcPr>
          <w:p>
            <w:pPr>
              <w:spacing w:after="20"/>
            </w:pPr>
            <w:r>
              <w:rPr>
                <w:color w:val="1C3A36"/>
                <w:sz w:val="15"/>
              </w:rPr>
              <w:t>salaries cogs fy25</w:t>
            </w:r>
          </w:p>
        </w:tc>
        <w:tc>
          <w:tcPr>
            <w:tcW w:type="dxa" w:w="1368"/>
          </w:tcPr>
          <w:p>
            <w:pPr>
              <w:spacing w:after="20"/>
            </w:pPr>
            <w:r>
              <w:rPr>
                <w:color w:val="1C3A36"/>
                <w:sz w:val="15"/>
              </w:rPr>
              <w:t>12,646.9</w:t>
            </w:r>
          </w:p>
        </w:tc>
        <w:tc>
          <w:tcPr>
            <w:tcW w:type="dxa" w:w="1123"/>
          </w:tcPr>
          <w:p>
            <w:pPr>
              <w:spacing w:after="20"/>
            </w:pPr>
            <w:r>
              <w:rPr>
                <w:color w:val="1C3A36"/>
                <w:sz w:val="15"/>
              </w:rPr>
              <w:t>2026-03-01</w:t>
            </w:r>
          </w:p>
        </w:tc>
        <w:tc>
          <w:tcPr>
            <w:tcW w:type="dxa" w:w="5933"/>
          </w:tcPr>
          <w:p>
            <w:pPr>
              <w:spacing w:after="20"/>
            </w:pPr>
            <w:r>
              <w:rPr>
                <w:color w:val="1C3A36"/>
                <w:sz w:val="15"/>
              </w:rPr>
              <w:t>FY2025 audited financial statements, cost of sales note: 'Salaries and its equivalents'</w:t>
            </w:r>
          </w:p>
        </w:tc>
      </w:tr>
      <w:tr>
        <w:tc>
          <w:tcPr>
            <w:tcW w:type="dxa" w:w="1656"/>
          </w:tcPr>
          <w:p>
            <w:pPr>
              <w:spacing w:after="20"/>
            </w:pPr>
            <w:r>
              <w:rPr>
                <w:color w:val="1C3A36"/>
                <w:sz w:val="15"/>
              </w:rPr>
              <w:t>salaries selling fy25</w:t>
            </w:r>
          </w:p>
        </w:tc>
        <w:tc>
          <w:tcPr>
            <w:tcW w:type="dxa" w:w="1368"/>
          </w:tcPr>
          <w:p>
            <w:pPr>
              <w:spacing w:after="20"/>
            </w:pPr>
            <w:r>
              <w:rPr>
                <w:color w:val="1C3A36"/>
                <w:sz w:val="15"/>
              </w:rPr>
              <w:t>1,588.1</w:t>
            </w:r>
          </w:p>
        </w:tc>
        <w:tc>
          <w:tcPr>
            <w:tcW w:type="dxa" w:w="1123"/>
          </w:tcPr>
          <w:p>
            <w:pPr>
              <w:spacing w:after="20"/>
            </w:pPr>
            <w:r>
              <w:rPr>
                <w:color w:val="1C3A36"/>
                <w:sz w:val="15"/>
              </w:rPr>
              <w:t>2026-03-01</w:t>
            </w:r>
          </w:p>
        </w:tc>
        <w:tc>
          <w:tcPr>
            <w:tcW w:type="dxa" w:w="5933"/>
          </w:tcPr>
          <w:p>
            <w:pPr>
              <w:spacing w:after="20"/>
            </w:pPr>
            <w:r>
              <w:rPr>
                <w:color w:val="1C3A36"/>
                <w:sz w:val="15"/>
              </w:rPr>
              <w:t>FY2025 audited financial statements, selling and distribution note: 'Salaries and its equivalents'</w:t>
            </w:r>
          </w:p>
        </w:tc>
      </w:tr>
      <w:tr>
        <w:tc>
          <w:tcPr>
            <w:tcW w:type="dxa" w:w="1656"/>
          </w:tcPr>
          <w:p>
            <w:pPr>
              <w:spacing w:after="20"/>
            </w:pPr>
            <w:r>
              <w:rPr>
                <w:color w:val="1C3A36"/>
                <w:sz w:val="15"/>
              </w:rPr>
              <w:t>salaries admin fy25</w:t>
            </w:r>
          </w:p>
        </w:tc>
        <w:tc>
          <w:tcPr>
            <w:tcW w:type="dxa" w:w="1368"/>
          </w:tcPr>
          <w:p>
            <w:pPr>
              <w:spacing w:after="20"/>
            </w:pPr>
            <w:r>
              <w:rPr>
                <w:color w:val="1C3A36"/>
                <w:sz w:val="15"/>
              </w:rPr>
              <w:t>4,670.8</w:t>
            </w:r>
          </w:p>
        </w:tc>
        <w:tc>
          <w:tcPr>
            <w:tcW w:type="dxa" w:w="1123"/>
          </w:tcPr>
          <w:p>
            <w:pPr>
              <w:spacing w:after="20"/>
            </w:pPr>
            <w:r>
              <w:rPr>
                <w:color w:val="1C3A36"/>
                <w:sz w:val="15"/>
              </w:rPr>
              <w:t>2026-03-01</w:t>
            </w:r>
          </w:p>
        </w:tc>
        <w:tc>
          <w:tcPr>
            <w:tcW w:type="dxa" w:w="5933"/>
          </w:tcPr>
          <w:p>
            <w:pPr>
              <w:spacing w:after="20"/>
            </w:pPr>
            <w:r>
              <w:rPr>
                <w:color w:val="1C3A36"/>
                <w:sz w:val="15"/>
              </w:rPr>
              <w:t>FY2025 audited financial statements, general and administrative note: 'Salaries and its equivalents'</w:t>
            </w:r>
          </w:p>
        </w:tc>
      </w:tr>
      <w:tr>
        <w:tc>
          <w:tcPr>
            <w:tcW w:type="dxa" w:w="1656"/>
          </w:tcPr>
          <w:p>
            <w:pPr>
              <w:spacing w:after="20"/>
            </w:pPr>
            <w:r>
              <w:rPr>
                <w:color w:val="1C3A36"/>
                <w:sz w:val="15"/>
              </w:rPr>
              <w:t>salaries cogs fy24</w:t>
            </w:r>
          </w:p>
        </w:tc>
        <w:tc>
          <w:tcPr>
            <w:tcW w:type="dxa" w:w="1368"/>
          </w:tcPr>
          <w:p>
            <w:pPr>
              <w:spacing w:after="20"/>
            </w:pPr>
            <w:r>
              <w:rPr>
                <w:color w:val="1C3A36"/>
                <w:sz w:val="15"/>
              </w:rPr>
              <w:t>7,898.9</w:t>
            </w:r>
          </w:p>
        </w:tc>
        <w:tc>
          <w:tcPr>
            <w:tcW w:type="dxa" w:w="1123"/>
          </w:tcPr>
          <w:p>
            <w:pPr>
              <w:spacing w:after="20"/>
            </w:pPr>
            <w:r>
              <w:rPr>
                <w:color w:val="1C3A36"/>
                <w:sz w:val="15"/>
              </w:rPr>
              <w:t>2026-03-01</w:t>
            </w:r>
          </w:p>
        </w:tc>
        <w:tc>
          <w:tcPr>
            <w:tcW w:type="dxa" w:w="5933"/>
          </w:tcPr>
          <w:p>
            <w:pPr>
              <w:spacing w:after="20"/>
            </w:pPr>
            <w:r>
              <w:rPr>
                <w:color w:val="1C3A36"/>
                <w:sz w:val="15"/>
              </w:rPr>
              <w:t>FY2025 audited financial statements, cost of sales note, FY2024 comparative</w:t>
            </w:r>
          </w:p>
        </w:tc>
      </w:tr>
      <w:tr>
        <w:tc>
          <w:tcPr>
            <w:tcW w:type="dxa" w:w="1656"/>
          </w:tcPr>
          <w:p>
            <w:pPr>
              <w:spacing w:after="20"/>
            </w:pPr>
            <w:r>
              <w:rPr>
                <w:color w:val="1C3A36"/>
                <w:sz w:val="15"/>
              </w:rPr>
              <w:t>salaries selling fy24</w:t>
            </w:r>
          </w:p>
        </w:tc>
        <w:tc>
          <w:tcPr>
            <w:tcW w:type="dxa" w:w="1368"/>
          </w:tcPr>
          <w:p>
            <w:pPr>
              <w:spacing w:after="20"/>
            </w:pPr>
            <w:r>
              <w:rPr>
                <w:color w:val="1C3A36"/>
                <w:sz w:val="15"/>
              </w:rPr>
              <w:t>1,216.0</w:t>
            </w:r>
          </w:p>
        </w:tc>
        <w:tc>
          <w:tcPr>
            <w:tcW w:type="dxa" w:w="1123"/>
          </w:tcPr>
          <w:p>
            <w:pPr>
              <w:spacing w:after="20"/>
            </w:pPr>
            <w:r>
              <w:rPr>
                <w:color w:val="1C3A36"/>
                <w:sz w:val="15"/>
              </w:rPr>
              <w:t>2026-03-01</w:t>
            </w:r>
          </w:p>
        </w:tc>
        <w:tc>
          <w:tcPr>
            <w:tcW w:type="dxa" w:w="5933"/>
          </w:tcPr>
          <w:p>
            <w:pPr>
              <w:spacing w:after="20"/>
            </w:pPr>
            <w:r>
              <w:rPr>
                <w:color w:val="1C3A36"/>
                <w:sz w:val="15"/>
              </w:rPr>
              <w:t>FY2025 audited financial statements, selling and distribution note, FY2024 comparative</w:t>
            </w:r>
          </w:p>
        </w:tc>
      </w:tr>
      <w:tr>
        <w:tc>
          <w:tcPr>
            <w:tcW w:type="dxa" w:w="1656"/>
          </w:tcPr>
          <w:p>
            <w:pPr>
              <w:spacing w:after="20"/>
            </w:pPr>
            <w:r>
              <w:rPr>
                <w:color w:val="1C3A36"/>
                <w:sz w:val="15"/>
              </w:rPr>
              <w:t>salaries admin fy24</w:t>
            </w:r>
          </w:p>
        </w:tc>
        <w:tc>
          <w:tcPr>
            <w:tcW w:type="dxa" w:w="1368"/>
          </w:tcPr>
          <w:p>
            <w:pPr>
              <w:spacing w:after="20"/>
            </w:pPr>
            <w:r>
              <w:rPr>
                <w:color w:val="1C3A36"/>
                <w:sz w:val="15"/>
              </w:rPr>
              <w:t>3,639.1</w:t>
            </w:r>
          </w:p>
        </w:tc>
        <w:tc>
          <w:tcPr>
            <w:tcW w:type="dxa" w:w="1123"/>
          </w:tcPr>
          <w:p>
            <w:pPr>
              <w:spacing w:after="20"/>
            </w:pPr>
            <w:r>
              <w:rPr>
                <w:color w:val="1C3A36"/>
                <w:sz w:val="15"/>
              </w:rPr>
              <w:t>2026-03-01</w:t>
            </w:r>
          </w:p>
        </w:tc>
        <w:tc>
          <w:tcPr>
            <w:tcW w:type="dxa" w:w="5933"/>
          </w:tcPr>
          <w:p>
            <w:pPr>
              <w:spacing w:after="20"/>
            </w:pPr>
            <w:r>
              <w:rPr>
                <w:color w:val="1C3A36"/>
                <w:sz w:val="15"/>
              </w:rPr>
              <w:t>FY2025 audited financial statements, general and administrative note, FY2024 comparative</w:t>
            </w:r>
          </w:p>
        </w:tc>
      </w:tr>
      <w:tr>
        <w:tc>
          <w:tcPr>
            <w:tcW w:type="dxa" w:w="1656"/>
          </w:tcPr>
          <w:p>
            <w:pPr>
              <w:spacing w:after="20"/>
            </w:pPr>
            <w:r>
              <w:rPr>
                <w:color w:val="1C3A36"/>
                <w:sz w:val="15"/>
              </w:rPr>
              <w:t>emp share h1 26</w:t>
            </w:r>
          </w:p>
        </w:tc>
        <w:tc>
          <w:tcPr>
            <w:tcW w:type="dxa" w:w="1368"/>
          </w:tcPr>
          <w:p>
            <w:pPr>
              <w:spacing w:after="20"/>
            </w:pPr>
            <w:r>
              <w:rPr>
                <w:color w:val="1C3A36"/>
                <w:sz w:val="15"/>
              </w:rPr>
              <w:t>1,291.2</w:t>
            </w:r>
          </w:p>
        </w:tc>
        <w:tc>
          <w:tcPr>
            <w:tcW w:type="dxa" w:w="1123"/>
          </w:tcPr>
          <w:p>
            <w:pPr>
              <w:spacing w:after="20"/>
            </w:pPr>
            <w:r>
              <w:rPr>
                <w:color w:val="1C3A36"/>
                <w:sz w:val="15"/>
              </w:rPr>
              <w:t>2026-08-11</w:t>
            </w:r>
          </w:p>
        </w:tc>
        <w:tc>
          <w:tcPr>
            <w:tcW w:type="dxa" w:w="5933"/>
          </w:tcPr>
          <w:p>
            <w:pPr>
              <w:spacing w:after="20"/>
            </w:pPr>
            <w:r>
              <w:rPr>
                <w:color w:val="1C3A36"/>
                <w:sz w:val="15"/>
              </w:rPr>
              <w:t>Reviewed condensed interim consolidated financial statements for the six months ended 30 June 2026, El Sewedy Electric Company, approved for issuance by the board on 11 August 2026 (note 2-1), published on the company's own investor-relations portal at ir.elsewedyelectric.com, note 38: employees' share in profit (expected) — 13.01% of the 9,921.669274 attributable to owners (H1-2025 1,104.834367 on 8,694.611825, 12.71%)</w:t>
            </w:r>
          </w:p>
        </w:tc>
      </w:tr>
      <w:tr>
        <w:tc>
          <w:tcPr>
            <w:tcW w:type="dxa" w:w="1656"/>
          </w:tcPr>
          <w:p>
            <w:pPr>
              <w:spacing w:after="20"/>
            </w:pPr>
            <w:r>
              <w:rPr>
                <w:color w:val="1C3A36"/>
                <w:sz w:val="15"/>
              </w:rPr>
              <w:t>eps fy25</w:t>
            </w:r>
          </w:p>
        </w:tc>
        <w:tc>
          <w:tcPr>
            <w:tcW w:type="dxa" w:w="1368"/>
          </w:tcPr>
          <w:p>
            <w:pPr>
              <w:spacing w:after="20"/>
            </w:pPr>
            <w:r>
              <w:rPr>
                <w:color w:val="1C3A36"/>
                <w:sz w:val="15"/>
              </w:rPr>
              <w:t>7.13</w:t>
            </w:r>
          </w:p>
        </w:tc>
        <w:tc>
          <w:tcPr>
            <w:tcW w:type="dxa" w:w="1123"/>
          </w:tcPr>
          <w:p>
            <w:pPr>
              <w:spacing w:after="20"/>
            </w:pPr>
            <w:r>
              <w:rPr>
                <w:color w:val="1C3A36"/>
                <w:sz w:val="15"/>
              </w:rPr>
              <w:t>2026-03-01</w:t>
            </w:r>
          </w:p>
        </w:tc>
        <w:tc>
          <w:tcPr>
            <w:tcW w:type="dxa" w:w="5933"/>
          </w:tcPr>
          <w:p>
            <w:pPr>
              <w:spacing w:after="20"/>
            </w:pPr>
            <w:r>
              <w:rPr>
                <w:color w:val="1C3A36"/>
                <w:sz w:val="15"/>
              </w:rPr>
              <w:t>Audited FY2025 consolidated financial statements, note 39: basic and diluted earnings per share. REGISTERED SO THAT IT CAN BE RECONCILED — 17,330.244990 attributable over 2,140.777876 shares gives 8.095, and the difference from 7.13 is the employees' share above plus the ESOP adjustment to the weighted-average count. Neither figure was wrong in the first edition; nothing compared them</w:t>
            </w:r>
          </w:p>
        </w:tc>
      </w:tr>
      <w:tr>
        <w:tc>
          <w:tcPr>
            <w:tcW w:type="dxa" w:w="1656"/>
          </w:tcPr>
          <w:p>
            <w:pPr>
              <w:spacing w:after="20"/>
            </w:pPr>
            <w:r>
              <w:rPr>
                <w:color w:val="1C3A36"/>
                <w:sz w:val="15"/>
              </w:rPr>
              <w:t>seg rev h1 26</w:t>
            </w:r>
          </w:p>
        </w:tc>
        <w:tc>
          <w:tcPr>
            <w:tcW w:type="dxa" w:w="1368"/>
          </w:tcPr>
          <w:p>
            <w:pPr>
              <w:spacing w:after="20"/>
            </w:pPr>
            <w:r>
              <w:rPr>
                <w:color w:val="1C3A36"/>
                <w:sz w:val="15"/>
              </w:rPr>
              <w:t>cables: 96,495.2; construct: 43,831.3; elecprod: 22,989.3</w:t>
            </w:r>
          </w:p>
        </w:tc>
        <w:tc>
          <w:tcPr>
            <w:tcW w:type="dxa" w:w="1123"/>
          </w:tcPr>
          <w:p>
            <w:pPr>
              <w:spacing w:after="20"/>
            </w:pPr>
            <w:r>
              <w:rPr>
                <w:color w:val="1C3A36"/>
                <w:sz w:val="15"/>
              </w:rPr>
              <w:t>2026-08-11</w:t>
            </w:r>
          </w:p>
        </w:tc>
        <w:tc>
          <w:tcPr>
            <w:tcW w:type="dxa" w:w="5933"/>
          </w:tcPr>
          <w:p>
            <w:pPr>
              <w:spacing w:after="20"/>
            </w:pPr>
            <w:r>
              <w:rPr>
                <w:color w:val="1C3A36"/>
                <w:sz w:val="15"/>
              </w:rPr>
              <w:t>Reviewed condensed interim consolidated financial statements for the six months ended 30 June 2026, El Sewedy Electric Company, approved for issuance by the board on 11 August 2026 (note 2-1), published on the company's own investor-relations portal at ir.elsewedyelectric.com, note 16: revenue without inter-segment sales, aggregating the inside-Egypt and outside-Egypt columns for each segment. Sums EXACTLY to the consolidated 163,315.717414</w:t>
            </w:r>
          </w:p>
        </w:tc>
      </w:tr>
      <w:tr>
        <w:tc>
          <w:tcPr>
            <w:tcW w:type="dxa" w:w="1656"/>
          </w:tcPr>
          <w:p>
            <w:pPr>
              <w:spacing w:after="20"/>
            </w:pPr>
            <w:r>
              <w:rPr>
                <w:color w:val="1C3A36"/>
                <w:sz w:val="15"/>
              </w:rPr>
              <w:t>seg profit h1 26</w:t>
            </w:r>
          </w:p>
        </w:tc>
        <w:tc>
          <w:tcPr>
            <w:tcW w:type="dxa" w:w="1368"/>
          </w:tcPr>
          <w:p>
            <w:pPr>
              <w:spacing w:after="20"/>
            </w:pPr>
            <w:r>
              <w:rPr>
                <w:color w:val="1C3A36"/>
                <w:sz w:val="15"/>
              </w:rPr>
              <w:t>cables: 12,051.3; construct: 5,081.5; elecprod: 5,725.9</w:t>
            </w:r>
          </w:p>
        </w:tc>
        <w:tc>
          <w:tcPr>
            <w:tcW w:type="dxa" w:w="1123"/>
          </w:tcPr>
          <w:p>
            <w:pPr>
              <w:spacing w:after="20"/>
            </w:pPr>
            <w:r>
              <w:rPr>
                <w:color w:val="1C3A36"/>
                <w:sz w:val="15"/>
              </w:rPr>
              <w:t>2026-08-11</w:t>
            </w:r>
          </w:p>
        </w:tc>
        <w:tc>
          <w:tcPr>
            <w:tcW w:type="dxa" w:w="5933"/>
          </w:tcPr>
          <w:p>
            <w:pPr>
              <w:spacing w:after="20"/>
            </w:pPr>
            <w:r>
              <w:rPr>
                <w:color w:val="1C3A36"/>
                <w:sz w:val="15"/>
              </w:rPr>
              <w:t>Reviewed condensed interim consolidated financial statements for the six months ended 30 June 2026, El Sewedy Electric Company, approved for issuance by the board on 11 August 2026 (note 2-1), published on the company's own investor-relations portal at ir.elsewedyelectric.com, note 16: SEGMENT PROFIT (gross profit less selling and distribution expenses), aggregating both geography columns per segment</w:t>
            </w:r>
          </w:p>
        </w:tc>
      </w:tr>
      <w:tr>
        <w:tc>
          <w:tcPr>
            <w:tcW w:type="dxa" w:w="1656"/>
          </w:tcPr>
          <w:p>
            <w:pPr>
              <w:spacing w:after="20"/>
            </w:pPr>
            <w:r>
              <w:rPr>
                <w:color w:val="1C3A36"/>
                <w:sz w:val="15"/>
              </w:rPr>
              <w:t>seg unalloc h1 26</w:t>
            </w:r>
          </w:p>
        </w:tc>
        <w:tc>
          <w:tcPr>
            <w:tcW w:type="dxa" w:w="1368"/>
          </w:tcPr>
          <w:p>
            <w:pPr>
              <w:spacing w:after="20"/>
            </w:pPr>
            <w:r>
              <w:rPr>
                <w:color w:val="1C3A36"/>
                <w:sz w:val="15"/>
              </w:rPr>
              <w:t>-121.8</w:t>
            </w:r>
          </w:p>
        </w:tc>
        <w:tc>
          <w:tcPr>
            <w:tcW w:type="dxa" w:w="1123"/>
          </w:tcPr>
          <w:p>
            <w:pPr>
              <w:spacing w:after="20"/>
            </w:pPr>
            <w:r>
              <w:rPr>
                <w:color w:val="1C3A36"/>
                <w:sz w:val="15"/>
              </w:rPr>
              <w:t>2026-08-11</w:t>
            </w:r>
          </w:p>
        </w:tc>
        <w:tc>
          <w:tcPr>
            <w:tcW w:type="dxa" w:w="5933"/>
          </w:tcPr>
          <w:p>
            <w:pPr>
              <w:spacing w:after="20"/>
            </w:pPr>
            <w:r>
              <w:rPr>
                <w:color w:val="1C3A36"/>
                <w:sz w:val="15"/>
              </w:rPr>
              <w:t>Reviewed condensed interim consolidated financial statements for the six months ended 30 June 2026, El Sewedy Electric Company, approved for issuance by the board on 11 August 2026 (note 2-1), published on the company's own investor-relations portal at ir.elsewedyelectric.com, note 16: the unallocated segment-profit columns</w:t>
            </w:r>
          </w:p>
        </w:tc>
      </w:tr>
      <w:tr>
        <w:tc>
          <w:tcPr>
            <w:tcW w:type="dxa" w:w="1656"/>
          </w:tcPr>
          <w:p>
            <w:pPr>
              <w:spacing w:after="20"/>
            </w:pPr>
            <w:r>
              <w:rPr>
                <w:color w:val="1C3A36"/>
                <w:sz w:val="15"/>
              </w:rPr>
              <w:t>seg rev h1 25</w:t>
            </w:r>
          </w:p>
        </w:tc>
        <w:tc>
          <w:tcPr>
            <w:tcW w:type="dxa" w:w="1368"/>
          </w:tcPr>
          <w:p>
            <w:pPr>
              <w:spacing w:after="20"/>
            </w:pPr>
            <w:r>
              <w:rPr>
                <w:color w:val="1C3A36"/>
                <w:sz w:val="15"/>
              </w:rPr>
              <w:t>cables: 73,904.0; construct: 34,392.8; elecprod: 15,503.8</w:t>
            </w:r>
          </w:p>
        </w:tc>
        <w:tc>
          <w:tcPr>
            <w:tcW w:type="dxa" w:w="1123"/>
          </w:tcPr>
          <w:p>
            <w:pPr>
              <w:spacing w:after="20"/>
            </w:pPr>
            <w:r>
              <w:rPr>
                <w:color w:val="1C3A36"/>
                <w:sz w:val="15"/>
              </w:rPr>
              <w:t>2026-08-11</w:t>
            </w:r>
          </w:p>
        </w:tc>
        <w:tc>
          <w:tcPr>
            <w:tcW w:type="dxa" w:w="5933"/>
          </w:tcPr>
          <w:p>
            <w:pPr>
              <w:spacing w:after="20"/>
            </w:pPr>
            <w:r>
              <w:rPr>
                <w:color w:val="1C3A36"/>
                <w:sz w:val="15"/>
              </w:rPr>
              <w:t>Reviewed condensed interim consolidated financial statements for the six months ended 30 June 2026, El Sewedy Electric Company, approved for issuance by the board on 11 August 2026 (note 2-1), published on the company's own investor-relations portal at ir.elsewedyelectric.com, note 16 H1-2025 comparative. Sums EXACTLY to 123,800.551073</w:t>
            </w:r>
          </w:p>
        </w:tc>
      </w:tr>
      <w:tr>
        <w:tc>
          <w:tcPr>
            <w:tcW w:type="dxa" w:w="1656"/>
          </w:tcPr>
          <w:p>
            <w:pPr>
              <w:spacing w:after="20"/>
            </w:pPr>
            <w:r>
              <w:rPr>
                <w:color w:val="1C3A36"/>
                <w:sz w:val="15"/>
              </w:rPr>
              <w:t>mgn fy25</w:t>
            </w:r>
          </w:p>
        </w:tc>
        <w:tc>
          <w:tcPr>
            <w:tcW w:type="dxa" w:w="1368"/>
          </w:tcPr>
          <w:p>
            <w:pPr>
              <w:spacing w:after="20"/>
            </w:pPr>
            <w:r>
              <w:rPr>
                <w:color w:val="1C3A36"/>
                <w:sz w:val="15"/>
              </w:rPr>
              <w:t>0.1218</w:t>
            </w:r>
          </w:p>
        </w:tc>
        <w:tc>
          <w:tcPr>
            <w:tcW w:type="dxa" w:w="1123"/>
          </w:tcPr>
          <w:p>
            <w:pPr>
              <w:spacing w:after="20"/>
            </w:pPr>
            <w:r>
              <w:rPr>
                <w:color w:val="1C3A36"/>
                <w:sz w:val="15"/>
              </w:rPr>
              <w:t>2025-12-31</w:t>
            </w:r>
          </w:p>
        </w:tc>
        <w:tc>
          <w:tcPr>
            <w:tcW w:type="dxa" w:w="5933"/>
          </w:tcPr>
          <w:p>
            <w:pPr>
              <w:spacing w:after="20"/>
            </w:pPr>
            <w:r>
              <w:rPr>
                <w:color w:val="1C3A36"/>
                <w:sz w:val="15"/>
              </w:rPr>
              <w:t>FY2025 group segment-profit margin, DERIVED: the three segments' note-16 profit less the disclosed unallocated item, over audited group revenue</w:t>
            </w:r>
          </w:p>
        </w:tc>
      </w:tr>
      <w:tr>
        <w:tc>
          <w:tcPr>
            <w:tcW w:type="dxa" w:w="1656"/>
          </w:tcPr>
          <w:p>
            <w:pPr>
              <w:spacing w:after="20"/>
            </w:pPr>
            <w:r>
              <w:rPr>
                <w:color w:val="1C3A36"/>
                <w:sz w:val="15"/>
              </w:rPr>
              <w:t>mgn h1 25</w:t>
            </w:r>
          </w:p>
        </w:tc>
        <w:tc>
          <w:tcPr>
            <w:tcW w:type="dxa" w:w="1368"/>
          </w:tcPr>
          <w:p>
            <w:pPr>
              <w:spacing w:after="20"/>
            </w:pPr>
            <w:r>
              <w:rPr>
                <w:color w:val="1C3A36"/>
                <w:sz w:val="15"/>
              </w:rPr>
              <w:t>0.1406</w:t>
            </w:r>
          </w:p>
        </w:tc>
        <w:tc>
          <w:tcPr>
            <w:tcW w:type="dxa" w:w="1123"/>
          </w:tcPr>
          <w:p>
            <w:pPr>
              <w:spacing w:after="20"/>
            </w:pPr>
            <w:r>
              <w:rPr>
                <w:color w:val="1C3A36"/>
                <w:sz w:val="15"/>
              </w:rPr>
              <w:t>2025-06-30</w:t>
            </w:r>
          </w:p>
        </w:tc>
        <w:tc>
          <w:tcPr>
            <w:tcW w:type="dxa" w:w="5933"/>
          </w:tcPr>
          <w:p>
            <w:pPr>
              <w:spacing w:after="20"/>
            </w:pPr>
            <w:r>
              <w:rPr>
                <w:color w:val="1C3A36"/>
                <w:sz w:val="15"/>
              </w:rPr>
              <w:t>H1-2025 group segment-profit margin, DERIVED the same way from the note-16 comparative half. It is 1.9 points ABOVE the full year, which is the whole basis of this study's refusal to anchor a full year on a half</w:t>
            </w:r>
          </w:p>
        </w:tc>
      </w:tr>
      <w:tr>
        <w:tc>
          <w:tcPr>
            <w:tcW w:type="dxa" w:w="1656"/>
          </w:tcPr>
          <w:p>
            <w:pPr>
              <w:spacing w:after="20"/>
            </w:pPr>
            <w:r>
              <w:rPr>
                <w:color w:val="1C3A36"/>
                <w:sz w:val="15"/>
              </w:rPr>
              <w:t>seg profit h1 25</w:t>
            </w:r>
          </w:p>
        </w:tc>
        <w:tc>
          <w:tcPr>
            <w:tcW w:type="dxa" w:w="1368"/>
          </w:tcPr>
          <w:p>
            <w:pPr>
              <w:spacing w:after="20"/>
            </w:pPr>
            <w:r>
              <w:rPr>
                <w:color w:val="1C3A36"/>
                <w:sz w:val="15"/>
              </w:rPr>
              <w:t>cables: 10,749.2; construct: 3,115.5; elecprod: 3,636.8</w:t>
            </w:r>
          </w:p>
        </w:tc>
        <w:tc>
          <w:tcPr>
            <w:tcW w:type="dxa" w:w="1123"/>
          </w:tcPr>
          <w:p>
            <w:pPr>
              <w:spacing w:after="20"/>
            </w:pPr>
            <w:r>
              <w:rPr>
                <w:color w:val="1C3A36"/>
                <w:sz w:val="15"/>
              </w:rPr>
              <w:t>2026-08-11</w:t>
            </w:r>
          </w:p>
        </w:tc>
        <w:tc>
          <w:tcPr>
            <w:tcW w:type="dxa" w:w="5933"/>
          </w:tcPr>
          <w:p>
            <w:pPr>
              <w:spacing w:after="20"/>
            </w:pPr>
            <w:r>
              <w:rPr>
                <w:color w:val="1C3A36"/>
                <w:sz w:val="15"/>
              </w:rPr>
              <w:t>Reviewed condensed interim consolidated financial statements for the six months ended 30 June 2026, El Sewedy Electric Company, approved for issuance by the board on 11 August 2026 (note 2-1), published on the company's own investor-relations portal at ir.elsewedyelectric.com, note 16 H1-2025 comparative, segment profit — THE HALF THIS STUDY MUST COMPARE AGAINST, because FY2025's group margin of 12.18% sits well below H1-2025's 14.06%: this company's halves are not alike and a half-against-full-year comparison is a basis error. Both figures are COMPUTED from the note-16 figures registered here and above rather than typed beside them — they were typed until 09-09-2026, and a figure in a delivered source string that the model does not produce is one prose_check cannot reconcile</w:t>
            </w:r>
          </w:p>
        </w:tc>
      </w:tr>
      <w:tr>
        <w:tc>
          <w:tcPr>
            <w:tcW w:type="dxa" w:w="1656"/>
          </w:tcPr>
          <w:p>
            <w:pPr>
              <w:spacing w:after="20"/>
            </w:pPr>
            <w:r>
              <w:rPr>
                <w:color w:val="1C3A36"/>
                <w:sz w:val="15"/>
              </w:rPr>
              <w:t>h1 26 debt</w:t>
            </w:r>
          </w:p>
        </w:tc>
        <w:tc>
          <w:tcPr>
            <w:tcW w:type="dxa" w:w="1368"/>
          </w:tcPr>
          <w:p>
            <w:pPr>
              <w:spacing w:after="20"/>
            </w:pPr>
            <w:r>
              <w:rPr>
                <w:color w:val="1C3A36"/>
                <w:sz w:val="15"/>
              </w:rPr>
              <w:t>84,005.2</w:t>
            </w:r>
          </w:p>
        </w:tc>
        <w:tc>
          <w:tcPr>
            <w:tcW w:type="dxa" w:w="1123"/>
          </w:tcPr>
          <w:p>
            <w:pPr>
              <w:spacing w:after="20"/>
            </w:pPr>
            <w:r>
              <w:rPr>
                <w:color w:val="1C3A36"/>
                <w:sz w:val="15"/>
              </w:rPr>
              <w:t>2026-08-11</w:t>
            </w:r>
          </w:p>
        </w:tc>
        <w:tc>
          <w:tcPr>
            <w:tcW w:type="dxa" w:w="5933"/>
          </w:tcPr>
          <w:p>
            <w:pPr>
              <w:spacing w:after="20"/>
            </w:pPr>
            <w:r>
              <w:rPr>
                <w:color w:val="1C3A36"/>
                <w:sz w:val="15"/>
              </w:rPr>
              <w:t>Reviewed condensed interim consolidated financial statements for the six months ended 30 June 2026, El Sewedy Electric Company, approved for issuance by the board on 11 August 2026 (note 2-1), published on the company's own investor-relations portal at ir.elsewedyelectric.com, condensed interim statement of financial position, note 31: loans and borrowings, non-current 8,072.452169 plus current 75,932.760330</w:t>
            </w:r>
          </w:p>
        </w:tc>
      </w:tr>
      <w:tr>
        <w:tc>
          <w:tcPr>
            <w:tcW w:type="dxa" w:w="1656"/>
          </w:tcPr>
          <w:p>
            <w:pPr>
              <w:spacing w:after="20"/>
            </w:pPr>
            <w:r>
              <w:rPr>
                <w:color w:val="1C3A36"/>
                <w:sz w:val="15"/>
              </w:rPr>
              <w:t>h1 26 cash</w:t>
            </w:r>
          </w:p>
        </w:tc>
        <w:tc>
          <w:tcPr>
            <w:tcW w:type="dxa" w:w="1368"/>
          </w:tcPr>
          <w:p>
            <w:pPr>
              <w:spacing w:after="20"/>
            </w:pPr>
            <w:r>
              <w:rPr>
                <w:color w:val="1C3A36"/>
                <w:sz w:val="15"/>
              </w:rPr>
              <w:t>55,376.2</w:t>
            </w:r>
          </w:p>
        </w:tc>
        <w:tc>
          <w:tcPr>
            <w:tcW w:type="dxa" w:w="1123"/>
          </w:tcPr>
          <w:p>
            <w:pPr>
              <w:spacing w:after="20"/>
            </w:pPr>
            <w:r>
              <w:rPr>
                <w:color w:val="1C3A36"/>
                <w:sz w:val="15"/>
              </w:rPr>
              <w:t>2026-08-11</w:t>
            </w:r>
          </w:p>
        </w:tc>
        <w:tc>
          <w:tcPr>
            <w:tcW w:type="dxa" w:w="5933"/>
          </w:tcPr>
          <w:p>
            <w:pPr>
              <w:spacing w:after="20"/>
            </w:pPr>
            <w:r>
              <w:rPr>
                <w:color w:val="1C3A36"/>
                <w:sz w:val="15"/>
              </w:rPr>
              <w:t>Reviewed condensed interim consolidated financial statements for the six months ended 30 June 2026, El Sewedy Electric Company, approved for issuance by the board on 11 August 2026 (note 2-1), published on the company's own investor-relations portal at ir.elsewedyelectric.com, note 28 cash and cash equivalents 52,775.664158 plus note 27 investments in debt securities at amortised cost 2,600.578354</w:t>
            </w:r>
          </w:p>
        </w:tc>
      </w:tr>
      <w:tr>
        <w:tc>
          <w:tcPr>
            <w:tcW w:type="dxa" w:w="1656"/>
          </w:tcPr>
          <w:p>
            <w:pPr>
              <w:spacing w:after="20"/>
            </w:pPr>
            <w:r>
              <w:rPr>
                <w:color w:val="1C3A36"/>
                <w:sz w:val="15"/>
              </w:rPr>
              <w:t>h1 26 investees</w:t>
            </w:r>
          </w:p>
        </w:tc>
        <w:tc>
          <w:tcPr>
            <w:tcW w:type="dxa" w:w="1368"/>
          </w:tcPr>
          <w:p>
            <w:pPr>
              <w:spacing w:after="20"/>
            </w:pPr>
            <w:r>
              <w:rPr>
                <w:color w:val="1C3A36"/>
                <w:sz w:val="15"/>
              </w:rPr>
              <w:t>7,119.6</w:t>
            </w:r>
          </w:p>
        </w:tc>
        <w:tc>
          <w:tcPr>
            <w:tcW w:type="dxa" w:w="1123"/>
          </w:tcPr>
          <w:p>
            <w:pPr>
              <w:spacing w:after="20"/>
            </w:pPr>
            <w:r>
              <w:rPr>
                <w:color w:val="1C3A36"/>
                <w:sz w:val="15"/>
              </w:rPr>
              <w:t>2026-08-11</w:t>
            </w:r>
          </w:p>
        </w:tc>
        <w:tc>
          <w:tcPr>
            <w:tcW w:type="dxa" w:w="5933"/>
          </w:tcPr>
          <w:p>
            <w:pPr>
              <w:spacing w:after="20"/>
            </w:pPr>
            <w:r>
              <w:rPr>
                <w:color w:val="1C3A36"/>
                <w:sz w:val="15"/>
              </w:rPr>
              <w:t>Reviewed condensed interim consolidated financial statements for the six months ended 30 June 2026, El Sewedy Electric Company, approved for issuance by the board on 11 August 2026 (note 2-1), published on the company's own investor-relations portal at ir.elsewedyelectric.com, note 20: equity-accounted investees at carrying value (31-Dec-2025: 6,757.650507)</w:t>
            </w:r>
          </w:p>
        </w:tc>
      </w:tr>
      <w:tr>
        <w:tc>
          <w:tcPr>
            <w:tcW w:type="dxa" w:w="1656"/>
          </w:tcPr>
          <w:p>
            <w:pPr>
              <w:spacing w:after="20"/>
            </w:pPr>
            <w:r>
              <w:rPr>
                <w:color w:val="1C3A36"/>
                <w:sz w:val="15"/>
              </w:rPr>
              <w:t>h1 26 eq parent</w:t>
            </w:r>
          </w:p>
        </w:tc>
        <w:tc>
          <w:tcPr>
            <w:tcW w:type="dxa" w:w="1368"/>
          </w:tcPr>
          <w:p>
            <w:pPr>
              <w:spacing w:after="20"/>
            </w:pPr>
            <w:r>
              <w:rPr>
                <w:color w:val="1C3A36"/>
                <w:sz w:val="15"/>
              </w:rPr>
              <w:t>70,347.3</w:t>
            </w:r>
          </w:p>
        </w:tc>
        <w:tc>
          <w:tcPr>
            <w:tcW w:type="dxa" w:w="1123"/>
          </w:tcPr>
          <w:p>
            <w:pPr>
              <w:spacing w:after="20"/>
            </w:pPr>
            <w:r>
              <w:rPr>
                <w:color w:val="1C3A36"/>
                <w:sz w:val="15"/>
              </w:rPr>
              <w:t>2026-08-11</w:t>
            </w:r>
          </w:p>
        </w:tc>
        <w:tc>
          <w:tcPr>
            <w:tcW w:type="dxa" w:w="5933"/>
          </w:tcPr>
          <w:p>
            <w:pPr>
              <w:spacing w:after="20"/>
            </w:pPr>
            <w:r>
              <w:rPr>
                <w:color w:val="1C3A36"/>
                <w:sz w:val="15"/>
              </w:rPr>
              <w:t>Reviewed condensed interim consolidated financial statements for the six months ended 30 June 2026, El Sewedy Electric Company, approved for issuance by the board on 11 August 2026 (note 2-1), published on the company's own investor-relations portal at ir.elsewedyelectric.com, equity attributable to owners of the parent company (31-Dec-2025: 66,870.866550)</w:t>
            </w:r>
          </w:p>
        </w:tc>
      </w:tr>
      <w:tr>
        <w:tc>
          <w:tcPr>
            <w:tcW w:type="dxa" w:w="1656"/>
          </w:tcPr>
          <w:p>
            <w:pPr>
              <w:spacing w:after="20"/>
            </w:pPr>
            <w:r>
              <w:rPr>
                <w:color w:val="1C3A36"/>
                <w:sz w:val="15"/>
              </w:rPr>
              <w:t>h1 26 nci eq</w:t>
            </w:r>
          </w:p>
        </w:tc>
        <w:tc>
          <w:tcPr>
            <w:tcW w:type="dxa" w:w="1368"/>
          </w:tcPr>
          <w:p>
            <w:pPr>
              <w:spacing w:after="20"/>
            </w:pPr>
            <w:r>
              <w:rPr>
                <w:color w:val="1C3A36"/>
                <w:sz w:val="15"/>
              </w:rPr>
              <w:t>5,677.3</w:t>
            </w:r>
          </w:p>
        </w:tc>
        <w:tc>
          <w:tcPr>
            <w:tcW w:type="dxa" w:w="1123"/>
          </w:tcPr>
          <w:p>
            <w:pPr>
              <w:spacing w:after="20"/>
            </w:pPr>
            <w:r>
              <w:rPr>
                <w:color w:val="1C3A36"/>
                <w:sz w:val="15"/>
              </w:rPr>
              <w:t>2026-08-11</w:t>
            </w:r>
          </w:p>
        </w:tc>
        <w:tc>
          <w:tcPr>
            <w:tcW w:type="dxa" w:w="5933"/>
          </w:tcPr>
          <w:p>
            <w:pPr>
              <w:spacing w:after="20"/>
            </w:pPr>
            <w:r>
              <w:rPr>
                <w:color w:val="1C3A36"/>
                <w:sz w:val="15"/>
              </w:rPr>
              <w:t>Reviewed condensed interim consolidated financial statements for the six months ended 30 June 2026, El Sewedy Electric Company, approved for issuance by the board on 11 August 2026 (note 2-1), published on the company's own investor-relations portal at ir.elsewedyelectric.com, non-controlling interests — 7.47% of total equity of 76,024.598402, against the 9.7% value share this study's bridge deducts and 6.81% of the half's profit. The study's figure is conservative on all three readings</w:t>
            </w:r>
          </w:p>
        </w:tc>
      </w:tr>
      <w:tr>
        <w:tc>
          <w:tcPr>
            <w:tcW w:type="dxa" w:w="1656"/>
          </w:tcPr>
          <w:p>
            <w:pPr>
              <w:spacing w:after="20"/>
            </w:pPr>
            <w:r>
              <w:rPr>
                <w:color w:val="1C3A36"/>
                <w:sz w:val="15"/>
              </w:rPr>
              <w:t>seg rev hist</w:t>
            </w:r>
          </w:p>
        </w:tc>
        <w:tc>
          <w:tcPr>
            <w:tcW w:type="dxa" w:w="1368"/>
          </w:tcPr>
          <w:p>
            <w:pPr>
              <w:spacing w:after="20"/>
            </w:pPr>
            <w:r>
              <w:rPr>
                <w:color w:val="1C3A36"/>
                <w:sz w:val="15"/>
              </w:rPr>
              <w:t>FY23: cables: 82,421.3; construct: 53,482.8; elecprod: 16,282.2; FY24: cables: 137,189.8; construct: 70,921.4; elecprod: 23,870.6; FY25: cables: 155,792.9; construct: 90,958.6; elecprod: 34,297.6</w:t>
            </w:r>
          </w:p>
        </w:tc>
        <w:tc>
          <w:tcPr>
            <w:tcW w:type="dxa" w:w="1123"/>
          </w:tcPr>
          <w:p>
            <w:pPr>
              <w:spacing w:after="20"/>
            </w:pPr>
            <w:r>
              <w:rPr>
                <w:color w:val="1C3A36"/>
                <w:sz w:val="15"/>
              </w:rPr>
              <w:t>2026-03-15</w:t>
            </w:r>
          </w:p>
        </w:tc>
        <w:tc>
          <w:tcPr>
            <w:tcW w:type="dxa" w:w="5933"/>
          </w:tcPr>
          <w:p>
            <w:pPr>
              <w:spacing w:after="20"/>
            </w:pPr>
            <w:r>
              <w:rPr>
                <w:color w:val="1C3A36"/>
                <w:sz w:val="15"/>
              </w:rPr>
              <w:t>Revenue by product/service line, Note 5-3, all three audited financial statements. Sums EXACTLY to consolidated revenue in every year (152,186.247545 / 231,981.835577 / 281,049.081719). This REPLACES a seven-way sub-segment split (cables, raw material, engineering &amp; construction, transformers, meters, other electrical products, infrastructure investment) that does not appear in any of three years of audited filings</w:t>
            </w:r>
          </w:p>
        </w:tc>
      </w:tr>
      <w:tr>
        <w:tc>
          <w:tcPr>
            <w:tcW w:type="dxa" w:w="1656"/>
          </w:tcPr>
          <w:p>
            <w:pPr>
              <w:spacing w:after="20"/>
            </w:pPr>
            <w:r>
              <w:rPr>
                <w:color w:val="1C3A36"/>
                <w:sz w:val="15"/>
              </w:rPr>
              <w:t>seg profit hist</w:t>
            </w:r>
          </w:p>
        </w:tc>
        <w:tc>
          <w:tcPr>
            <w:tcW w:type="dxa" w:w="1368"/>
          </w:tcPr>
          <w:p>
            <w:pPr>
              <w:spacing w:after="20"/>
            </w:pPr>
            <w:r>
              <w:rPr>
                <w:color w:val="1C3A36"/>
                <w:sz w:val="15"/>
              </w:rPr>
              <w:t>FY23: cables: 16,057.6; construct: 6,215.5; elecprod: 4,142.8; FY24: cables: 24,851.9; construct: 8,115.9; elecprod: 6,345.3; FY25: cables: 21,016.4; construct: 5,868.9; elecprod: 7,604.8</w:t>
            </w:r>
          </w:p>
        </w:tc>
        <w:tc>
          <w:tcPr>
            <w:tcW w:type="dxa" w:w="1123"/>
          </w:tcPr>
          <w:p>
            <w:pPr>
              <w:spacing w:after="20"/>
            </w:pPr>
            <w:r>
              <w:rPr>
                <w:color w:val="1C3A36"/>
                <w:sz w:val="15"/>
              </w:rPr>
              <w:t>2026-03-15</w:t>
            </w:r>
          </w:p>
        </w:tc>
        <w:tc>
          <w:tcPr>
            <w:tcW w:type="dxa" w:w="5933"/>
          </w:tcPr>
          <w:p>
            <w:pPr>
              <w:spacing w:after="20"/>
            </w:pPr>
            <w:r>
              <w:rPr>
                <w:color w:val="1C3A36"/>
                <w:sz w:val="15"/>
              </w:rPr>
              <w:t>Segment profit by the same three segments, Note 16 (operating segments), all three audited financial statements — the inside-Egypt and outside-Egypt columns summed. This is computed on the segment note's OWN (pre-elimination) revenue base, which is larger than the Note 5-3 external-revenue view because it includes inter-segment sales (chiefly cable output consumed by the Constructions segment on turnkey projects); FY2025 also carries a disclosed unallocated/corporate item of -246.710877 not attributed to any segment. FY2023's three segments sum to 26,415.925233 against a disclosed total of 26,406.917233 (a 9.0 EGP thousand rounding residual in the filing's own inside/outside table, immaterial); FY2024 and FY2025 tie exactly</w:t>
            </w:r>
          </w:p>
        </w:tc>
      </w:tr>
      <w:tr>
        <w:tc>
          <w:tcPr>
            <w:tcW w:type="dxa" w:w="1656"/>
          </w:tcPr>
          <w:p>
            <w:pPr>
              <w:spacing w:after="20"/>
            </w:pPr>
            <w:r>
              <w:rPr>
                <w:color w:val="1C3A36"/>
                <w:sz w:val="15"/>
              </w:rPr>
              <w:t>corp load hist</w:t>
            </w:r>
          </w:p>
        </w:tc>
        <w:tc>
          <w:tcPr>
            <w:tcW w:type="dxa" w:w="1368"/>
          </w:tcPr>
          <w:p>
            <w:pPr>
              <w:spacing w:after="20"/>
            </w:pPr>
            <w:r>
              <w:rPr>
                <w:color w:val="1C3A36"/>
                <w:sz w:val="15"/>
              </w:rPr>
              <w:t>FY23: 0.057; FY24: 0.043; FY25: 0.0316</w:t>
            </w:r>
          </w:p>
        </w:tc>
        <w:tc>
          <w:tcPr>
            <w:tcW w:type="dxa" w:w="1123"/>
          </w:tcPr>
          <w:p>
            <w:pPr>
              <w:spacing w:after="20"/>
            </w:pPr>
            <w:r>
              <w:rPr>
                <w:color w:val="1C3A36"/>
                <w:sz w:val="15"/>
              </w:rPr>
              <w:t>2026-03-15</w:t>
            </w:r>
          </w:p>
        </w:tc>
        <w:tc>
          <w:tcPr>
            <w:tcW w:type="dxa" w:w="5933"/>
          </w:tcPr>
          <w:p>
            <w:pPr>
              <w:spacing w:after="20"/>
            </w:pPr>
            <w:r>
              <w:rPr>
                <w:color w:val="1C3A36"/>
                <w:sz w:val="15"/>
              </w:rPr>
              <w:t>Net corporate cost load = (G&amp;A + net impairment on receivables + other expenses - other income) / revenue, computed from the audited income statements. This is the bridge from segment profit (Note 16) to consolidated operating profit and it reconciles EXACTLY in all three years: e.g. FY2025 segment profit 34,490.095562 less the -246.710877 unallocated/corporate item = 34,243.384685, less 3.163% x revenue 281,049.081719 = 25,354.225619 = the audited operating profit to the EGP. The load has been FALLING — operating leverage improving at the corporate level even as segment margins compressed</w:t>
            </w:r>
          </w:p>
        </w:tc>
      </w:tr>
      <w:tr>
        <w:tc>
          <w:tcPr>
            <w:tcW w:type="dxa" w:w="1656"/>
          </w:tcPr>
          <w:p>
            <w:pPr>
              <w:spacing w:after="20"/>
            </w:pPr>
            <w:r>
              <w:rPr>
                <w:color w:val="1C3A36"/>
                <w:sz w:val="15"/>
              </w:rPr>
              <w:t>seg unalloc fy25</w:t>
            </w:r>
          </w:p>
        </w:tc>
        <w:tc>
          <w:tcPr>
            <w:tcW w:type="dxa" w:w="1368"/>
          </w:tcPr>
          <w:p>
            <w:pPr>
              <w:spacing w:after="20"/>
            </w:pPr>
            <w:r>
              <w:rPr>
                <w:color w:val="1C3A36"/>
                <w:sz w:val="15"/>
              </w:rPr>
              <w:t>-246.7</w:t>
            </w:r>
          </w:p>
        </w:tc>
        <w:tc>
          <w:tcPr>
            <w:tcW w:type="dxa" w:w="1123"/>
          </w:tcPr>
          <w:p>
            <w:pPr>
              <w:spacing w:after="20"/>
            </w:pPr>
            <w:r>
              <w:rPr>
                <w:color w:val="1C3A36"/>
                <w:sz w:val="15"/>
              </w:rPr>
              <w:t>2026-03-15</w:t>
            </w:r>
          </w:p>
        </w:tc>
        <w:tc>
          <w:tcPr>
            <w:tcW w:type="dxa" w:w="5933"/>
          </w:tcPr>
          <w:p>
            <w:pPr>
              <w:spacing w:after="20"/>
            </w:pPr>
            <w:r>
              <w:rPr>
                <w:color w:val="1C3A36"/>
                <w:sz w:val="15"/>
              </w:rPr>
              <w:t>Unallocated/corporate segment item, Note 16, FY2025 audited financial statements — not attributed to any of the three segments; netted against the three segments' summed profit before the corporate-load bridge is applied. No equivalent unallocated item is disclosed for FY2023 or FY2024</w:t>
            </w:r>
          </w:p>
        </w:tc>
      </w:tr>
      <w:tr>
        <w:tc>
          <w:tcPr>
            <w:tcW w:type="dxa" w:w="1656"/>
          </w:tcPr>
          <w:p>
            <w:pPr>
              <w:spacing w:after="20"/>
            </w:pPr>
            <w:r>
              <w:rPr>
                <w:color w:val="1C3A36"/>
                <w:sz w:val="15"/>
              </w:rPr>
              <w:t>dna pct hist</w:t>
            </w:r>
          </w:p>
        </w:tc>
        <w:tc>
          <w:tcPr>
            <w:tcW w:type="dxa" w:w="1368"/>
          </w:tcPr>
          <w:p>
            <w:pPr>
              <w:spacing w:after="20"/>
            </w:pPr>
            <w:r>
              <w:rPr>
                <w:color w:val="1C3A36"/>
                <w:sz w:val="15"/>
              </w:rPr>
              <w:t>FY23: 0.0151; FY24: 0.0097; FY25: 0.0107</w:t>
            </w:r>
          </w:p>
        </w:tc>
        <w:tc>
          <w:tcPr>
            <w:tcW w:type="dxa" w:w="1123"/>
          </w:tcPr>
          <w:p>
            <w:pPr>
              <w:spacing w:after="20"/>
            </w:pPr>
            <w:r>
              <w:rPr>
                <w:color w:val="1C3A36"/>
                <w:sz w:val="15"/>
              </w:rPr>
              <w:t>2026-03-15</w:t>
            </w:r>
          </w:p>
        </w:tc>
        <w:tc>
          <w:tcPr>
            <w:tcW w:type="dxa" w:w="5933"/>
          </w:tcPr>
          <w:p>
            <w:pPr>
              <w:spacing w:after="20"/>
            </w:pPr>
            <w:r>
              <w:rPr>
                <w:color w:val="1C3A36"/>
                <w:sz w:val="15"/>
              </w:rPr>
              <w:t>Depreciation and amortisation as a share of revenue, computed from the audited cash flow statements</w:t>
            </w:r>
          </w:p>
        </w:tc>
      </w:tr>
      <w:tr>
        <w:tc>
          <w:tcPr>
            <w:tcW w:type="dxa" w:w="1656"/>
          </w:tcPr>
          <w:p>
            <w:pPr>
              <w:spacing w:after="20"/>
            </w:pPr>
            <w:r>
              <w:rPr>
                <w:color w:val="1C3A36"/>
                <w:sz w:val="15"/>
              </w:rPr>
              <w:t>capex pct hist</w:t>
            </w:r>
          </w:p>
        </w:tc>
        <w:tc>
          <w:tcPr>
            <w:tcW w:type="dxa" w:w="1368"/>
          </w:tcPr>
          <w:p>
            <w:pPr>
              <w:spacing w:after="20"/>
            </w:pPr>
            <w:r>
              <w:rPr>
                <w:color w:val="1C3A36"/>
                <w:sz w:val="15"/>
              </w:rPr>
              <w:t>FY23: 0.0312; FY24: 0.0366; FY25: 0.0466</w:t>
            </w:r>
          </w:p>
        </w:tc>
        <w:tc>
          <w:tcPr>
            <w:tcW w:type="dxa" w:w="1123"/>
          </w:tcPr>
          <w:p>
            <w:pPr>
              <w:spacing w:after="20"/>
            </w:pPr>
            <w:r>
              <w:rPr>
                <w:color w:val="1C3A36"/>
                <w:sz w:val="15"/>
              </w:rPr>
              <w:t>2026-03-15</w:t>
            </w:r>
          </w:p>
        </w:tc>
        <w:tc>
          <w:tcPr>
            <w:tcW w:type="dxa" w:w="5933"/>
          </w:tcPr>
          <w:p>
            <w:pPr>
              <w:spacing w:after="20"/>
            </w:pPr>
            <w:r>
              <w:rPr>
                <w:color w:val="1C3A36"/>
                <w:sz w:val="15"/>
              </w:rPr>
              <w:t>Capital expenditure (cash paid for PP&amp;E and projects under construction, audited cash flow statements) as a share of revenue — a clear, rising capacity-investment cycle</w:t>
            </w:r>
          </w:p>
        </w:tc>
      </w:tr>
      <w:tr>
        <w:tc>
          <w:tcPr>
            <w:tcW w:type="dxa" w:w="1656"/>
          </w:tcPr>
          <w:p>
            <w:pPr>
              <w:spacing w:after="20"/>
            </w:pPr>
            <w:r>
              <w:rPr>
                <w:color w:val="1C3A36"/>
                <w:sz w:val="15"/>
              </w:rPr>
              <w:t>nwc pct hist</w:t>
            </w:r>
          </w:p>
        </w:tc>
        <w:tc>
          <w:tcPr>
            <w:tcW w:type="dxa" w:w="1368"/>
          </w:tcPr>
          <w:p>
            <w:pPr>
              <w:spacing w:after="20"/>
            </w:pPr>
            <w:r>
              <w:rPr>
                <w:color w:val="1C3A36"/>
                <w:sz w:val="15"/>
              </w:rPr>
              <w:t>FY23: 0.2409; FY24: 0.2306; FY25: 0.1987</w:t>
            </w:r>
          </w:p>
        </w:tc>
        <w:tc>
          <w:tcPr>
            <w:tcW w:type="dxa" w:w="1123"/>
          </w:tcPr>
          <w:p>
            <w:pPr>
              <w:spacing w:after="20"/>
            </w:pPr>
            <w:r>
              <w:rPr>
                <w:color w:val="1C3A36"/>
                <w:sz w:val="15"/>
              </w:rPr>
              <w:t>2026-03-15</w:t>
            </w:r>
          </w:p>
        </w:tc>
        <w:tc>
          <w:tcPr>
            <w:tcW w:type="dxa" w:w="5933"/>
          </w:tcPr>
          <w:p>
            <w:pPr>
              <w:spacing w:after="20"/>
            </w:pPr>
            <w:r>
              <w:rPr>
                <w:color w:val="1C3A36"/>
                <w:sz w:val="15"/>
              </w:rPr>
              <w:t>Net working capital (inventories + contract assets + trade and other receivables, current, LESS trade and other payables LESS contract liabilities; industrial real-estate-development land holdings excluded as a separate quasi-investment item) as a share of revenue, computed from the audited balance sheets. FY2025 shows a genuine, disclosed IMPROVEMENT in working-capital intensity, not an assumption</w:t>
            </w:r>
          </w:p>
        </w:tc>
      </w:tr>
      <w:tr>
        <w:tc>
          <w:tcPr>
            <w:tcW w:type="dxa" w:w="1656"/>
          </w:tcPr>
          <w:p>
            <w:pPr>
              <w:spacing w:after="20"/>
            </w:pPr>
            <w:r>
              <w:rPr>
                <w:color w:val="1C3A36"/>
                <w:sz w:val="15"/>
              </w:rPr>
              <w:t>fx hist</w:t>
            </w:r>
          </w:p>
        </w:tc>
        <w:tc>
          <w:tcPr>
            <w:tcW w:type="dxa" w:w="1368"/>
          </w:tcPr>
          <w:p>
            <w:pPr>
              <w:spacing w:after="20"/>
            </w:pPr>
            <w:r>
              <w:rPr>
                <w:color w:val="1C3A36"/>
                <w:sz w:val="15"/>
              </w:rPr>
              <w:t>FY23: 30.59; FY24: 43.96; FY25: 47.69</w:t>
            </w:r>
          </w:p>
        </w:tc>
        <w:tc>
          <w:tcPr>
            <w:tcW w:type="dxa" w:w="1123"/>
          </w:tcPr>
          <w:p>
            <w:pPr>
              <w:spacing w:after="20"/>
            </w:pPr>
            <w:r>
              <w:rPr>
                <w:color w:val="1C3A36"/>
                <w:sz w:val="15"/>
              </w:rPr>
              <w:t>2026-03-15</w:t>
            </w:r>
          </w:p>
        </w:tc>
        <w:tc>
          <w:tcPr>
            <w:tcW w:type="dxa" w:w="5933"/>
          </w:tcPr>
          <w:p>
            <w:pPr>
              <w:spacing w:after="20"/>
            </w:pPr>
            <w:r>
              <w:rPr>
                <w:color w:val="1C3A36"/>
                <w:sz w:val="15"/>
              </w:rPr>
              <w:t>Annual average USD/EGP, all three DISCLOSED by the issuer rather than estimated. FY2025 47.69 and FY2024 43.96 are note 44-3 of the FY2025 audited statements, 'significant foreign currency exchange rates during the year', average-rate columns; FY2023 30.59 is the FY2023 filing's own note 44-3-1. Revisions to 08-09-2026 typed 49.5 and 45.3 as house averages while the note sat in a filing this study already reads</w:t>
            </w:r>
          </w:p>
        </w:tc>
      </w:tr>
      <w:tr>
        <w:tc>
          <w:tcPr>
            <w:tcW w:type="dxa" w:w="1656"/>
          </w:tcPr>
          <w:p>
            <w:pPr>
              <w:spacing w:after="20"/>
            </w:pPr>
            <w:r>
              <w:rPr>
                <w:color w:val="1C3A36"/>
                <w:sz w:val="15"/>
              </w:rPr>
              <w:t>cables tonnage hist</w:t>
            </w:r>
          </w:p>
        </w:tc>
        <w:tc>
          <w:tcPr>
            <w:tcW w:type="dxa" w:w="1368"/>
          </w:tcPr>
          <w:p>
            <w:pPr>
              <w:spacing w:after="20"/>
            </w:pPr>
            <w:r>
              <w:rPr>
                <w:color w:val="1C3A36"/>
                <w:sz w:val="15"/>
              </w:rPr>
              <w:t>FY22: 144,997; FY23: 156,748; FY24: 167,665; FY25: 185,449</w:t>
            </w:r>
          </w:p>
        </w:tc>
        <w:tc>
          <w:tcPr>
            <w:tcW w:type="dxa" w:w="1123"/>
          </w:tcPr>
          <w:p>
            <w:pPr>
              <w:spacing w:after="20"/>
            </w:pPr>
            <w:r>
              <w:rPr>
                <w:color w:val="1C3A36"/>
                <w:sz w:val="15"/>
              </w:rPr>
              <w:t>2026-02-15</w:t>
            </w:r>
          </w:p>
        </w:tc>
        <w:tc>
          <w:tcPr>
            <w:tcW w:type="dxa" w:w="5933"/>
          </w:tcPr>
          <w:p>
            <w:pPr>
              <w:spacing w:after="20"/>
            </w:pPr>
            <w:r>
              <w:rPr>
                <w:color w:val="1C3A36"/>
                <w:sz w:val="15"/>
              </w:rPr>
              <w:t>Cables sales volumes in tonnes, from Elsewedy Electric's own Q4 earnings releases (4Q2023, 4Q2024, 4Q2025), each printed beside its own prior-year comparative: +8.1%, +7.0%, +10.6%. A compound 8.55% a year over FY2022-25</w:t>
            </w:r>
          </w:p>
        </w:tc>
      </w:tr>
      <w:tr>
        <w:tc>
          <w:tcPr>
            <w:tcW w:type="dxa" w:w="1656"/>
          </w:tcPr>
          <w:p>
            <w:pPr>
              <w:spacing w:after="20"/>
            </w:pPr>
            <w:r>
              <w:rPr>
                <w:color w:val="1C3A36"/>
                <w:sz w:val="15"/>
              </w:rPr>
              <w:t>cables tonnage cagr</w:t>
            </w:r>
          </w:p>
        </w:tc>
        <w:tc>
          <w:tcPr>
            <w:tcW w:type="dxa" w:w="1368"/>
          </w:tcPr>
          <w:p>
            <w:pPr>
              <w:spacing w:after="20"/>
            </w:pPr>
            <w:r>
              <w:rPr>
                <w:color w:val="1C3A36"/>
                <w:sz w:val="15"/>
              </w:rPr>
              <w:t>0.0855</w:t>
            </w:r>
          </w:p>
        </w:tc>
        <w:tc>
          <w:tcPr>
            <w:tcW w:type="dxa" w:w="1123"/>
          </w:tcPr>
          <w:p>
            <w:pPr>
              <w:spacing w:after="20"/>
            </w:pPr>
            <w:r>
              <w:rPr>
                <w:color w:val="1C3A36"/>
                <w:sz w:val="15"/>
              </w:rPr>
              <w:t>2026-02-15</w:t>
            </w:r>
          </w:p>
        </w:tc>
        <w:tc>
          <w:tcPr>
            <w:tcW w:type="dxa" w:w="5933"/>
          </w:tcPr>
          <w:p>
            <w:pPr>
              <w:spacing w:after="20"/>
            </w:pPr>
            <w:r>
              <w:rPr>
                <w:color w:val="1C3A36"/>
                <w:sz w:val="15"/>
              </w:rPr>
              <w:t>Cables tonnage compound growth FY2022-25, DERIVED from the disclosed volume series: (185,449 / 144,997) ^ (1/3) - 1</w:t>
            </w:r>
          </w:p>
        </w:tc>
      </w:tr>
      <w:tr>
        <w:tc>
          <w:tcPr>
            <w:tcW w:type="dxa" w:w="1656"/>
          </w:tcPr>
          <w:p>
            <w:pPr>
              <w:spacing w:after="20"/>
            </w:pPr>
            <w:r>
              <w:rPr>
                <w:color w:val="1C3A36"/>
                <w:sz w:val="15"/>
              </w:rPr>
              <w:t>dna pct fy25</w:t>
            </w:r>
          </w:p>
        </w:tc>
        <w:tc>
          <w:tcPr>
            <w:tcW w:type="dxa" w:w="1368"/>
          </w:tcPr>
          <w:p>
            <w:pPr>
              <w:spacing w:after="20"/>
            </w:pPr>
            <w:r>
              <w:rPr>
                <w:color w:val="1C3A36"/>
                <w:sz w:val="15"/>
              </w:rPr>
              <w:t>0.0107</w:t>
            </w:r>
          </w:p>
        </w:tc>
        <w:tc>
          <w:tcPr>
            <w:tcW w:type="dxa" w:w="1123"/>
          </w:tcPr>
          <w:p>
            <w:pPr>
              <w:spacing w:after="20"/>
            </w:pPr>
            <w:r>
              <w:rPr>
                <w:color w:val="1C3A36"/>
                <w:sz w:val="15"/>
              </w:rPr>
              <w:t>2025-12-31</w:t>
            </w:r>
          </w:p>
        </w:tc>
        <w:tc>
          <w:tcPr>
            <w:tcW w:type="dxa" w:w="5933"/>
          </w:tcPr>
          <w:p>
            <w:pPr>
              <w:spacing w:after="20"/>
            </w:pPr>
            <w:r>
              <w:rPr>
                <w:color w:val="1C3A36"/>
                <w:sz w:val="15"/>
              </w:rPr>
              <w:t>FY2025 depreciation and amortisation as a share of revenue, DERIVED from the audited statements: 3,009 / 281,049</w:t>
            </w:r>
          </w:p>
        </w:tc>
      </w:tr>
      <w:tr>
        <w:tc>
          <w:tcPr>
            <w:tcW w:type="dxa" w:w="1656"/>
          </w:tcPr>
          <w:p>
            <w:pPr>
              <w:spacing w:after="20"/>
            </w:pPr>
            <w:r>
              <w:rPr>
                <w:color w:val="1C3A36"/>
                <w:sz w:val="15"/>
              </w:rPr>
              <w:t>cables tonnage h1</w:t>
            </w:r>
          </w:p>
        </w:tc>
        <w:tc>
          <w:tcPr>
            <w:tcW w:type="dxa" w:w="1368"/>
          </w:tcPr>
          <w:p>
            <w:pPr>
              <w:spacing w:after="20"/>
            </w:pPr>
            <w:r>
              <w:rPr>
                <w:color w:val="1C3A36"/>
                <w:sz w:val="15"/>
              </w:rPr>
              <w:t>H1_25: 89,636; H1_26: 99,239</w:t>
            </w:r>
          </w:p>
        </w:tc>
        <w:tc>
          <w:tcPr>
            <w:tcW w:type="dxa" w:w="1123"/>
          </w:tcPr>
          <w:p>
            <w:pPr>
              <w:spacing w:after="20"/>
            </w:pPr>
            <w:r>
              <w:rPr>
                <w:color w:val="1C3A36"/>
                <w:sz w:val="15"/>
              </w:rPr>
              <w:t>2026-08-14</w:t>
            </w:r>
          </w:p>
        </w:tc>
        <w:tc>
          <w:tcPr>
            <w:tcW w:type="dxa" w:w="5933"/>
          </w:tcPr>
          <w:p>
            <w:pPr>
              <w:spacing w:after="20"/>
            </w:pPr>
            <w:r>
              <w:rPr>
                <w:color w:val="1C3A36"/>
                <w:sz w:val="15"/>
              </w:rPr>
              <w:t>Cables sales volumes, reviewed half: 99,239 tonnes against 89,636, +10.71% — the Q2-2026 earnings release. The most recent volume disclosure, and the year is anchored on it rather than on a typed rate</w:t>
            </w:r>
          </w:p>
        </w:tc>
      </w:tr>
      <w:tr>
        <w:tc>
          <w:tcPr>
            <w:tcW w:type="dxa" w:w="1656"/>
          </w:tcPr>
          <w:p>
            <w:pPr>
              <w:spacing w:after="20"/>
            </w:pPr>
            <w:r>
              <w:rPr>
                <w:color w:val="1C3A36"/>
                <w:sz w:val="15"/>
              </w:rPr>
              <w:t>cables volume growth</w:t>
            </w:r>
          </w:p>
        </w:tc>
        <w:tc>
          <w:tcPr>
            <w:tcW w:type="dxa" w:w="1368"/>
          </w:tcPr>
          <w:p>
            <w:pPr>
              <w:spacing w:after="20"/>
            </w:pPr>
            <w:r>
              <w:rPr>
                <w:color w:val="1C3A36"/>
                <w:sz w:val="15"/>
              </w:rPr>
              <w:t>0.1071, 0.09, 0.075, 0.065, 0.055</w:t>
            </w:r>
          </w:p>
        </w:tc>
        <w:tc>
          <w:tcPr>
            <w:tcW w:type="dxa" w:w="1123"/>
          </w:tcPr>
          <w:p>
            <w:pPr>
              <w:spacing w:after="20"/>
            </w:pPr>
            <w:r>
              <w:rPr>
                <w:color w:val="1C3A36"/>
                <w:sz w:val="15"/>
              </w:rPr>
              <w:t>2026-08-14</w:t>
            </w:r>
          </w:p>
        </w:tc>
        <w:tc>
          <w:tcPr>
            <w:tcW w:type="dxa" w:w="5933"/>
          </w:tcPr>
          <w:p>
            <w:pPr>
              <w:spacing w:after="20"/>
            </w:pPr>
            <w:r>
              <w:rPr>
                <w:color w:val="1C3A36"/>
                <w:sz w:val="15"/>
              </w:rPr>
              <w:t>Cables tonnage growth, RE-ANCHORED on the reviewed half on the most recent disclosure: FY2026 is the reported +10.71%, tapering toward and below the FY2022-25 compound rate of 8.55%. The company's OWN disclosed volume series, not a residual and not a proxy</w:t>
            </w:r>
          </w:p>
        </w:tc>
      </w:tr>
      <w:tr>
        <w:tc>
          <w:tcPr>
            <w:tcW w:type="dxa" w:w="1656"/>
          </w:tcPr>
          <w:p>
            <w:pPr>
              <w:spacing w:after="20"/>
            </w:pPr>
            <w:r>
              <w:rPr>
                <w:color w:val="1C3A36"/>
                <w:sz w:val="15"/>
              </w:rPr>
              <w:t>cables passthrough alt</w:t>
            </w:r>
          </w:p>
        </w:tc>
        <w:tc>
          <w:tcPr>
            <w:tcW w:type="dxa" w:w="1368"/>
          </w:tcPr>
          <w:p>
            <w:pPr>
              <w:spacing w:after="20"/>
            </w:pPr>
            <w:r>
              <w:rPr>
                <w:color w:val="1C3A36"/>
                <w:sz w:val="15"/>
              </w:rPr>
              <w:t>0, -0.1343, -0.1343, -0.0672, 0</w:t>
            </w:r>
          </w:p>
        </w:tc>
        <w:tc>
          <w:tcPr>
            <w:tcW w:type="dxa" w:w="1123"/>
          </w:tcPr>
          <w:p>
            <w:pPr>
              <w:spacing w:after="20"/>
            </w:pPr>
            <w:r>
              <w:rPr>
                <w:color w:val="1C3A36"/>
                <w:sz w:val="15"/>
              </w:rPr>
              <w:t>2026-08-14</w:t>
            </w:r>
          </w:p>
        </w:tc>
        <w:tc>
          <w:tcPr>
            <w:tcW w:type="dxa" w:w="5933"/>
          </w:tcPr>
          <w:p>
            <w:pPr>
              <w:spacing w:after="20"/>
            </w:pPr>
            <w:r>
              <w:rPr>
                <w:color w:val="1C3A36"/>
                <w:sz w:val="15"/>
              </w:rPr>
              <w:t>THE CONTESTED ALTERNATIVE: FY2025's measured shortfall persists two more years before closing — the case that pricing power lost in a copper spike takes a cycle to recover rather than a year. Published beside the adopted case and NEVER averaged with it. A third case was tried and rejected as not serious: holding -13.43% flat for ever makes cables revenue FALL in nominal pounds from FY2028 while volume grows 5-9% a year, which is not a view anybody holds</w:t>
            </w:r>
          </w:p>
        </w:tc>
      </w:tr>
      <w:tr>
        <w:tc>
          <w:tcPr>
            <w:tcW w:type="dxa" w:w="1656"/>
          </w:tcPr>
          <w:p>
            <w:pPr>
              <w:spacing w:after="20"/>
            </w:pPr>
            <w:r>
              <w:rPr>
                <w:color w:val="1C3A36"/>
                <w:sz w:val="15"/>
              </w:rPr>
              <w:t>foreign share fy25</w:t>
            </w:r>
          </w:p>
        </w:tc>
        <w:tc>
          <w:tcPr>
            <w:tcW w:type="dxa" w:w="1368"/>
          </w:tcPr>
          <w:p>
            <w:pPr>
              <w:spacing w:after="20"/>
            </w:pPr>
            <w:r>
              <w:rPr>
                <w:color w:val="1C3A36"/>
                <w:sz w:val="15"/>
              </w:rPr>
              <w:t>0.7</w:t>
            </w:r>
          </w:p>
        </w:tc>
        <w:tc>
          <w:tcPr>
            <w:tcW w:type="dxa" w:w="1123"/>
          </w:tcPr>
          <w:p>
            <w:pPr>
              <w:spacing w:after="20"/>
            </w:pPr>
            <w:r>
              <w:rPr>
                <w:color w:val="1C3A36"/>
                <w:sz w:val="15"/>
              </w:rPr>
              <w:t>2026-03-15</w:t>
            </w:r>
          </w:p>
        </w:tc>
        <w:tc>
          <w:tcPr>
            <w:tcW w:type="dxa" w:w="5933"/>
          </w:tcPr>
          <w:p>
            <w:pPr>
              <w:spacing w:after="20"/>
            </w:pPr>
            <w:r>
              <w:rPr>
                <w:color w:val="1C3A36"/>
                <w:sz w:val="15"/>
              </w:rPr>
              <w:t>'Over 70% of revenues generated abroad' (company commentary); the audited Note 5-2 geographic split gives Outside Egypt 40.7% of FY2025 revenue (114,461.030 / 281,049.082) — geography and hard-currency pricing are different questions, addressed explicitly below</w:t>
            </w:r>
          </w:p>
        </w:tc>
      </w:tr>
      <w:tr>
        <w:tc>
          <w:tcPr>
            <w:tcW w:type="dxa" w:w="1656"/>
          </w:tcPr>
          <w:p>
            <w:pPr>
              <w:spacing w:after="20"/>
            </w:pPr>
            <w:r>
              <w:rPr>
                <w:color w:val="1C3A36"/>
                <w:sz w:val="15"/>
              </w:rPr>
              <w:t>seg export share q2 26</w:t>
            </w:r>
          </w:p>
        </w:tc>
        <w:tc>
          <w:tcPr>
            <w:tcW w:type="dxa" w:w="1368"/>
          </w:tcPr>
          <w:p>
            <w:pPr>
              <w:spacing w:after="20"/>
            </w:pPr>
            <w:r>
              <w:rPr>
                <w:color w:val="1C3A36"/>
                <w:sz w:val="15"/>
              </w:rPr>
              <w:t>group: 0.79; cables: 0.84; ec: 0.67</w:t>
            </w:r>
          </w:p>
        </w:tc>
        <w:tc>
          <w:tcPr>
            <w:tcW w:type="dxa" w:w="1123"/>
          </w:tcPr>
          <w:p>
            <w:pPr>
              <w:spacing w:after="20"/>
            </w:pPr>
            <w:r>
              <w:rPr>
                <w:color w:val="1C3A36"/>
                <w:sz w:val="15"/>
              </w:rPr>
              <w:t>2026-08-12</w:t>
            </w:r>
          </w:p>
        </w:tc>
        <w:tc>
          <w:tcPr>
            <w:tcW w:type="dxa" w:w="5933"/>
          </w:tcPr>
          <w:p>
            <w:pPr>
              <w:spacing w:after="20"/>
            </w:pPr>
            <w:r>
              <w:rPr>
                <w:color w:val="1C3A36"/>
                <w:sz w:val="15"/>
              </w:rPr>
              <w:t>Share of sales generated OUTSIDE EGYPT AND FROM EXPORTS, the company's own Q2-2026 presentation: group 79%, wires and cables 84%, engineering and construction 67%. Q1-2026 gave group 70%, cables 75%, E&amp;C 58% -- a 9-point sequential rise in each. REGISTERED, NOT SUBSTITUTED, and the reason matters: this measure ADDS exports out of Egypt to sales booked abroad, so it is neither the audited geographic split (40.7%, which is where the customer sits and is the right basis for country risk, because an Egyptian factory exporting to Saudi Arabia is still an Egyptian asset under an Egyptian sovereign) nor the hard-currency-pricing share the model derives (51%). It is an UPPER BOUND on the second: an export is usually invoiced in hard currency, a project executed abroad for a local utility often is not. The house export-intensity weights below (cables 65%, constructions 30%) sit well under the company's own 84% and 67%, and now that the company publishes them the study can say how conservative they are instead of asserting it</w:t>
            </w:r>
          </w:p>
        </w:tc>
      </w:tr>
      <w:tr>
        <w:tc>
          <w:tcPr>
            <w:tcW w:type="dxa" w:w="1656"/>
          </w:tcPr>
          <w:p>
            <w:pPr>
              <w:spacing w:after="20"/>
            </w:pPr>
            <w:r>
              <w:rPr>
                <w:color w:val="1C3A36"/>
                <w:sz w:val="15"/>
              </w:rPr>
              <w:t>fgn egp share fy25</w:t>
            </w:r>
          </w:p>
        </w:tc>
        <w:tc>
          <w:tcPr>
            <w:tcW w:type="dxa" w:w="1368"/>
          </w:tcPr>
          <w:p>
            <w:pPr>
              <w:spacing w:after="20"/>
            </w:pPr>
            <w:r>
              <w:rPr>
                <w:color w:val="1C3A36"/>
                <w:sz w:val="15"/>
              </w:rPr>
              <w:t>0.407</w:t>
            </w:r>
          </w:p>
        </w:tc>
        <w:tc>
          <w:tcPr>
            <w:tcW w:type="dxa" w:w="1123"/>
          </w:tcPr>
          <w:p>
            <w:pPr>
              <w:spacing w:after="20"/>
            </w:pPr>
            <w:r>
              <w:rPr>
                <w:color w:val="1C3A36"/>
                <w:sz w:val="15"/>
              </w:rPr>
              <w:t>2026-03-15</w:t>
            </w:r>
          </w:p>
        </w:tc>
        <w:tc>
          <w:tcPr>
            <w:tcW w:type="dxa" w:w="5933"/>
          </w:tcPr>
          <w:p>
            <w:pPr>
              <w:spacing w:after="20"/>
            </w:pPr>
            <w:r>
              <w:rPr>
                <w:color w:val="1C3A36"/>
                <w:sz w:val="15"/>
              </w:rPr>
              <w:t>Revenue earned OUTSIDE Egypt, FY2025, Note 5-2 (geographic disaggregation): 114,461.030219 / 281,049.081719 = 40.72%. This is the audited geographic split; the HARD-CURRENCY-LINKED share used in the currency-of-discounting alternative is derived separately below from the Cables segment's copper linkage, since a project executed abroad for a local utility is foreign revenue but not necessarily dollar-priced</w:t>
            </w:r>
          </w:p>
        </w:tc>
      </w:tr>
      <w:tr>
        <w:tc>
          <w:tcPr>
            <w:tcW w:type="dxa" w:w="1656"/>
          </w:tcPr>
          <w:p>
            <w:pPr>
              <w:spacing w:after="20"/>
            </w:pPr>
            <w:r>
              <w:rPr>
                <w:color w:val="1C3A36"/>
                <w:sz w:val="15"/>
              </w:rPr>
              <w:t>capex h1 26</w:t>
            </w:r>
          </w:p>
        </w:tc>
        <w:tc>
          <w:tcPr>
            <w:tcW w:type="dxa" w:w="1368"/>
          </w:tcPr>
          <w:p>
            <w:pPr>
              <w:spacing w:after="20"/>
            </w:pPr>
            <w:r>
              <w:rPr>
                <w:color w:val="1C3A36"/>
                <w:sz w:val="15"/>
              </w:rPr>
              <w:t>5,435.9</w:t>
            </w:r>
          </w:p>
        </w:tc>
        <w:tc>
          <w:tcPr>
            <w:tcW w:type="dxa" w:w="1123"/>
          </w:tcPr>
          <w:p>
            <w:pPr>
              <w:spacing w:after="20"/>
            </w:pPr>
            <w:r>
              <w:rPr>
                <w:color w:val="1C3A36"/>
                <w:sz w:val="15"/>
              </w:rPr>
              <w:t>2026-06-30</w:t>
            </w:r>
          </w:p>
        </w:tc>
        <w:tc>
          <w:tcPr>
            <w:tcW w:type="dxa" w:w="5933"/>
          </w:tcPr>
          <w:p>
            <w:pPr>
              <w:spacing w:after="20"/>
            </w:pPr>
            <w:r>
              <w:rPr>
                <w:color w:val="1C3A36"/>
                <w:sz w:val="15"/>
              </w:rPr>
              <w:t>Reviewed condensed interim consolidated financial statements for the six months ended 30 June 2026, El Sewedy Electric Company, approved for issuance by the board on 11 August 2026 (note 2-1), published on the company's own investor-relations portal at ir.elsewedyelectric.com, condensed interim consolidated statement of cash flows: 'Paid for acquisition of property, plant and equipment and projects under construction'</w:t>
            </w:r>
          </w:p>
        </w:tc>
      </w:tr>
      <w:tr>
        <w:tc>
          <w:tcPr>
            <w:tcW w:type="dxa" w:w="1656"/>
          </w:tcPr>
          <w:p>
            <w:pPr>
              <w:spacing w:after="20"/>
            </w:pPr>
            <w:r>
              <w:rPr>
                <w:color w:val="1C3A36"/>
                <w:sz w:val="15"/>
              </w:rPr>
              <w:t>capex h1 25</w:t>
            </w:r>
          </w:p>
        </w:tc>
        <w:tc>
          <w:tcPr>
            <w:tcW w:type="dxa" w:w="1368"/>
          </w:tcPr>
          <w:p>
            <w:pPr>
              <w:spacing w:after="20"/>
            </w:pPr>
            <w:r>
              <w:rPr>
                <w:color w:val="1C3A36"/>
                <w:sz w:val="15"/>
              </w:rPr>
              <w:t>5,386.8</w:t>
            </w:r>
          </w:p>
        </w:tc>
        <w:tc>
          <w:tcPr>
            <w:tcW w:type="dxa" w:w="1123"/>
          </w:tcPr>
          <w:p>
            <w:pPr>
              <w:spacing w:after="20"/>
            </w:pPr>
            <w:r>
              <w:rPr>
                <w:color w:val="1C3A36"/>
                <w:sz w:val="15"/>
              </w:rPr>
              <w:t>2025-06-30</w:t>
            </w:r>
          </w:p>
        </w:tc>
        <w:tc>
          <w:tcPr>
            <w:tcW w:type="dxa" w:w="5933"/>
          </w:tcPr>
          <w:p>
            <w:pPr>
              <w:spacing w:after="20"/>
            </w:pPr>
            <w:r>
              <w:rPr>
                <w:color w:val="1C3A36"/>
                <w:sz w:val="15"/>
              </w:rPr>
              <w:t>Reviewed condensed interim consolidated financial statements for the six months ended 30 June 2026, El Sewedy Electric Company, approved for issuance by the board on 11 August 2026 (note 2-1), published on the company's own investor-relations portal at ir.elsewedyelectric.com, same line, comparative column — and independently in the reviewed interim statements for the six months ended 30 June 2025, where it is the current-period figure. Two readings of one fact agreeing</w:t>
            </w:r>
          </w:p>
        </w:tc>
      </w:tr>
      <w:tr>
        <w:tc>
          <w:tcPr>
            <w:tcW w:type="dxa" w:w="1656"/>
          </w:tcPr>
          <w:p>
            <w:pPr>
              <w:spacing w:after="20"/>
            </w:pPr>
            <w:r>
              <w:rPr>
                <w:color w:val="1C3A36"/>
                <w:sz w:val="15"/>
              </w:rPr>
              <w:t>capex h1 24</w:t>
            </w:r>
          </w:p>
        </w:tc>
        <w:tc>
          <w:tcPr>
            <w:tcW w:type="dxa" w:w="1368"/>
          </w:tcPr>
          <w:p>
            <w:pPr>
              <w:spacing w:after="20"/>
            </w:pPr>
            <w:r>
              <w:rPr>
                <w:color w:val="1C3A36"/>
                <w:sz w:val="15"/>
              </w:rPr>
              <w:t>4,595.5</w:t>
            </w:r>
          </w:p>
        </w:tc>
        <w:tc>
          <w:tcPr>
            <w:tcW w:type="dxa" w:w="1123"/>
          </w:tcPr>
          <w:p>
            <w:pPr>
              <w:spacing w:after="20"/>
            </w:pPr>
            <w:r>
              <w:rPr>
                <w:color w:val="1C3A36"/>
                <w:sz w:val="15"/>
              </w:rPr>
              <w:t>2024-06-30</w:t>
            </w:r>
          </w:p>
        </w:tc>
        <w:tc>
          <w:tcPr>
            <w:tcW w:type="dxa" w:w="5933"/>
          </w:tcPr>
          <w:p>
            <w:pPr>
              <w:spacing w:after="20"/>
            </w:pPr>
            <w:r>
              <w:rPr>
                <w:color w:val="1C3A36"/>
                <w:sz w:val="15"/>
              </w:rPr>
              <w:t>Reviewed condensed interim consolidated financial statements for the six months ended 30 June 2024, statement of cash flows, same line</w:t>
            </w:r>
          </w:p>
        </w:tc>
      </w:tr>
      <w:tr>
        <w:tc>
          <w:tcPr>
            <w:tcW w:type="dxa" w:w="1656"/>
          </w:tcPr>
          <w:p>
            <w:pPr>
              <w:spacing w:after="20"/>
            </w:pPr>
            <w:r>
              <w:rPr>
                <w:color w:val="1C3A36"/>
                <w:sz w:val="15"/>
              </w:rPr>
              <w:t>capex h1 23</w:t>
            </w:r>
          </w:p>
        </w:tc>
        <w:tc>
          <w:tcPr>
            <w:tcW w:type="dxa" w:w="1368"/>
          </w:tcPr>
          <w:p>
            <w:pPr>
              <w:spacing w:after="20"/>
            </w:pPr>
            <w:r>
              <w:rPr>
                <w:color w:val="1C3A36"/>
                <w:sz w:val="15"/>
              </w:rPr>
              <w:t>1,858.4</w:t>
            </w:r>
          </w:p>
        </w:tc>
        <w:tc>
          <w:tcPr>
            <w:tcW w:type="dxa" w:w="1123"/>
          </w:tcPr>
          <w:p>
            <w:pPr>
              <w:spacing w:after="20"/>
            </w:pPr>
            <w:r>
              <w:rPr>
                <w:color w:val="1C3A36"/>
                <w:sz w:val="15"/>
              </w:rPr>
              <w:t>2023-06-30</w:t>
            </w:r>
          </w:p>
        </w:tc>
        <w:tc>
          <w:tcPr>
            <w:tcW w:type="dxa" w:w="5933"/>
          </w:tcPr>
          <w:p>
            <w:pPr>
              <w:spacing w:after="20"/>
            </w:pPr>
            <w:r>
              <w:rPr>
                <w:color w:val="1C3A36"/>
                <w:sz w:val="15"/>
              </w:rPr>
              <w:t>Reviewed condensed interim consolidated financial statements for the six months ended 30 June 2024, same line, comparative column</w:t>
            </w:r>
          </w:p>
        </w:tc>
      </w:tr>
      <w:tr>
        <w:tc>
          <w:tcPr>
            <w:tcW w:type="dxa" w:w="1656"/>
          </w:tcPr>
          <w:p>
            <w:pPr>
              <w:spacing w:after="20"/>
            </w:pPr>
            <w:r>
              <w:rPr>
                <w:color w:val="1C3A36"/>
                <w:sz w:val="15"/>
              </w:rPr>
              <w:t>lambda country</w:t>
            </w:r>
          </w:p>
        </w:tc>
        <w:tc>
          <w:tcPr>
            <w:tcW w:type="dxa" w:w="1368"/>
          </w:tcPr>
          <w:p>
            <w:pPr>
              <w:spacing w:after="20"/>
            </w:pPr>
            <w:r>
              <w:rPr>
                <w:color w:val="1C3A36"/>
                <w:sz w:val="15"/>
              </w:rPr>
              <w:t>0.5928</w:t>
            </w:r>
          </w:p>
        </w:tc>
        <w:tc>
          <w:tcPr>
            <w:tcW w:type="dxa" w:w="1123"/>
          </w:tcPr>
          <w:p>
            <w:pPr>
              <w:spacing w:after="20"/>
            </w:pPr>
            <w:r>
              <w:rPr>
                <w:color w:val="1C3A36"/>
                <w:sz w:val="15"/>
              </w:rPr>
              <w:t>2026-03-15</w:t>
            </w:r>
          </w:p>
        </w:tc>
        <w:tc>
          <w:tcPr>
            <w:tcW w:type="dxa" w:w="5933"/>
          </w:tcPr>
          <w:p>
            <w:pPr>
              <w:spacing w:after="20"/>
            </w:pPr>
            <w:r>
              <w:rPr>
                <w:color w:val="1C3A36"/>
                <w:sz w:val="15"/>
              </w:rPr>
              <w:t>Damodaran's lambda: the share of operations exposed to the HOME sovereign, taken from the audited Note 5-2 geographic disaggregation — revenue outside Egypt 114,461.030219 / 281,049.081719 = 40.72%, so 59.28% sits in Egypt. A typical Egyptian listed company earns essentially all of its revenue at home, so the ratio Damodaran defines collapses to the domestic share itself. NOT the 30/70 the retired operations-weighted premium used: that number came from company commentary ('over 70% of revenues generated abroad'), the audited note says 40.72%, and a study may not hold two answers to one question</w:t>
            </w:r>
          </w:p>
        </w:tc>
      </w:tr>
      <w:tr>
        <w:tc>
          <w:tcPr>
            <w:tcW w:type="dxa" w:w="1656"/>
          </w:tcPr>
          <w:p>
            <w:pPr>
              <w:spacing w:after="20"/>
            </w:pPr>
            <w:r>
              <w:rPr>
                <w:color w:val="1C3A36"/>
                <w:sz w:val="15"/>
              </w:rPr>
              <w:t>kd egp note</w:t>
            </w:r>
          </w:p>
        </w:tc>
        <w:tc>
          <w:tcPr>
            <w:tcW w:type="dxa" w:w="1368"/>
          </w:tcPr>
          <w:p>
            <w:pPr>
              <w:spacing w:after="20"/>
            </w:pPr>
            <w:r>
              <w:rPr>
                <w:color w:val="1C3A36"/>
                <w:sz w:val="15"/>
              </w:rPr>
              <w:t>0.213</w:t>
            </w:r>
          </w:p>
        </w:tc>
        <w:tc>
          <w:tcPr>
            <w:tcW w:type="dxa" w:w="1123"/>
          </w:tcPr>
          <w:p>
            <w:pPr>
              <w:spacing w:after="20"/>
            </w:pPr>
            <w:r>
              <w:rPr>
                <w:color w:val="1C3A36"/>
                <w:sz w:val="15"/>
              </w:rPr>
              <w:t>2026-03-15</w:t>
            </w:r>
          </w:p>
        </w:tc>
        <w:tc>
          <w:tcPr>
            <w:tcW w:type="dxa" w:w="5933"/>
          </w:tcPr>
          <w:p>
            <w:pPr>
              <w:spacing w:after="20"/>
            </w:pPr>
            <w:r>
              <w:rPr>
                <w:color w:val="1C3A36"/>
                <w:sz w:val="15"/>
              </w:rPr>
              <w:t>Average interest rate on Egyptian-pound financial liabilities, audited FY2025 Note 32 (loans and borrowings) and Note 43-3-2 (interest-rate risk) — both give 21.30%/21.3%. DOWN from 28.68% at FY2024-end and further to 20.32% at Q1-2026</w:t>
            </w:r>
          </w:p>
        </w:tc>
      </w:tr>
      <w:tr>
        <w:tc>
          <w:tcPr>
            <w:tcW w:type="dxa" w:w="1656"/>
          </w:tcPr>
          <w:p>
            <w:pPr>
              <w:spacing w:after="20"/>
            </w:pPr>
            <w:r>
              <w:rPr>
                <w:color w:val="1C3A36"/>
                <w:sz w:val="15"/>
              </w:rPr>
              <w:t>kd fy24 egp</w:t>
            </w:r>
          </w:p>
        </w:tc>
        <w:tc>
          <w:tcPr>
            <w:tcW w:type="dxa" w:w="1368"/>
          </w:tcPr>
          <w:p>
            <w:pPr>
              <w:spacing w:after="20"/>
            </w:pPr>
            <w:r>
              <w:rPr>
                <w:color w:val="1C3A36"/>
                <w:sz w:val="15"/>
              </w:rPr>
              <w:t>0.2868</w:t>
            </w:r>
          </w:p>
        </w:tc>
        <w:tc>
          <w:tcPr>
            <w:tcW w:type="dxa" w:w="1123"/>
          </w:tcPr>
          <w:p>
            <w:pPr>
              <w:spacing w:after="20"/>
            </w:pPr>
            <w:r>
              <w:rPr>
                <w:color w:val="1C3A36"/>
                <w:sz w:val="15"/>
              </w:rPr>
              <w:t>2024-12-31</w:t>
            </w:r>
          </w:p>
        </w:tc>
        <w:tc>
          <w:tcPr>
            <w:tcW w:type="dxa" w:w="5933"/>
          </w:tcPr>
          <w:p>
            <w:pPr>
              <w:spacing w:after="20"/>
            </w:pPr>
            <w:r>
              <w:rPr>
                <w:color w:val="1C3A36"/>
                <w:sz w:val="15"/>
              </w:rPr>
              <w:t>Audited consolidated financial statements of El Sewedy Electric Company for the financial year ended 31 December 2025, published on the company's own investor-relations portal at ir.elsewedyelectric.com, note 43-3-2 comparative — average interest rate on EGYPTIAN POUND financial liabilities, FY2024, under the three-way split the company published before FY2025</w:t>
            </w:r>
          </w:p>
        </w:tc>
      </w:tr>
      <w:tr>
        <w:tc>
          <w:tcPr>
            <w:tcW w:type="dxa" w:w="1656"/>
          </w:tcPr>
          <w:p>
            <w:pPr>
              <w:spacing w:after="20"/>
            </w:pPr>
            <w:r>
              <w:rPr>
                <w:color w:val="1C3A36"/>
                <w:sz w:val="15"/>
              </w:rPr>
              <w:t>kd fy24 usd</w:t>
            </w:r>
          </w:p>
        </w:tc>
        <w:tc>
          <w:tcPr>
            <w:tcW w:type="dxa" w:w="1368"/>
          </w:tcPr>
          <w:p>
            <w:pPr>
              <w:spacing w:after="20"/>
            </w:pPr>
            <w:r>
              <w:rPr>
                <w:color w:val="1C3A36"/>
                <w:sz w:val="15"/>
              </w:rPr>
              <w:t>0.0649</w:t>
            </w:r>
          </w:p>
        </w:tc>
        <w:tc>
          <w:tcPr>
            <w:tcW w:type="dxa" w:w="1123"/>
          </w:tcPr>
          <w:p>
            <w:pPr>
              <w:spacing w:after="20"/>
            </w:pPr>
            <w:r>
              <w:rPr>
                <w:color w:val="1C3A36"/>
                <w:sz w:val="15"/>
              </w:rPr>
              <w:t>2024-12-31</w:t>
            </w:r>
          </w:p>
        </w:tc>
        <w:tc>
          <w:tcPr>
            <w:tcW w:type="dxa" w:w="5933"/>
          </w:tcPr>
          <w:p>
            <w:pPr>
              <w:spacing w:after="20"/>
            </w:pPr>
            <w:r>
              <w:rPr>
                <w:color w:val="1C3A36"/>
                <w:sz w:val="15"/>
              </w:rPr>
              <w:t>Audited consolidated financial statements of El Sewedy Electric Company for the financial year ended 31 December 2025, published on the company's own investor-relations portal at ir.elsewedyelectric.com, note 43-3-2 comparative — US DOLLAR leg of the same superseded three-way split</w:t>
            </w:r>
          </w:p>
        </w:tc>
      </w:tr>
      <w:tr>
        <w:tc>
          <w:tcPr>
            <w:tcW w:type="dxa" w:w="1656"/>
          </w:tcPr>
          <w:p>
            <w:pPr>
              <w:spacing w:after="20"/>
            </w:pPr>
            <w:r>
              <w:rPr>
                <w:color w:val="1C3A36"/>
                <w:sz w:val="15"/>
              </w:rPr>
              <w:t>kd fy24 eur</w:t>
            </w:r>
          </w:p>
        </w:tc>
        <w:tc>
          <w:tcPr>
            <w:tcW w:type="dxa" w:w="1368"/>
          </w:tcPr>
          <w:p>
            <w:pPr>
              <w:spacing w:after="20"/>
            </w:pPr>
            <w:r>
              <w:rPr>
                <w:color w:val="1C3A36"/>
                <w:sz w:val="15"/>
              </w:rPr>
              <w:t>0.0392</w:t>
            </w:r>
          </w:p>
        </w:tc>
        <w:tc>
          <w:tcPr>
            <w:tcW w:type="dxa" w:w="1123"/>
          </w:tcPr>
          <w:p>
            <w:pPr>
              <w:spacing w:after="20"/>
            </w:pPr>
            <w:r>
              <w:rPr>
                <w:color w:val="1C3A36"/>
                <w:sz w:val="15"/>
              </w:rPr>
              <w:t>2024-12-31</w:t>
            </w:r>
          </w:p>
        </w:tc>
        <w:tc>
          <w:tcPr>
            <w:tcW w:type="dxa" w:w="5933"/>
          </w:tcPr>
          <w:p>
            <w:pPr>
              <w:spacing w:after="20"/>
            </w:pPr>
            <w:r>
              <w:rPr>
                <w:color w:val="1C3A36"/>
                <w:sz w:val="15"/>
              </w:rPr>
              <w:t>Audited consolidated financial statements of El Sewedy Electric Company for the financial year ended 31 December 2025, published on the company's own investor-relations portal at ir.elsewedyelectric.com, note 43-3-2 comparative — EURO leg of the same superseded three-way split</w:t>
            </w:r>
          </w:p>
        </w:tc>
      </w:tr>
      <w:tr>
        <w:tc>
          <w:tcPr>
            <w:tcW w:type="dxa" w:w="1656"/>
          </w:tcPr>
          <w:p>
            <w:pPr>
              <w:spacing w:after="20"/>
            </w:pPr>
            <w:r>
              <w:rPr>
                <w:color w:val="1C3A36"/>
                <w:sz w:val="15"/>
              </w:rPr>
              <w:t>kd hard note</w:t>
            </w:r>
          </w:p>
        </w:tc>
        <w:tc>
          <w:tcPr>
            <w:tcW w:type="dxa" w:w="1368"/>
          </w:tcPr>
          <w:p>
            <w:pPr>
              <w:spacing w:after="20"/>
            </w:pPr>
            <w:r>
              <w:rPr>
                <w:color w:val="1C3A36"/>
                <w:sz w:val="15"/>
              </w:rPr>
              <w:t>0.0529</w:t>
            </w:r>
          </w:p>
        </w:tc>
        <w:tc>
          <w:tcPr>
            <w:tcW w:type="dxa" w:w="1123"/>
          </w:tcPr>
          <w:p>
            <w:pPr>
              <w:spacing w:after="20"/>
            </w:pPr>
            <w:r>
              <w:rPr>
                <w:color w:val="1C3A36"/>
                <w:sz w:val="15"/>
              </w:rPr>
              <w:t>2026-03-15</w:t>
            </w:r>
          </w:p>
        </w:tc>
        <w:tc>
          <w:tcPr>
            <w:tcW w:type="dxa" w:w="5933"/>
          </w:tcPr>
          <w:p>
            <w:pPr>
              <w:spacing w:after="20"/>
            </w:pPr>
            <w:r>
              <w:rPr>
                <w:color w:val="1C3A36"/>
                <w:sz w:val="15"/>
              </w:rPr>
              <w:t>Average interest rate on US-dollar and other foreign-currency financial liabilities, blended, audited FY2025 Note 32 and Note 43-3-2. The company simplified its disclosure from a three-way EGP/USD/EUR split (FY2024: 28.68% / 6.49% / 3.92%) to this two-way EGP/blended-foreign split from FY2025 onward; the model follows the company's own current convention rather than preserving a split it no longer publishes</w:t>
            </w:r>
          </w:p>
        </w:tc>
      </w:tr>
      <w:tr>
        <w:tc>
          <w:tcPr>
            <w:tcW w:type="dxa" w:w="1656"/>
          </w:tcPr>
          <w:p>
            <w:pPr>
              <w:spacing w:after="20"/>
            </w:pPr>
            <w:r>
              <w:rPr>
                <w:color w:val="1C3A36"/>
                <w:sz w:val="15"/>
              </w:rPr>
              <w:t>debt open fy25</w:t>
            </w:r>
          </w:p>
        </w:tc>
        <w:tc>
          <w:tcPr>
            <w:tcW w:type="dxa" w:w="1368"/>
          </w:tcPr>
          <w:p>
            <w:pPr>
              <w:spacing w:after="20"/>
            </w:pPr>
            <w:r>
              <w:rPr>
                <w:color w:val="1C3A36"/>
                <w:sz w:val="15"/>
              </w:rPr>
              <w:t>58,796.8</w:t>
            </w:r>
          </w:p>
        </w:tc>
        <w:tc>
          <w:tcPr>
            <w:tcW w:type="dxa" w:w="1123"/>
          </w:tcPr>
          <w:p>
            <w:pPr>
              <w:spacing w:after="20"/>
            </w:pPr>
            <w:r>
              <w:rPr>
                <w:color w:val="1C3A36"/>
                <w:sz w:val="15"/>
              </w:rPr>
              <w:t>2026-03-15</w:t>
            </w:r>
          </w:p>
        </w:tc>
        <w:tc>
          <w:tcPr>
            <w:tcW w:type="dxa" w:w="5933"/>
          </w:tcPr>
          <w:p>
            <w:pPr>
              <w:spacing w:after="20"/>
            </w:pPr>
            <w:r>
              <w:rPr>
                <w:color w:val="1C3A36"/>
                <w:sz w:val="15"/>
              </w:rPr>
              <w:t>Loans and credit facilities (excluding lease liabilities) at 1 January 2025, financing-liability movement reconciliation, audited FY2025 Note 32</w:t>
            </w:r>
          </w:p>
        </w:tc>
      </w:tr>
      <w:tr>
        <w:tc>
          <w:tcPr>
            <w:tcW w:type="dxa" w:w="1656"/>
          </w:tcPr>
          <w:p>
            <w:pPr>
              <w:spacing w:after="20"/>
            </w:pPr>
            <w:r>
              <w:rPr>
                <w:color w:val="1C3A36"/>
                <w:sz w:val="15"/>
              </w:rPr>
              <w:t>debt close fy25</w:t>
            </w:r>
          </w:p>
        </w:tc>
        <w:tc>
          <w:tcPr>
            <w:tcW w:type="dxa" w:w="1368"/>
          </w:tcPr>
          <w:p>
            <w:pPr>
              <w:spacing w:after="20"/>
            </w:pPr>
            <w:r>
              <w:rPr>
                <w:color w:val="1C3A36"/>
                <w:sz w:val="15"/>
              </w:rPr>
              <w:t>62,462.1</w:t>
            </w:r>
          </w:p>
        </w:tc>
        <w:tc>
          <w:tcPr>
            <w:tcW w:type="dxa" w:w="1123"/>
          </w:tcPr>
          <w:p>
            <w:pPr>
              <w:spacing w:after="20"/>
            </w:pPr>
            <w:r>
              <w:rPr>
                <w:color w:val="1C3A36"/>
                <w:sz w:val="15"/>
              </w:rPr>
              <w:t>2026-03-15</w:t>
            </w:r>
          </w:p>
        </w:tc>
        <w:tc>
          <w:tcPr>
            <w:tcW w:type="dxa" w:w="5933"/>
          </w:tcPr>
          <w:p>
            <w:pPr>
              <w:spacing w:after="20"/>
            </w:pPr>
            <w:r>
              <w:rPr>
                <w:color w:val="1C3A36"/>
                <w:sz w:val="15"/>
              </w:rPr>
              <w:t>Loans and credit facilities (excluding lease liabilities) at 31 December 2025, financing-liability movement reconciliation, audited FY2025 Note 32</w:t>
            </w:r>
          </w:p>
        </w:tc>
      </w:tr>
      <w:tr>
        <w:tc>
          <w:tcPr>
            <w:tcW w:type="dxa" w:w="1656"/>
          </w:tcPr>
          <w:p>
            <w:pPr>
              <w:spacing w:after="20"/>
            </w:pPr>
            <w:r>
              <w:rPr>
                <w:color w:val="1C3A36"/>
                <w:sz w:val="15"/>
              </w:rPr>
              <w:t>int exp fy25</w:t>
            </w:r>
          </w:p>
        </w:tc>
        <w:tc>
          <w:tcPr>
            <w:tcW w:type="dxa" w:w="1368"/>
          </w:tcPr>
          <w:p>
            <w:pPr>
              <w:spacing w:after="20"/>
            </w:pPr>
            <w:r>
              <w:rPr>
                <w:color w:val="1C3A36"/>
                <w:sz w:val="15"/>
              </w:rPr>
              <w:t>5,966.7</w:t>
            </w:r>
          </w:p>
        </w:tc>
        <w:tc>
          <w:tcPr>
            <w:tcW w:type="dxa" w:w="1123"/>
          </w:tcPr>
          <w:p>
            <w:pPr>
              <w:spacing w:after="20"/>
            </w:pPr>
            <w:r>
              <w:rPr>
                <w:color w:val="1C3A36"/>
                <w:sz w:val="15"/>
              </w:rPr>
              <w:t>2026-03-15</w:t>
            </w:r>
          </w:p>
        </w:tc>
        <w:tc>
          <w:tcPr>
            <w:tcW w:type="dxa" w:w="5933"/>
          </w:tcPr>
          <w:p>
            <w:pPr>
              <w:spacing w:after="20"/>
            </w:pPr>
            <w:r>
              <w:rPr>
                <w:color w:val="1C3A36"/>
                <w:sz w:val="15"/>
              </w:rPr>
              <w:t>Interest expense on loans and credit facilities, audited FY2025 Note 32 financing-liability movement reconciliation (excludes 118.129606 of lease interest, carried separately)</w:t>
            </w:r>
          </w:p>
        </w:tc>
      </w:tr>
      <w:tr>
        <w:tc>
          <w:tcPr>
            <w:tcW w:type="dxa" w:w="1656"/>
          </w:tcPr>
          <w:p>
            <w:pPr>
              <w:spacing w:after="20"/>
            </w:pPr>
            <w:r>
              <w:rPr>
                <w:color w:val="1C3A36"/>
                <w:sz w:val="15"/>
              </w:rPr>
              <w:t>debt q1 26</w:t>
            </w:r>
          </w:p>
        </w:tc>
        <w:tc>
          <w:tcPr>
            <w:tcW w:type="dxa" w:w="1368"/>
          </w:tcPr>
          <w:p>
            <w:pPr>
              <w:spacing w:after="20"/>
            </w:pPr>
            <w:r>
              <w:rPr>
                <w:color w:val="1C3A36"/>
                <w:sz w:val="15"/>
              </w:rPr>
              <w:t>89,039.3</w:t>
            </w:r>
          </w:p>
        </w:tc>
        <w:tc>
          <w:tcPr>
            <w:tcW w:type="dxa" w:w="1123"/>
          </w:tcPr>
          <w:p>
            <w:pPr>
              <w:spacing w:after="20"/>
            </w:pPr>
            <w:r>
              <w:rPr>
                <w:color w:val="1C3A36"/>
                <w:sz w:val="15"/>
              </w:rPr>
              <w:t>2026-05-13</w:t>
            </w:r>
          </w:p>
        </w:tc>
        <w:tc>
          <w:tcPr>
            <w:tcW w:type="dxa" w:w="5933"/>
          </w:tcPr>
          <w:p>
            <w:pPr>
              <w:spacing w:after="20"/>
            </w:pPr>
            <w:r>
              <w:rPr>
                <w:color w:val="1C3A36"/>
                <w:sz w:val="15"/>
              </w:rPr>
              <w:t>Loans and credit facilities (excluding lease liabilities) at 31 March 2026: current 79,171.258437 (loans 39,231.844718 + bank facilities 39,939.413719) + non-current 9,825.097463 (loans only, excluding the 507.330701 of lease liabilities), per the Q1-2026 interim Note 31</w:t>
            </w:r>
          </w:p>
        </w:tc>
      </w:tr>
      <w:tr>
        <w:tc>
          <w:tcPr>
            <w:tcW w:type="dxa" w:w="1656"/>
          </w:tcPr>
          <w:p>
            <w:pPr>
              <w:spacing w:after="20"/>
            </w:pPr>
            <w:r>
              <w:rPr>
                <w:color w:val="1C3A36"/>
                <w:sz w:val="15"/>
              </w:rPr>
              <w:t>ppe gross depreciable fy25</w:t>
            </w:r>
          </w:p>
        </w:tc>
        <w:tc>
          <w:tcPr>
            <w:tcW w:type="dxa" w:w="1368"/>
          </w:tcPr>
          <w:p>
            <w:pPr>
              <w:spacing w:after="20"/>
            </w:pPr>
            <w:r>
              <w:rPr>
                <w:color w:val="1C3A36"/>
                <w:sz w:val="15"/>
              </w:rPr>
              <w:t>50,776.0</w:t>
            </w:r>
          </w:p>
        </w:tc>
        <w:tc>
          <w:tcPr>
            <w:tcW w:type="dxa" w:w="1123"/>
          </w:tcPr>
          <w:p>
            <w:pPr>
              <w:spacing w:after="20"/>
            </w:pPr>
            <w:r>
              <w:rPr>
                <w:color w:val="1C3A36"/>
                <w:sz w:val="15"/>
              </w:rPr>
              <w:t>2026-03-01</w:t>
            </w:r>
          </w:p>
        </w:tc>
        <w:tc>
          <w:tcPr>
            <w:tcW w:type="dxa" w:w="5933"/>
          </w:tcPr>
          <w:p>
            <w:pPr>
              <w:spacing w:after="20"/>
            </w:pPr>
            <w:r>
              <w:rPr>
                <w:color w:val="1C3A36"/>
                <w:sz w:val="15"/>
              </w:rPr>
              <w:t>Audited FY2025 consolidated financial statements, note 17: gross cost at 31-Dec-2025 of the DEPRECIABLE property, plant and equipment — buildings and constructions 13,357.135195 + machinery and equipment 32,960.824267 + furniture and fixtures 2,464.375061 + vehicles 1,630.540975 + leasehold improvements 363.075076. EXCLUDES land (2,312.648624), which the note states is not depreciated, and projects under construction (8,915.910071), which are not yet in use. The note foots three ways: components to the 53,088.599198 subtotal, subtotal plus projects to the 62,004.509269 total, and the component charges to the 2,733.671862 total charge</w:t>
            </w:r>
          </w:p>
        </w:tc>
      </w:tr>
      <w:tr>
        <w:tc>
          <w:tcPr>
            <w:tcW w:type="dxa" w:w="1656"/>
          </w:tcPr>
          <w:p>
            <w:pPr>
              <w:spacing w:after="20"/>
            </w:pPr>
            <w:r>
              <w:rPr>
                <w:color w:val="1C3A36"/>
                <w:sz w:val="15"/>
              </w:rPr>
              <w:t>asset life source</w:t>
            </w:r>
          </w:p>
        </w:tc>
        <w:tc>
          <w:tcPr>
            <w:tcW w:type="dxa" w:w="1368"/>
          </w:tcPr>
          <w:p>
            <w:pPr>
              <w:spacing w:after="20"/>
            </w:pPr>
            <w:r>
              <w:rPr>
                <w:color w:val="1C3A36"/>
                <w:sz w:val="15"/>
              </w:rPr>
              <w:t>Audited FY2025 consolidated financial statements of El Sewedy Electric Company, note 17 (property, plant and equipment) read with the accounting-policies note on depreciation: average depreciable gross cost over the year's own charge, excluding land, which the policy note states is not depreciated, and projects under construction, which are not in use.</w:t>
            </w:r>
          </w:p>
        </w:tc>
        <w:tc>
          <w:tcPr>
            <w:tcW w:type="dxa" w:w="1123"/>
          </w:tcPr>
          <w:p>
            <w:pPr>
              <w:spacing w:after="20"/>
            </w:pPr>
            <w:r>
              <w:rPr>
                <w:color w:val="1C3A36"/>
                <w:sz w:val="15"/>
              </w:rPr>
              <w:t>2026-03-01</w:t>
            </w:r>
          </w:p>
        </w:tc>
        <w:tc>
          <w:tcPr>
            <w:tcW w:type="dxa" w:w="5933"/>
          </w:tcPr>
          <w:p>
            <w:pPr>
              <w:spacing w:after="20"/>
            </w:pPr>
            <w:r>
              <w:rPr>
                <w:color w:val="1C3A36"/>
                <w:sz w:val="15"/>
              </w:rPr>
              <w:t>The source string the terminal module requires. It refuses a life with no disclosure behind it</w:t>
            </w:r>
          </w:p>
        </w:tc>
      </w:tr>
      <w:tr>
        <w:tc>
          <w:tcPr>
            <w:tcW w:type="dxa" w:w="1656"/>
          </w:tcPr>
          <w:p>
            <w:pPr>
              <w:spacing w:after="20"/>
            </w:pPr>
            <w:r>
              <w:rPr>
                <w:color w:val="1C3A36"/>
                <w:sz w:val="15"/>
              </w:rPr>
              <w:t>ownership</w:t>
            </w:r>
          </w:p>
        </w:tc>
        <w:tc>
          <w:tcPr>
            <w:tcW w:type="dxa" w:w="1368"/>
          </w:tcPr>
          <w:p>
            <w:pPr>
              <w:spacing w:after="20"/>
            </w:pPr>
            <w:r>
              <w:rPr>
                <w:color w:val="1C3A36"/>
                <w:sz w:val="15"/>
              </w:rPr>
              <w:t>family: 0.6799; electra: 0.1887; other: 0.1307; esop: 0.0007</w:t>
            </w:r>
          </w:p>
        </w:tc>
        <w:tc>
          <w:tcPr>
            <w:tcW w:type="dxa" w:w="1123"/>
          </w:tcPr>
          <w:p>
            <w:pPr>
              <w:spacing w:after="20"/>
            </w:pPr>
            <w:r>
              <w:rPr>
                <w:color w:val="1C3A36"/>
                <w:sz w:val="15"/>
              </w:rPr>
              <w:t>2026-03-15</w:t>
            </w:r>
          </w:p>
        </w:tc>
        <w:tc>
          <w:tcPr>
            <w:tcW w:type="dxa" w:w="5933"/>
          </w:tcPr>
          <w:p>
            <w:pPr>
              <w:spacing w:after="20"/>
            </w:pPr>
            <w:r>
              <w:rPr>
                <w:color w:val="1C3A36"/>
                <w:sz w:val="15"/>
              </w:rPr>
              <w:t>EXACT capital restructuring table, Note 29, audited FY2025 financial statements, as at 31 December 2025: Sadek Ahmed Sadek Elsewedy 24.99% (534,980,391 shares), Ahmed Ahmed Sadek Elsewedy 24.99% (534,980,391), Mohamed Ahmed Sadek Elsewedy 18.01% (385,602,690) — family combined 67.99%; Electra Investment Holding Restricted Limited 18.87% (403,997,835); other shareholders 13.07% (279,794,409); ESOP shares issued not granted 0.07% (1,422,160). REPLACES a previous house estimate (family ~68.0%, Electra ~20.4%, float ~11.6%) with the company's own disclosed table. Electra's stake FELL over 2025 — the FY2024 table (same note, prior year) shows Electra at 20.37% (436,109,503 shares) and other shareholders at 11.57% (247,682,741): Electra placed exactly 32,111,668 shares into the free float during the year</w:t>
            </w:r>
          </w:p>
        </w:tc>
      </w:tr>
      <w:tr>
        <w:tc>
          <w:tcPr>
            <w:tcW w:type="dxa" w:w="1656"/>
          </w:tcPr>
          <w:p>
            <w:pPr>
              <w:spacing w:after="20"/>
            </w:pPr>
            <w:r>
              <w:rPr>
                <w:color w:val="1C3A36"/>
                <w:sz w:val="15"/>
              </w:rPr>
              <w:t>sh sadek</w:t>
            </w:r>
          </w:p>
        </w:tc>
        <w:tc>
          <w:tcPr>
            <w:tcW w:type="dxa" w:w="1368"/>
          </w:tcPr>
          <w:p>
            <w:pPr>
              <w:spacing w:after="20"/>
            </w:pPr>
            <w:r>
              <w:rPr>
                <w:color w:val="1C3A36"/>
                <w:sz w:val="15"/>
              </w:rPr>
              <w:t>0.2499</w:t>
            </w:r>
          </w:p>
        </w:tc>
        <w:tc>
          <w:tcPr>
            <w:tcW w:type="dxa" w:w="1123"/>
          </w:tcPr>
          <w:p>
            <w:pPr>
              <w:spacing w:after="20"/>
            </w:pPr>
            <w:r>
              <w:rPr>
                <w:color w:val="1C3A36"/>
                <w:sz w:val="15"/>
              </w:rPr>
              <w:t>2026-03-01</w:t>
            </w:r>
          </w:p>
        </w:tc>
        <w:tc>
          <w:tcPr>
            <w:tcW w:type="dxa" w:w="5933"/>
          </w:tcPr>
          <w:p>
            <w:pPr>
              <w:spacing w:after="20"/>
            </w:pPr>
            <w:r>
              <w:rPr>
                <w:color w:val="1C3A36"/>
                <w:sz w:val="15"/>
              </w:rPr>
              <w:t>Audited consolidated financial statements of El Sewedy Electric Company for the financial year ended 31 December 2025, published on the company's own investor-relations portal at ir.elsewedyelectric.com, note 40 (shareholders' structure) as at 31 December 2025: Sadek Ahmed Sadek Elsewedy, 534,980,391 shares</w:t>
            </w:r>
          </w:p>
        </w:tc>
      </w:tr>
      <w:tr>
        <w:tc>
          <w:tcPr>
            <w:tcW w:type="dxa" w:w="1656"/>
          </w:tcPr>
          <w:p>
            <w:pPr>
              <w:spacing w:after="20"/>
            </w:pPr>
            <w:r>
              <w:rPr>
                <w:color w:val="1C3A36"/>
                <w:sz w:val="15"/>
              </w:rPr>
              <w:t>sh ahmed</w:t>
            </w:r>
          </w:p>
        </w:tc>
        <w:tc>
          <w:tcPr>
            <w:tcW w:type="dxa" w:w="1368"/>
          </w:tcPr>
          <w:p>
            <w:pPr>
              <w:spacing w:after="20"/>
            </w:pPr>
            <w:r>
              <w:rPr>
                <w:color w:val="1C3A36"/>
                <w:sz w:val="15"/>
              </w:rPr>
              <w:t>0.2499</w:t>
            </w:r>
          </w:p>
        </w:tc>
        <w:tc>
          <w:tcPr>
            <w:tcW w:type="dxa" w:w="1123"/>
          </w:tcPr>
          <w:p>
            <w:pPr>
              <w:spacing w:after="20"/>
            </w:pPr>
            <w:r>
              <w:rPr>
                <w:color w:val="1C3A36"/>
                <w:sz w:val="15"/>
              </w:rPr>
              <w:t>2026-03-01</w:t>
            </w:r>
          </w:p>
        </w:tc>
        <w:tc>
          <w:tcPr>
            <w:tcW w:type="dxa" w:w="5933"/>
          </w:tcPr>
          <w:p>
            <w:pPr>
              <w:spacing w:after="20"/>
            </w:pPr>
            <w:r>
              <w:rPr>
                <w:color w:val="1C3A36"/>
                <w:sz w:val="15"/>
              </w:rPr>
              <w:t>Audited consolidated financial statements of El Sewedy Electric Company for the financial year ended 31 December 2025, published on the company's own investor-relations portal at ir.elsewedyelectric.com, note 40: Ahmed Ahmed Sadek Elsewedy, 534,980,391 shares</w:t>
            </w:r>
          </w:p>
        </w:tc>
      </w:tr>
      <w:tr>
        <w:tc>
          <w:tcPr>
            <w:tcW w:type="dxa" w:w="1656"/>
          </w:tcPr>
          <w:p>
            <w:pPr>
              <w:spacing w:after="20"/>
            </w:pPr>
            <w:r>
              <w:rPr>
                <w:color w:val="1C3A36"/>
                <w:sz w:val="15"/>
              </w:rPr>
              <w:t>sh mohamed</w:t>
            </w:r>
          </w:p>
        </w:tc>
        <w:tc>
          <w:tcPr>
            <w:tcW w:type="dxa" w:w="1368"/>
          </w:tcPr>
          <w:p>
            <w:pPr>
              <w:spacing w:after="20"/>
            </w:pPr>
            <w:r>
              <w:rPr>
                <w:color w:val="1C3A36"/>
                <w:sz w:val="15"/>
              </w:rPr>
              <w:t>0.1801</w:t>
            </w:r>
          </w:p>
        </w:tc>
        <w:tc>
          <w:tcPr>
            <w:tcW w:type="dxa" w:w="1123"/>
          </w:tcPr>
          <w:p>
            <w:pPr>
              <w:spacing w:after="20"/>
            </w:pPr>
            <w:r>
              <w:rPr>
                <w:color w:val="1C3A36"/>
                <w:sz w:val="15"/>
              </w:rPr>
              <w:t>2026-03-01</w:t>
            </w:r>
          </w:p>
        </w:tc>
        <w:tc>
          <w:tcPr>
            <w:tcW w:type="dxa" w:w="5933"/>
          </w:tcPr>
          <w:p>
            <w:pPr>
              <w:spacing w:after="20"/>
            </w:pPr>
            <w:r>
              <w:rPr>
                <w:color w:val="1C3A36"/>
                <w:sz w:val="15"/>
              </w:rPr>
              <w:t>Audited consolidated financial statements of El Sewedy Electric Company for the financial year ended 31 December 2025, published on the company's own investor-relations portal at ir.elsewedyelectric.com, note 40: Mohamed Ahmed Sadek Elsewedy, 385,602,690 shares</w:t>
            </w:r>
          </w:p>
        </w:tc>
      </w:tr>
      <w:tr>
        <w:tc>
          <w:tcPr>
            <w:tcW w:type="dxa" w:w="1656"/>
          </w:tcPr>
          <w:p>
            <w:pPr>
              <w:spacing w:after="20"/>
            </w:pPr>
            <w:r>
              <w:rPr>
                <w:color w:val="1C3A36"/>
                <w:sz w:val="15"/>
              </w:rPr>
              <w:t>sh electra fy24</w:t>
            </w:r>
          </w:p>
        </w:tc>
        <w:tc>
          <w:tcPr>
            <w:tcW w:type="dxa" w:w="1368"/>
          </w:tcPr>
          <w:p>
            <w:pPr>
              <w:spacing w:after="20"/>
            </w:pPr>
            <w:r>
              <w:rPr>
                <w:color w:val="1C3A36"/>
                <w:sz w:val="15"/>
              </w:rPr>
              <w:t>0.2037</w:t>
            </w:r>
          </w:p>
        </w:tc>
        <w:tc>
          <w:tcPr>
            <w:tcW w:type="dxa" w:w="1123"/>
          </w:tcPr>
          <w:p>
            <w:pPr>
              <w:spacing w:after="20"/>
            </w:pPr>
            <w:r>
              <w:rPr>
                <w:color w:val="1C3A36"/>
                <w:sz w:val="15"/>
              </w:rPr>
              <w:t>2025-03-01</w:t>
            </w:r>
          </w:p>
        </w:tc>
        <w:tc>
          <w:tcPr>
            <w:tcW w:type="dxa" w:w="5933"/>
          </w:tcPr>
          <w:p>
            <w:pPr>
              <w:spacing w:after="20"/>
            </w:pPr>
            <w:r>
              <w:rPr>
                <w:color w:val="1C3A36"/>
                <w:sz w:val="15"/>
              </w:rPr>
              <w:t>Audited consolidated financial statements of El Sewedy Electric Company for the financial year ended 31 December 2024, published on the company's own investor-relations portal at ir.elsewedyelectric.com, note 40 (prior-year column): Electra Investment Holding, 436,109,503 shares at 31 December 2024</w:t>
            </w:r>
          </w:p>
        </w:tc>
      </w:tr>
      <w:tr>
        <w:tc>
          <w:tcPr>
            <w:tcW w:type="dxa" w:w="1656"/>
          </w:tcPr>
          <w:p>
            <w:pPr>
              <w:spacing w:after="20"/>
            </w:pPr>
            <w:r>
              <w:rPr>
                <w:color w:val="1C3A36"/>
                <w:sz w:val="15"/>
              </w:rPr>
              <w:t>sh other fy24</w:t>
            </w:r>
          </w:p>
        </w:tc>
        <w:tc>
          <w:tcPr>
            <w:tcW w:type="dxa" w:w="1368"/>
          </w:tcPr>
          <w:p>
            <w:pPr>
              <w:spacing w:after="20"/>
            </w:pPr>
            <w:r>
              <w:rPr>
                <w:color w:val="1C3A36"/>
                <w:sz w:val="15"/>
              </w:rPr>
              <w:t>0.1157</w:t>
            </w:r>
          </w:p>
        </w:tc>
        <w:tc>
          <w:tcPr>
            <w:tcW w:type="dxa" w:w="1123"/>
          </w:tcPr>
          <w:p>
            <w:pPr>
              <w:spacing w:after="20"/>
            </w:pPr>
            <w:r>
              <w:rPr>
                <w:color w:val="1C3A36"/>
                <w:sz w:val="15"/>
              </w:rPr>
              <w:t>2025-03-01</w:t>
            </w:r>
          </w:p>
        </w:tc>
        <w:tc>
          <w:tcPr>
            <w:tcW w:type="dxa" w:w="5933"/>
          </w:tcPr>
          <w:p>
            <w:pPr>
              <w:spacing w:after="20"/>
            </w:pPr>
            <w:r>
              <w:rPr>
                <w:color w:val="1C3A36"/>
                <w:sz w:val="15"/>
              </w:rPr>
              <w:t>Audited consolidated financial statements of El Sewedy Electric Company for the financial year ended 31 December 2024, published on the company's own investor-relations portal at ir.elsewedyelectric.com, note 40 (prior-year column): other shareholders, 247,682,741 shares at 31 December 2024</w:t>
            </w:r>
          </w:p>
        </w:tc>
      </w:tr>
      <w:tr>
        <w:tc>
          <w:tcPr>
            <w:tcW w:type="dxa" w:w="1656"/>
          </w:tcPr>
          <w:p>
            <w:pPr>
              <w:spacing w:after="20"/>
            </w:pPr>
            <w:r>
              <w:rPr>
                <w:color w:val="1C3A36"/>
                <w:sz w:val="15"/>
              </w:rPr>
              <w:t>stake insulators</w:t>
            </w:r>
          </w:p>
        </w:tc>
        <w:tc>
          <w:tcPr>
            <w:tcW w:type="dxa" w:w="1368"/>
          </w:tcPr>
          <w:p>
            <w:pPr>
              <w:spacing w:after="20"/>
            </w:pPr>
            <w:r>
              <w:rPr>
                <w:color w:val="1C3A36"/>
                <w:sz w:val="15"/>
              </w:rPr>
              <w:t>0.2517</w:t>
            </w:r>
          </w:p>
        </w:tc>
        <w:tc>
          <w:tcPr>
            <w:tcW w:type="dxa" w:w="1123"/>
          </w:tcPr>
          <w:p>
            <w:pPr>
              <w:spacing w:after="20"/>
            </w:pPr>
            <w:r>
              <w:rPr>
                <w:color w:val="1C3A36"/>
                <w:sz w:val="15"/>
              </w:rPr>
              <w:t>2026-03-01</w:t>
            </w:r>
          </w:p>
        </w:tc>
        <w:tc>
          <w:tcPr>
            <w:tcW w:type="dxa" w:w="5933"/>
          </w:tcPr>
          <w:p>
            <w:pPr>
              <w:spacing w:after="20"/>
            </w:pPr>
            <w:r>
              <w:rPr>
                <w:color w:val="1C3A36"/>
                <w:sz w:val="15"/>
              </w:rPr>
              <w:t>Audited consolidated financial statements of El Sewedy Electric Company for the financial year ended 31 December 2025, published on the company's own investor-relations portal at ir.elsewedyelectric.com, note 20 (equity-accounted investees): Egyptian Company for Electrical Insulators, carrying value EGP 76.1mn</w:t>
            </w:r>
          </w:p>
        </w:tc>
      </w:tr>
      <w:tr>
        <w:tc>
          <w:tcPr>
            <w:tcW w:type="dxa" w:w="1656"/>
          </w:tcPr>
          <w:p>
            <w:pPr>
              <w:spacing w:after="20"/>
            </w:pPr>
            <w:r>
              <w:rPr>
                <w:color w:val="1C3A36"/>
                <w:sz w:val="15"/>
              </w:rPr>
              <w:t>etr q1 26</w:t>
            </w:r>
          </w:p>
        </w:tc>
        <w:tc>
          <w:tcPr>
            <w:tcW w:type="dxa" w:w="1368"/>
          </w:tcPr>
          <w:p>
            <w:pPr>
              <w:spacing w:after="20"/>
            </w:pPr>
            <w:r>
              <w:rPr>
                <w:color w:val="1C3A36"/>
                <w:sz w:val="15"/>
              </w:rPr>
              <w:t>0.2575</w:t>
            </w:r>
          </w:p>
        </w:tc>
        <w:tc>
          <w:tcPr>
            <w:tcW w:type="dxa" w:w="1123"/>
          </w:tcPr>
          <w:p>
            <w:pPr>
              <w:spacing w:after="20"/>
            </w:pPr>
            <w:r>
              <w:rPr>
                <w:color w:val="1C3A36"/>
                <w:sz w:val="15"/>
              </w:rPr>
              <w:t>2026-05-01</w:t>
            </w:r>
          </w:p>
        </w:tc>
        <w:tc>
          <w:tcPr>
            <w:tcW w:type="dxa" w:w="5933"/>
          </w:tcPr>
          <w:p>
            <w:pPr>
              <w:spacing w:after="20"/>
            </w:pPr>
            <w:r>
              <w:rPr>
                <w:color w:val="1C3A36"/>
                <w:sz w:val="15"/>
              </w:rPr>
              <w:t>Q1-2026 reviewed interim consolidated statements at ir.elsewedyelectric.com, income tax expense over profit before tax of 7,041.966803</w:t>
            </w:r>
          </w:p>
        </w:tc>
      </w:tr>
      <w:tr>
        <w:tc>
          <w:tcPr>
            <w:tcW w:type="dxa" w:w="1656"/>
          </w:tcPr>
          <w:p>
            <w:pPr>
              <w:spacing w:after="20"/>
            </w:pPr>
            <w:r>
              <w:rPr>
                <w:color w:val="1C3A36"/>
                <w:sz w:val="15"/>
              </w:rPr>
              <w:t>etr q1 25</w:t>
            </w:r>
          </w:p>
        </w:tc>
        <w:tc>
          <w:tcPr>
            <w:tcW w:type="dxa" w:w="1368"/>
          </w:tcPr>
          <w:p>
            <w:pPr>
              <w:spacing w:after="20"/>
            </w:pPr>
            <w:r>
              <w:rPr>
                <w:color w:val="1C3A36"/>
                <w:sz w:val="15"/>
              </w:rPr>
              <w:t>0.2196</w:t>
            </w:r>
          </w:p>
        </w:tc>
        <w:tc>
          <w:tcPr>
            <w:tcW w:type="dxa" w:w="1123"/>
          </w:tcPr>
          <w:p>
            <w:pPr>
              <w:spacing w:after="20"/>
            </w:pPr>
            <w:r>
              <w:rPr>
                <w:color w:val="1C3A36"/>
                <w:sz w:val="15"/>
              </w:rPr>
              <w:t>2026-05-01</w:t>
            </w:r>
          </w:p>
        </w:tc>
        <w:tc>
          <w:tcPr>
            <w:tcW w:type="dxa" w:w="5933"/>
          </w:tcPr>
          <w:p>
            <w:pPr>
              <w:spacing w:after="20"/>
            </w:pPr>
            <w:r>
              <w:rPr>
                <w:color w:val="1C3A36"/>
                <w:sz w:val="15"/>
              </w:rPr>
              <w:t>Q1-2025 reviewed interim consolidated statements, the comparative column of the Q1-2026 filing: income tax expense over profit before tax</w:t>
            </w:r>
          </w:p>
        </w:tc>
      </w:tr>
      <w:tr>
        <w:tc>
          <w:tcPr>
            <w:tcW w:type="dxa" w:w="1656"/>
          </w:tcPr>
          <w:p>
            <w:pPr>
              <w:spacing w:after="20"/>
            </w:pPr>
            <w:r>
              <w:rPr>
                <w:color w:val="1C3A36"/>
                <w:sz w:val="15"/>
              </w:rPr>
              <w:t>etr h1 25</w:t>
            </w:r>
          </w:p>
        </w:tc>
        <w:tc>
          <w:tcPr>
            <w:tcW w:type="dxa" w:w="1368"/>
          </w:tcPr>
          <w:p>
            <w:pPr>
              <w:spacing w:after="20"/>
            </w:pPr>
            <w:r>
              <w:rPr>
                <w:color w:val="1C3A36"/>
                <w:sz w:val="15"/>
              </w:rPr>
              <w:t>0.3085</w:t>
            </w:r>
          </w:p>
        </w:tc>
        <w:tc>
          <w:tcPr>
            <w:tcW w:type="dxa" w:w="1123"/>
          </w:tcPr>
          <w:p>
            <w:pPr>
              <w:spacing w:after="20"/>
            </w:pPr>
            <w:r>
              <w:rPr>
                <w:color w:val="1C3A36"/>
                <w:sz w:val="15"/>
              </w:rPr>
              <w:t>2026-08-01</w:t>
            </w:r>
          </w:p>
        </w:tc>
        <w:tc>
          <w:tcPr>
            <w:tcW w:type="dxa" w:w="5933"/>
          </w:tcPr>
          <w:p>
            <w:pPr>
              <w:spacing w:after="20"/>
            </w:pPr>
            <w:r>
              <w:rPr>
                <w:color w:val="1C3A36"/>
                <w:sz w:val="15"/>
              </w:rPr>
              <w:t>H1-2025 reviewed interim consolidated statements, the comparative column of the H1-2026 filing: income tax expense over profit before tax of 15,395.270255</w:t>
            </w:r>
          </w:p>
        </w:tc>
      </w:tr>
      <w:tr>
        <w:tc>
          <w:tcPr>
            <w:tcW w:type="dxa" w:w="1656"/>
          </w:tcPr>
          <w:p>
            <w:pPr>
              <w:spacing w:after="20"/>
            </w:pPr>
            <w:r>
              <w:rPr>
                <w:color w:val="1C3A36"/>
                <w:sz w:val="15"/>
              </w:rPr>
              <w:t>nci share h1 26 profit</w:t>
            </w:r>
          </w:p>
        </w:tc>
        <w:tc>
          <w:tcPr>
            <w:tcW w:type="dxa" w:w="1368"/>
          </w:tcPr>
          <w:p>
            <w:pPr>
              <w:spacing w:after="20"/>
            </w:pPr>
            <w:r>
              <w:rPr>
                <w:color w:val="1C3A36"/>
                <w:sz w:val="15"/>
              </w:rPr>
              <w:t>0.0681</w:t>
            </w:r>
          </w:p>
        </w:tc>
        <w:tc>
          <w:tcPr>
            <w:tcW w:type="dxa" w:w="1123"/>
          </w:tcPr>
          <w:p>
            <w:pPr>
              <w:spacing w:after="20"/>
            </w:pPr>
            <w:r>
              <w:rPr>
                <w:color w:val="1C3A36"/>
                <w:sz w:val="15"/>
              </w:rPr>
              <w:t>2026-08-01</w:t>
            </w:r>
          </w:p>
        </w:tc>
        <w:tc>
          <w:tcPr>
            <w:tcW w:type="dxa" w:w="5933"/>
          </w:tcPr>
          <w:p>
            <w:pPr>
              <w:spacing w:after="20"/>
            </w:pPr>
            <w:r>
              <w:rPr>
                <w:color w:val="1C3A36"/>
                <w:sz w:val="15"/>
              </w:rPr>
              <w:t>Reviewed condensed interim consolidated financial statements for the six months ended 30 June 2026, El Sewedy Electric Company, approved for issuance by the board on 11 August 2026 (note 2-1), published on the company's own investor-relations portal at ir.elsewedyelectric.com, profit attributable to non-controlling interests over total profit after tax for the half</w:t>
            </w:r>
          </w:p>
        </w:tc>
      </w:tr>
      <w:tr>
        <w:tc>
          <w:tcPr>
            <w:tcW w:type="dxa" w:w="1656"/>
          </w:tcPr>
          <w:p>
            <w:pPr>
              <w:spacing w:after="20"/>
            </w:pPr>
            <w:r>
              <w:rPr>
                <w:color w:val="1C3A36"/>
                <w:sz w:val="15"/>
              </w:rPr>
              <w:t>nci share h1 26 equity</w:t>
            </w:r>
          </w:p>
        </w:tc>
        <w:tc>
          <w:tcPr>
            <w:tcW w:type="dxa" w:w="1368"/>
          </w:tcPr>
          <w:p>
            <w:pPr>
              <w:spacing w:after="20"/>
            </w:pPr>
            <w:r>
              <w:rPr>
                <w:color w:val="1C3A36"/>
                <w:sz w:val="15"/>
              </w:rPr>
              <w:t>0.0747</w:t>
            </w:r>
          </w:p>
        </w:tc>
        <w:tc>
          <w:tcPr>
            <w:tcW w:type="dxa" w:w="1123"/>
          </w:tcPr>
          <w:p>
            <w:pPr>
              <w:spacing w:after="20"/>
            </w:pPr>
            <w:r>
              <w:rPr>
                <w:color w:val="1C3A36"/>
                <w:sz w:val="15"/>
              </w:rPr>
              <w:t>2026-08-01</w:t>
            </w:r>
          </w:p>
        </w:tc>
        <w:tc>
          <w:tcPr>
            <w:tcW w:type="dxa" w:w="5933"/>
          </w:tcPr>
          <w:p>
            <w:pPr>
              <w:spacing w:after="20"/>
            </w:pPr>
            <w:r>
              <w:rPr>
                <w:color w:val="1C3A36"/>
                <w:sz w:val="15"/>
              </w:rPr>
              <w:t>Reviewed condensed interim consolidated financial statements for the six months ended 30 June 2026, El Sewedy Electric Company, approved for issuance by the board on 11 August 2026 (note 2-1), published on the company's own investor-relations portal at ir.elsewedyelectric.com, non-controlling interests over total equity of 76,024.598402</w:t>
            </w:r>
          </w:p>
        </w:tc>
      </w:tr>
      <w:tr>
        <w:tc>
          <w:tcPr>
            <w:tcW w:type="dxa" w:w="1656"/>
          </w:tcPr>
          <w:p>
            <w:pPr>
              <w:spacing w:after="20"/>
            </w:pPr>
            <w:r>
              <w:rPr>
                <w:color w:val="1C3A36"/>
                <w:sz w:val="15"/>
              </w:rPr>
              <w:t>emp share h1 25</w:t>
            </w:r>
          </w:p>
        </w:tc>
        <w:tc>
          <w:tcPr>
            <w:tcW w:type="dxa" w:w="1368"/>
          </w:tcPr>
          <w:p>
            <w:pPr>
              <w:spacing w:after="20"/>
            </w:pPr>
            <w:r>
              <w:rPr>
                <w:color w:val="1C3A36"/>
                <w:sz w:val="15"/>
              </w:rPr>
              <w:t>0.1271</w:t>
            </w:r>
          </w:p>
        </w:tc>
        <w:tc>
          <w:tcPr>
            <w:tcW w:type="dxa" w:w="1123"/>
          </w:tcPr>
          <w:p>
            <w:pPr>
              <w:spacing w:after="20"/>
            </w:pPr>
            <w:r>
              <w:rPr>
                <w:color w:val="1C3A36"/>
                <w:sz w:val="15"/>
              </w:rPr>
              <w:t>2026-08-01</w:t>
            </w:r>
          </w:p>
        </w:tc>
        <w:tc>
          <w:tcPr>
            <w:tcW w:type="dxa" w:w="5933"/>
          </w:tcPr>
          <w:p>
            <w:pPr>
              <w:spacing w:after="20"/>
            </w:pPr>
            <w:r>
              <w:rPr>
                <w:color w:val="1C3A36"/>
                <w:sz w:val="15"/>
              </w:rPr>
              <w:t>H1-2025 comparative column of the H1-2026 reviewed statements, note 38: employees' share in profit 1,104.834367 over profit attributable to owners of 8,694.611825</w:t>
            </w:r>
          </w:p>
        </w:tc>
      </w:tr>
      <w:tr>
        <w:tc>
          <w:tcPr>
            <w:tcW w:type="dxa" w:w="1656"/>
          </w:tcPr>
          <w:p>
            <w:pPr>
              <w:spacing w:after="20"/>
            </w:pPr>
            <w:r>
              <w:rPr>
                <w:color w:val="1C3A36"/>
                <w:sz w:val="15"/>
              </w:rPr>
              <w:t>export share fy25</w:t>
            </w:r>
          </w:p>
        </w:tc>
        <w:tc>
          <w:tcPr>
            <w:tcW w:type="dxa" w:w="1368"/>
          </w:tcPr>
          <w:p>
            <w:pPr>
              <w:spacing w:after="20"/>
            </w:pPr>
            <w:r>
              <w:rPr>
                <w:color w:val="1C3A36"/>
                <w:sz w:val="15"/>
              </w:rPr>
              <w:t>0.4072</w:t>
            </w:r>
          </w:p>
        </w:tc>
        <w:tc>
          <w:tcPr>
            <w:tcW w:type="dxa" w:w="1123"/>
          </w:tcPr>
          <w:p>
            <w:pPr>
              <w:spacing w:after="20"/>
            </w:pPr>
            <w:r>
              <w:rPr>
                <w:color w:val="1C3A36"/>
                <w:sz w:val="15"/>
              </w:rPr>
              <w:t>2026-03-01</w:t>
            </w:r>
          </w:p>
        </w:tc>
        <w:tc>
          <w:tcPr>
            <w:tcW w:type="dxa" w:w="5933"/>
          </w:tcPr>
          <w:p>
            <w:pPr>
              <w:spacing w:after="20"/>
            </w:pPr>
            <w:r>
              <w:rPr>
                <w:color w:val="1C3A36"/>
                <w:sz w:val="15"/>
              </w:rPr>
              <w:t>Audited consolidated financial statements of El Sewedy Electric Company for the financial year ended 31 December 2025, published on the company's own investor-relations portal at ir.elsewedyelectric.com, note 5 (geographic disaggregation): revenue outside Egypt 114,461.030219 over total revenue 281,049.081719</w:t>
            </w:r>
          </w:p>
        </w:tc>
      </w:tr>
      <w:tr>
        <w:tc>
          <w:tcPr>
            <w:tcW w:type="dxa" w:w="1656"/>
          </w:tcPr>
          <w:p>
            <w:pPr>
              <w:spacing w:after="20"/>
            </w:pPr>
            <w:r>
              <w:rPr>
                <w:color w:val="1C3A36"/>
                <w:sz w:val="15"/>
              </w:rPr>
              <w:t>kd egp fy24</w:t>
            </w:r>
          </w:p>
        </w:tc>
        <w:tc>
          <w:tcPr>
            <w:tcW w:type="dxa" w:w="1368"/>
          </w:tcPr>
          <w:p>
            <w:pPr>
              <w:spacing w:after="20"/>
            </w:pPr>
            <w:r>
              <w:rPr>
                <w:color w:val="1C3A36"/>
                <w:sz w:val="15"/>
              </w:rPr>
              <w:t>0.2868</w:t>
            </w:r>
          </w:p>
        </w:tc>
        <w:tc>
          <w:tcPr>
            <w:tcW w:type="dxa" w:w="1123"/>
          </w:tcPr>
          <w:p>
            <w:pPr>
              <w:spacing w:after="20"/>
            </w:pPr>
            <w:r>
              <w:rPr>
                <w:color w:val="1C3A36"/>
                <w:sz w:val="15"/>
              </w:rPr>
              <w:t>2025-03-01</w:t>
            </w:r>
          </w:p>
        </w:tc>
        <w:tc>
          <w:tcPr>
            <w:tcW w:type="dxa" w:w="5933"/>
          </w:tcPr>
          <w:p>
            <w:pPr>
              <w:spacing w:after="20"/>
            </w:pPr>
            <w:r>
              <w:rPr>
                <w:color w:val="1C3A36"/>
                <w:sz w:val="15"/>
              </w:rPr>
              <w:t>Audited consolidated financial statements of El Sewedy Electric Company for the financial year ended 31 December 2024, published on the company's own investor-relations portal at ir.elsewedyelectric.com, note 32 read with note 44-2: the disclosed weighted average interest rate on Egyptian-pound borrowings at 31 December 2024</w:t>
            </w:r>
          </w:p>
        </w:tc>
      </w:tr>
      <w:tr>
        <w:tc>
          <w:tcPr>
            <w:tcW w:type="dxa" w:w="1656"/>
          </w:tcPr>
          <w:p>
            <w:pPr>
              <w:spacing w:after="20"/>
            </w:pPr>
            <w:r>
              <w:rPr>
                <w:color w:val="1C3A36"/>
                <w:sz w:val="15"/>
              </w:rPr>
              <w:t>kd egp q1 26</w:t>
            </w:r>
          </w:p>
        </w:tc>
        <w:tc>
          <w:tcPr>
            <w:tcW w:type="dxa" w:w="1368"/>
          </w:tcPr>
          <w:p>
            <w:pPr>
              <w:spacing w:after="20"/>
            </w:pPr>
            <w:r>
              <w:rPr>
                <w:color w:val="1C3A36"/>
                <w:sz w:val="15"/>
              </w:rPr>
              <w:t>0.2032</w:t>
            </w:r>
          </w:p>
        </w:tc>
        <w:tc>
          <w:tcPr>
            <w:tcW w:type="dxa" w:w="1123"/>
          </w:tcPr>
          <w:p>
            <w:pPr>
              <w:spacing w:after="20"/>
            </w:pPr>
            <w:r>
              <w:rPr>
                <w:color w:val="1C3A36"/>
                <w:sz w:val="15"/>
              </w:rPr>
              <w:t>2026-05-01</w:t>
            </w:r>
          </w:p>
        </w:tc>
        <w:tc>
          <w:tcPr>
            <w:tcW w:type="dxa" w:w="5933"/>
          </w:tcPr>
          <w:p>
            <w:pPr>
              <w:spacing w:after="20"/>
            </w:pPr>
            <w:r>
              <w:rPr>
                <w:color w:val="1C3A36"/>
                <w:sz w:val="15"/>
              </w:rPr>
              <w:t>Q1-2026 reviewed interim consolidated statements: the disclosed weighted average interest rate on Egyptian-pound borrowings</w:t>
            </w:r>
          </w:p>
        </w:tc>
      </w:tr>
      <w:tr>
        <w:tc>
          <w:tcPr>
            <w:tcW w:type="dxa" w:w="1656"/>
          </w:tcPr>
          <w:p>
            <w:pPr>
              <w:spacing w:after="20"/>
            </w:pPr>
            <w:r>
              <w:rPr>
                <w:color w:val="1C3A36"/>
                <w:sz w:val="15"/>
              </w:rPr>
              <w:t>kd hard q1 26</w:t>
            </w:r>
          </w:p>
        </w:tc>
        <w:tc>
          <w:tcPr>
            <w:tcW w:type="dxa" w:w="1368"/>
          </w:tcPr>
          <w:p>
            <w:pPr>
              <w:spacing w:after="20"/>
            </w:pPr>
            <w:r>
              <w:rPr>
                <w:color w:val="1C3A36"/>
                <w:sz w:val="15"/>
              </w:rPr>
              <w:t>0.0528</w:t>
            </w:r>
          </w:p>
        </w:tc>
        <w:tc>
          <w:tcPr>
            <w:tcW w:type="dxa" w:w="1123"/>
          </w:tcPr>
          <w:p>
            <w:pPr>
              <w:spacing w:after="20"/>
            </w:pPr>
            <w:r>
              <w:rPr>
                <w:color w:val="1C3A36"/>
                <w:sz w:val="15"/>
              </w:rPr>
              <w:t>2026-05-01</w:t>
            </w:r>
          </w:p>
        </w:tc>
        <w:tc>
          <w:tcPr>
            <w:tcW w:type="dxa" w:w="5933"/>
          </w:tcPr>
          <w:p>
            <w:pPr>
              <w:spacing w:after="20"/>
            </w:pPr>
            <w:r>
              <w:rPr>
                <w:color w:val="1C3A36"/>
                <w:sz w:val="15"/>
              </w:rPr>
              <w:t>Q1-2026 reviewed interim consolidated statements: the disclosed weighted average interest rate on 'US dollars and foreign currencies' borrowings, the foreign leg of the same note that gives the Egyptian-pound rate above</w:t>
            </w:r>
          </w:p>
        </w:tc>
      </w:tr>
    </w:tbl>
    <w:p>
      <w:pPr>
        <w:spacing w:after="40"/>
      </w:pPr>
    </w:p>
    <w:p>
      <w:pPr>
        <w:spacing w:after="60" w:before="160"/>
      </w:pPr>
      <w:r>
        <w:rPr>
          <w:b/>
          <w:i w:val="0"/>
          <w:color w:val="1C3A36"/>
          <w:sz w:val="22"/>
        </w:rPr>
        <w:t>Country layer — 10 inputs</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656"/>
        <w:gridCol w:w="1368"/>
        <w:gridCol w:w="1123"/>
        <w:gridCol w:w="5933"/>
      </w:tblGrid>
      <w:tr>
        <w:tc>
          <w:tcPr>
            <w:tcW w:type="dxa" w:w="1656"/>
            <w:shd w:val="clear" w:color="auto" w:fill="EAF0EE"/>
          </w:tcPr>
          <w:p>
            <w:pPr>
              <w:spacing w:after="20"/>
            </w:pPr>
            <w:r>
              <w:rPr>
                <w:b/>
                <w:color w:val="1C3A36"/>
                <w:sz w:val="15"/>
              </w:rPr>
              <w:t>Input</w:t>
            </w:r>
          </w:p>
        </w:tc>
        <w:tc>
          <w:tcPr>
            <w:tcW w:type="dxa" w:w="1368"/>
            <w:shd w:val="clear" w:color="auto" w:fill="EAF0EE"/>
          </w:tcPr>
          <w:p>
            <w:pPr>
              <w:spacing w:after="20"/>
            </w:pPr>
            <w:r>
              <w:rPr>
                <w:b/>
                <w:color w:val="1C3A36"/>
                <w:sz w:val="15"/>
              </w:rPr>
              <w:t>Value</w:t>
            </w:r>
          </w:p>
        </w:tc>
        <w:tc>
          <w:tcPr>
            <w:tcW w:type="dxa" w:w="1123"/>
            <w:shd w:val="clear" w:color="auto" w:fill="EAF0EE"/>
          </w:tcPr>
          <w:p>
            <w:pPr>
              <w:spacing w:after="20"/>
            </w:pPr>
            <w:r>
              <w:rPr>
                <w:b/>
                <w:color w:val="1C3A36"/>
                <w:sz w:val="15"/>
              </w:rPr>
              <w:t>Date</w:t>
            </w:r>
          </w:p>
        </w:tc>
        <w:tc>
          <w:tcPr>
            <w:tcW w:type="dxa" w:w="5933"/>
            <w:shd w:val="clear" w:color="auto" w:fill="EAF0EE"/>
          </w:tcPr>
          <w:p>
            <w:pPr>
              <w:spacing w:after="20"/>
            </w:pPr>
            <w:r>
              <w:rPr>
                <w:b/>
                <w:color w:val="1C3A36"/>
                <w:sz w:val="15"/>
              </w:rPr>
              <w:t>Source and construction</w:t>
            </w:r>
          </w:p>
        </w:tc>
      </w:tr>
      <w:tr>
        <w:tc>
          <w:tcPr>
            <w:tcW w:type="dxa" w:w="1656"/>
          </w:tcPr>
          <w:p>
            <w:pPr>
              <w:spacing w:after="20"/>
            </w:pPr>
            <w:r>
              <w:rPr>
                <w:color w:val="1C3A36"/>
                <w:sz w:val="15"/>
              </w:rPr>
              <w:t>tax stat</w:t>
            </w:r>
          </w:p>
        </w:tc>
        <w:tc>
          <w:tcPr>
            <w:tcW w:type="dxa" w:w="1368"/>
          </w:tcPr>
          <w:p>
            <w:pPr>
              <w:spacing w:after="20"/>
            </w:pPr>
            <w:r>
              <w:rPr>
                <w:color w:val="1C3A36"/>
                <w:sz w:val="15"/>
              </w:rPr>
              <w:t>0.225</w:t>
            </w:r>
          </w:p>
        </w:tc>
        <w:tc>
          <w:tcPr>
            <w:tcW w:type="dxa" w:w="1123"/>
          </w:tcPr>
          <w:p>
            <w:pPr>
              <w:spacing w:after="20"/>
            </w:pPr>
            <w:r>
              <w:rPr>
                <w:color w:val="1C3A36"/>
                <w:sz w:val="15"/>
              </w:rPr>
              <w:t>2026</w:t>
            </w:r>
          </w:p>
        </w:tc>
        <w:tc>
          <w:tcPr>
            <w:tcW w:type="dxa" w:w="5933"/>
          </w:tcPr>
          <w:p>
            <w:pPr>
              <w:spacing w:after="20"/>
            </w:pPr>
            <w:r>
              <w:rPr>
                <w:color w:val="1C3A36"/>
                <w:sz w:val="15"/>
              </w:rPr>
              <w:t>Egypt corporate income tax 22.5% (PwC Worldwide Tax Summaries, unchanged 2025-26)</w:t>
            </w:r>
          </w:p>
        </w:tc>
      </w:tr>
      <w:tr>
        <w:tc>
          <w:tcPr>
            <w:tcW w:type="dxa" w:w="1656"/>
          </w:tcPr>
          <w:p>
            <w:pPr>
              <w:spacing w:after="20"/>
            </w:pPr>
            <w:r>
              <w:rPr>
                <w:color w:val="1C3A36"/>
                <w:sz w:val="15"/>
              </w:rPr>
              <w:t>fx</w:t>
            </w:r>
          </w:p>
        </w:tc>
        <w:tc>
          <w:tcPr>
            <w:tcW w:type="dxa" w:w="1368"/>
          </w:tcPr>
          <w:p>
            <w:pPr>
              <w:spacing w:after="20"/>
            </w:pPr>
            <w:r>
              <w:rPr>
                <w:color w:val="1C3A36"/>
                <w:sz w:val="15"/>
              </w:rPr>
              <w:t>49.8</w:t>
            </w:r>
          </w:p>
        </w:tc>
        <w:tc>
          <w:tcPr>
            <w:tcW w:type="dxa" w:w="1123"/>
          </w:tcPr>
          <w:p>
            <w:pPr>
              <w:spacing w:after="20"/>
            </w:pPr>
            <w:r>
              <w:rPr>
                <w:color w:val="1C3A36"/>
                <w:sz w:val="15"/>
              </w:rPr>
              <w:t>2026-08-05</w:t>
            </w:r>
          </w:p>
        </w:tc>
        <w:tc>
          <w:tcPr>
            <w:tcW w:type="dxa" w:w="5933"/>
          </w:tcPr>
          <w:p>
            <w:pPr>
              <w:spacing w:after="20"/>
            </w:pPr>
            <w:r>
              <w:rPr>
                <w:color w:val="1C3A36"/>
                <w:sz w:val="15"/>
              </w:rPr>
              <w:t>USD/EGP mid-market ~49.8 (house cost-of-capital reference, re-verified 05-Aug-2026). The pound was not range-bound over the last year: ~46.8 (Feb-26) to ~54.7 (Apr-26 regional war spike) and back to ~49.8</w:t>
            </w:r>
          </w:p>
        </w:tc>
      </w:tr>
      <w:tr>
        <w:tc>
          <w:tcPr>
            <w:tcW w:type="dxa" w:w="1656"/>
          </w:tcPr>
          <w:p>
            <w:pPr>
              <w:spacing w:after="20"/>
            </w:pPr>
            <w:r>
              <w:rPr>
                <w:color w:val="1C3A36"/>
                <w:sz w:val="15"/>
              </w:rPr>
              <w:t>rf</w:t>
            </w:r>
          </w:p>
        </w:tc>
        <w:tc>
          <w:tcPr>
            <w:tcW w:type="dxa" w:w="1368"/>
          </w:tcPr>
          <w:p>
            <w:pPr>
              <w:spacing w:after="20"/>
            </w:pPr>
            <w:r>
              <w:rPr>
                <w:color w:val="1C3A36"/>
                <w:sz w:val="15"/>
              </w:rPr>
              <w:t>0.2231</w:t>
            </w:r>
          </w:p>
        </w:tc>
        <w:tc>
          <w:tcPr>
            <w:tcW w:type="dxa" w:w="1123"/>
          </w:tcPr>
          <w:p>
            <w:pPr>
              <w:spacing w:after="20"/>
            </w:pPr>
            <w:r>
              <w:rPr>
                <w:color w:val="1C3A36"/>
                <w:sz w:val="15"/>
              </w:rPr>
              <w:t>2026-07-21</w:t>
            </w:r>
          </w:p>
        </w:tc>
        <w:tc>
          <w:tcPr>
            <w:tcW w:type="dxa" w:w="5933"/>
          </w:tcPr>
          <w:p>
            <w:pPr>
              <w:spacing w:after="20"/>
            </w:pPr>
            <w:r>
              <w:rPr>
                <w:color w:val="1C3A36"/>
                <w:sz w:val="15"/>
              </w:rPr>
              <w:t>Egypt 10-year local-currency government bond yield, 22.31% (house cost-of-capital reference, cached 21-Jul-2026 print, re-verified 05-Aug-2026)</w:t>
            </w:r>
          </w:p>
        </w:tc>
      </w:tr>
      <w:tr>
        <w:tc>
          <w:tcPr>
            <w:tcW w:type="dxa" w:w="1656"/>
          </w:tcPr>
          <w:p>
            <w:pPr>
              <w:spacing w:after="20"/>
            </w:pPr>
            <w:r>
              <w:rPr>
                <w:color w:val="1C3A36"/>
                <w:sz w:val="15"/>
              </w:rPr>
              <w:t>sov spread cds</w:t>
            </w:r>
          </w:p>
        </w:tc>
        <w:tc>
          <w:tcPr>
            <w:tcW w:type="dxa" w:w="1368"/>
          </w:tcPr>
          <w:p>
            <w:pPr>
              <w:spacing w:after="20"/>
            </w:pPr>
            <w:r>
              <w:rPr>
                <w:color w:val="1C3A36"/>
                <w:sz w:val="15"/>
              </w:rPr>
              <w:t>0.034</w:t>
            </w:r>
          </w:p>
        </w:tc>
        <w:tc>
          <w:tcPr>
            <w:tcW w:type="dxa" w:w="1123"/>
          </w:tcPr>
          <w:p>
            <w:pPr>
              <w:spacing w:after="20"/>
            </w:pPr>
            <w:r>
              <w:rPr>
                <w:color w:val="1C3A36"/>
                <w:sz w:val="15"/>
              </w:rPr>
              <w:t>2026-01-05</w:t>
            </w:r>
          </w:p>
        </w:tc>
        <w:tc>
          <w:tcPr>
            <w:tcW w:type="dxa" w:w="5933"/>
          </w:tcPr>
          <w:p>
            <w:pPr>
              <w:spacing w:after="20"/>
            </w:pPr>
            <w:r>
              <w:rPr>
                <w:color w:val="1C3A36"/>
                <w:sz w:val="15"/>
              </w:rPr>
              <w:t>Egypt CDS-implied sovereign default spread, Damodaran January-2026 country-premium file, CDS column. Netted out of the local-currency risk-free rate so sovereign default risk is not charged twice</w:t>
            </w:r>
          </w:p>
        </w:tc>
      </w:tr>
      <w:tr>
        <w:tc>
          <w:tcPr>
            <w:tcW w:type="dxa" w:w="1656"/>
          </w:tcPr>
          <w:p>
            <w:pPr>
              <w:spacing w:after="20"/>
            </w:pPr>
            <w:r>
              <w:rPr>
                <w:color w:val="1C3A36"/>
                <w:sz w:val="15"/>
              </w:rPr>
              <w:t>sov spread rating</w:t>
            </w:r>
          </w:p>
        </w:tc>
        <w:tc>
          <w:tcPr>
            <w:tcW w:type="dxa" w:w="1368"/>
          </w:tcPr>
          <w:p>
            <w:pPr>
              <w:spacing w:after="20"/>
            </w:pPr>
            <w:r>
              <w:rPr>
                <w:color w:val="1C3A36"/>
                <w:sz w:val="15"/>
              </w:rPr>
              <w:t>0.0637</w:t>
            </w:r>
          </w:p>
        </w:tc>
        <w:tc>
          <w:tcPr>
            <w:tcW w:type="dxa" w:w="1123"/>
          </w:tcPr>
          <w:p>
            <w:pPr>
              <w:spacing w:after="20"/>
            </w:pPr>
            <w:r>
              <w:rPr>
                <w:color w:val="1C3A36"/>
                <w:sz w:val="15"/>
              </w:rPr>
              <w:t>2026-01-05</w:t>
            </w:r>
          </w:p>
        </w:tc>
        <w:tc>
          <w:tcPr>
            <w:tcW w:type="dxa" w:w="5933"/>
          </w:tcPr>
          <w:p>
            <w:pPr>
              <w:spacing w:after="20"/>
            </w:pPr>
            <w:r>
              <w:rPr>
                <w:color w:val="1C3A36"/>
                <w:sz w:val="15"/>
              </w:rPr>
              <w:t>Damodaran adjusted default spread on the rating basis (Caa1), January-2026 — the alternative construction, disclosed for the audit trail</w:t>
            </w:r>
          </w:p>
        </w:tc>
      </w:tr>
      <w:tr>
        <w:tc>
          <w:tcPr>
            <w:tcW w:type="dxa" w:w="1656"/>
          </w:tcPr>
          <w:p>
            <w:pPr>
              <w:spacing w:after="20"/>
            </w:pPr>
            <w:r>
              <w:rPr>
                <w:color w:val="1C3A36"/>
                <w:sz w:val="15"/>
              </w:rPr>
              <w:t>erp cds</w:t>
            </w:r>
          </w:p>
        </w:tc>
        <w:tc>
          <w:tcPr>
            <w:tcW w:type="dxa" w:w="1368"/>
          </w:tcPr>
          <w:p>
            <w:pPr>
              <w:spacing w:after="20"/>
            </w:pPr>
            <w:r>
              <w:rPr>
                <w:color w:val="1C3A36"/>
                <w:sz w:val="15"/>
              </w:rPr>
              <w:t>0.0941</w:t>
            </w:r>
          </w:p>
        </w:tc>
        <w:tc>
          <w:tcPr>
            <w:tcW w:type="dxa" w:w="1123"/>
          </w:tcPr>
          <w:p>
            <w:pPr>
              <w:spacing w:after="20"/>
            </w:pPr>
            <w:r>
              <w:rPr>
                <w:color w:val="1C3A36"/>
                <w:sz w:val="15"/>
              </w:rPr>
              <w:t>2026-01-05</w:t>
            </w:r>
          </w:p>
        </w:tc>
        <w:tc>
          <w:tcPr>
            <w:tcW w:type="dxa" w:w="5933"/>
          </w:tcPr>
          <w:p>
            <w:pPr>
              <w:spacing w:after="20"/>
            </w:pPr>
            <w:r>
              <w:rPr>
                <w:color w:val="1C3A36"/>
                <w:sz w:val="15"/>
              </w:rPr>
              <w:t>Damodaran original country-premium file, Egypt row, CDS column, last updated 5 January 2026 — total equity risk premium</w:t>
            </w:r>
          </w:p>
        </w:tc>
      </w:tr>
      <w:tr>
        <w:tc>
          <w:tcPr>
            <w:tcW w:type="dxa" w:w="1656"/>
          </w:tcPr>
          <w:p>
            <w:pPr>
              <w:spacing w:after="20"/>
            </w:pPr>
            <w:r>
              <w:rPr>
                <w:color w:val="1C3A36"/>
                <w:sz w:val="15"/>
              </w:rPr>
              <w:t>erp rating</w:t>
            </w:r>
          </w:p>
        </w:tc>
        <w:tc>
          <w:tcPr>
            <w:tcW w:type="dxa" w:w="1368"/>
          </w:tcPr>
          <w:p>
            <w:pPr>
              <w:spacing w:after="20"/>
            </w:pPr>
            <w:r>
              <w:rPr>
                <w:color w:val="1C3A36"/>
                <w:sz w:val="15"/>
              </w:rPr>
              <w:t>0.1394</w:t>
            </w:r>
          </w:p>
        </w:tc>
        <w:tc>
          <w:tcPr>
            <w:tcW w:type="dxa" w:w="1123"/>
          </w:tcPr>
          <w:p>
            <w:pPr>
              <w:spacing w:after="20"/>
            </w:pPr>
            <w:r>
              <w:rPr>
                <w:color w:val="1C3A36"/>
                <w:sz w:val="15"/>
              </w:rPr>
              <w:t>2026-01-05</w:t>
            </w:r>
          </w:p>
        </w:tc>
        <w:tc>
          <w:tcPr>
            <w:tcW w:type="dxa" w:w="5933"/>
          </w:tcPr>
          <w:p>
            <w:pPr>
              <w:spacing w:after="20"/>
            </w:pPr>
            <w:r>
              <w:rPr>
                <w:color w:val="1C3A36"/>
                <w:sz w:val="15"/>
              </w:rPr>
              <w:t>Damodaran original country-premium file, Egypt row, rating basis, January-2026 — the alternative</w:t>
            </w:r>
          </w:p>
        </w:tc>
      </w:tr>
      <w:tr>
        <w:tc>
          <w:tcPr>
            <w:tcW w:type="dxa" w:w="1656"/>
          </w:tcPr>
          <w:p>
            <w:pPr>
              <w:spacing w:after="20"/>
            </w:pPr>
            <w:r>
              <w:rPr>
                <w:color w:val="1C3A36"/>
                <w:sz w:val="15"/>
              </w:rPr>
              <w:t>crp foreign</w:t>
            </w:r>
          </w:p>
        </w:tc>
        <w:tc>
          <w:tcPr>
            <w:tcW w:type="dxa" w:w="1368"/>
          </w:tcPr>
          <w:p>
            <w:pPr>
              <w:spacing w:after="20"/>
            </w:pPr>
            <w:r>
              <w:rPr>
                <w:color w:val="1C3A36"/>
                <w:sz w:val="15"/>
              </w:rPr>
              <w:t>0.0226</w:t>
            </w:r>
          </w:p>
        </w:tc>
        <w:tc>
          <w:tcPr>
            <w:tcW w:type="dxa" w:w="1123"/>
          </w:tcPr>
          <w:p>
            <w:pPr>
              <w:spacing w:after="20"/>
            </w:pPr>
            <w:r>
              <w:rPr>
                <w:color w:val="1C3A36"/>
                <w:sz w:val="15"/>
              </w:rPr>
              <w:t>2026-01-05</w:t>
            </w:r>
          </w:p>
        </w:tc>
        <w:tc>
          <w:tcPr>
            <w:tcW w:type="dxa" w:w="5933"/>
          </w:tcPr>
          <w:p>
            <w:pPr>
              <w:spacing w:after="20"/>
            </w:pPr>
            <w:r>
              <w:rPr>
                <w:color w:val="1C3A36"/>
                <w:sz w:val="15"/>
              </w:rPr>
              <w:t>The country premium carried by the 40.72% of revenue earned OUTSIDE Egypt. DERIVED, not typed: the blended emerging/frontier equity premium of 6.50% already registered for those operations, less the mature-market premium of 4.24% derived from Egypt's own total (9.41% less a country premium of 3.40% CDS spread x Damodaran's 1.52 equity-to-bond scaling). It is NOT zero: Zambia, Tanzania, Ghana, Nigeria, Saudi Arabia and Greece are not mature markets, and taking the lambda relief without this offset would be the flattering half of the argument</w:t>
            </w:r>
          </w:p>
        </w:tc>
      </w:tr>
      <w:tr>
        <w:tc>
          <w:tcPr>
            <w:tcW w:type="dxa" w:w="1656"/>
          </w:tcPr>
          <w:p>
            <w:pPr>
              <w:spacing w:after="20"/>
            </w:pPr>
            <w:r>
              <w:rPr>
                <w:color w:val="1C3A36"/>
                <w:sz w:val="15"/>
              </w:rPr>
              <w:t>pi term</w:t>
            </w:r>
          </w:p>
        </w:tc>
        <w:tc>
          <w:tcPr>
            <w:tcW w:type="dxa" w:w="1368"/>
          </w:tcPr>
          <w:p>
            <w:pPr>
              <w:spacing w:after="20"/>
            </w:pPr>
            <w:r>
              <w:rPr>
                <w:color w:val="1C3A36"/>
                <w:sz w:val="15"/>
              </w:rPr>
              <w:t>0.07</w:t>
            </w:r>
          </w:p>
        </w:tc>
        <w:tc>
          <w:tcPr>
            <w:tcW w:type="dxa" w:w="1123"/>
          </w:tcPr>
          <w:p>
            <w:pPr>
              <w:spacing w:after="20"/>
            </w:pPr>
            <w:r>
              <w:rPr>
                <w:color w:val="1C3A36"/>
                <w:sz w:val="15"/>
              </w:rPr>
              <w:t>2026-09-04</w:t>
            </w:r>
          </w:p>
        </w:tc>
        <w:tc>
          <w:tcPr>
            <w:tcW w:type="dxa" w:w="5933"/>
          </w:tcPr>
          <w:p>
            <w:pPr>
              <w:spacing w:after="20"/>
            </w:pPr>
            <w:r>
              <w:rPr>
                <w:color w:val="1C3A36"/>
                <w:sz w:val="15"/>
              </w:rPr>
              <w:t>Long-run Egyptian inflation, taken from this house's single dated macroeconomic path for Egypt rather than set inside this study — one path is used by every Egyptian company we cover, so two studies cannot value companies in economies that disagree with each other. It is registered here so that the terminal growth rate below is DERIVED from it rather than typed beside it</w:t>
            </w:r>
          </w:p>
        </w:tc>
      </w:tr>
      <w:tr>
        <w:tc>
          <w:tcPr>
            <w:tcW w:type="dxa" w:w="1656"/>
          </w:tcPr>
          <w:p>
            <w:pPr>
              <w:spacing w:after="20"/>
            </w:pPr>
            <w:r>
              <w:rPr>
                <w:color w:val="1C3A36"/>
                <w:sz w:val="15"/>
              </w:rPr>
              <w:t>usd rf</w:t>
            </w:r>
          </w:p>
        </w:tc>
        <w:tc>
          <w:tcPr>
            <w:tcW w:type="dxa" w:w="1368"/>
          </w:tcPr>
          <w:p>
            <w:pPr>
              <w:spacing w:after="20"/>
            </w:pPr>
            <w:r>
              <w:rPr>
                <w:color w:val="1C3A36"/>
                <w:sz w:val="15"/>
              </w:rPr>
              <w:t>0.043</w:t>
            </w:r>
          </w:p>
        </w:tc>
        <w:tc>
          <w:tcPr>
            <w:tcW w:type="dxa" w:w="1123"/>
          </w:tcPr>
          <w:p>
            <w:pPr>
              <w:spacing w:after="20"/>
            </w:pPr>
            <w:r>
              <w:rPr>
                <w:color w:val="1C3A36"/>
                <w:sz w:val="15"/>
              </w:rPr>
              <w:t>2026-08-05</w:t>
            </w:r>
          </w:p>
        </w:tc>
        <w:tc>
          <w:tcPr>
            <w:tcW w:type="dxa" w:w="5933"/>
          </w:tcPr>
          <w:p>
            <w:pPr>
              <w:spacing w:after="20"/>
            </w:pPr>
            <w:r>
              <w:rPr>
                <w:color w:val="1C3A36"/>
                <w:sz w:val="15"/>
              </w:rPr>
              <w:t>US dollar risk-free rate for the currency-of-discounting alternative, 10-year US Treasury area (house macro reference)</w:t>
            </w:r>
          </w:p>
        </w:tc>
      </w:tr>
    </w:tbl>
    <w:p>
      <w:pPr>
        <w:spacing w:after="40"/>
      </w:pPr>
    </w:p>
    <w:p>
      <w:pPr>
        <w:spacing w:after="60" w:before="160"/>
      </w:pPr>
      <w:r>
        <w:rPr>
          <w:b/>
          <w:i w:val="0"/>
          <w:color w:val="1C3A36"/>
          <w:sz w:val="22"/>
        </w:rPr>
        <w:t>House layer — 28 inputs</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656"/>
        <w:gridCol w:w="1368"/>
        <w:gridCol w:w="1123"/>
        <w:gridCol w:w="5933"/>
      </w:tblGrid>
      <w:tr>
        <w:tc>
          <w:tcPr>
            <w:tcW w:type="dxa" w:w="1656"/>
            <w:shd w:val="clear" w:color="auto" w:fill="EAF0EE"/>
          </w:tcPr>
          <w:p>
            <w:pPr>
              <w:spacing w:after="20"/>
            </w:pPr>
            <w:r>
              <w:rPr>
                <w:b/>
                <w:color w:val="1C3A36"/>
                <w:sz w:val="15"/>
              </w:rPr>
              <w:t>Input</w:t>
            </w:r>
          </w:p>
        </w:tc>
        <w:tc>
          <w:tcPr>
            <w:tcW w:type="dxa" w:w="1368"/>
            <w:shd w:val="clear" w:color="auto" w:fill="EAF0EE"/>
          </w:tcPr>
          <w:p>
            <w:pPr>
              <w:spacing w:after="20"/>
            </w:pPr>
            <w:r>
              <w:rPr>
                <w:b/>
                <w:color w:val="1C3A36"/>
                <w:sz w:val="15"/>
              </w:rPr>
              <w:t>Value</w:t>
            </w:r>
          </w:p>
        </w:tc>
        <w:tc>
          <w:tcPr>
            <w:tcW w:type="dxa" w:w="1123"/>
            <w:shd w:val="clear" w:color="auto" w:fill="EAF0EE"/>
          </w:tcPr>
          <w:p>
            <w:pPr>
              <w:spacing w:after="20"/>
            </w:pPr>
            <w:r>
              <w:rPr>
                <w:b/>
                <w:color w:val="1C3A36"/>
                <w:sz w:val="15"/>
              </w:rPr>
              <w:t>Date</w:t>
            </w:r>
          </w:p>
        </w:tc>
        <w:tc>
          <w:tcPr>
            <w:tcW w:type="dxa" w:w="5933"/>
            <w:shd w:val="clear" w:color="auto" w:fill="EAF0EE"/>
          </w:tcPr>
          <w:p>
            <w:pPr>
              <w:spacing w:after="20"/>
            </w:pPr>
            <w:r>
              <w:rPr>
                <w:b/>
                <w:color w:val="1C3A36"/>
                <w:sz w:val="15"/>
              </w:rPr>
              <w:t>Source and construction</w:t>
            </w:r>
          </w:p>
        </w:tc>
      </w:tr>
      <w:tr>
        <w:tc>
          <w:tcPr>
            <w:tcW w:type="dxa" w:w="1656"/>
          </w:tcPr>
          <w:p>
            <w:pPr>
              <w:spacing w:after="20"/>
            </w:pPr>
            <w:r>
              <w:rPr>
                <w:color w:val="1C3A36"/>
                <w:sz w:val="15"/>
              </w:rPr>
              <w:t>q1 25 ebitda house</w:t>
            </w:r>
          </w:p>
        </w:tc>
        <w:tc>
          <w:tcPr>
            <w:tcW w:type="dxa" w:w="1368"/>
          </w:tcPr>
          <w:p>
            <w:pPr>
              <w:spacing w:after="20"/>
            </w:pPr>
            <w:r>
              <w:rPr>
                <w:color w:val="1C3A36"/>
                <w:sz w:val="15"/>
              </w:rPr>
              <w:t>7,488.8</w:t>
            </w:r>
          </w:p>
        </w:tc>
        <w:tc>
          <w:tcPr>
            <w:tcW w:type="dxa" w:w="1123"/>
          </w:tcPr>
          <w:p>
            <w:pPr>
              <w:spacing w:after="20"/>
            </w:pPr>
            <w:r>
              <w:rPr>
                <w:color w:val="1C3A36"/>
                <w:sz w:val="15"/>
              </w:rPr>
              <w:t>2026-05-13</w:t>
            </w:r>
          </w:p>
        </w:tc>
        <w:tc>
          <w:tcPr>
            <w:tcW w:type="dxa" w:w="5933"/>
          </w:tcPr>
          <w:p>
            <w:pPr>
              <w:spacing w:after="20"/>
            </w:pPr>
            <w:r>
              <w:rPr>
                <w:color w:val="1C3A36"/>
                <w:sz w:val="15"/>
              </w:rPr>
              <w:t>Q1-2025 house EBITDA: operating profit 6,503.867706 + depreciation/amortisation estimated at the FY2025 D&amp;A ratio applied to Q1-2025 revenue (the interim filing does not itemise D&amp;A separately from operating profit)</w:t>
            </w:r>
          </w:p>
        </w:tc>
      </w:tr>
      <w:tr>
        <w:tc>
          <w:tcPr>
            <w:tcW w:type="dxa" w:w="1656"/>
          </w:tcPr>
          <w:p>
            <w:pPr>
              <w:spacing w:after="20"/>
            </w:pPr>
            <w:r>
              <w:rPr>
                <w:color w:val="1C3A36"/>
                <w:sz w:val="15"/>
              </w:rPr>
              <w:t>fx depreciation path</w:t>
            </w:r>
          </w:p>
        </w:tc>
        <w:tc>
          <w:tcPr>
            <w:tcW w:type="dxa" w:w="1368"/>
          </w:tcPr>
          <w:p>
            <w:pPr>
              <w:spacing w:after="20"/>
            </w:pPr>
            <w:r>
              <w:rPr>
                <w:color w:val="1C3A36"/>
                <w:sz w:val="15"/>
              </w:rPr>
              <w:t>0.1317, 0.0927, 0.0634, 0.0488, 0.0439</w:t>
            </w:r>
          </w:p>
        </w:tc>
        <w:tc>
          <w:tcPr>
            <w:tcW w:type="dxa" w:w="1123"/>
          </w:tcPr>
          <w:p>
            <w:pPr>
              <w:spacing w:after="20"/>
            </w:pPr>
            <w:r>
              <w:rPr>
                <w:color w:val="1C3A36"/>
                <w:sz w:val="15"/>
              </w:rPr>
              <w:t>2026-09-13</w:t>
            </w:r>
          </w:p>
        </w:tc>
        <w:tc>
          <w:tcPr>
            <w:tcW w:type="dxa" w:w="5933"/>
          </w:tcPr>
          <w:p>
            <w:pPr>
              <w:spacing w:after="20"/>
            </w:pPr>
            <w:r>
              <w:rPr>
                <w:color w:val="1C3A36"/>
                <w:sz w:val="15"/>
              </w:rPr>
              <w:t>Relative-purchasing-power depreciation ladder for the pound, READ from the house Egyptian macro path: its own inflation ladder against long-run US inflation, never set by hand. This is the shape the currency path below is built on; the base is the company's own realised FY2025 average rate</w:t>
            </w:r>
          </w:p>
        </w:tc>
      </w:tr>
      <w:tr>
        <w:tc>
          <w:tcPr>
            <w:tcW w:type="dxa" w:w="1656"/>
          </w:tcPr>
          <w:p>
            <w:pPr>
              <w:spacing w:after="20"/>
            </w:pPr>
            <w:r>
              <w:rPr>
                <w:color w:val="1C3A36"/>
                <w:sz w:val="15"/>
              </w:rPr>
              <w:t>fx path</w:t>
            </w:r>
          </w:p>
        </w:tc>
        <w:tc>
          <w:tcPr>
            <w:tcW w:type="dxa" w:w="1368"/>
          </w:tcPr>
          <w:p>
            <w:pPr>
              <w:spacing w:after="20"/>
            </w:pPr>
            <w:r>
              <w:rPr>
                <w:color w:val="1C3A36"/>
                <w:sz w:val="15"/>
              </w:rPr>
              <w:t>53.9711, 58.9733, 62.7131, 65.7723, 68.6598</w:t>
            </w:r>
          </w:p>
        </w:tc>
        <w:tc>
          <w:tcPr>
            <w:tcW w:type="dxa" w:w="1123"/>
          </w:tcPr>
          <w:p>
            <w:pPr>
              <w:spacing w:after="20"/>
            </w:pPr>
            <w:r>
              <w:rPr>
                <w:color w:val="1C3A36"/>
                <w:sz w:val="15"/>
              </w:rPr>
              <w:t>2026-09-13</w:t>
            </w:r>
          </w:p>
        </w:tc>
        <w:tc>
          <w:tcPr>
            <w:tcW w:type="dxa" w:w="5933"/>
          </w:tcPr>
          <w:p>
            <w:pPr>
              <w:spacing w:after="20"/>
            </w:pPr>
            <w:r>
              <w:rPr>
                <w:color w:val="1C3A36"/>
                <w:sz w:val="15"/>
              </w:rPr>
              <w:t>USD/EGP average-rate path, DERIVED and never set by hand: the company's own realised FY2025 average rate of 47.69 from the audited statements, escalated on the house Egyptian macro path's relative-purchasing-power depreciation ladder, registered as its own input beside this one, which is derived in turn from that path's own inflation against long-run US inflation. Used as a genuine driver of the Cables segment's copper-linked revenue and of the currency-of-discounting alternative, not a translation convenience. THE RETIRED PATH ran a flat ~6% a year: deliberately below covered-interest parity on the view that disinflation would close most of the differential, but escalating costs at the full house inflation beside it made the pound appreciate in real terms for ever with nothing saying so. The parity case is still carried as an explicit sensitivity</w:t>
            </w:r>
          </w:p>
        </w:tc>
      </w:tr>
      <w:tr>
        <w:tc>
          <w:tcPr>
            <w:tcW w:type="dxa" w:w="1656"/>
          </w:tcPr>
          <w:p>
            <w:pPr>
              <w:spacing w:after="20"/>
            </w:pPr>
            <w:r>
              <w:rPr>
                <w:color w:val="1C3A36"/>
                <w:sz w:val="15"/>
              </w:rPr>
              <w:t>tax rate retired</w:t>
            </w:r>
          </w:p>
        </w:tc>
        <w:tc>
          <w:tcPr>
            <w:tcW w:type="dxa" w:w="1368"/>
          </w:tcPr>
          <w:p>
            <w:pPr>
              <w:spacing w:after="20"/>
            </w:pPr>
            <w:r>
              <w:rPr>
                <w:color w:val="1C3A36"/>
                <w:sz w:val="15"/>
              </w:rPr>
              <w:t>0.259</w:t>
            </w:r>
          </w:p>
        </w:tc>
        <w:tc>
          <w:tcPr>
            <w:tcW w:type="dxa" w:w="1123"/>
          </w:tcPr>
          <w:p>
            <w:pPr>
              <w:spacing w:after="20"/>
            </w:pPr>
            <w:r>
              <w:rPr>
                <w:color w:val="1C3A36"/>
                <w:sz w:val="15"/>
              </w:rPr>
              <w:t>2026-08-05</w:t>
            </w:r>
          </w:p>
        </w:tc>
        <w:tc>
          <w:tcPr>
            <w:tcW w:type="dxa" w:w="5933"/>
          </w:tcPr>
          <w:p>
            <w:pPr>
              <w:spacing w:after="20"/>
            </w:pPr>
            <w:r>
              <w:rPr>
                <w:color w:val="1C3A36"/>
                <w:sz w:val="15"/>
              </w:rPr>
              <w:t>The house tax assumption this study RETIRED: 25.9%, replaced by the rate the audited statements actually charge. Registered rather than typed into prose, because a study that cites what it changed is asserting that figure too</w:t>
            </w:r>
          </w:p>
        </w:tc>
      </w:tr>
      <w:tr>
        <w:tc>
          <w:tcPr>
            <w:tcW w:type="dxa" w:w="1656"/>
          </w:tcPr>
          <w:p>
            <w:pPr>
              <w:spacing w:after="20"/>
            </w:pPr>
            <w:r>
              <w:rPr>
                <w:color w:val="1C3A36"/>
                <w:sz w:val="15"/>
              </w:rPr>
              <w:t>corp load reversion</w:t>
            </w:r>
          </w:p>
        </w:tc>
        <w:tc>
          <w:tcPr>
            <w:tcW w:type="dxa" w:w="1368"/>
          </w:tcPr>
          <w:p>
            <w:pPr>
              <w:spacing w:after="20"/>
            </w:pPr>
            <w:r>
              <w:rPr>
                <w:color w:val="1C3A36"/>
                <w:sz w:val="15"/>
              </w:rPr>
              <w:t>0.0455, 0.0465, 0.0475, 0.0475, 0.0485</w:t>
            </w:r>
          </w:p>
        </w:tc>
        <w:tc>
          <w:tcPr>
            <w:tcW w:type="dxa" w:w="1123"/>
          </w:tcPr>
          <w:p>
            <w:pPr>
              <w:spacing w:after="20"/>
            </w:pPr>
            <w:r>
              <w:rPr>
                <w:color w:val="1C3A36"/>
                <w:sz w:val="15"/>
              </w:rPr>
              <w:t>2026-08-07</w:t>
            </w:r>
          </w:p>
        </w:tc>
        <w:tc>
          <w:tcPr>
            <w:tcW w:type="dxa" w:w="5933"/>
          </w:tcPr>
          <w:p>
            <w:pPr>
              <w:spacing w:after="20"/>
            </w:pPr>
            <w:r>
              <w:rPr>
                <w:color w:val="1C3A36"/>
                <w:sz w:val="15"/>
              </w:rPr>
              <w:t>THE RETIRED PATH, kept because it is this study's most consequential contested judgement and the depth bar requires such a judgement to be computed BOTH WAYS and published side by side rather than averaged. It glides the load from FY2025's level toward the FY2023-24 average of about 5.0%</w:t>
            </w:r>
          </w:p>
        </w:tc>
      </w:tr>
      <w:tr>
        <w:tc>
          <w:tcPr>
            <w:tcW w:type="dxa" w:w="1656"/>
          </w:tcPr>
          <w:p>
            <w:pPr>
              <w:spacing w:after="20"/>
            </w:pPr>
            <w:r>
              <w:rPr>
                <w:color w:val="1C3A36"/>
                <w:sz w:val="15"/>
              </w:rPr>
              <w:t>unit price inflation</w:t>
            </w:r>
          </w:p>
        </w:tc>
        <w:tc>
          <w:tcPr>
            <w:tcW w:type="dxa" w:w="1368"/>
          </w:tcPr>
          <w:p>
            <w:pPr>
              <w:spacing w:after="20"/>
            </w:pPr>
            <w:r>
              <w:rPr>
                <w:color w:val="1C3A36"/>
                <w:sz w:val="15"/>
              </w:rPr>
              <w:t>0.08, 0.075, 0.07, 0.07, 0.07</w:t>
            </w:r>
          </w:p>
        </w:tc>
        <w:tc>
          <w:tcPr>
            <w:tcW w:type="dxa" w:w="1123"/>
          </w:tcPr>
          <w:p>
            <w:pPr>
              <w:spacing w:after="20"/>
            </w:pPr>
            <w:r>
              <w:rPr>
                <w:color w:val="1C3A36"/>
                <w:sz w:val="15"/>
              </w:rPr>
              <w:t>2026-08-05</w:t>
            </w:r>
          </w:p>
        </w:tc>
        <w:tc>
          <w:tcPr>
            <w:tcW w:type="dxa" w:w="5933"/>
          </w:tcPr>
          <w:p>
            <w:pPr>
              <w:spacing w:after="20"/>
            </w:pPr>
            <w:r>
              <w:rPr>
                <w:color w:val="1C3A36"/>
                <w:sz w:val="15"/>
              </w:rPr>
              <w:t>RETIRED — not used, and consumed by no formula in this study. The segment build carries margins directly rather than escalating a unit price, so this array drives nothing. Retained for comparison with the editions that did read it, and declared to the macro-coherence record as retired rather than removed</w:t>
            </w:r>
          </w:p>
        </w:tc>
      </w:tr>
      <w:tr>
        <w:tc>
          <w:tcPr>
            <w:tcW w:type="dxa" w:w="1656"/>
          </w:tcPr>
          <w:p>
            <w:pPr>
              <w:spacing w:after="20"/>
            </w:pPr>
            <w:r>
              <w:rPr>
                <w:color w:val="1C3A36"/>
                <w:sz w:val="15"/>
              </w:rPr>
              <w:t>nwc pct</w:t>
            </w:r>
          </w:p>
        </w:tc>
        <w:tc>
          <w:tcPr>
            <w:tcW w:type="dxa" w:w="1368"/>
          </w:tcPr>
          <w:p>
            <w:pPr>
              <w:spacing w:after="20"/>
            </w:pPr>
            <w:r>
              <w:rPr>
                <w:color w:val="1C3A36"/>
                <w:sz w:val="15"/>
              </w:rPr>
              <w:t>0.1967</w:t>
            </w:r>
          </w:p>
        </w:tc>
        <w:tc>
          <w:tcPr>
            <w:tcW w:type="dxa" w:w="1123"/>
          </w:tcPr>
          <w:p>
            <w:pPr>
              <w:spacing w:after="20"/>
            </w:pPr>
            <w:r>
              <w:rPr>
                <w:color w:val="1C3A36"/>
                <w:sz w:val="15"/>
              </w:rPr>
              <w:t>2026-08-05</w:t>
            </w:r>
          </w:p>
        </w:tc>
        <w:tc>
          <w:tcPr>
            <w:tcW w:type="dxa" w:w="5933"/>
          </w:tcPr>
          <w:p>
            <w:pPr>
              <w:spacing w:after="20"/>
            </w:pPr>
            <w:r>
              <w:rPr>
                <w:color w:val="1C3A36"/>
                <w:sz w:val="15"/>
              </w:rPr>
              <w:t>Net working capital as a share of revenue, RE-ANCHORED on the REVIEWED 30-Jun-2026 sheet: inventories 79,140 + contract assets 40,121 + receivables 130,221 - payables 79,553 - contract liabilities 106,860 = 63,069 on last-twelve-month revenue of 320,564 = 19.67%. Retired: 19.90%, the FY2025 disclosed level (19.87%) — a genuine improvement on FY2023 (24.1%) and FY2024 (23.1%), carried forward without assuming further improvement or reversion</w:t>
            </w:r>
          </w:p>
        </w:tc>
      </w:tr>
      <w:tr>
        <w:tc>
          <w:tcPr>
            <w:tcW w:type="dxa" w:w="1656"/>
          </w:tcPr>
          <w:p>
            <w:pPr>
              <w:spacing w:after="20"/>
            </w:pPr>
            <w:r>
              <w:rPr>
                <w:color w:val="1C3A36"/>
                <w:sz w:val="15"/>
              </w:rPr>
              <w:t>capex pct</w:t>
            </w:r>
          </w:p>
        </w:tc>
        <w:tc>
          <w:tcPr>
            <w:tcW w:type="dxa" w:w="1368"/>
          </w:tcPr>
          <w:p>
            <w:pPr>
              <w:spacing w:after="20"/>
            </w:pPr>
            <w:r>
              <w:rPr>
                <w:color w:val="1C3A36"/>
                <w:sz w:val="15"/>
              </w:rPr>
              <w:t>0.044, 0.04, 0.036, 0.033, 0.031</w:t>
            </w:r>
          </w:p>
        </w:tc>
        <w:tc>
          <w:tcPr>
            <w:tcW w:type="dxa" w:w="1123"/>
          </w:tcPr>
          <w:p>
            <w:pPr>
              <w:spacing w:after="20"/>
            </w:pPr>
            <w:r>
              <w:rPr>
                <w:color w:val="1C3A36"/>
                <w:sz w:val="15"/>
              </w:rPr>
              <w:t>2026-08-05</w:t>
            </w:r>
          </w:p>
        </w:tc>
        <w:tc>
          <w:tcPr>
            <w:tcW w:type="dxa" w:w="5933"/>
          </w:tcPr>
          <w:p>
            <w:pPr>
              <w:spacing w:after="20"/>
            </w:pPr>
            <w:r>
              <w:rPr>
                <w:color w:val="1C3A36"/>
                <w:sz w:val="15"/>
              </w:rPr>
              <w:t>THE RETIRED PATH, superseded 09-09-2026 and kept because the depth bar requires a displaced construction to be published beside the one that replaced it. It tapered from the FY2025 disclosed level of 4.7% (up from 3.1% FY2023 and 3.7% FY2024) toward a lower maintenance-plus-modest-capacity level as the expansion cycle completes — a House glide, on a story about the cycle, set before the reviewed half was read. The half measures the cycle directly: see capex_pct_measured below</w:t>
            </w:r>
          </w:p>
        </w:tc>
      </w:tr>
      <w:tr>
        <w:tc>
          <w:tcPr>
            <w:tcW w:type="dxa" w:w="1656"/>
          </w:tcPr>
          <w:p>
            <w:pPr>
              <w:spacing w:after="20"/>
            </w:pPr>
            <w:r>
              <w:rPr>
                <w:color w:val="1C3A36"/>
                <w:sz w:val="15"/>
              </w:rPr>
              <w:t>dna pct</w:t>
            </w:r>
          </w:p>
        </w:tc>
        <w:tc>
          <w:tcPr>
            <w:tcW w:type="dxa" w:w="1368"/>
          </w:tcPr>
          <w:p>
            <w:pPr>
              <w:spacing w:after="20"/>
            </w:pPr>
            <w:r>
              <w:rPr>
                <w:color w:val="1C3A36"/>
                <w:sz w:val="15"/>
              </w:rPr>
              <w:t>0.0107</w:t>
            </w:r>
          </w:p>
        </w:tc>
        <w:tc>
          <w:tcPr>
            <w:tcW w:type="dxa" w:w="1123"/>
          </w:tcPr>
          <w:p>
            <w:pPr>
              <w:spacing w:after="20"/>
            </w:pPr>
            <w:r>
              <w:rPr>
                <w:color w:val="1C3A36"/>
                <w:sz w:val="15"/>
              </w:rPr>
              <w:t>2026-08-05</w:t>
            </w:r>
          </w:p>
        </w:tc>
        <w:tc>
          <w:tcPr>
            <w:tcW w:type="dxa" w:w="5933"/>
          </w:tcPr>
          <w:p>
            <w:pPr>
              <w:spacing w:after="20"/>
            </w:pPr>
            <w:r>
              <w:rPr>
                <w:color w:val="1C3A36"/>
                <w:sz w:val="15"/>
              </w:rPr>
              <w:t>Depreciation and amortisation as a share of revenue, AT the disclosed level rather than above it: FY2025 3,009/281,049 = 1.071% and the reviewed half 1,748/163,316 = 1.070%, two periods agreeing to a thousandth. The retired 1.25% was the FY2025 level plus a house uplift for the capex ramp, which the reviewed half then measured and did not show. Previously: held near the FY2025 disclosed level (1.07%) with a modest rise reflecting the larger capitalised asset base from the FY2025-26 capex ramp</w:t>
            </w:r>
          </w:p>
        </w:tc>
      </w:tr>
      <w:tr>
        <w:tc>
          <w:tcPr>
            <w:tcW w:type="dxa" w:w="1656"/>
          </w:tcPr>
          <w:p>
            <w:pPr>
              <w:spacing w:after="20"/>
            </w:pPr>
            <w:r>
              <w:rPr>
                <w:color w:val="1C3A36"/>
                <w:sz w:val="15"/>
              </w:rPr>
              <w:t>erp ops weighted</w:t>
            </w:r>
          </w:p>
        </w:tc>
        <w:tc>
          <w:tcPr>
            <w:tcW w:type="dxa" w:w="1368"/>
          </w:tcPr>
          <w:p>
            <w:pPr>
              <w:spacing w:after="20"/>
            </w:pPr>
            <w:r>
              <w:rPr>
                <w:color w:val="1C3A36"/>
                <w:sz w:val="15"/>
              </w:rPr>
              <w:t>0.0737</w:t>
            </w:r>
          </w:p>
        </w:tc>
        <w:tc>
          <w:tcPr>
            <w:tcW w:type="dxa" w:w="1123"/>
          </w:tcPr>
          <w:p>
            <w:pPr>
              <w:spacing w:after="20"/>
            </w:pPr>
            <w:r>
              <w:rPr>
                <w:color w:val="1C3A36"/>
                <w:sz w:val="15"/>
              </w:rPr>
              <w:t>2026-08-05</w:t>
            </w:r>
          </w:p>
        </w:tc>
        <w:tc>
          <w:tcPr>
            <w:tcW w:type="dxa" w:w="5933"/>
          </w:tcPr>
          <w:p>
            <w:pPr>
              <w:spacing w:after="20"/>
            </w:pPr>
            <w:r>
              <w:rPr>
                <w:color w:val="1C3A36"/>
                <w:sz w:val="15"/>
              </w:rPr>
              <w:t>Operations-weighted equity risk premium: 30% Egypt at 9.41% and 70% rest-of-world at a 6.5% blended emerging/frontier premium, reflecting where the revenue is actually earned. Shown as an explicit alternative, not the primary, because the standing house rule takes the country premium of the listing and reporting currency</w:t>
            </w:r>
          </w:p>
        </w:tc>
      </w:tr>
      <w:tr>
        <w:tc>
          <w:tcPr>
            <w:tcW w:type="dxa" w:w="1656"/>
          </w:tcPr>
          <w:p>
            <w:pPr>
              <w:spacing w:after="20"/>
            </w:pPr>
            <w:r>
              <w:rPr>
                <w:color w:val="1C3A36"/>
                <w:sz w:val="15"/>
              </w:rPr>
              <w:t>beta</w:t>
            </w:r>
          </w:p>
        </w:tc>
        <w:tc>
          <w:tcPr>
            <w:tcW w:type="dxa" w:w="1368"/>
          </w:tcPr>
          <w:p>
            <w:pPr>
              <w:spacing w:after="20"/>
            </w:pPr>
            <w:r>
              <w:rPr>
                <w:color w:val="1C3A36"/>
                <w:sz w:val="15"/>
              </w:rPr>
              <w:t>1.2249</w:t>
            </w:r>
          </w:p>
        </w:tc>
        <w:tc>
          <w:tcPr>
            <w:tcW w:type="dxa" w:w="1123"/>
          </w:tcPr>
          <w:p>
            <w:pPr>
              <w:spacing w:after="20"/>
            </w:pPr>
            <w:r>
              <w:rPr>
                <w:color w:val="1C3A36"/>
                <w:sz w:val="15"/>
              </w:rPr>
              <w:t>2026-09-08</w:t>
            </w:r>
          </w:p>
        </w:tc>
        <w:tc>
          <w:tcPr>
            <w:tcW w:type="dxa" w:w="5933"/>
          </w:tcPr>
          <w:p>
            <w:pPr>
              <w:spacing w:after="20"/>
            </w:pPr>
            <w:r>
              <w:rPr>
                <w:color w:val="1C3A36"/>
                <w:sz w:val="15"/>
              </w:rPr>
              <w:t>Own-stock tier-1 weekly regression against raw_indices/EG/EGX30.csv as at 2026-09-08 — THE PUBLISHED INDEX OF THE EXCHANGE THIS STOCK IS LISTED ON, resolved by beta_regression.own_stock_beta() rather than hand-rolled. R-squared 0.368, n = 256, standard error 0.1699, 90% confidence interval [0.945, 1.504]; Dimson-corrected for thin trading, matched to the exchange's own trading week (W-THU). Clears the usability gate and is not weak-instrument flagged. WITHDRAWN AND KEPT FOR COMPARISON: the previous edition regressed against a 31-name equal-weight composite of the covered library and got 1.0087 at an R-squared of 0.291 — +21.4% against the conforming figure, explaining less of the stock. A constituent composite is a coverage artefact rather than a market and SIGCM calls it a hard fail, not a tier.</w:t>
            </w:r>
          </w:p>
        </w:tc>
      </w:tr>
      <w:tr>
        <w:tc>
          <w:tcPr>
            <w:tcW w:type="dxa" w:w="1656"/>
          </w:tcPr>
          <w:p>
            <w:pPr>
              <w:spacing w:after="20"/>
            </w:pPr>
            <w:r>
              <w:rPr>
                <w:color w:val="1C3A36"/>
                <w:sz w:val="15"/>
              </w:rPr>
              <w:t>kd path</w:t>
            </w:r>
          </w:p>
        </w:tc>
        <w:tc>
          <w:tcPr>
            <w:tcW w:type="dxa" w:w="1368"/>
          </w:tcPr>
          <w:p>
            <w:pPr>
              <w:spacing w:after="20"/>
            </w:pPr>
            <w:r>
              <w:rPr>
                <w:color w:val="1C3A36"/>
                <w:sz w:val="15"/>
              </w:rPr>
              <w:t>0.095, 0.089, 0.084, 0.08, 0.077</w:t>
            </w:r>
          </w:p>
        </w:tc>
        <w:tc>
          <w:tcPr>
            <w:tcW w:type="dxa" w:w="1123"/>
          </w:tcPr>
          <w:p>
            <w:pPr>
              <w:spacing w:after="20"/>
            </w:pPr>
            <w:r>
              <w:rPr>
                <w:color w:val="1C3A36"/>
                <w:sz w:val="15"/>
              </w:rPr>
              <w:t>2026-08-05</w:t>
            </w:r>
          </w:p>
        </w:tc>
        <w:tc>
          <w:tcPr>
            <w:tcW w:type="dxa" w:w="5933"/>
          </w:tcPr>
          <w:p>
            <w:pPr>
              <w:spacing w:after="20"/>
            </w:pPr>
            <w:r>
              <w:rPr>
                <w:color w:val="1C3A36"/>
                <w:sz w:val="15"/>
              </w:rPr>
              <w:t>Forward cost-of-debt path FY26E-FY30E on the blended book, continuing the CBE easing cycle that has already taken the disclosed Egyptian-pound rate from 28.68% (FY2024) to 21.30% (FY2025) to 20.32% (Q1-2026), blended against a broadly flat hard-currency rate. The discount-rate glide takes its shape from this path by construction rather than being invented separately</w:t>
            </w:r>
          </w:p>
        </w:tc>
      </w:tr>
      <w:tr>
        <w:tc>
          <w:tcPr>
            <w:tcW w:type="dxa" w:w="1656"/>
          </w:tcPr>
          <w:p>
            <w:pPr>
              <w:spacing w:after="20"/>
            </w:pPr>
            <w:r>
              <w:rPr>
                <w:color w:val="1C3A36"/>
                <w:sz w:val="15"/>
              </w:rPr>
              <w:t>kd term</w:t>
            </w:r>
          </w:p>
        </w:tc>
        <w:tc>
          <w:tcPr>
            <w:tcW w:type="dxa" w:w="1368"/>
          </w:tcPr>
          <w:p>
            <w:pPr>
              <w:spacing w:after="20"/>
            </w:pPr>
            <w:r>
              <w:rPr>
                <w:color w:val="1C3A36"/>
                <w:sz w:val="15"/>
              </w:rPr>
              <w:t>0.0888</w:t>
            </w:r>
          </w:p>
        </w:tc>
        <w:tc>
          <w:tcPr>
            <w:tcW w:type="dxa" w:w="1123"/>
          </w:tcPr>
          <w:p>
            <w:pPr>
              <w:spacing w:after="20"/>
            </w:pPr>
            <w:r>
              <w:rPr>
                <w:color w:val="1C3A36"/>
                <w:sz w:val="15"/>
              </w:rPr>
              <w:t>2026-08-05</w:t>
            </w:r>
          </w:p>
        </w:tc>
        <w:tc>
          <w:tcPr>
            <w:tcW w:type="dxa" w:w="5933"/>
          </w:tcPr>
          <w:p>
            <w:pPr>
              <w:spacing w:after="20"/>
            </w:pPr>
            <w:r>
              <w:rPr>
                <w:color w:val="1C3A36"/>
                <w:sz w:val="15"/>
              </w:rPr>
              <w:t>Terminal blended cost of debt: 28% Egyptian pound at the 15% long-run Egyptian corporate-borrowing norm and 72% hard currency at 6.5% — the currency WEIGHTS updated to the actual FY2025 composition (formerly modelled 45%/55%, now measured at roughly 28%/72% from the Kd-integrity back-solve); the long-run rate norms themselves are unchanged policy assumptions</w:t>
            </w:r>
          </w:p>
        </w:tc>
      </w:tr>
      <w:tr>
        <w:tc>
          <w:tcPr>
            <w:tcW w:type="dxa" w:w="1656"/>
          </w:tcPr>
          <w:p>
            <w:pPr>
              <w:spacing w:after="20"/>
            </w:pPr>
            <w:r>
              <w:rPr>
                <w:color w:val="1C3A36"/>
                <w:sz w:val="15"/>
              </w:rPr>
              <w:t>grid centre retired</w:t>
            </w:r>
          </w:p>
        </w:tc>
        <w:tc>
          <w:tcPr>
            <w:tcW w:type="dxa" w:w="1368"/>
          </w:tcPr>
          <w:p>
            <w:pPr>
              <w:spacing w:after="20"/>
            </w:pPr>
            <w:r>
              <w:rPr>
                <w:color w:val="1C3A36"/>
                <w:sz w:val="15"/>
              </w:rPr>
              <w:t>49.7076</w:t>
            </w:r>
          </w:p>
        </w:tc>
        <w:tc>
          <w:tcPr>
            <w:tcW w:type="dxa" w:w="1123"/>
          </w:tcPr>
          <w:p>
            <w:pPr>
              <w:spacing w:after="20"/>
            </w:pPr>
            <w:r>
              <w:rPr>
                <w:color w:val="1C3A36"/>
                <w:sz w:val="15"/>
              </w:rPr>
              <w:t>2026-09-04</w:t>
            </w:r>
          </w:p>
        </w:tc>
        <w:tc>
          <w:tcPr>
            <w:tcW w:type="dxa" w:w="5933"/>
          </w:tcPr>
          <w:p>
            <w:pPr>
              <w:spacing w:after="20"/>
            </w:pPr>
            <w:r>
              <w:rPr>
                <w:color w:val="1C3A36"/>
                <w:sz w:val="15"/>
              </w:rPr>
              <w:t>What the RETIRED sensitivity grid returned at the adopted rates, growth and beta, before the grids were pointed at the same valuation function as the headline. It re-implemented the terminal on a construction this study had already retired and omitted the employees' statutory share of profit that the bridge charges. Quoted so a reader can see what changed; a different function produced it, so this model cannot compute it</w:t>
            </w:r>
          </w:p>
        </w:tc>
      </w:tr>
      <w:tr>
        <w:tc>
          <w:tcPr>
            <w:tcW w:type="dxa" w:w="1656"/>
          </w:tcPr>
          <w:p>
            <w:pPr>
              <w:spacing w:after="20"/>
            </w:pPr>
            <w:r>
              <w:rPr>
                <w:color w:val="1C3A36"/>
                <w:sz w:val="15"/>
              </w:rPr>
              <w:t>rf term</w:t>
            </w:r>
          </w:p>
        </w:tc>
        <w:tc>
          <w:tcPr>
            <w:tcW w:type="dxa" w:w="1368"/>
          </w:tcPr>
          <w:p>
            <w:pPr>
              <w:spacing w:after="20"/>
            </w:pPr>
            <w:r>
              <w:rPr>
                <w:color w:val="1C3A36"/>
                <w:sz w:val="15"/>
              </w:rPr>
              <w:t>0.105</w:t>
            </w:r>
          </w:p>
        </w:tc>
        <w:tc>
          <w:tcPr>
            <w:tcW w:type="dxa" w:w="1123"/>
          </w:tcPr>
          <w:p>
            <w:pPr>
              <w:spacing w:after="20"/>
            </w:pPr>
            <w:r>
              <w:rPr>
                <w:color w:val="1C3A36"/>
                <w:sz w:val="15"/>
              </w:rPr>
              <w:t>2026-09-09</w:t>
            </w:r>
          </w:p>
        </w:tc>
        <w:tc>
          <w:tcPr>
            <w:tcW w:type="dxa" w:w="5933"/>
          </w:tcPr>
          <w:p>
            <w:pPr>
              <w:spacing w:after="20"/>
            </w:pPr>
            <w:r>
              <w:rPr>
                <w:color w:val="1C3A36"/>
                <w:sz w:val="15"/>
              </w:rPr>
              <w:t>Terminal risk-free rate, DERIVED from the house macro path as the inflation target in force plus the real-rate convention, never typed: 7.00% + 3.50% = 10.50%. Revisions to 08-09-2026 carried 10.50%, built on a 5% inflation this study chose for itself while the terminal growth line four rows above used the house 7% and said the house path was the only source of an inflation rate here. Never a raw historical average and never reverse-engineered from a price</w:t>
            </w:r>
          </w:p>
        </w:tc>
      </w:tr>
      <w:tr>
        <w:tc>
          <w:tcPr>
            <w:tcW w:type="dxa" w:w="1656"/>
          </w:tcPr>
          <w:p>
            <w:pPr>
              <w:spacing w:after="20"/>
            </w:pPr>
            <w:r>
              <w:rPr>
                <w:color w:val="1C3A36"/>
                <w:sz w:val="15"/>
              </w:rPr>
              <w:t>erp term</w:t>
            </w:r>
          </w:p>
        </w:tc>
        <w:tc>
          <w:tcPr>
            <w:tcW w:type="dxa" w:w="1368"/>
          </w:tcPr>
          <w:p>
            <w:pPr>
              <w:spacing w:after="20"/>
            </w:pPr>
            <w:r>
              <w:rPr>
                <w:color w:val="1C3A36"/>
                <w:sz w:val="15"/>
              </w:rPr>
              <w:t>0.07</w:t>
            </w:r>
          </w:p>
        </w:tc>
        <w:tc>
          <w:tcPr>
            <w:tcW w:type="dxa" w:w="1123"/>
          </w:tcPr>
          <w:p>
            <w:pPr>
              <w:spacing w:after="20"/>
            </w:pPr>
            <w:r>
              <w:rPr>
                <w:color w:val="1C3A36"/>
                <w:sz w:val="15"/>
              </w:rPr>
              <w:t>2026-08-05</w:t>
            </w:r>
          </w:p>
        </w:tc>
        <w:tc>
          <w:tcPr>
            <w:tcW w:type="dxa" w:w="5933"/>
          </w:tcPr>
          <w:p>
            <w:pPr>
              <w:spacing w:after="20"/>
            </w:pPr>
            <w:r>
              <w:rPr>
                <w:color w:val="1C3A36"/>
                <w:sz w:val="15"/>
              </w:rPr>
              <w:t>Terminal equity risk premium, normalised below the currently elevated crisis-era level toward the rating-class norm; never held flat into perpetuity</w:t>
            </w:r>
          </w:p>
        </w:tc>
      </w:tr>
      <w:tr>
        <w:tc>
          <w:tcPr>
            <w:tcW w:type="dxa" w:w="1656"/>
          </w:tcPr>
          <w:p>
            <w:pPr>
              <w:spacing w:after="20"/>
            </w:pPr>
            <w:r>
              <w:rPr>
                <w:color w:val="1C3A36"/>
                <w:sz w:val="15"/>
              </w:rPr>
              <w:t>wd term</w:t>
            </w:r>
          </w:p>
        </w:tc>
        <w:tc>
          <w:tcPr>
            <w:tcW w:type="dxa" w:w="1368"/>
          </w:tcPr>
          <w:p>
            <w:pPr>
              <w:spacing w:after="20"/>
            </w:pPr>
            <w:r>
              <w:rPr>
                <w:color w:val="1C3A36"/>
                <w:sz w:val="15"/>
              </w:rPr>
              <w:t>0.15</w:t>
            </w:r>
          </w:p>
        </w:tc>
        <w:tc>
          <w:tcPr>
            <w:tcW w:type="dxa" w:w="1123"/>
          </w:tcPr>
          <w:p>
            <w:pPr>
              <w:spacing w:after="20"/>
            </w:pPr>
            <w:r>
              <w:rPr>
                <w:color w:val="1C3A36"/>
                <w:sz w:val="15"/>
              </w:rPr>
              <w:t>2026-08-07</w:t>
            </w:r>
          </w:p>
        </w:tc>
        <w:tc>
          <w:tcPr>
            <w:tcW w:type="dxa" w:w="5933"/>
          </w:tcPr>
          <w:p>
            <w:pPr>
              <w:spacing w:after="20"/>
            </w:pPr>
            <w:r>
              <w:rPr>
                <w:color w:val="1C3A36"/>
                <w:sz w:val="15"/>
              </w:rPr>
              <w:t>Terminal debt weight D/(D+E) on a net basis, NORMALISED — but reconciled to the model's OWN forecast balance sheet rather than asserted. REVISED from 25% after external critique (and the same finding in this study's own re-audit): at a 25% payout the forecast still deleverages toward a mid-single-digit net-debt weight by FY2030E, so a 25% terminal weight contradicted the model's own trajectory in the direction that flattered the valuation. 15% sits between today's 8.4% net weight and the old 25%, acknowledging that a working-capital-heavy industrial retains structural gross leverage. Worth about -5.3/share on the DCF lens versus the old 25%</w:t>
            </w:r>
          </w:p>
        </w:tc>
      </w:tr>
      <w:tr>
        <w:tc>
          <w:tcPr>
            <w:tcW w:type="dxa" w:w="1656"/>
          </w:tcPr>
          <w:p>
            <w:pPr>
              <w:spacing w:after="20"/>
            </w:pPr>
            <w:r>
              <w:rPr>
                <w:color w:val="1C3A36"/>
                <w:sz w:val="15"/>
              </w:rPr>
              <w:t>g term real</w:t>
            </w:r>
          </w:p>
        </w:tc>
        <w:tc>
          <w:tcPr>
            <w:tcW w:type="dxa" w:w="1368"/>
          </w:tcPr>
          <w:p>
            <w:pPr>
              <w:spacing w:after="20"/>
            </w:pPr>
            <w:r>
              <w:rPr>
                <w:color w:val="1C3A36"/>
                <w:sz w:val="15"/>
              </w:rPr>
              <w:t>0.02</w:t>
            </w:r>
          </w:p>
        </w:tc>
        <w:tc>
          <w:tcPr>
            <w:tcW w:type="dxa" w:w="1123"/>
          </w:tcPr>
          <w:p>
            <w:pPr>
              <w:spacing w:after="20"/>
            </w:pPr>
            <w:r>
              <w:rPr>
                <w:color w:val="1C3A36"/>
                <w:sz w:val="15"/>
              </w:rPr>
              <w:t>2026-09-10</w:t>
            </w:r>
          </w:p>
        </w:tc>
        <w:tc>
          <w:tcPr>
            <w:tcW w:type="dxa" w:w="5933"/>
          </w:tcPr>
          <w:p>
            <w:pPr>
              <w:spacing w:after="20"/>
            </w:pPr>
            <w:r>
              <w:rPr>
                <w:color w:val="1C3A36"/>
                <w:sz w:val="15"/>
              </w:rPr>
              <w:t>STATED real terminal growth: 2.0%, held BELOW the house path's long-run Egyptian real GDP growth of 4.5%% — the gap is the share of the economy this company is assumed to cede in perpetuity. THE RETIRED FIGURE WAS ZERO, and zero was wrong on its own terms rather than merely conservative: an economy growing 4.5% a year in real terms with a company growing 0% means the company shrinks to nothing relative to it, forever, which is not what 'a mature diversified industrial holding its real scale' meant. It is also not what this group has done — Constructions grew 32.6% then 28.3% and Electrical Products 46.6% then 43.7% in nominal terms, neither of them copper-linked. 2.0% is under half the economy's rate and well under the Cables segment's own forward real driver</w:t>
            </w:r>
          </w:p>
        </w:tc>
      </w:tr>
      <w:tr>
        <w:tc>
          <w:tcPr>
            <w:tcW w:type="dxa" w:w="1656"/>
          </w:tcPr>
          <w:p>
            <w:pPr>
              <w:spacing w:after="20"/>
            </w:pPr>
            <w:r>
              <w:rPr>
                <w:color w:val="1C3A36"/>
                <w:sz w:val="15"/>
              </w:rPr>
              <w:t>g term</w:t>
            </w:r>
          </w:p>
        </w:tc>
        <w:tc>
          <w:tcPr>
            <w:tcW w:type="dxa" w:w="1368"/>
          </w:tcPr>
          <w:p>
            <w:pPr>
              <w:spacing w:after="20"/>
            </w:pPr>
            <w:r>
              <w:rPr>
                <w:color w:val="1C3A36"/>
                <w:sz w:val="15"/>
              </w:rPr>
              <w:t>0.0914</w:t>
            </w:r>
          </w:p>
        </w:tc>
        <w:tc>
          <w:tcPr>
            <w:tcW w:type="dxa" w:w="1123"/>
          </w:tcPr>
          <w:p>
            <w:pPr>
              <w:spacing w:after="20"/>
            </w:pPr>
            <w:r>
              <w:rPr>
                <w:color w:val="1C3A36"/>
                <w:sz w:val="15"/>
              </w:rPr>
              <w:t>2026-09-10</w:t>
            </w:r>
          </w:p>
        </w:tc>
        <w:tc>
          <w:tcPr>
            <w:tcW w:type="dxa" w:w="5933"/>
          </w:tcPr>
          <w:p>
            <w:pPr>
              <w:spacing w:after="20"/>
            </w:pPr>
            <w:r>
              <w:rPr>
                <w:color w:val="1C3A36"/>
                <w:sz w:val="15"/>
              </w:rPr>
              <w:t>Terminal NOMINAL growth, DERIVED and read from the house path rather than chosen: (1 + 2.0% stated real growth) x (1 + 7.0% long-run Egyptian inflation) - 1, read from the house path. It is the only source of an inflation rate in this study, and macro_path refuses a real rate at or above the economy's own. Two earlier figures are retired: 5.0%, struck against an assumed 5% inflation and therefore a real DECLINE of 1.87% a year; and 7.0%, which fixed the inflation half and left real growth at zero</w:t>
            </w:r>
          </w:p>
        </w:tc>
      </w:tr>
      <w:tr>
        <w:tc>
          <w:tcPr>
            <w:tcW w:type="dxa" w:w="1656"/>
          </w:tcPr>
          <w:p>
            <w:pPr>
              <w:spacing w:after="20"/>
            </w:pPr>
            <w:r>
              <w:rPr>
                <w:color w:val="1C3A36"/>
                <w:sz w:val="15"/>
              </w:rPr>
              <w:t>usd erp</w:t>
            </w:r>
          </w:p>
        </w:tc>
        <w:tc>
          <w:tcPr>
            <w:tcW w:type="dxa" w:w="1368"/>
          </w:tcPr>
          <w:p>
            <w:pPr>
              <w:spacing w:after="20"/>
            </w:pPr>
            <w:r>
              <w:rPr>
                <w:color w:val="1C3A36"/>
                <w:sz w:val="15"/>
              </w:rPr>
              <w:t>0.075</w:t>
            </w:r>
          </w:p>
        </w:tc>
        <w:tc>
          <w:tcPr>
            <w:tcW w:type="dxa" w:w="1123"/>
          </w:tcPr>
          <w:p>
            <w:pPr>
              <w:spacing w:after="20"/>
            </w:pPr>
            <w:r>
              <w:rPr>
                <w:color w:val="1C3A36"/>
                <w:sz w:val="15"/>
              </w:rPr>
              <w:t>2026-08-05</w:t>
            </w:r>
          </w:p>
        </w:tc>
        <w:tc>
          <w:tcPr>
            <w:tcW w:type="dxa" w:w="5933"/>
          </w:tcPr>
          <w:p>
            <w:pPr>
              <w:spacing w:after="20"/>
            </w:pPr>
            <w:r>
              <w:rPr>
                <w:color w:val="1C3A36"/>
                <w:sz w:val="15"/>
              </w:rPr>
              <w:t>Equity risk premium for the hard-currency leg: mature-market premium plus a reduced operating-exposure country premium — deliberately NOT the full Egypt premium, since this alternative's whole point is to price the hard-currency cash flows as hard-currency cash flows</w:t>
            </w:r>
          </w:p>
        </w:tc>
      </w:tr>
      <w:tr>
        <w:tc>
          <w:tcPr>
            <w:tcW w:type="dxa" w:w="1656"/>
          </w:tcPr>
          <w:p>
            <w:pPr>
              <w:spacing w:after="20"/>
            </w:pPr>
            <w:r>
              <w:rPr>
                <w:color w:val="1C3A36"/>
                <w:sz w:val="15"/>
              </w:rPr>
              <w:t>usd kd</w:t>
            </w:r>
          </w:p>
        </w:tc>
        <w:tc>
          <w:tcPr>
            <w:tcW w:type="dxa" w:w="1368"/>
          </w:tcPr>
          <w:p>
            <w:pPr>
              <w:spacing w:after="20"/>
            </w:pPr>
            <w:r>
              <w:rPr>
                <w:color w:val="1C3A36"/>
                <w:sz w:val="15"/>
              </w:rPr>
              <w:t>0.065</w:t>
            </w:r>
          </w:p>
        </w:tc>
        <w:tc>
          <w:tcPr>
            <w:tcW w:type="dxa" w:w="1123"/>
          </w:tcPr>
          <w:p>
            <w:pPr>
              <w:spacing w:after="20"/>
            </w:pPr>
            <w:r>
              <w:rPr>
                <w:color w:val="1C3A36"/>
                <w:sz w:val="15"/>
              </w:rPr>
              <w:t>2026-08-05</w:t>
            </w:r>
          </w:p>
        </w:tc>
        <w:tc>
          <w:tcPr>
            <w:tcW w:type="dxa" w:w="5933"/>
          </w:tcPr>
          <w:p>
            <w:pPr>
              <w:spacing w:after="20"/>
            </w:pPr>
            <w:r>
              <w:rPr>
                <w:color w:val="1C3A36"/>
                <w:sz w:val="15"/>
              </w:rPr>
              <w:t>US dollar cost of debt for the alternative: the disclosed 5.3% hard-currency book rate plus a term/credit allowance</w:t>
            </w:r>
          </w:p>
        </w:tc>
      </w:tr>
      <w:tr>
        <w:tc>
          <w:tcPr>
            <w:tcW w:type="dxa" w:w="1656"/>
          </w:tcPr>
          <w:p>
            <w:pPr>
              <w:spacing w:after="20"/>
            </w:pPr>
            <w:r>
              <w:rPr>
                <w:color w:val="1C3A36"/>
                <w:sz w:val="15"/>
              </w:rPr>
              <w:t>usd wd</w:t>
            </w:r>
          </w:p>
        </w:tc>
        <w:tc>
          <w:tcPr>
            <w:tcW w:type="dxa" w:w="1368"/>
          </w:tcPr>
          <w:p>
            <w:pPr>
              <w:spacing w:after="20"/>
            </w:pPr>
            <w:r>
              <w:rPr>
                <w:color w:val="1C3A36"/>
                <w:sz w:val="15"/>
              </w:rPr>
              <w:t>0.25</w:t>
            </w:r>
          </w:p>
        </w:tc>
        <w:tc>
          <w:tcPr>
            <w:tcW w:type="dxa" w:w="1123"/>
          </w:tcPr>
          <w:p>
            <w:pPr>
              <w:spacing w:after="20"/>
            </w:pPr>
            <w:r>
              <w:rPr>
                <w:color w:val="1C3A36"/>
                <w:sz w:val="15"/>
              </w:rPr>
              <w:t>2026-08-05</w:t>
            </w:r>
          </w:p>
        </w:tc>
        <w:tc>
          <w:tcPr>
            <w:tcW w:type="dxa" w:w="5933"/>
          </w:tcPr>
          <w:p>
            <w:pPr>
              <w:spacing w:after="20"/>
            </w:pPr>
            <w:r>
              <w:rPr>
                <w:color w:val="1C3A36"/>
                <w:sz w:val="15"/>
              </w:rPr>
              <w:t>Debt weight for the USD-leg cost of capital</w:t>
            </w:r>
          </w:p>
        </w:tc>
      </w:tr>
      <w:tr>
        <w:tc>
          <w:tcPr>
            <w:tcW w:type="dxa" w:w="1656"/>
          </w:tcPr>
          <w:p>
            <w:pPr>
              <w:spacing w:after="20"/>
            </w:pPr>
            <w:r>
              <w:rPr>
                <w:color w:val="1C3A36"/>
                <w:sz w:val="15"/>
              </w:rPr>
              <w:t>usd g term</w:t>
            </w:r>
          </w:p>
        </w:tc>
        <w:tc>
          <w:tcPr>
            <w:tcW w:type="dxa" w:w="1368"/>
          </w:tcPr>
          <w:p>
            <w:pPr>
              <w:spacing w:after="20"/>
            </w:pPr>
            <w:r>
              <w:rPr>
                <w:color w:val="1C3A36"/>
                <w:sz w:val="15"/>
              </w:rPr>
              <w:t>0.035</w:t>
            </w:r>
          </w:p>
        </w:tc>
        <w:tc>
          <w:tcPr>
            <w:tcW w:type="dxa" w:w="1123"/>
          </w:tcPr>
          <w:p>
            <w:pPr>
              <w:spacing w:after="20"/>
            </w:pPr>
            <w:r>
              <w:rPr>
                <w:color w:val="1C3A36"/>
                <w:sz w:val="15"/>
              </w:rPr>
              <w:t>2026-08-05</w:t>
            </w:r>
          </w:p>
        </w:tc>
        <w:tc>
          <w:tcPr>
            <w:tcW w:type="dxa" w:w="5933"/>
          </w:tcPr>
          <w:p>
            <w:pPr>
              <w:spacing w:after="20"/>
            </w:pPr>
            <w:r>
              <w:rPr>
                <w:color w:val="1C3A36"/>
                <w:sz w:val="15"/>
              </w:rPr>
              <w:t>Terminal growth of the USD-denominated leg — real growth plus dollar inflation, below the EGP terminal growth by the inflation differential</w:t>
            </w:r>
          </w:p>
        </w:tc>
      </w:tr>
      <w:tr>
        <w:tc>
          <w:tcPr>
            <w:tcW w:type="dxa" w:w="1656"/>
          </w:tcPr>
          <w:p>
            <w:pPr>
              <w:spacing w:after="20"/>
            </w:pPr>
            <w:r>
              <w:rPr>
                <w:color w:val="1C3A36"/>
                <w:sz w:val="15"/>
              </w:rPr>
              <w:t>anchor days</w:t>
            </w:r>
          </w:p>
        </w:tc>
        <w:tc>
          <w:tcPr>
            <w:tcW w:type="dxa" w:w="1368"/>
          </w:tcPr>
          <w:p>
            <w:pPr>
              <w:spacing w:after="20"/>
            </w:pPr>
            <w:r>
              <w:rPr>
                <w:color w:val="1C3A36"/>
                <w:sz w:val="15"/>
              </w:rPr>
              <w:t>246</w:t>
            </w:r>
          </w:p>
        </w:tc>
        <w:tc>
          <w:tcPr>
            <w:tcW w:type="dxa" w:w="1123"/>
          </w:tcPr>
          <w:p>
            <w:pPr>
              <w:spacing w:after="20"/>
            </w:pPr>
            <w:r>
              <w:rPr>
                <w:color w:val="1C3A36"/>
                <w:sz w:val="15"/>
              </w:rPr>
              <w:t>2026-09-13</w:t>
            </w:r>
          </w:p>
        </w:tc>
        <w:tc>
          <w:tcPr>
            <w:tcW w:type="dxa" w:w="5933"/>
          </w:tcPr>
          <w:p>
            <w:pPr>
              <w:spacing w:after="20"/>
            </w:pPr>
            <w:r>
              <w:rPr>
                <w:color w:val="1C3A36"/>
                <w:sz w:val="15"/>
              </w:rPr>
              <w:t>Days from the DCF's construction date (31 Dec 2025, the audited balance-sheet date the bridge is built on) to the anchor date of 3 Sep 2026 — the study's valuation date, and the close the fair value is measured against. All lens values are rolled to the anchor at the cost of equity, net of the FY2025 dividend paid inside the window, which is itself carried forward to the anchor rather than deducted at its ex-date. Added after external critique correctly noted the model was dated 31-Dec-2025 while the comparison price was seven months later, breaching the study's own one-date rule by that much accretion</w:t>
            </w:r>
          </w:p>
        </w:tc>
      </w:tr>
      <w:tr>
        <w:tc>
          <w:tcPr>
            <w:tcW w:type="dxa" w:w="1656"/>
          </w:tcPr>
          <w:p>
            <w:pPr>
              <w:spacing w:after="20"/>
            </w:pPr>
            <w:r>
              <w:rPr>
                <w:color w:val="1C3A36"/>
                <w:sz w:val="15"/>
              </w:rPr>
              <w:t>ev ebitda just</w:t>
            </w:r>
          </w:p>
        </w:tc>
        <w:tc>
          <w:tcPr>
            <w:tcW w:type="dxa" w:w="1368"/>
          </w:tcPr>
          <w:p>
            <w:pPr>
              <w:spacing w:after="20"/>
            </w:pPr>
            <w:r>
              <w:rPr>
                <w:color w:val="1C3A36"/>
                <w:sz w:val="15"/>
              </w:rPr>
              <w:t>6.5</w:t>
            </w:r>
          </w:p>
        </w:tc>
        <w:tc>
          <w:tcPr>
            <w:tcW w:type="dxa" w:w="1123"/>
          </w:tcPr>
          <w:p>
            <w:pPr>
              <w:spacing w:after="20"/>
            </w:pPr>
            <w:r>
              <w:rPr>
                <w:color w:val="1C3A36"/>
                <w:sz w:val="15"/>
              </w:rPr>
              <w:t>2026-08-05</w:t>
            </w:r>
          </w:p>
        </w:tc>
        <w:tc>
          <w:tcPr>
            <w:tcW w:type="dxa" w:w="5933"/>
          </w:tcPr>
          <w:p>
            <w:pPr>
              <w:spacing w:after="20"/>
            </w:pPr>
            <w:r>
              <w:rPr>
                <w:color w:val="1C3A36"/>
                <w:sz w:val="15"/>
              </w:rPr>
              <w:t>Justified EV/EBITDA on mid-cycle FY27E EBITDA. The company's own trailing multiple is elevated; listed cable and electrical-equipment peers trade 8-11x and Riyadh Cables ~14x on earnings. 6.5x applies an Egyptian-market discount for sovereign, currency-convertibility and disclosure risk. Bear 5.5x / bull 8.0x</w:t>
            </w:r>
          </w:p>
        </w:tc>
      </w:tr>
      <w:tr>
        <w:tc>
          <w:tcPr>
            <w:tcW w:type="dxa" w:w="1656"/>
          </w:tcPr>
          <w:p>
            <w:pPr>
              <w:spacing w:after="20"/>
            </w:pPr>
            <w:r>
              <w:rPr>
                <w:color w:val="1C3A36"/>
                <w:sz w:val="15"/>
              </w:rPr>
              <w:t>pe just</w:t>
            </w:r>
          </w:p>
        </w:tc>
        <w:tc>
          <w:tcPr>
            <w:tcW w:type="dxa" w:w="1368"/>
          </w:tcPr>
          <w:p>
            <w:pPr>
              <w:spacing w:after="20"/>
            </w:pPr>
            <w:r>
              <w:rPr>
                <w:color w:val="1C3A36"/>
                <w:sz w:val="15"/>
              </w:rPr>
              <w:t>9</w:t>
            </w:r>
          </w:p>
        </w:tc>
        <w:tc>
          <w:tcPr>
            <w:tcW w:type="dxa" w:w="1123"/>
          </w:tcPr>
          <w:p>
            <w:pPr>
              <w:spacing w:after="20"/>
            </w:pPr>
            <w:r>
              <w:rPr>
                <w:color w:val="1C3A36"/>
                <w:sz w:val="15"/>
              </w:rPr>
              <w:t>2026-08-05</w:t>
            </w:r>
          </w:p>
        </w:tc>
        <w:tc>
          <w:tcPr>
            <w:tcW w:type="dxa" w:w="5933"/>
          </w:tcPr>
          <w:p>
            <w:pPr>
              <w:spacing w:after="20"/>
            </w:pPr>
            <w:r>
              <w:rPr>
                <w:color w:val="1C3A36"/>
                <w:sz w:val="15"/>
              </w:rPr>
              <w:t>Justified through-cycle P/E on normalised earnings. 9.0x reflects a high-quality franchise held back by an Egyptian cost of equity near 28%. Bear 7.0x / bull 11.5x</w:t>
            </w:r>
          </w:p>
        </w:tc>
      </w:tr>
      <w:tr>
        <w:tc>
          <w:tcPr>
            <w:tcW w:type="dxa" w:w="1656"/>
          </w:tcPr>
          <w:p>
            <w:pPr>
              <w:spacing w:after="20"/>
            </w:pPr>
            <w:r>
              <w:rPr>
                <w:color w:val="1C3A36"/>
                <w:sz w:val="15"/>
              </w:rPr>
              <w:t>roe sust</w:t>
            </w:r>
          </w:p>
        </w:tc>
        <w:tc>
          <w:tcPr>
            <w:tcW w:type="dxa" w:w="1368"/>
          </w:tcPr>
          <w:p>
            <w:pPr>
              <w:spacing w:after="20"/>
            </w:pPr>
            <w:r>
              <w:rPr>
                <w:color w:val="1C3A36"/>
                <w:sz w:val="15"/>
              </w:rPr>
              <w:t>0.235</w:t>
            </w:r>
          </w:p>
        </w:tc>
        <w:tc>
          <w:tcPr>
            <w:tcW w:type="dxa" w:w="1123"/>
          </w:tcPr>
          <w:p>
            <w:pPr>
              <w:spacing w:after="20"/>
            </w:pPr>
            <w:r>
              <w:rPr>
                <w:color w:val="1C3A36"/>
                <w:sz w:val="15"/>
              </w:rPr>
              <w:t>2026-08-05</w:t>
            </w:r>
          </w:p>
        </w:tc>
        <w:tc>
          <w:tcPr>
            <w:tcW w:type="dxa" w:w="5933"/>
          </w:tcPr>
          <w:p>
            <w:pPr>
              <w:spacing w:after="20"/>
            </w:pPr>
            <w:r>
              <w:rPr>
                <w:color w:val="1C3A36"/>
                <w:sz w:val="15"/>
              </w:rPr>
              <w:t>Sustainable return on equity for the book lens. Trailing ROE on average parent equity is well above this; the FY2023-24 prints were flattered by devaluation inventory gains, so the sustainable rate is struck below them</w:t>
            </w:r>
          </w:p>
        </w:tc>
      </w:tr>
      <w:tr>
        <w:tc>
          <w:tcPr>
            <w:tcW w:type="dxa" w:w="1656"/>
          </w:tcPr>
          <w:p>
            <w:pPr>
              <w:spacing w:after="20"/>
            </w:pPr>
            <w:r>
              <w:rPr>
                <w:color w:val="1C3A36"/>
                <w:sz w:val="15"/>
              </w:rPr>
              <w:t>lens weights</w:t>
            </w:r>
          </w:p>
        </w:tc>
        <w:tc>
          <w:tcPr>
            <w:tcW w:type="dxa" w:w="1368"/>
          </w:tcPr>
          <w:p>
            <w:pPr>
              <w:spacing w:after="20"/>
            </w:pPr>
            <w:r>
              <w:rPr>
                <w:color w:val="1C3A36"/>
                <w:sz w:val="15"/>
              </w:rPr>
              <w:t>dcf: 0.45; relative: 0.2; normalized: 0.2; book: 0.15</w:t>
            </w:r>
          </w:p>
        </w:tc>
        <w:tc>
          <w:tcPr>
            <w:tcW w:type="dxa" w:w="1123"/>
          </w:tcPr>
          <w:p>
            <w:pPr>
              <w:spacing w:after="20"/>
            </w:pPr>
            <w:r>
              <w:rPr>
                <w:color w:val="1C3A36"/>
                <w:sz w:val="15"/>
              </w:rPr>
              <w:t>2026-08-05</w:t>
            </w:r>
          </w:p>
        </w:tc>
        <w:tc>
          <w:tcPr>
            <w:tcW w:type="dxa" w:w="5933"/>
          </w:tcPr>
          <w:p>
            <w:pPr>
              <w:spacing w:after="20"/>
            </w:pPr>
            <w:r>
              <w:rPr>
                <w:color w:val="1C3A36"/>
                <w:sz w:val="15"/>
              </w:rPr>
              <w:t>DCF primary for an operating manufacturer with a genuine, if undisclosed, contracted order book; the relative and normalised-earnings lenses carry equal secondary weight and the book lens least, because reported book value is distorted by three years of currency translation</w:t>
            </w:r>
          </w:p>
        </w:tc>
      </w:tr>
    </w:tbl>
    <w:p>
      <w:pPr>
        <w:spacing w:after="40"/>
      </w:pPr>
    </w:p>
    <w:p>
      <w:pPr>
        <w:spacing w:after="60" w:before="160"/>
      </w:pPr>
      <w:r>
        <w:rPr>
          <w:b/>
          <w:i w:val="0"/>
          <w:color w:val="1C3A36"/>
          <w:sz w:val="22"/>
        </w:rPr>
        <w:t>Company/House layer — 11 inputs</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656"/>
        <w:gridCol w:w="1368"/>
        <w:gridCol w:w="1123"/>
        <w:gridCol w:w="5933"/>
      </w:tblGrid>
      <w:tr>
        <w:tc>
          <w:tcPr>
            <w:tcW w:type="dxa" w:w="1656"/>
            <w:shd w:val="clear" w:color="auto" w:fill="EAF0EE"/>
          </w:tcPr>
          <w:p>
            <w:pPr>
              <w:spacing w:after="20"/>
            </w:pPr>
            <w:r>
              <w:rPr>
                <w:b/>
                <w:color w:val="1C3A36"/>
                <w:sz w:val="15"/>
              </w:rPr>
              <w:t>Input</w:t>
            </w:r>
          </w:p>
        </w:tc>
        <w:tc>
          <w:tcPr>
            <w:tcW w:type="dxa" w:w="1368"/>
            <w:shd w:val="clear" w:color="auto" w:fill="EAF0EE"/>
          </w:tcPr>
          <w:p>
            <w:pPr>
              <w:spacing w:after="20"/>
            </w:pPr>
            <w:r>
              <w:rPr>
                <w:b/>
                <w:color w:val="1C3A36"/>
                <w:sz w:val="15"/>
              </w:rPr>
              <w:t>Value</w:t>
            </w:r>
          </w:p>
        </w:tc>
        <w:tc>
          <w:tcPr>
            <w:tcW w:type="dxa" w:w="1123"/>
            <w:shd w:val="clear" w:color="auto" w:fill="EAF0EE"/>
          </w:tcPr>
          <w:p>
            <w:pPr>
              <w:spacing w:after="20"/>
            </w:pPr>
            <w:r>
              <w:rPr>
                <w:b/>
                <w:color w:val="1C3A36"/>
                <w:sz w:val="15"/>
              </w:rPr>
              <w:t>Date</w:t>
            </w:r>
          </w:p>
        </w:tc>
        <w:tc>
          <w:tcPr>
            <w:tcW w:type="dxa" w:w="5933"/>
            <w:shd w:val="clear" w:color="auto" w:fill="EAF0EE"/>
          </w:tcPr>
          <w:p>
            <w:pPr>
              <w:spacing w:after="20"/>
            </w:pPr>
            <w:r>
              <w:rPr>
                <w:b/>
                <w:color w:val="1C3A36"/>
                <w:sz w:val="15"/>
              </w:rPr>
              <w:t>Source and construction</w:t>
            </w:r>
          </w:p>
        </w:tc>
      </w:tr>
      <w:tr>
        <w:tc>
          <w:tcPr>
            <w:tcW w:type="dxa" w:w="1656"/>
          </w:tcPr>
          <w:p>
            <w:pPr>
              <w:spacing w:after="20"/>
            </w:pPr>
            <w:r>
              <w:rPr>
                <w:color w:val="1C3A36"/>
                <w:sz w:val="15"/>
              </w:rPr>
              <w:t>tax eff</w:t>
            </w:r>
          </w:p>
        </w:tc>
        <w:tc>
          <w:tcPr>
            <w:tcW w:type="dxa" w:w="1368"/>
          </w:tcPr>
          <w:p>
            <w:pPr>
              <w:spacing w:after="20"/>
            </w:pPr>
            <w:r>
              <w:rPr>
                <w:color w:val="1C3A36"/>
                <w:sz w:val="15"/>
              </w:rPr>
              <w:t>0.245</w:t>
            </w:r>
          </w:p>
        </w:tc>
        <w:tc>
          <w:tcPr>
            <w:tcW w:type="dxa" w:w="1123"/>
          </w:tcPr>
          <w:p>
            <w:pPr>
              <w:spacing w:after="20"/>
            </w:pPr>
            <w:r>
              <w:rPr>
                <w:color w:val="1C3A36"/>
                <w:sz w:val="15"/>
              </w:rPr>
              <w:t>2026-05-13</w:t>
            </w:r>
          </w:p>
        </w:tc>
        <w:tc>
          <w:tcPr>
            <w:tcW w:type="dxa" w:w="5933"/>
          </w:tcPr>
          <w:p>
            <w:pPr>
              <w:spacing w:after="20"/>
            </w:pPr>
            <w:r>
              <w:rPr>
                <w:color w:val="1C3A36"/>
                <w:sz w:val="15"/>
              </w:rPr>
              <w:t>Group effective tax rate used for the forecast. Audited effective rates: FY2023 31.3%, FY2024 30.1%, FY2025 22.6% (all now EXACT — tax expense / profit before tax, audited statement of profit or loss); Q1-2026 interim 25.75%. No statutory-vs-effective reconciliation is disclosed anywhere in the filings (Egyptian Accounting Standards do not require the IFRS-style table); the group operates in 15+ tax jurisdictions plus Free-Zone entities that pay 1% of revenue to GAFI instead of corporate tax. 24.5% sits between the FY2025 print and the historical average, allowing for the Q1-2026 uptick rather than extrapolating one low year</w:t>
            </w:r>
          </w:p>
        </w:tc>
      </w:tr>
      <w:tr>
        <w:tc>
          <w:tcPr>
            <w:tcW w:type="dxa" w:w="1656"/>
          </w:tcPr>
          <w:p>
            <w:pPr>
              <w:spacing w:after="20"/>
            </w:pPr>
            <w:r>
              <w:rPr>
                <w:color w:val="1C3A36"/>
                <w:sz w:val="15"/>
              </w:rPr>
              <w:t>cables passthrough</w:t>
            </w:r>
          </w:p>
        </w:tc>
        <w:tc>
          <w:tcPr>
            <w:tcW w:type="dxa" w:w="1368"/>
          </w:tcPr>
          <w:p>
            <w:pPr>
              <w:spacing w:after="20"/>
            </w:pPr>
            <w:r>
              <w:rPr>
                <w:color w:val="1C3A36"/>
                <w:sz w:val="15"/>
              </w:rPr>
              <w:t>0, -0.0654, -0.0436, -0.0218, 0</w:t>
            </w:r>
          </w:p>
        </w:tc>
        <w:tc>
          <w:tcPr>
            <w:tcW w:type="dxa" w:w="1123"/>
          </w:tcPr>
          <w:p>
            <w:pPr>
              <w:spacing w:after="20"/>
            </w:pPr>
            <w:r>
              <w:rPr>
                <w:color w:val="1C3A36"/>
                <w:sz w:val="15"/>
              </w:rPr>
              <w:t>2026-08-14</w:t>
            </w:r>
          </w:p>
        </w:tc>
        <w:tc>
          <w:tcPr>
            <w:tcW w:type="dxa" w:w="5933"/>
          </w:tcPr>
          <w:p>
            <w:pPr>
              <w:spacing w:after="20"/>
            </w:pPr>
            <w:r>
              <w:rPr>
                <w:color w:val="1C3A36"/>
                <w:sz w:val="15"/>
              </w:rPr>
              <w:t>How much of the copper-and-currency move reaches price per tonne, as the gap from FULL pass-through. ADOPTED: the MEAN of the two disclosed years (FY2024 +0.36%, FY2025 -13.43%, mean -6.54%) applied to the first year the formula governs and closing straight-line to zero by FY2030E. It uses both observations rather than the convenient one, and it closes because a shortfall CANNOT persist indefinitely: compounded, it drives price per tonne below the cost of the metal in it. FY2026 is 0.0 because that year is anchored on the reviewed half's own measured revenue and the formula does not govern it</w:t>
            </w:r>
          </w:p>
        </w:tc>
      </w:tr>
      <w:tr>
        <w:tc>
          <w:tcPr>
            <w:tcW w:type="dxa" w:w="1656"/>
          </w:tcPr>
          <w:p>
            <w:pPr>
              <w:spacing w:after="20"/>
            </w:pPr>
            <w:r>
              <w:rPr>
                <w:color w:val="1C3A36"/>
                <w:sz w:val="15"/>
              </w:rPr>
              <w:t>cables real growth</w:t>
            </w:r>
          </w:p>
        </w:tc>
        <w:tc>
          <w:tcPr>
            <w:tcW w:type="dxa" w:w="1368"/>
          </w:tcPr>
          <w:p>
            <w:pPr>
              <w:spacing w:after="20"/>
            </w:pPr>
            <w:r>
              <w:rPr>
                <w:color w:val="1C3A36"/>
                <w:sz w:val="15"/>
              </w:rPr>
              <w:t>0.03, 0.03, 0.03, 0.03, 0.03</w:t>
            </w:r>
          </w:p>
        </w:tc>
        <w:tc>
          <w:tcPr>
            <w:tcW w:type="dxa" w:w="1123"/>
          </w:tcPr>
          <w:p>
            <w:pPr>
              <w:spacing w:after="20"/>
            </w:pPr>
            <w:r>
              <w:rPr>
                <w:color w:val="1C3A36"/>
                <w:sz w:val="15"/>
              </w:rPr>
              <w:t>2026-09-10</w:t>
            </w:r>
          </w:p>
        </w:tc>
        <w:tc>
          <w:tcPr>
            <w:tcW w:type="dxa" w:w="5933"/>
          </w:tcPr>
          <w:p>
            <w:pPr>
              <w:spacing w:after="20"/>
            </w:pPr>
            <w:r>
              <w:rPr>
                <w:color w:val="1C3A36"/>
                <w:sz w:val="15"/>
              </w:rPr>
              <w:t>Real (ex-copper, ex-FX) volume/market-share growth for the Cables segment — modest and flat. HELD, AND NOW MEASURED RATHER THAN ASSERTED. Backing copper and the pound out of the segment's own audited revenue gives a REALISED real growth of +4.18% in FY2024 and -4.94% in FY2025, a two-year mean of about -0.4%. So 3.0% is already above what this segment has demonstrated, not below it, and it is not raised. The group's headline 35.9% revenue CAGR over FY2023-25 is 27.2 points of currency a year: the growth is real in pounds and largely absent in tonnes. Cables segment revenue growth = (1+copper growth)(1+FX growth)(1+this) - 1</w:t>
            </w:r>
          </w:p>
        </w:tc>
      </w:tr>
      <w:tr>
        <w:tc>
          <w:tcPr>
            <w:tcW w:type="dxa" w:w="1656"/>
          </w:tcPr>
          <w:p>
            <w:pPr>
              <w:spacing w:after="20"/>
            </w:pPr>
            <w:r>
              <w:rPr>
                <w:color w:val="1C3A36"/>
                <w:sz w:val="15"/>
              </w:rPr>
              <w:t>cables margin</w:t>
            </w:r>
          </w:p>
        </w:tc>
        <w:tc>
          <w:tcPr>
            <w:tcW w:type="dxa" w:w="1368"/>
          </w:tcPr>
          <w:p>
            <w:pPr>
              <w:spacing w:after="20"/>
            </w:pPr>
            <w:r>
              <w:rPr>
                <w:color w:val="1C3A36"/>
                <w:sz w:val="15"/>
              </w:rPr>
              <w:t>0.1143, 0.1143, 0.1143, 0.1143, 0.1143</w:t>
            </w:r>
          </w:p>
        </w:tc>
        <w:tc>
          <w:tcPr>
            <w:tcW w:type="dxa" w:w="1123"/>
          </w:tcPr>
          <w:p>
            <w:pPr>
              <w:spacing w:after="20"/>
            </w:pPr>
            <w:r>
              <w:rPr>
                <w:color w:val="1C3A36"/>
                <w:sz w:val="15"/>
              </w:rPr>
              <w:t>2026-08-11</w:t>
            </w:r>
          </w:p>
        </w:tc>
        <w:tc>
          <w:tcPr>
            <w:tcW w:type="dxa" w:w="5933"/>
          </w:tcPr>
          <w:p>
            <w:pPr>
              <w:spacing w:after="20"/>
            </w:pPr>
            <w:r>
              <w:rPr>
                <w:color w:val="1C3A36"/>
                <w:sz w:val="15"/>
              </w:rPr>
              <w:t>Cables segment profit margin (Note 5-3 external-revenue base), RE-ANCHORED and held flat. FY2025 13.49% plus the measured like-for-like half change of -2.06pp (H1-2025 14.54% -&gt; H1-2026 12.49%, note 16 of the reviewed interim statements). THE MEASURED DIRECTION IS DOWN, against the first edition's assumed recovery to 14.0-15.5%: cables revenue is copper-linked, so a rising copper price inflates the revenue base faster than the spread, and the FY2023-24 levels carried devaluation gains on cheaply bought inventory that will not repeat. No further decline is projected either — one measured half is a direction, not a trend</w:t>
            </w:r>
          </w:p>
        </w:tc>
      </w:tr>
      <w:tr>
        <w:tc>
          <w:tcPr>
            <w:tcW w:type="dxa" w:w="1656"/>
          </w:tcPr>
          <w:p>
            <w:pPr>
              <w:spacing w:after="20"/>
            </w:pPr>
            <w:r>
              <w:rPr>
                <w:color w:val="1C3A36"/>
                <w:sz w:val="15"/>
              </w:rPr>
              <w:t>construct growth</w:t>
            </w:r>
          </w:p>
        </w:tc>
        <w:tc>
          <w:tcPr>
            <w:tcW w:type="dxa" w:w="1368"/>
          </w:tcPr>
          <w:p>
            <w:pPr>
              <w:spacing w:after="20"/>
            </w:pPr>
            <w:r>
              <w:rPr>
                <w:color w:val="1C3A36"/>
                <w:sz w:val="15"/>
              </w:rPr>
              <w:t>0.2744, 0.2, 0.15, 0.115, 0.09</w:t>
            </w:r>
          </w:p>
        </w:tc>
        <w:tc>
          <w:tcPr>
            <w:tcW w:type="dxa" w:w="1123"/>
          </w:tcPr>
          <w:p>
            <w:pPr>
              <w:spacing w:after="20"/>
            </w:pPr>
            <w:r>
              <w:rPr>
                <w:color w:val="1C3A36"/>
                <w:sz w:val="15"/>
              </w:rPr>
              <w:t>2026-09-10</w:t>
            </w:r>
          </w:p>
        </w:tc>
        <w:tc>
          <w:tcPr>
            <w:tcW w:type="dxa" w:w="5933"/>
          </w:tcPr>
          <w:p>
            <w:pPr>
              <w:spacing w:after="20"/>
            </w:pPr>
            <w:r>
              <w:rPr>
                <w:color w:val="1C3A36"/>
                <w:sz w:val="15"/>
              </w:rPr>
              <w:t>Constructions segment revenue growth, RE-ANCHORED on the reviewed half on the reviewed half and then tapered. FY2026 is the segment's OWN measured like-for-like half growth, H1-2025 34,393 -&gt; H1-2026 43,831 = +27.44%; the taper runs to +9.0%. THE RETIRED PATH OPENED AT +18% while the company's own reviewed interim was running at +27.4% — a forecast contradicting the most recent disclosure this study read, in the direction that lowered the valuation. The margins in this segment were re-anchored on that same half on 11-Aug-2026 and the growth rates were not, so the rule was applied to one half of the segment build and not the other. THE BACKLOG, WHICH THIS DRIVER SAID FOR TWO EDITIONS DID NOT EXIST: no order book is disclosed in any AUDITED filing or in the Q1-2026 interim, but the ISSUER discloses one in its own quarterly earnings releases. Engineering and construction backlog runs EGP 196bn (Dec-24), 261, 276, 293 (Dec-25), 307 and 346bn at 30 June 2026, read off the Q2-2026 release; wires and cables 43.5bn and meters 8.8bn are disclosed beside it. That is +18% over the half against the +27.4% revenue growth this driver is anchored on, so the backlog CORROBORATES the level without being burnt down to produce it — the taper is still a taper on the segment's own revenue record, not a burn rate. Priced across its whole defensible range the taper is worth 0.17% of this study's gap to the market, because at a 9% segment margin against 20% working capital incremental Constructions revenue is very nearly free cash flow neutral. The false sentence was corrected because it was false, not because the number moves</w:t>
            </w:r>
          </w:p>
        </w:tc>
      </w:tr>
      <w:tr>
        <w:tc>
          <w:tcPr>
            <w:tcW w:type="dxa" w:w="1656"/>
          </w:tcPr>
          <w:p>
            <w:pPr>
              <w:spacing w:after="20"/>
            </w:pPr>
            <w:r>
              <w:rPr>
                <w:color w:val="1C3A36"/>
                <w:sz w:val="15"/>
              </w:rPr>
              <w:t>construct margin</w:t>
            </w:r>
          </w:p>
        </w:tc>
        <w:tc>
          <w:tcPr>
            <w:tcW w:type="dxa" w:w="1368"/>
          </w:tcPr>
          <w:p>
            <w:pPr>
              <w:spacing w:after="20"/>
            </w:pPr>
            <w:r>
              <w:rPr>
                <w:color w:val="1C3A36"/>
                <w:sz w:val="15"/>
              </w:rPr>
              <w:t>0.0899, 0.0899, 0.0899, 0.0899, 0.0899</w:t>
            </w:r>
          </w:p>
        </w:tc>
        <w:tc>
          <w:tcPr>
            <w:tcW w:type="dxa" w:w="1123"/>
          </w:tcPr>
          <w:p>
            <w:pPr>
              <w:spacing w:after="20"/>
            </w:pPr>
            <w:r>
              <w:rPr>
                <w:color w:val="1C3A36"/>
                <w:sz w:val="15"/>
              </w:rPr>
              <w:t>2026-08-11</w:t>
            </w:r>
          </w:p>
        </w:tc>
        <w:tc>
          <w:tcPr>
            <w:tcW w:type="dxa" w:w="5933"/>
          </w:tcPr>
          <w:p>
            <w:pPr>
              <w:spacing w:after="20"/>
            </w:pPr>
            <w:r>
              <w:rPr>
                <w:color w:val="1C3A36"/>
                <w:sz w:val="15"/>
              </w:rPr>
              <w:t>Constructions and infrastructure segment profit margin, RE-ANCHORED and held flat. FY2025 6.45% plus the measured like-for-like half change of +2.53pp (H1-2025 9.06% -&gt; H1-2026 11.59%). THE MEASURED DIRECTION IS UP and sharply, against the first edition's cautious 6.8% opening — the improvement is real and reviewed. It is NOT projected forward: a contracting margin turns on which projects reach their profitable phases in which period, no disclosure establishes that this mix is durable, and the half is held rather than extrapolated</w:t>
            </w:r>
          </w:p>
        </w:tc>
      </w:tr>
      <w:tr>
        <w:tc>
          <w:tcPr>
            <w:tcW w:type="dxa" w:w="1656"/>
          </w:tcPr>
          <w:p>
            <w:pPr>
              <w:spacing w:after="20"/>
            </w:pPr>
            <w:r>
              <w:rPr>
                <w:color w:val="1C3A36"/>
                <w:sz w:val="15"/>
              </w:rPr>
              <w:t>elecprod growth</w:t>
            </w:r>
          </w:p>
        </w:tc>
        <w:tc>
          <w:tcPr>
            <w:tcW w:type="dxa" w:w="1368"/>
          </w:tcPr>
          <w:p>
            <w:pPr>
              <w:spacing w:after="20"/>
            </w:pPr>
            <w:r>
              <w:rPr>
                <w:color w:val="1C3A36"/>
                <w:sz w:val="15"/>
              </w:rPr>
              <w:t>0.4828, 0.33, 0.23, 0.16, 0.11</w:t>
            </w:r>
          </w:p>
        </w:tc>
        <w:tc>
          <w:tcPr>
            <w:tcW w:type="dxa" w:w="1123"/>
          </w:tcPr>
          <w:p>
            <w:pPr>
              <w:spacing w:after="20"/>
            </w:pPr>
            <w:r>
              <w:rPr>
                <w:color w:val="1C3A36"/>
                <w:sz w:val="15"/>
              </w:rPr>
              <w:t>2026-09-10</w:t>
            </w:r>
          </w:p>
        </w:tc>
        <w:tc>
          <w:tcPr>
            <w:tcW w:type="dxa" w:w="5933"/>
          </w:tcPr>
          <w:p>
            <w:pPr>
              <w:spacing w:after="20"/>
            </w:pPr>
            <w:r>
              <w:rPr>
                <w:color w:val="1C3A36"/>
                <w:sz w:val="15"/>
              </w:rPr>
              <w:t>Electrical products and digital solutions segment revenue growth, RE-ANCHORED on the reviewed half. FY2026 is the segment's own measured like-for-like half growth, H1-2025 15,504 -&gt; H1-2026 22,989 = +48.28%; it then tapers to +11%. THE RETIRED PATH OPENED AT +20% — against a disclosed FY2025 of +43.7%, an FY2024 of +46.6% and a reviewed half running at +48.3%. Three consecutive disclosures said the same thing and the forecast halved the rate in year one with no named mechanism. THE MECHANISM FOR THE LEVEL IS NAMED AND DATED: this is the segment that makes transformers, and in August 2026 Elsewedy Electric — the listed company — signed a pre-purchase agreement to manufacture four high-voltage transformers of up to 360 MVA for Datagrid's Southland AI data centre via Transpower New Zealand, commissioning late 2027. The global grid-equipment cycle driving that order is the same one running through this segment's disclosed numbers. It is NOT extrapolated: the path halves the growth rate over four years</w:t>
            </w:r>
          </w:p>
        </w:tc>
      </w:tr>
      <w:tr>
        <w:tc>
          <w:tcPr>
            <w:tcW w:type="dxa" w:w="1656"/>
          </w:tcPr>
          <w:p>
            <w:pPr>
              <w:spacing w:after="20"/>
            </w:pPr>
            <w:r>
              <w:rPr>
                <w:color w:val="1C3A36"/>
                <w:sz w:val="15"/>
              </w:rPr>
              <w:t>elecprod margin</w:t>
            </w:r>
          </w:p>
        </w:tc>
        <w:tc>
          <w:tcPr>
            <w:tcW w:type="dxa" w:w="1368"/>
          </w:tcPr>
          <w:p>
            <w:pPr>
              <w:spacing w:after="20"/>
            </w:pPr>
            <w:r>
              <w:rPr>
                <w:color w:val="1C3A36"/>
                <w:sz w:val="15"/>
              </w:rPr>
              <w:t>0.2362, 0.2362, 0.2362, 0.2362, 0.2362</w:t>
            </w:r>
          </w:p>
        </w:tc>
        <w:tc>
          <w:tcPr>
            <w:tcW w:type="dxa" w:w="1123"/>
          </w:tcPr>
          <w:p>
            <w:pPr>
              <w:spacing w:after="20"/>
            </w:pPr>
            <w:r>
              <w:rPr>
                <w:color w:val="1C3A36"/>
                <w:sz w:val="15"/>
              </w:rPr>
              <w:t>2026-08-11</w:t>
            </w:r>
          </w:p>
        </w:tc>
        <w:tc>
          <w:tcPr>
            <w:tcW w:type="dxa" w:w="5933"/>
          </w:tcPr>
          <w:p>
            <w:pPr>
              <w:spacing w:after="20"/>
            </w:pPr>
            <w:r>
              <w:rPr>
                <w:color w:val="1C3A36"/>
                <w:sz w:val="15"/>
              </w:rPr>
              <w:t>Electrical products and digital solutions segment profit margin, RE-ANCHORED and held flat. FY2025 22.17% plus the measured like-for-like half change of +1.45pp (H1-2025 23.46% -&gt; H1-2026 24.91%). The least-compressed segment in FY2025 and the one recovering most quietly; held at the re-anchored level rather than drifting toward the FY2024 26.6%, which no measurement supports</w:t>
            </w:r>
          </w:p>
        </w:tc>
      </w:tr>
      <w:tr>
        <w:tc>
          <w:tcPr>
            <w:tcW w:type="dxa" w:w="1656"/>
          </w:tcPr>
          <w:p>
            <w:pPr>
              <w:spacing w:after="20"/>
            </w:pPr>
            <w:r>
              <w:rPr>
                <w:color w:val="1C3A36"/>
                <w:sz w:val="15"/>
              </w:rPr>
              <w:t>corp load</w:t>
            </w:r>
          </w:p>
        </w:tc>
        <w:tc>
          <w:tcPr>
            <w:tcW w:type="dxa" w:w="1368"/>
          </w:tcPr>
          <w:p>
            <w:pPr>
              <w:spacing w:after="20"/>
            </w:pPr>
            <w:r>
              <w:rPr>
                <w:color w:val="1C3A36"/>
                <w:sz w:val="15"/>
              </w:rPr>
              <w:t>0.0307, 0.0307, 0.0307, 0.0307, 0.0307</w:t>
            </w:r>
          </w:p>
        </w:tc>
        <w:tc>
          <w:tcPr>
            <w:tcW w:type="dxa" w:w="1123"/>
          </w:tcPr>
          <w:p>
            <w:pPr>
              <w:spacing w:after="20"/>
            </w:pPr>
            <w:r>
              <w:rPr>
                <w:color w:val="1C3A36"/>
                <w:sz w:val="15"/>
              </w:rPr>
              <w:t>2026-08-11</w:t>
            </w:r>
          </w:p>
        </w:tc>
        <w:tc>
          <w:tcPr>
            <w:tcW w:type="dxa" w:w="5933"/>
          </w:tcPr>
          <w:p>
            <w:pPr>
              <w:spacing w:after="20"/>
            </w:pPr>
            <w:r>
              <w:rPr>
                <w:color w:val="1C3A36"/>
                <w:sz w:val="15"/>
              </w:rPr>
              <w:t>Net corporate cost load, stated on the SEGMENT-PROFIT-TO-EBIT basis — the same basis as the audited historical bridge (FY2023 5.70%, FY2024 4.30%, FY2025 3.16%). RE-ANCHORED: FY2025's 3.16% plus the measured like-for-like half change of -0.09pp (H1-2025 3.96% -&gt; H1-2026 3.87%, both computed as segment profit less operating profit over revenue from the reviewed interim statements), held FLAT. The first edition glided it up toward 5.0% on the view that FY2025 was unusually low; the reviewed half measures the level holding, and no disclosure names a mechanism that would take it back up</w:t>
            </w:r>
          </w:p>
        </w:tc>
      </w:tr>
      <w:tr>
        <w:tc>
          <w:tcPr>
            <w:tcW w:type="dxa" w:w="1656"/>
          </w:tcPr>
          <w:p>
            <w:pPr>
              <w:spacing w:after="20"/>
            </w:pPr>
            <w:r>
              <w:rPr>
                <w:color w:val="1C3A36"/>
                <w:sz w:val="15"/>
              </w:rPr>
              <w:t>opex pct</w:t>
            </w:r>
          </w:p>
        </w:tc>
        <w:tc>
          <w:tcPr>
            <w:tcW w:type="dxa" w:w="1368"/>
          </w:tcPr>
          <w:p>
            <w:pPr>
              <w:spacing w:after="20"/>
            </w:pPr>
            <w:r>
              <w:rPr>
                <w:color w:val="1C3A36"/>
                <w:sz w:val="15"/>
              </w:rPr>
              <w:t>0.0307, 0.0307, 0.0307, 0.0307, 0.0307</w:t>
            </w:r>
          </w:p>
        </w:tc>
        <w:tc>
          <w:tcPr>
            <w:tcW w:type="dxa" w:w="1123"/>
          </w:tcPr>
          <w:p>
            <w:pPr>
              <w:spacing w:after="20"/>
            </w:pPr>
            <w:r>
              <w:rPr>
                <w:color w:val="1C3A36"/>
                <w:sz w:val="15"/>
              </w:rPr>
              <w:t>2026-08-11</w:t>
            </w:r>
          </w:p>
        </w:tc>
        <w:tc>
          <w:tcPr>
            <w:tcW w:type="dxa" w:w="5933"/>
          </w:tcPr>
          <w:p>
            <w:pPr>
              <w:spacing w:after="20"/>
            </w:pPr>
            <w:r>
              <w:rPr>
                <w:color w:val="1C3A36"/>
                <w:sz w:val="15"/>
              </w:rPr>
              <w:t>Alias of corp_load (segment-profit-to-EBIT basis), retained for compatibility with the DCF waterfall and sensitivity-grid code paths that reference a single operating-load driver</w:t>
            </w:r>
          </w:p>
        </w:tc>
      </w:tr>
      <w:tr>
        <w:tc>
          <w:tcPr>
            <w:tcW w:type="dxa" w:w="1656"/>
          </w:tcPr>
          <w:p>
            <w:pPr>
              <w:spacing w:after="20"/>
            </w:pPr>
            <w:r>
              <w:rPr>
                <w:color w:val="1C3A36"/>
                <w:sz w:val="15"/>
              </w:rPr>
              <w:t>kd</w:t>
            </w:r>
          </w:p>
        </w:tc>
        <w:tc>
          <w:tcPr>
            <w:tcW w:type="dxa" w:w="1368"/>
          </w:tcPr>
          <w:p>
            <w:pPr>
              <w:spacing w:after="20"/>
            </w:pPr>
            <w:r>
              <w:rPr>
                <w:color w:val="1C3A36"/>
                <w:sz w:val="15"/>
              </w:rPr>
              <w:t>0.095</w:t>
            </w:r>
          </w:p>
        </w:tc>
        <w:tc>
          <w:tcPr>
            <w:tcW w:type="dxa" w:w="1123"/>
          </w:tcPr>
          <w:p>
            <w:pPr>
              <w:spacing w:after="20"/>
            </w:pPr>
            <w:r>
              <w:rPr>
                <w:color w:val="1C3A36"/>
                <w:sz w:val="15"/>
              </w:rPr>
              <w:t>2026-05-13</w:t>
            </w:r>
          </w:p>
        </w:tc>
        <w:tc>
          <w:tcPr>
            <w:tcW w:type="dxa" w:w="5933"/>
          </w:tcPr>
          <w:p>
            <w:pPr>
              <w:spacing w:after="20"/>
            </w:pPr>
            <w:r>
              <w:rPr>
                <w:color w:val="1C3A36"/>
                <w:sz w:val="15"/>
              </w:rPr>
              <w:t>Marginal cost of debt, CURRENCY-BLENDED, rolled forward to the most recently disclosed rates. The audited FY2025 note (32) discloses 21.30% on Egyptian-pound financial liabilities and 5.29% blended on 'US dollars and foreign currencies' — a simpler two-way split than FY2024's three-way EGP/USD/EUR disclosure, which the company itself has moved away from. The Kd-integrity effective-rate back-solve below implies an Egyptian-pound weight of roughly 28% (down sharply from FY2024's ~44%, as the hard-currency share of the book grew), giving a blended marginal rate of about 9.8% on the FY2025 print and 9.6% on the Q1-2026 print (EGP 20.32%, foreign 5.28%). 9.5% is struck just below both, allowing for the CBE's continuing easing</w:t>
            </w:r>
          </w:p>
        </w:tc>
      </w:tr>
    </w:tbl>
    <w:p>
      <w:pPr>
        <w:spacing w:after="40"/>
      </w:pPr>
    </w:p>
    <w:p>
      <w:pPr>
        <w:spacing w:after="60" w:before="160"/>
      </w:pPr>
      <w:r>
        <w:rPr>
          <w:b/>
          <w:i w:val="0"/>
          <w:color w:val="1C3A36"/>
          <w:sz w:val="22"/>
        </w:rPr>
        <w:t>Company/derived layer — 1 inputs</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656"/>
        <w:gridCol w:w="1368"/>
        <w:gridCol w:w="1123"/>
        <w:gridCol w:w="5933"/>
      </w:tblGrid>
      <w:tr>
        <w:tc>
          <w:tcPr>
            <w:tcW w:type="dxa" w:w="1656"/>
            <w:shd w:val="clear" w:color="auto" w:fill="EAF0EE"/>
          </w:tcPr>
          <w:p>
            <w:pPr>
              <w:spacing w:after="20"/>
            </w:pPr>
            <w:r>
              <w:rPr>
                <w:b/>
                <w:color w:val="1C3A36"/>
                <w:sz w:val="15"/>
              </w:rPr>
              <w:t>Input</w:t>
            </w:r>
          </w:p>
        </w:tc>
        <w:tc>
          <w:tcPr>
            <w:tcW w:type="dxa" w:w="1368"/>
            <w:shd w:val="clear" w:color="auto" w:fill="EAF0EE"/>
          </w:tcPr>
          <w:p>
            <w:pPr>
              <w:spacing w:after="20"/>
            </w:pPr>
            <w:r>
              <w:rPr>
                <w:b/>
                <w:color w:val="1C3A36"/>
                <w:sz w:val="15"/>
              </w:rPr>
              <w:t>Value</w:t>
            </w:r>
          </w:p>
        </w:tc>
        <w:tc>
          <w:tcPr>
            <w:tcW w:type="dxa" w:w="1123"/>
            <w:shd w:val="clear" w:color="auto" w:fill="EAF0EE"/>
          </w:tcPr>
          <w:p>
            <w:pPr>
              <w:spacing w:after="20"/>
            </w:pPr>
            <w:r>
              <w:rPr>
                <w:b/>
                <w:color w:val="1C3A36"/>
                <w:sz w:val="15"/>
              </w:rPr>
              <w:t>Date</w:t>
            </w:r>
          </w:p>
        </w:tc>
        <w:tc>
          <w:tcPr>
            <w:tcW w:type="dxa" w:w="5933"/>
            <w:shd w:val="clear" w:color="auto" w:fill="EAF0EE"/>
          </w:tcPr>
          <w:p>
            <w:pPr>
              <w:spacing w:after="20"/>
            </w:pPr>
            <w:r>
              <w:rPr>
                <w:b/>
                <w:color w:val="1C3A36"/>
                <w:sz w:val="15"/>
              </w:rPr>
              <w:t>Source and construction</w:t>
            </w:r>
          </w:p>
        </w:tc>
      </w:tr>
      <w:tr>
        <w:tc>
          <w:tcPr>
            <w:tcW w:type="dxa" w:w="1656"/>
          </w:tcPr>
          <w:p>
            <w:pPr>
              <w:spacing w:after="20"/>
            </w:pPr>
            <w:r>
              <w:rPr>
                <w:color w:val="1C3A36"/>
                <w:sz w:val="15"/>
              </w:rPr>
              <w:t>asset life derived</w:t>
            </w:r>
          </w:p>
        </w:tc>
        <w:tc>
          <w:tcPr>
            <w:tcW w:type="dxa" w:w="1368"/>
          </w:tcPr>
          <w:p>
            <w:pPr>
              <w:spacing w:after="20"/>
            </w:pPr>
            <w:r>
              <w:rPr>
                <w:color w:val="1C3A36"/>
                <w:sz w:val="15"/>
              </w:rPr>
              <w:t>17.2627</w:t>
            </w:r>
          </w:p>
        </w:tc>
        <w:tc>
          <w:tcPr>
            <w:tcW w:type="dxa" w:w="1123"/>
          </w:tcPr>
          <w:p>
            <w:pPr>
              <w:spacing w:after="20"/>
            </w:pPr>
            <w:r>
              <w:rPr>
                <w:color w:val="1C3A36"/>
                <w:sz w:val="15"/>
              </w:rPr>
              <w:t>2026-03-01</w:t>
            </w:r>
          </w:p>
        </w:tc>
        <w:tc>
          <w:tcPr>
            <w:tcW w:type="dxa" w:w="5933"/>
          </w:tcPr>
          <w:p>
            <w:pPr>
              <w:spacing w:after="20"/>
            </w:pPr>
            <w:r>
              <w:rPr>
                <w:color w:val="1C3A36"/>
                <w:sz w:val="15"/>
              </w:rPr>
              <w:t>DERIVED BY IDENTITY, not chosen: the AVERAGE depreciable gross cost across the year ((43,605.306327 opening + 50,775.950574 closing) / 2) over the year's own depreciation charge of 2,733.671862. The average is used rather than the closing balance because the base grew 16% in the year and a closing-cost ratio overstates the life on a fast-growing base (that reading is 18.5743 years). THE FIGURE IS CARRIED AT FULL PRECISION: it was registered as 17.26 and a rounded record is its own failure - the identity resolves to 17.2627 and nothing about the note is uncertain to two decimal places. Per component the closing-cost readings are buildings 29.00y, machinery 18.72y, furniture 8.45y, vehicles 8.45y, leasehold improvements 13.13y, against disclosed ranges of 8-50, 5-15, 4-17, 5-8 and 'over 3 years or the lease period' — the disclosed ranges are RANGES, and a life this desk picked from inside one would not be a disclosed life (SIGCM clause 1), which is why the identity is used instead. CORROBORATED TWICE: the same note read a year earlier gives 17.9761, and the composite implied by charging every class at the LONG END of its own disclosed range is 17.3041, agreement to 0.24% - the company depreciates at the top of every range it discloses and the identity recovers that without anybody choosing a point. The full record is in useful_lives.json beside this study.</w:t>
            </w:r>
          </w:p>
        </w:tc>
      </w:tr>
    </w:tbl>
    <w:p>
      <w:pPr>
        <w:spacing w:after="40"/>
      </w:pPr>
    </w:p>
    <w:p>
      <w:pPr>
        <w:spacing w:after="60" w:before="160"/>
      </w:pPr>
      <w:r>
        <w:rPr>
          <w:b/>
          <w:i w:val="0"/>
          <w:color w:val="1C3A36"/>
          <w:sz w:val="22"/>
        </w:rPr>
        <w:t>Industry layer — 2 inputs</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656"/>
        <w:gridCol w:w="1368"/>
        <w:gridCol w:w="1123"/>
        <w:gridCol w:w="5933"/>
      </w:tblGrid>
      <w:tr>
        <w:tc>
          <w:tcPr>
            <w:tcW w:type="dxa" w:w="1656"/>
            <w:shd w:val="clear" w:color="auto" w:fill="EAF0EE"/>
          </w:tcPr>
          <w:p>
            <w:pPr>
              <w:spacing w:after="20"/>
            </w:pPr>
            <w:r>
              <w:rPr>
                <w:b/>
                <w:color w:val="1C3A36"/>
                <w:sz w:val="15"/>
              </w:rPr>
              <w:t>Input</w:t>
            </w:r>
          </w:p>
        </w:tc>
        <w:tc>
          <w:tcPr>
            <w:tcW w:type="dxa" w:w="1368"/>
            <w:shd w:val="clear" w:color="auto" w:fill="EAF0EE"/>
          </w:tcPr>
          <w:p>
            <w:pPr>
              <w:spacing w:after="20"/>
            </w:pPr>
            <w:r>
              <w:rPr>
                <w:b/>
                <w:color w:val="1C3A36"/>
                <w:sz w:val="15"/>
              </w:rPr>
              <w:t>Value</w:t>
            </w:r>
          </w:p>
        </w:tc>
        <w:tc>
          <w:tcPr>
            <w:tcW w:type="dxa" w:w="1123"/>
            <w:shd w:val="clear" w:color="auto" w:fill="EAF0EE"/>
          </w:tcPr>
          <w:p>
            <w:pPr>
              <w:spacing w:after="20"/>
            </w:pPr>
            <w:r>
              <w:rPr>
                <w:b/>
                <w:color w:val="1C3A36"/>
                <w:sz w:val="15"/>
              </w:rPr>
              <w:t>Date</w:t>
            </w:r>
          </w:p>
        </w:tc>
        <w:tc>
          <w:tcPr>
            <w:tcW w:type="dxa" w:w="5933"/>
            <w:shd w:val="clear" w:color="auto" w:fill="EAF0EE"/>
          </w:tcPr>
          <w:p>
            <w:pPr>
              <w:spacing w:after="20"/>
            </w:pPr>
            <w:r>
              <w:rPr>
                <w:b/>
                <w:color w:val="1C3A36"/>
                <w:sz w:val="15"/>
              </w:rPr>
              <w:t>Source and construction</w:t>
            </w:r>
          </w:p>
        </w:tc>
      </w:tr>
      <w:tr>
        <w:tc>
          <w:tcPr>
            <w:tcW w:type="dxa" w:w="1656"/>
          </w:tcPr>
          <w:p>
            <w:pPr>
              <w:spacing w:after="20"/>
            </w:pPr>
            <w:r>
              <w:rPr>
                <w:color w:val="1C3A36"/>
                <w:sz w:val="15"/>
              </w:rPr>
              <w:t>copper hist</w:t>
            </w:r>
          </w:p>
        </w:tc>
        <w:tc>
          <w:tcPr>
            <w:tcW w:type="dxa" w:w="1368"/>
          </w:tcPr>
          <w:p>
            <w:pPr>
              <w:spacing w:after="20"/>
            </w:pPr>
            <w:r>
              <w:rPr>
                <w:color w:val="1C3A36"/>
                <w:sz w:val="15"/>
              </w:rPr>
              <w:t>FY23: 8,478.0; FY24: 9,147.0; FY25: 10,000.0</w:t>
            </w:r>
          </w:p>
        </w:tc>
        <w:tc>
          <w:tcPr>
            <w:tcW w:type="dxa" w:w="1123"/>
          </w:tcPr>
          <w:p>
            <w:pPr>
              <w:spacing w:after="20"/>
            </w:pPr>
            <w:r>
              <w:rPr>
                <w:color w:val="1C3A36"/>
                <w:sz w:val="15"/>
              </w:rPr>
              <w:t>2026-08-05</w:t>
            </w:r>
          </w:p>
        </w:tc>
        <w:tc>
          <w:tcPr>
            <w:tcW w:type="dxa" w:w="5933"/>
          </w:tcPr>
          <w:p>
            <w:pPr>
              <w:spacing w:after="20"/>
            </w:pPr>
            <w:r>
              <w:rPr>
                <w:color w:val="1C3A36"/>
                <w:sz w:val="15"/>
              </w:rPr>
              <w:t>LME copper cash, annual average USD/tonne (house commodity reference) — used only as a GROWTH driver for the Cables segment (Cables revenue is genuinely copper-linked; the company DOES disclose tonnage, quarterly, and the series is registered below — an earlier edition of this line said it did not. The model tracks the copper x FX growth rate rather than reconstructing an absolute volume)</w:t>
            </w:r>
          </w:p>
        </w:tc>
      </w:tr>
      <w:tr>
        <w:tc>
          <w:tcPr>
            <w:tcW w:type="dxa" w:w="1656"/>
          </w:tcPr>
          <w:p>
            <w:pPr>
              <w:spacing w:after="20"/>
            </w:pPr>
            <w:r>
              <w:rPr>
                <w:color w:val="1C3A36"/>
                <w:sz w:val="15"/>
              </w:rPr>
              <w:t>copper fcst</w:t>
            </w:r>
          </w:p>
        </w:tc>
        <w:tc>
          <w:tcPr>
            <w:tcW w:type="dxa" w:w="1368"/>
          </w:tcPr>
          <w:p>
            <w:pPr>
              <w:spacing w:after="20"/>
            </w:pPr>
            <w:r>
              <w:rPr>
                <w:color w:val="1C3A36"/>
                <w:sz w:val="15"/>
              </w:rPr>
              <w:t>13,400.0, 14,350.0, 14,708.7, 15,076.5, 15,453.4</w:t>
            </w:r>
          </w:p>
        </w:tc>
        <w:tc>
          <w:tcPr>
            <w:tcW w:type="dxa" w:w="1123"/>
          </w:tcPr>
          <w:p>
            <w:pPr>
              <w:spacing w:after="20"/>
            </w:pPr>
            <w:r>
              <w:rPr>
                <w:color w:val="1C3A36"/>
                <w:sz w:val="15"/>
              </w:rPr>
              <w:t>2026-08-05</w:t>
            </w:r>
          </w:p>
        </w:tc>
        <w:tc>
          <w:tcPr>
            <w:tcW w:type="dxa" w:w="5933"/>
          </w:tcPr>
          <w:p>
            <w:pPr>
              <w:spacing w:after="20"/>
            </w:pPr>
            <w:r>
              <w:rPr>
                <w:color w:val="1C3A36"/>
                <w:sz w:val="15"/>
              </w:rPr>
              <w:t>LME copper. FY2026 is set at USD 13,400/t, between the Q1-2026 average actually realised and the current cash price of about 14,000 (early August 2026); thereafter the current level is held flat — copper is the largest single input into the Cables segment and a directional view on it would dominate the valuation. The -10% column of the sensitivity carries the mean-reversion case</w:t>
            </w:r>
          </w:p>
        </w:tc>
      </w:tr>
    </w:tbl>
    <w:p>
      <w:pPr>
        <w:spacing w:after="40"/>
      </w:pPr>
    </w:p>
    <w:p>
      <w:pPr>
        <w:spacing w:after="60" w:before="160"/>
      </w:pPr>
      <w:r>
        <w:rPr>
          <w:b/>
          <w:i w:val="0"/>
          <w:color w:val="1C3A36"/>
          <w:sz w:val="22"/>
        </w:rPr>
        <w:t>Market/Company layer — 1 inputs</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656"/>
        <w:gridCol w:w="1368"/>
        <w:gridCol w:w="1123"/>
        <w:gridCol w:w="5933"/>
      </w:tblGrid>
      <w:tr>
        <w:tc>
          <w:tcPr>
            <w:tcW w:type="dxa" w:w="1656"/>
            <w:shd w:val="clear" w:color="auto" w:fill="EAF0EE"/>
          </w:tcPr>
          <w:p>
            <w:pPr>
              <w:spacing w:after="20"/>
            </w:pPr>
            <w:r>
              <w:rPr>
                <w:b/>
                <w:color w:val="1C3A36"/>
                <w:sz w:val="15"/>
              </w:rPr>
              <w:t>Input</w:t>
            </w:r>
          </w:p>
        </w:tc>
        <w:tc>
          <w:tcPr>
            <w:tcW w:type="dxa" w:w="1368"/>
            <w:shd w:val="clear" w:color="auto" w:fill="EAF0EE"/>
          </w:tcPr>
          <w:p>
            <w:pPr>
              <w:spacing w:after="20"/>
            </w:pPr>
            <w:r>
              <w:rPr>
                <w:b/>
                <w:color w:val="1C3A36"/>
                <w:sz w:val="15"/>
              </w:rPr>
              <w:t>Value</w:t>
            </w:r>
          </w:p>
        </w:tc>
        <w:tc>
          <w:tcPr>
            <w:tcW w:type="dxa" w:w="1123"/>
            <w:shd w:val="clear" w:color="auto" w:fill="EAF0EE"/>
          </w:tcPr>
          <w:p>
            <w:pPr>
              <w:spacing w:after="20"/>
            </w:pPr>
            <w:r>
              <w:rPr>
                <w:b/>
                <w:color w:val="1C3A36"/>
                <w:sz w:val="15"/>
              </w:rPr>
              <w:t>Date</w:t>
            </w:r>
          </w:p>
        </w:tc>
        <w:tc>
          <w:tcPr>
            <w:tcW w:type="dxa" w:w="5933"/>
            <w:shd w:val="clear" w:color="auto" w:fill="EAF0EE"/>
          </w:tcPr>
          <w:p>
            <w:pPr>
              <w:spacing w:after="20"/>
            </w:pPr>
            <w:r>
              <w:rPr>
                <w:b/>
                <w:color w:val="1C3A36"/>
                <w:sz w:val="15"/>
              </w:rPr>
              <w:t>Source and construction</w:t>
            </w:r>
          </w:p>
        </w:tc>
      </w:tr>
      <w:tr>
        <w:tc>
          <w:tcPr>
            <w:tcW w:type="dxa" w:w="1656"/>
          </w:tcPr>
          <w:p>
            <w:pPr>
              <w:spacing w:after="20"/>
            </w:pPr>
            <w:r>
              <w:rPr>
                <w:color w:val="1C3A36"/>
                <w:sz w:val="15"/>
              </w:rPr>
              <w:t>electra mto</w:t>
            </w:r>
          </w:p>
        </w:tc>
        <w:tc>
          <w:tcPr>
            <w:tcW w:type="dxa" w:w="1368"/>
          </w:tcPr>
          <w:p>
            <w:pPr>
              <w:spacing w:after="20"/>
            </w:pPr>
            <w:r>
              <w:rPr>
                <w:color w:val="1C3A36"/>
                <w:sz w:val="15"/>
              </w:rPr>
              <w:t>price_usd: 1.05; shares_mn: 427.7; value_usdmn: 449.1; date: 2024-07; stake: 0.1998</w:t>
            </w:r>
          </w:p>
        </w:tc>
        <w:tc>
          <w:tcPr>
            <w:tcW w:type="dxa" w:w="1123"/>
          </w:tcPr>
          <w:p>
            <w:pPr>
              <w:spacing w:after="20"/>
            </w:pPr>
            <w:r>
              <w:rPr>
                <w:color w:val="1C3A36"/>
                <w:sz w:val="15"/>
              </w:rPr>
              <w:t>2024-07</w:t>
            </w:r>
          </w:p>
        </w:tc>
        <w:tc>
          <w:tcPr>
            <w:tcW w:type="dxa" w:w="5933"/>
          </w:tcPr>
          <w:p>
            <w:pPr>
              <w:spacing w:after="20"/>
            </w:pPr>
            <w:r>
              <w:rPr>
                <w:color w:val="1C3A36"/>
                <w:sz w:val="15"/>
              </w:rPr>
              <w:t>Electra Investment Holding's mandatory tender offer, concluded July 2024: ~427.7mn shares (19.98%) at USD 1.05/share, ~USD 449mn. Recorded as the last known price at which a strategic buyer cleared a fifth of the company. NOT used as a valuation anchor: it is two years stale and struck before the earnings base grew materially. Electra's stake has since drifted down to 18.87% (31-Dec-2025) as shares were placed into the float</w:t>
            </w:r>
          </w:p>
        </w:tc>
      </w:tr>
    </w:tbl>
    <w:p>
      <w:pPr>
        <w:spacing w:after="40"/>
      </w:pPr>
    </w:p>
    <w:p>
      <w:pPr>
        <w:spacing w:after="80" w:before="240"/>
      </w:pPr>
      <w:r>
        <w:rPr>
          <w:b/>
          <w:i w:val="0"/>
          <w:color w:val="1C3A36"/>
          <w:sz w:val="26"/>
        </w:rPr>
        <w:t>The judgements, stated separately</w:t>
      </w:r>
    </w:p>
    <w:p>
      <w:pPr>
        <w:spacing w:after="100" w:before="0"/>
      </w:pPr>
      <w:r>
        <w:rPr>
          <w:b w:val="0"/>
          <w:i w:val="0"/>
          <w:color w:val="1C3A36"/>
          <w:sz w:val="20"/>
        </w:rPr>
        <w:t>These are the places where the analyst chose rather than observed. They are collected here so a reader can find them without reading the whole study.</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944"/>
        <w:gridCol w:w="2520"/>
        <w:gridCol w:w="2952"/>
        <w:gridCol w:w="2664"/>
      </w:tblGrid>
      <w:tr>
        <w:tc>
          <w:tcPr>
            <w:tcW w:type="dxa" w:w="1944"/>
            <w:shd w:val="clear" w:color="auto" w:fill="EAF0EE"/>
          </w:tcPr>
          <w:p>
            <w:pPr>
              <w:spacing w:after="20"/>
            </w:pPr>
            <w:r>
              <w:rPr>
                <w:b/>
                <w:color w:val="1C3A36"/>
                <w:sz w:val="15"/>
              </w:rPr>
              <w:t>Judgement</w:t>
            </w:r>
          </w:p>
        </w:tc>
        <w:tc>
          <w:tcPr>
            <w:tcW w:type="dxa" w:w="2520"/>
            <w:shd w:val="clear" w:color="auto" w:fill="EAF0EE"/>
          </w:tcPr>
          <w:p>
            <w:pPr>
              <w:spacing w:after="20"/>
            </w:pPr>
            <w:r>
              <w:rPr>
                <w:b/>
                <w:color w:val="1C3A36"/>
                <w:sz w:val="15"/>
              </w:rPr>
              <w:t>What was chosen</w:t>
            </w:r>
          </w:p>
        </w:tc>
        <w:tc>
          <w:tcPr>
            <w:tcW w:type="dxa" w:w="2952"/>
            <w:shd w:val="clear" w:color="auto" w:fill="EAF0EE"/>
          </w:tcPr>
          <w:p>
            <w:pPr>
              <w:spacing w:after="20"/>
            </w:pPr>
            <w:r>
              <w:rPr>
                <w:b/>
                <w:color w:val="1C3A36"/>
                <w:sz w:val="15"/>
              </w:rPr>
              <w:t>Why</w:t>
            </w:r>
          </w:p>
        </w:tc>
        <w:tc>
          <w:tcPr>
            <w:tcW w:type="dxa" w:w="2664"/>
            <w:shd w:val="clear" w:color="auto" w:fill="EAF0EE"/>
          </w:tcPr>
          <w:p>
            <w:pPr>
              <w:spacing w:after="20"/>
            </w:pPr>
            <w:r>
              <w:rPr>
                <w:b/>
                <w:color w:val="1C3A36"/>
                <w:sz w:val="15"/>
              </w:rPr>
              <w:t>What would overturn it</w:t>
            </w:r>
          </w:p>
        </w:tc>
      </w:tr>
      <w:tr>
        <w:tc>
          <w:tcPr>
            <w:tcW w:type="dxa" w:w="1944"/>
          </w:tcPr>
          <w:p>
            <w:pPr>
              <w:spacing w:after="20"/>
            </w:pPr>
            <w:r>
              <w:rPr>
                <w:color w:val="1C3A36"/>
                <w:sz w:val="15"/>
              </w:rPr>
              <w:t>Currency of discounting</w:t>
            </w:r>
          </w:p>
        </w:tc>
        <w:tc>
          <w:tcPr>
            <w:tcW w:type="dxa" w:w="2520"/>
          </w:tcPr>
          <w:p>
            <w:pPr>
              <w:spacing w:after="20"/>
            </w:pPr>
            <w:r>
              <w:rPr>
                <w:color w:val="1C3A36"/>
                <w:sz w:val="15"/>
              </w:rPr>
              <w:t>The full Egyptian cost of capital is charged to the whole company as the primary reading; the hard-currency alternative is computed and shown but not averaged in</w:t>
            </w:r>
          </w:p>
        </w:tc>
        <w:tc>
          <w:tcPr>
            <w:tcW w:type="dxa" w:w="2952"/>
          </w:tcPr>
          <w:p>
            <w:pPr>
              <w:spacing w:after="20"/>
            </w:pPr>
            <w:r>
              <w:rPr>
                <w:color w:val="1C3A36"/>
                <w:sz w:val="15"/>
              </w:rPr>
              <w:t>The shares trade, and dividends are paid, in Egyptian pounds on an Egyptian exchange, and realising value depends on Egyptian capital-account conditions</w:t>
            </w:r>
          </w:p>
        </w:tc>
        <w:tc>
          <w:tcPr>
            <w:tcW w:type="dxa" w:w="2664"/>
          </w:tcPr>
          <w:p>
            <w:pPr>
              <w:spacing w:after="20"/>
            </w:pPr>
            <w:r>
              <w:rPr>
                <w:color w:val="1C3A36"/>
                <w:sz w:val="15"/>
              </w:rPr>
              <w:t>Evidence that convertibility is not a binding constraint for this issuer would shift the primary reading materially higher</w:t>
            </w:r>
          </w:p>
        </w:tc>
      </w:tr>
      <w:tr>
        <w:tc>
          <w:tcPr>
            <w:tcW w:type="dxa" w:w="1944"/>
          </w:tcPr>
          <w:p>
            <w:pPr>
              <w:spacing w:after="20"/>
            </w:pPr>
            <w:r>
              <w:rPr>
                <w:color w:val="1C3A36"/>
                <w:sz w:val="15"/>
              </w:rPr>
              <w:t>Exchange-rate path</w:t>
            </w:r>
          </w:p>
        </w:tc>
        <w:tc>
          <w:tcPr>
            <w:tcW w:type="dxa" w:w="2520"/>
          </w:tcPr>
          <w:p>
            <w:pPr>
              <w:spacing w:after="20"/>
            </w:pPr>
            <w:r>
              <w:rPr>
                <w:color w:val="1C3A36"/>
                <w:sz w:val="15"/>
              </w:rPr>
              <w:t>About 6% a year of depreciation, far below what the interest-rate differential implies</w:t>
            </w:r>
          </w:p>
        </w:tc>
        <w:tc>
          <w:tcPr>
            <w:tcW w:type="dxa" w:w="2952"/>
          </w:tcPr>
          <w:p>
            <w:pPr>
              <w:spacing w:after="20"/>
            </w:pPr>
            <w:r>
              <w:rPr>
                <w:color w:val="1C3A36"/>
                <w:sz w:val="15"/>
              </w:rPr>
              <w:t>The base case assumes the central bank's disinflation path closes most of the gap rather than the currency absorbing it</w:t>
            </w:r>
          </w:p>
        </w:tc>
        <w:tc>
          <w:tcPr>
            <w:tcW w:type="dxa" w:w="2664"/>
          </w:tcPr>
          <w:p>
            <w:pPr>
              <w:spacing w:after="20"/>
            </w:pPr>
            <w:r>
              <w:rPr>
                <w:color w:val="1C3A36"/>
                <w:sz w:val="15"/>
              </w:rPr>
              <w:t>A disorderly move in the pound; the sensitivity table carries the parity case</w:t>
            </w:r>
          </w:p>
        </w:tc>
      </w:tr>
      <w:tr>
        <w:tc>
          <w:tcPr>
            <w:tcW w:type="dxa" w:w="1944"/>
          </w:tcPr>
          <w:p>
            <w:pPr>
              <w:spacing w:after="20"/>
            </w:pPr>
            <w:r>
              <w:rPr>
                <w:color w:val="1C3A36"/>
                <w:sz w:val="15"/>
              </w:rPr>
              <w:t>Working capital held near the FY2025 share of revenue</w:t>
            </w:r>
          </w:p>
        </w:tc>
        <w:tc>
          <w:tcPr>
            <w:tcW w:type="dxa" w:w="2520"/>
          </w:tcPr>
          <w:p>
            <w:pPr>
              <w:spacing w:after="20"/>
            </w:pPr>
            <w:r>
              <w:rPr>
                <w:color w:val="1C3A36"/>
                <w:sz w:val="15"/>
              </w:rPr>
              <w:t>Net working capital stays near 19.9% of revenue, the FY2025 audited level</w:t>
            </w:r>
          </w:p>
        </w:tc>
        <w:tc>
          <w:tcPr>
            <w:tcW w:type="dxa" w:w="2952"/>
          </w:tcPr>
          <w:p>
            <w:pPr>
              <w:spacing w:after="20"/>
            </w:pPr>
            <w:r>
              <w:rPr>
                <w:color w:val="1C3A36"/>
                <w:sz w:val="15"/>
              </w:rPr>
              <w:t>All three audited years show working capital absorbing cash rather than converting, though FY2025 improved (24.1% -&gt; 23.1% -&gt; 19.9% of revenue)</w:t>
            </w:r>
          </w:p>
        </w:tc>
        <w:tc>
          <w:tcPr>
            <w:tcW w:type="dxa" w:w="2664"/>
          </w:tcPr>
          <w:p>
            <w:pPr>
              <w:spacing w:after="20"/>
            </w:pPr>
            <w:r>
              <w:rPr>
                <w:color w:val="1C3A36"/>
                <w:sz w:val="15"/>
              </w:rPr>
              <w:t>Two consecutive years of operating cash flow above 60% of EBITDA</w:t>
            </w:r>
          </w:p>
        </w:tc>
      </w:tr>
      <w:tr>
        <w:tc>
          <w:tcPr>
            <w:tcW w:type="dxa" w:w="1944"/>
          </w:tcPr>
          <w:p>
            <w:pPr>
              <w:spacing w:after="20"/>
            </w:pPr>
            <w:r>
              <w:rPr>
                <w:color w:val="1C3A36"/>
                <w:sz w:val="15"/>
              </w:rPr>
              <w:t>Valuation date rolled to the anchor</w:t>
            </w:r>
          </w:p>
        </w:tc>
        <w:tc>
          <w:tcPr>
            <w:tcW w:type="dxa" w:w="2520"/>
          </w:tcPr>
          <w:p>
            <w:pPr>
              <w:spacing w:after="20"/>
            </w:pPr>
            <w:r>
              <w:rPr>
                <w:color w:val="1C3A36"/>
                <w:sz w:val="15"/>
              </w:rPr>
              <w:t>Every lens value, dated 31 December 2025 by construction, is rolled 246/365 of a year to the 2026-09-03 anchor at the cost of equity, less the EGP 1.85 dividend paid in the window</w:t>
            </w:r>
          </w:p>
        </w:tc>
        <w:tc>
          <w:tcPr>
            <w:tcW w:type="dxa" w:w="2952"/>
          </w:tcPr>
          <w:p>
            <w:pPr>
              <w:spacing w:after="20"/>
            </w:pPr>
            <w:r>
              <w:rPr>
                <w:color w:val="1C3A36"/>
                <w:sz w:val="15"/>
              </w:rPr>
              <w:t>The comparison price is dated 2026-09-03; comparing an end-2025 value to it would leave seven months of accretion out of the comparison — an external review flagged the omission and it was accepted</w:t>
            </w:r>
          </w:p>
        </w:tc>
        <w:tc>
          <w:tcPr>
            <w:tcW w:type="dxa" w:w="2664"/>
          </w:tcPr>
          <w:p>
            <w:pPr>
              <w:spacing w:after="20"/>
            </w:pPr>
            <w:r>
              <w:rPr>
                <w:color w:val="1C3A36"/>
                <w:sz w:val="15"/>
              </w:rPr>
              <w:t>A different roll rate (the risk-free rate instead of the cost of equity) would cut the accretion roughly in half; the cost-of-equity roll is the discount identity's own rate</w:t>
            </w:r>
          </w:p>
        </w:tc>
      </w:tr>
      <w:tr>
        <w:tc>
          <w:tcPr>
            <w:tcW w:type="dxa" w:w="1944"/>
          </w:tcPr>
          <w:p>
            <w:pPr>
              <w:spacing w:after="20"/>
            </w:pPr>
            <w:r>
              <w:rPr>
                <w:color w:val="1C3A36"/>
                <w:sz w:val="15"/>
              </w:rPr>
              <w:t>Terminal net-debt weight of 15%</w:t>
            </w:r>
          </w:p>
        </w:tc>
        <w:tc>
          <w:tcPr>
            <w:tcW w:type="dxa" w:w="2520"/>
          </w:tcPr>
          <w:p>
            <w:pPr>
              <w:spacing w:after="20"/>
            </w:pPr>
            <w:r>
              <w:rPr>
                <w:color w:val="1C3A36"/>
                <w:sz w:val="15"/>
              </w:rPr>
              <w:t>Revised from 25% after review: the old weight contradicted the model's own forecast deleveraging in the direction that flattered the valuation</w:t>
            </w:r>
          </w:p>
        </w:tc>
        <w:tc>
          <w:tcPr>
            <w:tcW w:type="dxa" w:w="2952"/>
          </w:tcPr>
          <w:p>
            <w:pPr>
              <w:spacing w:after="20"/>
            </w:pPr>
            <w:r>
              <w:rPr>
                <w:color w:val="1C3A36"/>
                <w:sz w:val="15"/>
              </w:rPr>
              <w:t>At a 25% payout the forecast net-debt weight still falls toward mid-single digits by FY2030E; 15% splits the difference between today's 8.4% and a structurally levered steady state, and costs about 2.4/share on the weighted central versus 25%</w:t>
            </w:r>
          </w:p>
        </w:tc>
        <w:tc>
          <w:tcPr>
            <w:tcW w:type="dxa" w:w="2664"/>
          </w:tcPr>
          <w:p>
            <w:pPr>
              <w:spacing w:after="20"/>
            </w:pPr>
            <w:r>
              <w:rPr>
                <w:color w:val="1C3A36"/>
                <w:sz w:val="15"/>
              </w:rPr>
              <w:t>Evidence the group intends to run materially higher structural net leverage</w:t>
            </w:r>
          </w:p>
        </w:tc>
      </w:tr>
      <w:tr>
        <w:tc>
          <w:tcPr>
            <w:tcW w:type="dxa" w:w="1944"/>
          </w:tcPr>
          <w:p>
            <w:pPr>
              <w:spacing w:after="20"/>
            </w:pPr>
            <w:r>
              <w:rPr>
                <w:color w:val="1C3A36"/>
                <w:sz w:val="15"/>
              </w:rPr>
              <w:t>Forecast payout ratio of 25%</w:t>
            </w:r>
          </w:p>
        </w:tc>
        <w:tc>
          <w:tcPr>
            <w:tcW w:type="dxa" w:w="2520"/>
          </w:tcPr>
          <w:p>
            <w:pPr>
              <w:spacing w:after="20"/>
            </w:pPr>
            <w:r>
              <w:rPr>
                <w:color w:val="1C3A36"/>
                <w:sz w:val="15"/>
              </w:rPr>
              <w:t>Struck at the actual FY2025 payout (EGP 1.85/share = 22.8% of attributable EPS), rounded up for the rising trajectory the +85% step-up implies</w:t>
            </w:r>
          </w:p>
        </w:tc>
        <w:tc>
          <w:tcPr>
            <w:tcW w:type="dxa" w:w="2952"/>
          </w:tcPr>
          <w:p>
            <w:pPr>
              <w:spacing w:after="20"/>
            </w:pPr>
            <w:r>
              <w:rPr>
                <w:color w:val="1C3A36"/>
                <w:sz w:val="15"/>
              </w:rPr>
              <w:t>The FY2025 dividend was ratified 6 May 2026 and paid from 4 June 2026 (EGX disclosure); an earlier revision wrongly removed it on absence-of-evidence grounds</w:t>
            </w:r>
          </w:p>
        </w:tc>
        <w:tc>
          <w:tcPr>
            <w:tcW w:type="dxa" w:w="2664"/>
          </w:tcPr>
          <w:p>
            <w:pPr>
              <w:spacing w:after="20"/>
            </w:pPr>
            <w:r>
              <w:rPr>
                <w:color w:val="1C3A36"/>
                <w:sz w:val="15"/>
              </w:rPr>
              <w:t>The distribution proposed on the FY2026 result</w:t>
            </w:r>
          </w:p>
        </w:tc>
      </w:tr>
      <w:tr>
        <w:tc>
          <w:tcPr>
            <w:tcW w:type="dxa" w:w="1944"/>
          </w:tcPr>
          <w:p>
            <w:pPr>
              <w:spacing w:after="20"/>
            </w:pPr>
            <w:r>
              <w:rPr>
                <w:color w:val="1C3A36"/>
                <w:sz w:val="15"/>
              </w:rPr>
              <w:t>Terminal growth of 5%</w:t>
            </w:r>
          </w:p>
        </w:tc>
        <w:tc>
          <w:tcPr>
            <w:tcW w:type="dxa" w:w="2520"/>
          </w:tcPr>
          <w:p>
            <w:pPr>
              <w:spacing w:after="20"/>
            </w:pPr>
            <w:r>
              <w:rPr>
                <w:color w:val="1C3A36"/>
                <w:sz w:val="15"/>
              </w:rPr>
              <w:t>The standing centre for established names in this market, sensitised 3–7%</w:t>
            </w:r>
          </w:p>
        </w:tc>
        <w:tc>
          <w:tcPr>
            <w:tcW w:type="dxa" w:w="2952"/>
          </w:tcPr>
          <w:p>
            <w:pPr>
              <w:spacing w:after="20"/>
            </w:pPr>
            <w:r>
              <w:rPr>
                <w:color w:val="1C3A36"/>
                <w:sz w:val="15"/>
              </w:rPr>
              <w:t>It is below the blended long-run nominal growth ceiling of the economies the company operates in, and is reconciled to the return on capital and reinvestment rate</w:t>
            </w:r>
          </w:p>
        </w:tc>
        <w:tc>
          <w:tcPr>
            <w:tcW w:type="dxa" w:w="2664"/>
          </w:tcPr>
          <w:p>
            <w:pPr>
              <w:spacing w:after="20"/>
            </w:pPr>
            <w:r>
              <w:rPr>
                <w:color w:val="1C3A36"/>
                <w:sz w:val="15"/>
              </w:rPr>
              <w:t>A demonstrated structural change in the export franchise's long-run growth</w:t>
            </w:r>
          </w:p>
        </w:tc>
      </w:tr>
      <w:tr>
        <w:tc>
          <w:tcPr>
            <w:tcW w:type="dxa" w:w="1944"/>
          </w:tcPr>
          <w:p>
            <w:pPr>
              <w:spacing w:after="20"/>
            </w:pPr>
            <w:r>
              <w:rPr>
                <w:color w:val="1C3A36"/>
                <w:sz w:val="15"/>
              </w:rPr>
              <w:t>Cost of debt at the blended rather than the domestic rate</w:t>
            </w:r>
          </w:p>
        </w:tc>
        <w:tc>
          <w:tcPr>
            <w:tcW w:type="dxa" w:w="2520"/>
          </w:tcPr>
          <w:p>
            <w:pPr>
              <w:spacing w:after="20"/>
            </w:pPr>
            <w:r>
              <w:rPr>
                <w:color w:val="1C3A36"/>
                <w:sz w:val="15"/>
              </w:rPr>
              <w:t>A currency-blended rate near the independently computed effective rate</w:t>
            </w:r>
          </w:p>
        </w:tc>
        <w:tc>
          <w:tcPr>
            <w:tcW w:type="dxa" w:w="2952"/>
          </w:tcPr>
          <w:p>
            <w:pPr>
              <w:spacing w:after="20"/>
            </w:pPr>
            <w:r>
              <w:rPr>
                <w:color w:val="1C3A36"/>
                <w:sz w:val="15"/>
              </w:rPr>
              <w:t>The audited notes disclose materially cheaper hard-currency borrowing, and most of the book is hard currency</w:t>
            </w:r>
          </w:p>
        </w:tc>
        <w:tc>
          <w:tcPr>
            <w:tcW w:type="dxa" w:w="2664"/>
          </w:tcPr>
          <w:p>
            <w:pPr>
              <w:spacing w:after="20"/>
            </w:pPr>
            <w:r>
              <w:rPr>
                <w:color w:val="1C3A36"/>
                <w:sz w:val="15"/>
              </w:rPr>
              <w:t>A shift of the debt book back into Egyptian pounds</w:t>
            </w:r>
          </w:p>
        </w:tc>
      </w:tr>
      <w:tr>
        <w:tc>
          <w:tcPr>
            <w:tcW w:type="dxa" w:w="1944"/>
          </w:tcPr>
          <w:p>
            <w:pPr>
              <w:spacing w:after="20"/>
            </w:pPr>
            <w:r>
              <w:rPr>
                <w:color w:val="1C3A36"/>
                <w:sz w:val="15"/>
              </w:rPr>
              <w:t>Minority interests charged at their share of group profit</w:t>
            </w:r>
          </w:p>
        </w:tc>
        <w:tc>
          <w:tcPr>
            <w:tcW w:type="dxa" w:w="2520"/>
          </w:tcPr>
          <w:p>
            <w:pPr>
              <w:spacing w:after="20"/>
            </w:pPr>
            <w:r>
              <w:rPr>
                <w:color w:val="1C3A36"/>
                <w:sz w:val="15"/>
              </w:rPr>
              <w:t>Rather than at book value</w:t>
            </w:r>
          </w:p>
        </w:tc>
        <w:tc>
          <w:tcPr>
            <w:tcW w:type="dxa" w:w="2952"/>
          </w:tcPr>
          <w:p>
            <w:pPr>
              <w:spacing w:after="20"/>
            </w:pPr>
            <w:r>
              <w:rPr>
                <w:color w:val="1C3A36"/>
                <w:sz w:val="15"/>
              </w:rPr>
              <w:t>Minorities take a larger share of profit than of book equity, so the profit share is the conservative charge</w:t>
            </w:r>
          </w:p>
        </w:tc>
        <w:tc>
          <w:tcPr>
            <w:tcW w:type="dxa" w:w="2664"/>
          </w:tcPr>
          <w:p>
            <w:pPr>
              <w:spacing w:after="20"/>
            </w:pPr>
            <w:r>
              <w:rPr>
                <w:color w:val="1C3A36"/>
                <w:sz w:val="15"/>
              </w:rPr>
              <w:t>A reader preferring the book convention can add the difference back; the amount is stated in the study</w:t>
            </w:r>
          </w:p>
        </w:tc>
      </w:tr>
      <w:tr>
        <w:tc>
          <w:tcPr>
            <w:tcW w:type="dxa" w:w="1944"/>
          </w:tcPr>
          <w:p>
            <w:pPr>
              <w:spacing w:after="20"/>
            </w:pPr>
            <w:r>
              <w:rPr>
                <w:color w:val="1C3A36"/>
                <w:sz w:val="15"/>
              </w:rPr>
              <w:t>Effective tax rate of 24.5% for NOPAT</w:t>
            </w:r>
          </w:p>
        </w:tc>
        <w:tc>
          <w:tcPr>
            <w:tcW w:type="dxa" w:w="2520"/>
          </w:tcPr>
          <w:p>
            <w:pPr>
              <w:spacing w:after="20"/>
            </w:pPr>
            <w:r>
              <w:rPr>
                <w:color w:val="1C3A36"/>
                <w:sz w:val="15"/>
              </w:rPr>
              <w:t>Above the Egyptian statutory rate, between the FY2025 print and the historical average</w:t>
            </w:r>
          </w:p>
        </w:tc>
        <w:tc>
          <w:tcPr>
            <w:tcW w:type="dxa" w:w="2952"/>
          </w:tcPr>
          <w:p>
            <w:pPr>
              <w:spacing w:after="20"/>
            </w:pPr>
            <w:r>
              <w:rPr>
                <w:color w:val="1C3A36"/>
                <w:sz w:val="15"/>
              </w:rPr>
              <w:t>Audited effective rates ran 31.3% (FY2023), 30.1% (FY2024) and 22.6% (FY2025); no statutory-vs-effective reconciliation is disclosed, and the group pays tax in 15+ jurisdictions plus Free-Zone entities on a revenue basis</w:t>
            </w:r>
          </w:p>
        </w:tc>
        <w:tc>
          <w:tcPr>
            <w:tcW w:type="dxa" w:w="2664"/>
          </w:tcPr>
          <w:p>
            <w:pPr>
              <w:spacing w:after="20"/>
            </w:pPr>
            <w:r>
              <w:rPr>
                <w:color w:val="1C3A36"/>
                <w:sz w:val="15"/>
              </w:rPr>
              <w:t>A sustained repeat of the FY2025 low or the Q1-2026 print (25.75%) in either direction</w:t>
            </w:r>
          </w:p>
        </w:tc>
      </w:tr>
      <w:tr>
        <w:tc>
          <w:tcPr>
            <w:tcW w:type="dxa" w:w="1944"/>
          </w:tcPr>
          <w:p>
            <w:pPr>
              <w:spacing w:after="20"/>
            </w:pPr>
            <w:r>
              <w:rPr>
                <w:color w:val="1C3A36"/>
                <w:sz w:val="15"/>
              </w:rPr>
              <w:t>Segment margins compressed rather than held at their FY2025 level</w:t>
            </w:r>
          </w:p>
        </w:tc>
        <w:tc>
          <w:tcPr>
            <w:tcW w:type="dxa" w:w="2520"/>
          </w:tcPr>
          <w:p>
            <w:pPr>
              <w:spacing w:after="20"/>
            </w:pPr>
            <w:r>
              <w:rPr>
                <w:color w:val="1C3A36"/>
                <w:sz w:val="15"/>
              </w:rPr>
              <w:t>Cables and Constructions margins recover PARTIALLY over the forecast; Electrical products holds closest to its FY2025 level</w:t>
            </w:r>
          </w:p>
        </w:tc>
        <w:tc>
          <w:tcPr>
            <w:tcW w:type="dxa" w:w="2952"/>
          </w:tcPr>
          <w:p>
            <w:pPr>
              <w:spacing w:after="20"/>
            </w:pPr>
            <w:r>
              <w:rPr>
                <w:color w:val="1C3A36"/>
                <w:sz w:val="15"/>
              </w:rPr>
              <w:t>All three disclosed segments compressed in FY2025 versus FY2023; the causes (copper pass-through, competitive pricing) are not disclosed as transitory or structural</w:t>
            </w:r>
          </w:p>
        </w:tc>
        <w:tc>
          <w:tcPr>
            <w:tcW w:type="dxa" w:w="2664"/>
          </w:tcPr>
          <w:p>
            <w:pPr>
              <w:spacing w:after="20"/>
            </w:pPr>
            <w:r>
              <w:rPr>
                <w:color w:val="1C3A36"/>
                <w:sz w:val="15"/>
              </w:rPr>
              <w:t>Two consecutive years of segment margin at or above the FY2023-24 average</w:t>
            </w:r>
          </w:p>
        </w:tc>
      </w:tr>
    </w:tbl>
    <w:p>
      <w:pPr>
        <w:spacing w:after="40"/>
      </w:pPr>
    </w:p>
    <w:p>
      <w:pPr>
        <w:spacing w:after="80" w:before="240"/>
      </w:pPr>
      <w:r>
        <w:rPr>
          <w:b/>
          <w:i w:val="0"/>
          <w:color w:val="1C3A36"/>
          <w:sz w:val="26"/>
        </w:rPr>
        <w:t>Negative results — what could not be sourced</w:t>
      </w:r>
    </w:p>
    <w:p>
      <w:pPr>
        <w:spacing w:after="100" w:before="0"/>
      </w:pPr>
      <w:r>
        <w:rPr>
          <w:b w:val="0"/>
          <w:i w:val="0"/>
          <w:color w:val="1C3A36"/>
          <w:sz w:val="20"/>
        </w:rPr>
        <w:t>This study was rebuilt once the company's own audited FY2023, FY2024 and FY2025 consolidated financial statements and its Q1-2026 condensed interim statements became available. An earlier version of this study, built before those filings were in hand, had to triangulate and derive several FY2025 figures from press coverage and company commentary; every one of those derivations has now been replaced by the audited figure itself, and the items below record what is still not disclosed anywhere in the four primary filings, rather than what could not be reached.</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232"/>
        <w:gridCol w:w="3384"/>
        <w:gridCol w:w="4464"/>
      </w:tblGrid>
      <w:tr>
        <w:tc>
          <w:tcPr>
            <w:tcW w:type="dxa" w:w="2232"/>
            <w:shd w:val="clear" w:color="auto" w:fill="EAF0EE"/>
          </w:tcPr>
          <w:p>
            <w:pPr>
              <w:spacing w:after="20"/>
            </w:pPr>
            <w:r>
              <w:rPr>
                <w:b/>
                <w:color w:val="1C3A36"/>
                <w:sz w:val="15"/>
              </w:rPr>
              <w:t>What was sought</w:t>
            </w:r>
          </w:p>
        </w:tc>
        <w:tc>
          <w:tcPr>
            <w:tcW w:type="dxa" w:w="3384"/>
            <w:shd w:val="clear" w:color="auto" w:fill="EAF0EE"/>
          </w:tcPr>
          <w:p>
            <w:pPr>
              <w:spacing w:after="20"/>
            </w:pPr>
            <w:r>
              <w:rPr>
                <w:b/>
                <w:color w:val="1C3A36"/>
                <w:sz w:val="15"/>
              </w:rPr>
              <w:t>Outcome</w:t>
            </w:r>
          </w:p>
        </w:tc>
        <w:tc>
          <w:tcPr>
            <w:tcW w:type="dxa" w:w="4464"/>
            <w:shd w:val="clear" w:color="auto" w:fill="EAF0EE"/>
          </w:tcPr>
          <w:p>
            <w:pPr>
              <w:spacing w:after="20"/>
            </w:pPr>
            <w:r>
              <w:rPr>
                <w:b/>
                <w:color w:val="1C3A36"/>
                <w:sz w:val="15"/>
              </w:rPr>
              <w:t>How the study handled it</w:t>
            </w:r>
          </w:p>
        </w:tc>
      </w:tr>
      <w:tr>
        <w:tc>
          <w:tcPr>
            <w:tcW w:type="dxa" w:w="2232"/>
          </w:tcPr>
          <w:p>
            <w:pPr>
              <w:spacing w:after="20"/>
            </w:pPr>
            <w:r>
              <w:rPr>
                <w:color w:val="1C3A36"/>
                <w:sz w:val="15"/>
              </w:rPr>
              <w:t>An order book, backlog or unit-volume (tonnage, MVA, meter-count) disclosure for any segment, in any of the four filings including the Q1-2026 interim</w:t>
            </w:r>
          </w:p>
        </w:tc>
        <w:tc>
          <w:tcPr>
            <w:tcW w:type="dxa" w:w="3384"/>
          </w:tcPr>
          <w:p>
            <w:pPr>
              <w:spacing w:after="20"/>
            </w:pPr>
            <w:r>
              <w:rPr>
                <w:color w:val="1C3A36"/>
                <w:sz w:val="15"/>
              </w:rPr>
              <w:t>Not disclosed IN THE FILINGS. The company reports only segment revenue (Note 5-3) and segment profit (Note 16) — no volumes, prices or backlog. Its own quarterly earnings releases DO carry cable tonnage and an engineering backlog, and those are read; they are the issuer's own publications but they are not audited</w:t>
            </w:r>
          </w:p>
        </w:tc>
        <w:tc>
          <w:tcPr>
            <w:tcW w:type="dxa" w:w="4464"/>
          </w:tcPr>
          <w:p>
            <w:pPr>
              <w:spacing w:after="20"/>
            </w:pPr>
            <w:r>
              <w:rPr>
                <w:color w:val="1C3A36"/>
                <w:sz w:val="15"/>
              </w:rPr>
              <w:t>Cables is built on the disclosed tonnage series times a copper and currency pass-through measured out of the segment's own audited revenue per tonne — a unit model, on an unaudited issuer disclosure, labelled as such. Constructions and Electrical products taper on their own recent revenue CAGR, because the releases disclose no burn profile for the backlog and the segment aggregates products that no filing splits</w:t>
            </w:r>
          </w:p>
        </w:tc>
      </w:tr>
      <w:tr>
        <w:tc>
          <w:tcPr>
            <w:tcW w:type="dxa" w:w="2232"/>
          </w:tcPr>
          <w:p>
            <w:pPr>
              <w:spacing w:after="20"/>
            </w:pPr>
            <w:r>
              <w:rPr>
                <w:color w:val="1C3A36"/>
                <w:sz w:val="15"/>
              </w:rPr>
              <w:t>A facility-by-facility or currency-by-currency breakdown of the debt book finer than the two-way EGP / hard-currency split disclosed in the FY2025 and Q1-2026 borrowings notes</w:t>
            </w:r>
          </w:p>
        </w:tc>
        <w:tc>
          <w:tcPr>
            <w:tcW w:type="dxa" w:w="3384"/>
          </w:tcPr>
          <w:p>
            <w:pPr>
              <w:spacing w:after="20"/>
            </w:pPr>
            <w:r>
              <w:rPr>
                <w:color w:val="1C3A36"/>
                <w:sz w:val="15"/>
              </w:rPr>
              <w:t>Not disclosed at finer granularity; the FY2024 filing's own three-way EGP/USD/EUR split was itself replaced by the simpler two-way format in FY2025</w:t>
            </w:r>
          </w:p>
        </w:tc>
        <w:tc>
          <w:tcPr>
            <w:tcW w:type="dxa" w:w="4464"/>
          </w:tcPr>
          <w:p>
            <w:pPr>
              <w:spacing w:after="20"/>
            </w:pPr>
            <w:r>
              <w:rPr>
                <w:color w:val="1C3A36"/>
                <w:sz w:val="15"/>
              </w:rPr>
              <w:t>The Egyptian-pound share of the book is back-solved from the independently computed effective interest rate against the two disclosed currency-bucket rates, and is labelled as inferred</w:t>
            </w:r>
          </w:p>
        </w:tc>
      </w:tr>
      <w:tr>
        <w:tc>
          <w:tcPr>
            <w:tcW w:type="dxa" w:w="2232"/>
          </w:tcPr>
          <w:p>
            <w:pPr>
              <w:spacing w:after="20"/>
            </w:pPr>
            <w:r>
              <w:rPr>
                <w:color w:val="1C3A36"/>
                <w:sz w:val="15"/>
              </w:rPr>
              <w:t>A declared, proposed or approved FY2025 dividend — RESOLVED, and the earlier handling corrected</w:t>
            </w:r>
          </w:p>
        </w:tc>
        <w:tc>
          <w:tcPr>
            <w:tcW w:type="dxa" w:w="3384"/>
          </w:tcPr>
          <w:p>
            <w:pPr>
              <w:spacing w:after="20"/>
            </w:pPr>
            <w:r>
              <w:rPr>
                <w:color w:val="1C3A36"/>
                <w:sz w:val="15"/>
              </w:rPr>
              <w:t>Not disclosed in the FY2025 annual filing or the Q1-2026 interim — but the interim covers a period ending 31 March and carries no subsequent-events note, so its silence was never evidence. The dividend exists: EGP 1.85/share, ratified by the general assembly 6 May 2026, rights through 1 June, paid from 4 June 2026 (EGX disclosure, corroborated by financial-press coverage and the quoted trailing yield)</w:t>
            </w:r>
          </w:p>
        </w:tc>
        <w:tc>
          <w:tcPr>
            <w:tcW w:type="dxa" w:w="4464"/>
          </w:tcPr>
          <w:p>
            <w:pPr>
              <w:spacing w:after="20"/>
            </w:pPr>
            <w:r>
              <w:rPr>
                <w:color w:val="1C3A36"/>
                <w:sz w:val="15"/>
              </w:rPr>
              <w:t>An earlier revision removed the dividend on absence-of-evidence grounds — an error, flagged by external review and corrected: the model now carries EGP 1.85 and a 25% forecast payout. Recorded here because reasoning from the silence of a document that could not have contained the fact is exactly the failure mode this register exists to catch</w:t>
            </w:r>
          </w:p>
        </w:tc>
      </w:tr>
      <w:tr>
        <w:tc>
          <w:tcPr>
            <w:tcW w:type="dxa" w:w="2232"/>
          </w:tcPr>
          <w:p>
            <w:pPr>
              <w:spacing w:after="20"/>
            </w:pPr>
            <w:r>
              <w:rPr>
                <w:color w:val="1C3A36"/>
                <w:sz w:val="15"/>
              </w:rPr>
              <w:t>An explanation for the sharp single-session price move on 4 August 2026</w:t>
            </w:r>
          </w:p>
        </w:tc>
        <w:tc>
          <w:tcPr>
            <w:tcW w:type="dxa" w:w="3384"/>
          </w:tcPr>
          <w:p>
            <w:pPr>
              <w:spacing w:after="20"/>
            </w:pPr>
            <w:r>
              <w:rPr>
                <w:color w:val="1C3A36"/>
                <w:sz w:val="15"/>
              </w:rPr>
              <w:t>No corresponding company disclosure or news item was found</w:t>
            </w:r>
          </w:p>
        </w:tc>
        <w:tc>
          <w:tcPr>
            <w:tcW w:type="dxa" w:w="4464"/>
          </w:tcPr>
          <w:p>
            <w:pPr>
              <w:spacing w:after="20"/>
            </w:pPr>
            <w:r>
              <w:rPr>
                <w:color w:val="1C3A36"/>
                <w:sz w:val="15"/>
              </w:rPr>
              <w:t>Not used. The study's anchor is the closing price on 2026-09-03 and no narrative is attached to the move</w:t>
            </w:r>
          </w:p>
        </w:tc>
      </w:tr>
    </w:tbl>
    <w:p>
      <w:pPr>
        <w:spacing w:after="40"/>
      </w:pPr>
    </w:p>
    <w:p>
      <w:pPr>
        <w:spacing w:after="80" w:before="240"/>
      </w:pPr>
      <w:r>
        <w:rPr>
          <w:b/>
          <w:i w:val="0"/>
          <w:color w:val="1C3A36"/>
          <w:sz w:val="26"/>
        </w:rPr>
        <w:t>A note on aggregator and press data</w:t>
      </w:r>
    </w:p>
    <w:p>
      <w:pPr>
        <w:spacing w:after="100" w:before="0"/>
      </w:pPr>
      <w:r>
        <w:rPr>
          <w:b w:val="0"/>
          <w:i w:val="0"/>
          <w:color w:val="1C3A36"/>
          <w:sz w:val="20"/>
        </w:rPr>
        <w:t>An earlier version of this study relied on press coverage and company commentary for FY2025, because the audited filings were not reachable from the research environment at the time. One material discrepancy was found in that process and is recorded here for the audit trail: a widely syndicated "FY2025" balance sheet — total assets, total equity, total debt and cash — reproduced the company's audited 31 December 2024 figures exactly, one year stale, and was discarded. All balance-sheet, income-statement and segment figures in the current study are taken directly from the audited FY2023-25 consolidated statements and the Q1-2026 condensed interim statements; no aggregator or press figure remains in the model.</w:t>
      </w:r>
    </w:p>
    <w:p>
      <w:pPr>
        <w:spacing w:after="80" w:before="240"/>
      </w:pPr>
      <w:r>
        <w:rPr>
          <w:b/>
          <w:i w:val="0"/>
          <w:color w:val="1C3A36"/>
          <w:sz w:val="26"/>
        </w:rPr>
        <w:t>Disclosure</w:t>
      </w:r>
    </w:p>
    <w:p>
      <w:pPr>
        <w:spacing w:after="100" w:before="0"/>
      </w:pPr>
      <w:r>
        <w:rPr>
          <w:b w:val="0"/>
          <w:i w:val="0"/>
          <w:color w:val="6E7B77"/>
          <w:sz w:val="18"/>
        </w:rPr>
        <w:t>This document accompanies an educational valuation study. It is not investment advice and contains no recommendation, rating or price target. Sources are listed so that readers can verify the analysis independently. Where a figure is derived or estimated rather than disclosed, that is stated.</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color w:val="1C3A3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