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79.09 — -39% against today's price, and -10%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79.09</w:t>
            </w:r>
          </w:p>
        </w:tc>
        <w:tc>
          <w:tcPr>
            <w:tcW w:type="dxa" w:w="907"/>
          </w:tcPr>
          <w:p>
            <w:pPr>
              <w:spacing w:after="20"/>
              <w:jc w:val="right"/>
            </w:pPr>
            <w:r>
              <w:rPr>
                <w:color w:val="1C3A36"/>
                <w:sz w:val="17"/>
              </w:rPr>
              <w:t>-39%</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4,807</w:t>
            </w:r>
          </w:p>
        </w:tc>
        <w:tc>
          <w:tcPr>
            <w:tcW w:type="dxa" w:w="893"/>
          </w:tcPr>
          <w:p>
            <w:pPr>
              <w:spacing w:after="20"/>
              <w:jc w:val="right"/>
            </w:pPr>
            <w:r>
              <w:rPr>
                <w:color w:val="1C3A36"/>
                <w:sz w:val="15"/>
              </w:rPr>
              <w:t>5,510</w:t>
            </w:r>
          </w:p>
        </w:tc>
        <w:tc>
          <w:tcPr>
            <w:tcW w:type="dxa" w:w="893"/>
          </w:tcPr>
          <w:p>
            <w:pPr>
              <w:spacing w:after="20"/>
              <w:jc w:val="right"/>
            </w:pPr>
            <w:r>
              <w:rPr>
                <w:color w:val="1C3A36"/>
                <w:sz w:val="15"/>
              </w:rPr>
              <w:t>6,197</w:t>
            </w:r>
          </w:p>
        </w:tc>
        <w:tc>
          <w:tcPr>
            <w:tcW w:type="dxa" w:w="893"/>
          </w:tcPr>
          <w:p>
            <w:pPr>
              <w:spacing w:after="20"/>
              <w:jc w:val="right"/>
            </w:pPr>
            <w:r>
              <w:rPr>
                <w:color w:val="1C3A36"/>
                <w:sz w:val="15"/>
              </w:rPr>
              <w:t>6,902</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30,397</w:t>
            </w:r>
          </w:p>
        </w:tc>
        <w:tc>
          <w:tcPr>
            <w:tcW w:type="dxa" w:w="4896"/>
          </w:tcPr>
          <w:p>
            <w:pPr>
              <w:spacing w:after="20"/>
              <w:jc w:val="right"/>
            </w:pPr>
            <w:r>
              <w:rPr>
                <w:color w:val="1C3A36"/>
                <w:sz w:val="16"/>
              </w:rPr>
              <w:t>FY2030E NOPAT grown 9% × (1 − reinvestment rate 40.7%); the reinvestment rate is forced to g ÷ terminal return on capital (22.4%)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capitalised at 15.3% − 9% = 493,872,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Margins are outputs of the build in all three,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3.43-3.67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66.63 – 116.48</w:t>
            </w:r>
          </w:p>
        </w:tc>
        <w:tc>
          <w:tcPr>
            <w:tcW w:type="dxa" w:w="1944"/>
          </w:tcPr>
          <w:p>
            <w:pPr>
              <w:spacing w:after="20"/>
              <w:jc w:val="right"/>
            </w:pPr>
            <w:r>
              <w:rPr>
                <w:color w:val="1C3A36"/>
                <w:sz w:val="17"/>
              </w:rPr>
              <w:t>49.85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terminal return-on-capital row at EGP 49.85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79.09, -39%</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79.09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+13.70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[R-COC-03],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79.09.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49.85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