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120" w:before="0"/>
      </w:pPr>
      <w:r>
        <w:rPr>
          <w:b/>
          <w:i w:val="0"/>
          <w:color w:val="1C3A36"/>
          <w:sz w:val="28"/>
        </w:rPr>
        <w:t>Bibliography and input register</w:t>
      </w:r>
    </w:p>
    <w:p>
      <w:pPr>
        <w:spacing w:after="120" w:before="0"/>
      </w:pPr>
      <w:r>
        <w:rPr>
          <w:b w:val="0"/>
          <w:i/>
          <w:color w:val="6E7B77"/>
          <w:sz w:val="22"/>
        </w:rPr>
        <w:t>Abu Dhabi Islamic Bank – Egypt S.A.E. (EGX: ADIB) — valuation study of 9 September 2026</w:t>
      </w:r>
    </w:p>
    <w:p>
      <w:pPr>
        <w:spacing w:after="120" w:before="0"/>
      </w:pPr>
      <w:r>
        <w:rPr>
          <w:b w:val="0"/>
          <w:i w:val="0"/>
          <w:color w:val="1C3A36"/>
          <w:sz w:val="21"/>
        </w:rPr>
        <w:t>This document stands alone. Every figure in the study can be traced from here to the document it came from, the date that document carries, and how good a source it is. Where a figure could not be sourced, this document says so rather than leaving the gap to be inferred.</w:t>
      </w:r>
    </w:p>
    <w:p>
      <w:pPr>
        <w:spacing w:after="120" w:before="280"/>
      </w:pPr>
      <w:r>
        <w:rPr>
          <w:b/>
          <w:i w:val="0"/>
          <w:color w:val="1C3A36"/>
          <w:sz w:val="30"/>
        </w:rPr>
        <w:t>1  Primary documents</w:t>
      </w:r>
    </w:p>
    <w:p>
      <w:pPr>
        <w:spacing w:after="120" w:before="0"/>
      </w:pPr>
      <w:r>
        <w:rPr>
          <w:b w:val="0"/>
          <w:i w:val="0"/>
          <w:color w:val="1C3A36"/>
          <w:sz w:val="21"/>
        </w:rPr>
        <w:t>Sixteen consolidated fiscal years plus two interim periods, all from the bank's own investor-relations archive at adib.eg. EVERY ONE OF THESE WAS PARSED AND CHECKED TO ADD UP; a statement that does not foot against its own arithmetic did not enter this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224"/>
        <w:gridCol w:w="4464"/>
        <w:gridCol w:w="1440"/>
        <w:gridCol w:w="720"/>
        <w:gridCol w:w="2232"/>
      </w:tblGrid>
      <w:tr>
        <w:tc>
          <w:tcPr>
            <w:tcW w:type="dxa" w:w="1224"/>
            <w:shd w:val="clear" w:color="auto" w:fill="EAF0EE"/>
          </w:tcPr>
          <w:p>
            <w:pPr>
              <w:spacing w:after="20"/>
            </w:pPr>
            <w:r>
              <w:rPr>
                <w:b/>
                <w:color w:val="1C3A36"/>
                <w:sz w:val="14"/>
              </w:rPr>
              <w:t>Period</w:t>
            </w:r>
          </w:p>
        </w:tc>
        <w:tc>
          <w:tcPr>
            <w:tcW w:type="dxa" w:w="4464"/>
            <w:shd w:val="clear" w:color="auto" w:fill="EAF0EE"/>
          </w:tcPr>
          <w:p>
            <w:pPr>
              <w:spacing w:after="20"/>
            </w:pPr>
            <w:r>
              <w:rPr>
                <w:b/>
                <w:color w:val="1C3A36"/>
                <w:sz w:val="14"/>
              </w:rPr>
              <w:t>Document</w:t>
            </w:r>
          </w:p>
        </w:tc>
        <w:tc>
          <w:tcPr>
            <w:tcW w:type="dxa" w:w="1440"/>
            <w:shd w:val="clear" w:color="auto" w:fill="EAF0EE"/>
          </w:tcPr>
          <w:p>
            <w:pPr>
              <w:spacing w:after="20"/>
            </w:pPr>
            <w:r>
              <w:rPr>
                <w:b/>
                <w:color w:val="1C3A36"/>
                <w:sz w:val="14"/>
              </w:rPr>
              <w:t>Document date</w:t>
            </w:r>
          </w:p>
        </w:tc>
        <w:tc>
          <w:tcPr>
            <w:tcW w:type="dxa" w:w="720"/>
            <w:shd w:val="clear" w:color="auto" w:fill="EAF0EE"/>
          </w:tcPr>
          <w:p>
            <w:pPr>
              <w:spacing w:after="20"/>
            </w:pPr>
            <w:r>
              <w:rPr>
                <w:b/>
                <w:color w:val="1C3A36"/>
                <w:sz w:val="14"/>
              </w:rPr>
              <w:t>Tier</w:t>
            </w:r>
          </w:p>
        </w:tc>
        <w:tc>
          <w:tcPr>
            <w:tcW w:type="dxa" w:w="2232"/>
            <w:shd w:val="clear" w:color="auto" w:fill="EAF0EE"/>
          </w:tcPr>
          <w:p>
            <w:pPr>
              <w:spacing w:after="20"/>
            </w:pPr>
            <w:r>
              <w:rPr>
                <w:b/>
                <w:color w:val="1C3A36"/>
                <w:sz w:val="14"/>
              </w:rPr>
              <w:t>How it was read</w:t>
            </w:r>
          </w:p>
        </w:tc>
      </w:tr>
      <w:tr>
        <w:tc>
          <w:tcPr>
            <w:tcW w:type="dxa" w:w="1224"/>
          </w:tcPr>
          <w:p>
            <w:pPr>
              <w:spacing w:after="20"/>
            </w:pPr>
            <w:r>
              <w:rPr>
                <w:color w:val="1C3A36"/>
                <w:sz w:val="14"/>
              </w:rPr>
              <w:t>FY2010</w:t>
            </w:r>
          </w:p>
        </w:tc>
        <w:tc>
          <w:tcPr>
            <w:tcW w:type="dxa" w:w="4464"/>
          </w:tcPr>
          <w:p>
            <w:pPr>
              <w:spacing w:after="20"/>
              <w:jc w:val="right"/>
            </w:pPr>
            <w:r>
              <w:rPr>
                <w:color w:val="1C3A36"/>
                <w:sz w:val="14"/>
              </w:rPr>
              <w:t>Consolidated financial statements and the audit report thereon, year ended 31 Dec 2010 (National Bank For Deve</w:t>
            </w:r>
          </w:p>
        </w:tc>
        <w:tc>
          <w:tcPr>
            <w:tcW w:type="dxa" w:w="1440"/>
          </w:tcPr>
          <w:p>
            <w:pPr>
              <w:spacing w:after="20"/>
              <w:jc w:val="right"/>
            </w:pPr>
            <w:r>
              <w:rPr>
                <w:color w:val="1C3A36"/>
                <w:sz w:val="14"/>
              </w:rPr>
              <w:t>2011</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FY2011</w:t>
            </w:r>
          </w:p>
        </w:tc>
        <w:tc>
          <w:tcPr>
            <w:tcW w:type="dxa" w:w="4464"/>
          </w:tcPr>
          <w:p>
            <w:pPr>
              <w:spacing w:after="20"/>
              <w:jc w:val="right"/>
            </w:pPr>
            <w:r>
              <w:rPr>
                <w:color w:val="1C3A36"/>
                <w:sz w:val="14"/>
              </w:rPr>
              <w:t>Consolidated financial statements, year ended 31 Dec 2011</w:t>
            </w:r>
          </w:p>
        </w:tc>
        <w:tc>
          <w:tcPr>
            <w:tcW w:type="dxa" w:w="1440"/>
          </w:tcPr>
          <w:p>
            <w:pPr>
              <w:spacing w:after="20"/>
              <w:jc w:val="right"/>
            </w:pPr>
            <w:r>
              <w:rPr>
                <w:color w:val="1C3A36"/>
                <w:sz w:val="14"/>
              </w:rPr>
              <w:t>2012</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FY2012</w:t>
            </w:r>
          </w:p>
        </w:tc>
        <w:tc>
          <w:tcPr>
            <w:tcW w:type="dxa" w:w="4464"/>
          </w:tcPr>
          <w:p>
            <w:pPr>
              <w:spacing w:after="20"/>
              <w:jc w:val="right"/>
            </w:pPr>
            <w:r>
              <w:rPr>
                <w:color w:val="1C3A36"/>
                <w:sz w:val="14"/>
              </w:rPr>
              <w:t>Consolidated financial statements, year ended 31 Dec 2012</w:t>
            </w:r>
          </w:p>
        </w:tc>
        <w:tc>
          <w:tcPr>
            <w:tcW w:type="dxa" w:w="1440"/>
          </w:tcPr>
          <w:p>
            <w:pPr>
              <w:spacing w:after="20"/>
              <w:jc w:val="right"/>
            </w:pPr>
            <w:r>
              <w:rPr>
                <w:color w:val="1C3A36"/>
                <w:sz w:val="14"/>
              </w:rPr>
              <w:t>2013-03</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FY2013</w:t>
            </w:r>
          </w:p>
        </w:tc>
        <w:tc>
          <w:tcPr>
            <w:tcW w:type="dxa" w:w="4464"/>
          </w:tcPr>
          <w:p>
            <w:pPr>
              <w:spacing w:after="20"/>
              <w:jc w:val="right"/>
            </w:pPr>
            <w:r>
              <w:rPr>
                <w:color w:val="1C3A36"/>
                <w:sz w:val="14"/>
              </w:rPr>
              <w:t>Consolidated financial statements, year ended 31 Dec 2013</w:t>
            </w:r>
          </w:p>
        </w:tc>
        <w:tc>
          <w:tcPr>
            <w:tcW w:type="dxa" w:w="1440"/>
          </w:tcPr>
          <w:p>
            <w:pPr>
              <w:spacing w:after="20"/>
              <w:jc w:val="right"/>
            </w:pPr>
            <w:r>
              <w:rPr>
                <w:color w:val="1C3A36"/>
                <w:sz w:val="14"/>
              </w:rPr>
              <w:t>2014</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FY2014</w:t>
            </w:r>
          </w:p>
        </w:tc>
        <w:tc>
          <w:tcPr>
            <w:tcW w:type="dxa" w:w="4464"/>
          </w:tcPr>
          <w:p>
            <w:pPr>
              <w:spacing w:after="20"/>
              <w:jc w:val="right"/>
            </w:pPr>
            <w:r>
              <w:rPr>
                <w:color w:val="1C3A36"/>
                <w:sz w:val="14"/>
              </w:rPr>
              <w:t>Consolidated financial statements, year ended 31 Dec 2014 (Restated)</w:t>
            </w:r>
          </w:p>
        </w:tc>
        <w:tc>
          <w:tcPr>
            <w:tcW w:type="dxa" w:w="1440"/>
          </w:tcPr>
          <w:p>
            <w:pPr>
              <w:spacing w:after="20"/>
              <w:jc w:val="right"/>
            </w:pPr>
            <w:r>
              <w:rPr>
                <w:color w:val="1C3A36"/>
                <w:sz w:val="14"/>
              </w:rPr>
              <w:t>2015</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FY2015</w:t>
            </w:r>
          </w:p>
        </w:tc>
        <w:tc>
          <w:tcPr>
            <w:tcW w:type="dxa" w:w="4464"/>
          </w:tcPr>
          <w:p>
            <w:pPr>
              <w:spacing w:after="20"/>
              <w:jc w:val="right"/>
            </w:pPr>
            <w:r>
              <w:rPr>
                <w:color w:val="1C3A36"/>
                <w:sz w:val="14"/>
              </w:rPr>
              <w:t>Consolidated financial statements, year ended 31 Dec 2015</w:t>
            </w:r>
          </w:p>
        </w:tc>
        <w:tc>
          <w:tcPr>
            <w:tcW w:type="dxa" w:w="1440"/>
          </w:tcPr>
          <w:p>
            <w:pPr>
              <w:spacing w:after="20"/>
              <w:jc w:val="right"/>
            </w:pPr>
            <w:r>
              <w:rPr>
                <w:color w:val="1C3A36"/>
                <w:sz w:val="14"/>
              </w:rPr>
              <w:t>2016-02-18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FY2016</w:t>
            </w:r>
          </w:p>
        </w:tc>
        <w:tc>
          <w:tcPr>
            <w:tcW w:type="dxa" w:w="4464"/>
          </w:tcPr>
          <w:p>
            <w:pPr>
              <w:spacing w:after="20"/>
              <w:jc w:val="right"/>
            </w:pPr>
            <w:r>
              <w:rPr>
                <w:color w:val="1C3A36"/>
                <w:sz w:val="14"/>
              </w:rPr>
              <w:t>Consolidated financial statements, year ended 31 Dec 2016</w:t>
            </w:r>
          </w:p>
        </w:tc>
        <w:tc>
          <w:tcPr>
            <w:tcW w:type="dxa" w:w="1440"/>
          </w:tcPr>
          <w:p>
            <w:pPr>
              <w:spacing w:after="20"/>
              <w:jc w:val="right"/>
            </w:pPr>
            <w:r>
              <w:rPr>
                <w:color w:val="1C3A36"/>
                <w:sz w:val="14"/>
              </w:rPr>
              <w:t>2017-02-16</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FY2017</w:t>
            </w:r>
          </w:p>
        </w:tc>
        <w:tc>
          <w:tcPr>
            <w:tcW w:type="dxa" w:w="4464"/>
          </w:tcPr>
          <w:p>
            <w:pPr>
              <w:spacing w:after="20"/>
              <w:jc w:val="right"/>
            </w:pPr>
            <w:r>
              <w:rPr>
                <w:color w:val="1C3A36"/>
                <w:sz w:val="14"/>
              </w:rPr>
              <w:t>Consolidated financial statements, year ended 31 Dec 2017</w:t>
            </w:r>
          </w:p>
        </w:tc>
        <w:tc>
          <w:tcPr>
            <w:tcW w:type="dxa" w:w="1440"/>
          </w:tcPr>
          <w:p>
            <w:pPr>
              <w:spacing w:after="20"/>
              <w:jc w:val="right"/>
            </w:pPr>
            <w:r>
              <w:rPr>
                <w:color w:val="1C3A36"/>
                <w:sz w:val="14"/>
              </w:rPr>
              <w:t>2018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FY2018</w:t>
            </w:r>
          </w:p>
        </w:tc>
        <w:tc>
          <w:tcPr>
            <w:tcW w:type="dxa" w:w="4464"/>
          </w:tcPr>
          <w:p>
            <w:pPr>
              <w:spacing w:after="20"/>
              <w:jc w:val="right"/>
            </w:pPr>
            <w:r>
              <w:rPr>
                <w:color w:val="1C3A36"/>
                <w:sz w:val="14"/>
              </w:rPr>
              <w:t>Consolidated financial statements, year ended 31 Dec 2018</w:t>
            </w:r>
          </w:p>
        </w:tc>
        <w:tc>
          <w:tcPr>
            <w:tcW w:type="dxa" w:w="1440"/>
          </w:tcPr>
          <w:p>
            <w:pPr>
              <w:spacing w:after="20"/>
              <w:jc w:val="right"/>
            </w:pPr>
            <w:r>
              <w:rPr>
                <w:color w:val="1C3A36"/>
                <w:sz w:val="14"/>
              </w:rPr>
              <w:t>2019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w:t>
            </w:r>
          </w:p>
        </w:tc>
      </w:tr>
      <w:tr>
        <w:tc>
          <w:tcPr>
            <w:tcW w:type="dxa" w:w="1224"/>
          </w:tcPr>
          <w:p>
            <w:pPr>
              <w:spacing w:after="20"/>
            </w:pPr>
            <w:r>
              <w:rPr>
                <w:color w:val="1C3A36"/>
                <w:sz w:val="14"/>
              </w:rPr>
              <w:t>FY2019</w:t>
            </w:r>
          </w:p>
        </w:tc>
        <w:tc>
          <w:tcPr>
            <w:tcW w:type="dxa" w:w="4464"/>
          </w:tcPr>
          <w:p>
            <w:pPr>
              <w:spacing w:after="20"/>
              <w:jc w:val="right"/>
            </w:pPr>
            <w:r>
              <w:rPr>
                <w:color w:val="1C3A36"/>
                <w:sz w:val="14"/>
              </w:rPr>
              <w:t>Consolidated financial statements, year ended 31 Dec 2019</w:t>
            </w:r>
          </w:p>
        </w:tc>
        <w:tc>
          <w:tcPr>
            <w:tcW w:type="dxa" w:w="1440"/>
          </w:tcPr>
          <w:p>
            <w:pPr>
              <w:spacing w:after="20"/>
              <w:jc w:val="right"/>
            </w:pPr>
            <w:r>
              <w:rPr>
                <w:color w:val="1C3A36"/>
                <w:sz w:val="14"/>
              </w:rPr>
              <w:t>2020</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FY2020</w:t>
            </w:r>
          </w:p>
        </w:tc>
        <w:tc>
          <w:tcPr>
            <w:tcW w:type="dxa" w:w="4464"/>
          </w:tcPr>
          <w:p>
            <w:pPr>
              <w:spacing w:after="20"/>
              <w:jc w:val="right"/>
            </w:pPr>
            <w:r>
              <w:rPr>
                <w:color w:val="1C3A36"/>
                <w:sz w:val="14"/>
              </w:rPr>
              <w:t>Consolidated financial statements, year ended 31 Dec 2020</w:t>
            </w:r>
          </w:p>
        </w:tc>
        <w:tc>
          <w:tcPr>
            <w:tcW w:type="dxa" w:w="1440"/>
          </w:tcPr>
          <w:p>
            <w:pPr>
              <w:spacing w:after="20"/>
              <w:jc w:val="right"/>
            </w:pPr>
            <w:r>
              <w:rPr>
                <w:color w:val="1C3A36"/>
                <w:sz w:val="14"/>
              </w:rPr>
              <w:t>2021-02-18</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FY2021</w:t>
            </w:r>
          </w:p>
        </w:tc>
        <w:tc>
          <w:tcPr>
            <w:tcW w:type="dxa" w:w="4464"/>
          </w:tcPr>
          <w:p>
            <w:pPr>
              <w:spacing w:after="20"/>
              <w:jc w:val="right"/>
            </w:pPr>
            <w:r>
              <w:rPr>
                <w:color w:val="1C3A36"/>
                <w:sz w:val="14"/>
              </w:rPr>
              <w:t>FY2021 taken from the COMPARATIVE column of the FY2022 audited consolidated statements. The file published und</w:t>
            </w:r>
          </w:p>
        </w:tc>
        <w:tc>
          <w:tcPr>
            <w:tcW w:type="dxa" w:w="1440"/>
          </w:tcPr>
          <w:p>
            <w:pPr>
              <w:spacing w:after="20"/>
              <w:jc w:val="right"/>
            </w:pPr>
            <w:r>
              <w:rPr>
                <w:color w:val="1C3A36"/>
                <w:sz w:val="14"/>
              </w:rPr>
              <w:t>2023-02-09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text+ocr</w:t>
            </w:r>
          </w:p>
        </w:tc>
      </w:tr>
      <w:tr>
        <w:tc>
          <w:tcPr>
            <w:tcW w:type="dxa" w:w="1224"/>
          </w:tcPr>
          <w:p>
            <w:pPr>
              <w:spacing w:after="20"/>
            </w:pPr>
            <w:r>
              <w:rPr>
                <w:color w:val="1C3A36"/>
                <w:sz w:val="14"/>
              </w:rPr>
              <w:t>FY2022</w:t>
            </w:r>
          </w:p>
        </w:tc>
        <w:tc>
          <w:tcPr>
            <w:tcW w:type="dxa" w:w="4464"/>
          </w:tcPr>
          <w:p>
            <w:pPr>
              <w:spacing w:after="20"/>
              <w:jc w:val="right"/>
            </w:pPr>
            <w:r>
              <w:rPr>
                <w:color w:val="1C3A36"/>
                <w:sz w:val="14"/>
              </w:rPr>
              <w:t>Consolidated financial statements, year ended 31 Dec 2022</w:t>
            </w:r>
          </w:p>
        </w:tc>
        <w:tc>
          <w:tcPr>
            <w:tcW w:type="dxa" w:w="1440"/>
          </w:tcPr>
          <w:p>
            <w:pPr>
              <w:spacing w:after="20"/>
              <w:jc w:val="right"/>
            </w:pPr>
            <w:r>
              <w:rPr>
                <w:color w:val="1C3A36"/>
                <w:sz w:val="14"/>
              </w:rPr>
              <w:t>2023-02-09</w:t>
            </w:r>
          </w:p>
        </w:tc>
        <w:tc>
          <w:tcPr>
            <w:tcW w:type="dxa" w:w="720"/>
          </w:tcPr>
          <w:p>
            <w:pPr>
              <w:spacing w:after="20"/>
              <w:jc w:val="right"/>
            </w:pPr>
            <w:r>
              <w:rPr>
                <w:color w:val="1C3A36"/>
                <w:sz w:val="14"/>
              </w:rPr>
              <w:t>A</w:t>
            </w:r>
          </w:p>
        </w:tc>
        <w:tc>
          <w:tcPr>
            <w:tcW w:type="dxa" w:w="2232"/>
          </w:tcPr>
          <w:p>
            <w:pPr>
              <w:spacing w:after="20"/>
              <w:jc w:val="right"/>
            </w:pPr>
            <w:r>
              <w:rPr>
                <w:color w:val="1C3A36"/>
                <w:sz w:val="14"/>
              </w:rPr>
              <w:t>text(BS)+ocr(IS)</w:t>
            </w:r>
          </w:p>
        </w:tc>
      </w:tr>
      <w:tr>
        <w:tc>
          <w:tcPr>
            <w:tcW w:type="dxa" w:w="1224"/>
          </w:tcPr>
          <w:p>
            <w:pPr>
              <w:spacing w:after="20"/>
            </w:pPr>
            <w:r>
              <w:rPr>
                <w:color w:val="1C3A36"/>
                <w:sz w:val="14"/>
              </w:rPr>
              <w:t>FY2023</w:t>
            </w:r>
          </w:p>
        </w:tc>
        <w:tc>
          <w:tcPr>
            <w:tcW w:type="dxa" w:w="4464"/>
          </w:tcPr>
          <w:p>
            <w:pPr>
              <w:spacing w:after="20"/>
              <w:jc w:val="right"/>
            </w:pPr>
            <w:r>
              <w:rPr>
                <w:color w:val="1C3A36"/>
                <w:sz w:val="14"/>
              </w:rPr>
              <w:t>Consolidated financial statements, year ended 31 Dec 2023</w:t>
            </w:r>
          </w:p>
        </w:tc>
        <w:tc>
          <w:tcPr>
            <w:tcW w:type="dxa" w:w="1440"/>
          </w:tcPr>
          <w:p>
            <w:pPr>
              <w:spacing w:after="20"/>
              <w:jc w:val="right"/>
            </w:pPr>
            <w:r>
              <w:rPr>
                <w:color w:val="1C3A36"/>
                <w:sz w:val="14"/>
              </w:rPr>
              <w:t>2024</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FY2024</w:t>
            </w:r>
          </w:p>
        </w:tc>
        <w:tc>
          <w:tcPr>
            <w:tcW w:type="dxa" w:w="4464"/>
          </w:tcPr>
          <w:p>
            <w:pPr>
              <w:spacing w:after="20"/>
              <w:jc w:val="right"/>
            </w:pPr>
            <w:r>
              <w:rPr>
                <w:color w:val="1C3A36"/>
                <w:sz w:val="14"/>
              </w:rPr>
              <w:t>Consolidated financial statements, year ended 31 Dec 2024</w:t>
            </w:r>
          </w:p>
        </w:tc>
        <w:tc>
          <w:tcPr>
            <w:tcW w:type="dxa" w:w="1440"/>
          </w:tcPr>
          <w:p>
            <w:pPr>
              <w:spacing w:after="20"/>
              <w:jc w:val="right"/>
            </w:pPr>
            <w:r>
              <w:rPr>
                <w:color w:val="1C3A36"/>
                <w:sz w:val="14"/>
              </w:rPr>
              <w:t>2025-02-06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FY2025</w:t>
            </w:r>
          </w:p>
        </w:tc>
        <w:tc>
          <w:tcPr>
            <w:tcW w:type="dxa" w:w="4464"/>
          </w:tcPr>
          <w:p>
            <w:pPr>
              <w:spacing w:after="20"/>
              <w:jc w:val="right"/>
            </w:pPr>
            <w:r>
              <w:rPr>
                <w:color w:val="1C3A36"/>
                <w:sz w:val="14"/>
              </w:rPr>
              <w:t>Consolidated financial statements, year ended 31 Dec 2025</w:t>
            </w:r>
          </w:p>
        </w:tc>
        <w:tc>
          <w:tcPr>
            <w:tcW w:type="dxa" w:w="1440"/>
          </w:tcPr>
          <w:p>
            <w:pPr>
              <w:spacing w:after="20"/>
              <w:jc w:val="right"/>
            </w:pPr>
            <w:r>
              <w:rPr>
                <w:color w:val="1C3A36"/>
                <w:sz w:val="14"/>
              </w:rPr>
              <w:t>2026-02-05</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H1-2026</w:t>
            </w:r>
          </w:p>
        </w:tc>
        <w:tc>
          <w:tcPr>
            <w:tcW w:type="dxa" w:w="4464"/>
          </w:tcPr>
          <w:p>
            <w:pPr>
              <w:spacing w:after="20"/>
              <w:jc w:val="right"/>
            </w:pPr>
            <w:r>
              <w:rPr>
                <w:color w:val="1C3A36"/>
                <w:sz w:val="14"/>
              </w:rPr>
              <w:t>Condensed consolidated interim financial statements, six months ended 30 Jun 2026</w:t>
            </w:r>
          </w:p>
        </w:tc>
        <w:tc>
          <w:tcPr>
            <w:tcW w:type="dxa" w:w="1440"/>
          </w:tcPr>
          <w:p>
            <w:pPr>
              <w:spacing w:after="20"/>
              <w:jc w:val="right"/>
            </w:pPr>
            <w:r>
              <w:rPr>
                <w:color w:val="1C3A36"/>
                <w:sz w:val="14"/>
              </w:rPr>
              <w:t>2026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r>
        <w:tc>
          <w:tcPr>
            <w:tcW w:type="dxa" w:w="1224"/>
          </w:tcPr>
          <w:p>
            <w:pPr>
              <w:spacing w:after="20"/>
            </w:pPr>
            <w:r>
              <w:rPr>
                <w:color w:val="1C3A36"/>
                <w:sz w:val="14"/>
              </w:rPr>
              <w:t>Q1-2026</w:t>
            </w:r>
          </w:p>
        </w:tc>
        <w:tc>
          <w:tcPr>
            <w:tcW w:type="dxa" w:w="4464"/>
          </w:tcPr>
          <w:p>
            <w:pPr>
              <w:spacing w:after="20"/>
              <w:jc w:val="right"/>
            </w:pPr>
            <w:r>
              <w:rPr>
                <w:color w:val="1C3A36"/>
                <w:sz w:val="14"/>
              </w:rPr>
              <w:t>Condensed consolidated interim financial statements, three months ended 31 Mar 2026</w:t>
            </w:r>
          </w:p>
        </w:tc>
        <w:tc>
          <w:tcPr>
            <w:tcW w:type="dxa" w:w="1440"/>
          </w:tcPr>
          <w:p>
            <w:pPr>
              <w:spacing w:after="20"/>
              <w:jc w:val="right"/>
            </w:pPr>
            <w:r>
              <w:rPr>
                <w:color w:val="1C3A36"/>
                <w:sz w:val="14"/>
              </w:rPr>
              <w:t>2026</w:t>
            </w:r>
          </w:p>
        </w:tc>
        <w:tc>
          <w:tcPr>
            <w:tcW w:type="dxa" w:w="720"/>
          </w:tcPr>
          <w:p>
            <w:pPr>
              <w:spacing w:after="20"/>
              <w:jc w:val="right"/>
            </w:pPr>
            <w:r>
              <w:rPr>
                <w:color w:val="1C3A36"/>
                <w:sz w:val="14"/>
              </w:rPr>
              <w:t>A</w:t>
            </w:r>
          </w:p>
        </w:tc>
        <w:tc>
          <w:tcPr>
            <w:tcW w:type="dxa" w:w="2232"/>
          </w:tcPr>
          <w:p>
            <w:pPr>
              <w:spacing w:after="20"/>
              <w:jc w:val="right"/>
            </w:pPr>
            <w:r>
              <w:rPr>
                <w:color w:val="1C3A36"/>
                <w:sz w:val="14"/>
              </w:rPr>
              <w:t>ocr</w:t>
            </w:r>
          </w:p>
        </w:tc>
      </w:tr>
    </w:tbl>
    <w:p>
      <w:pPr>
        <w:spacing w:after="40"/>
      </w:pPr>
    </w:p>
    <w:p>
      <w:pPr>
        <w:spacing w:after="200" w:before="0"/>
      </w:pPr>
      <w:r>
        <w:rPr>
          <w:b w:val="0"/>
          <w:i/>
          <w:color w:val="6E7B77"/>
          <w:sz w:val="17"/>
        </w:rPr>
        <w:t>Table 1 — the primary record. Tier A is the company's own audited or reviewed statements. There is no tier B or tier C figure anywhere in this study's company data.</w:t>
      </w:r>
    </w:p>
    <w:tbl>
      <w:tblPr>
        <w:tblW w:type="auto" w:w="0"/>
        <w:tblLook w:firstColumn="1" w:firstRow="1" w:lastColumn="0" w:lastRow="0" w:noHBand="0" w:noVBand="1" w:val="04A0"/>
        <w:tblLayout w:type="fixed"/>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color w:val="1C3A36"/>
                <w:sz w:val="19"/>
              </w:rPr>
              <w:t>HOW A RASTER WAS READ, AND WHY IT CAN BE TRUSTED. Seven of these filings publish their statements as images with no text layer. Each was read TWICE and independently — once off the largest embedded image at its native resolution, once off a rendered page — and every disagreement between the two passes was settled by the statement's OWN arithmetic, or where that was not decisive, by the comparative column of the following year's filing. Every statement in this study foots exactly. Two figures could only be settled by the footing identity and both are labelled DERIVED with the formula: a gain on financial investments of EGP 7.155 million in FY2025 (0.04% of pre-tax profit) and non-controlling interests of EGP 38.576 million in the FY2025 equity block.</w:t>
            </w:r>
          </w:p>
        </w:tc>
      </w:tr>
    </w:tbl>
    <w:p>
      <w:pPr>
        <w:spacing w:after="40"/>
      </w:pPr>
    </w:p>
    <w:p>
      <w:pPr>
        <w:spacing w:after="120" w:before="280"/>
      </w:pPr>
      <w:r>
        <w:rPr>
          <w:b/>
          <w:i w:val="0"/>
          <w:color w:val="1C3A36"/>
          <w:sz w:val="30"/>
        </w:rPr>
        <w:t>2  The input register — every entry four-field</w:t>
      </w:r>
    </w:p>
    <w:p>
      <w:pPr>
        <w:spacing w:after="120" w:before="0"/>
      </w:pPr>
      <w:r>
        <w:rPr>
          <w:b w:val="0"/>
          <w:i w:val="0"/>
          <w:color w:val="1C3A36"/>
          <w:sz w:val="21"/>
        </w:rPr>
        <w:t>Value, source, date, tier. An input with no source does not enter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440"/>
        <w:gridCol w:w="1080"/>
        <w:gridCol w:w="720"/>
        <w:gridCol w:w="5040"/>
      </w:tblGrid>
      <w:tr>
        <w:tc>
          <w:tcPr>
            <w:tcW w:type="dxa" w:w="1800"/>
            <w:shd w:val="clear" w:color="auto" w:fill="EAF0EE"/>
          </w:tcPr>
          <w:p>
            <w:pPr>
              <w:spacing w:after="20"/>
            </w:pPr>
            <w:r>
              <w:rPr>
                <w:b/>
                <w:color w:val="1C3A36"/>
                <w:sz w:val="13"/>
              </w:rPr>
              <w:t>Input</w:t>
            </w:r>
          </w:p>
        </w:tc>
        <w:tc>
          <w:tcPr>
            <w:tcW w:type="dxa" w:w="1440"/>
            <w:shd w:val="clear" w:color="auto" w:fill="EAF0EE"/>
          </w:tcPr>
          <w:p>
            <w:pPr>
              <w:spacing w:after="20"/>
            </w:pPr>
            <w:r>
              <w:rPr>
                <w:b/>
                <w:color w:val="1C3A36"/>
                <w:sz w:val="13"/>
              </w:rPr>
              <w:t>Value</w:t>
            </w:r>
          </w:p>
        </w:tc>
        <w:tc>
          <w:tcPr>
            <w:tcW w:type="dxa" w:w="1080"/>
            <w:shd w:val="clear" w:color="auto" w:fill="EAF0EE"/>
          </w:tcPr>
          <w:p>
            <w:pPr>
              <w:spacing w:after="20"/>
            </w:pPr>
            <w:r>
              <w:rPr>
                <w:b/>
                <w:color w:val="1C3A36"/>
                <w:sz w:val="13"/>
              </w:rPr>
              <w:t>Date</w:t>
            </w:r>
          </w:p>
        </w:tc>
        <w:tc>
          <w:tcPr>
            <w:tcW w:type="dxa" w:w="720"/>
            <w:shd w:val="clear" w:color="auto" w:fill="EAF0EE"/>
          </w:tcPr>
          <w:p>
            <w:pPr>
              <w:spacing w:after="20"/>
            </w:pPr>
            <w:r>
              <w:rPr>
                <w:b/>
                <w:color w:val="1C3A36"/>
                <w:sz w:val="13"/>
              </w:rPr>
              <w:t>Tier</w:t>
            </w:r>
          </w:p>
        </w:tc>
        <w:tc>
          <w:tcPr>
            <w:tcW w:type="dxa" w:w="5040"/>
            <w:shd w:val="clear" w:color="auto" w:fill="EAF0EE"/>
          </w:tcPr>
          <w:p>
            <w:pPr>
              <w:spacing w:after="20"/>
            </w:pPr>
            <w:r>
              <w:rPr>
                <w:b/>
                <w:color w:val="1C3A36"/>
                <w:sz w:val="13"/>
              </w:rPr>
              <w:t>Source</w:t>
            </w:r>
          </w:p>
        </w:tc>
      </w:tr>
      <w:tr>
        <w:tc>
          <w:tcPr>
            <w:tcW w:type="dxa" w:w="1800"/>
          </w:tcPr>
          <w:p>
            <w:pPr>
              <w:spacing w:after="20"/>
            </w:pPr>
            <w:r>
              <w:rPr>
                <w:color w:val="1C3A36"/>
                <w:sz w:val="13"/>
              </w:rPr>
              <w:t>admin growth</w:t>
            </w:r>
          </w:p>
        </w:tc>
        <w:tc>
          <w:tcPr>
            <w:tcW w:type="dxa" w:w="1440"/>
          </w:tcPr>
          <w:p>
            <w:pPr>
              <w:spacing w:after="20"/>
              <w:jc w:val="right"/>
            </w:pPr>
            <w:r>
              <w:rPr>
                <w:color w:val="1C3A36"/>
                <w:sz w:val="13"/>
              </w:rPr>
              <w:t>0.34 / 0.18 / 0.15 / 0.135 / 0.13</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Administrative expenses, year-on-year. FY2026 +34% on FY2025 takes EGP 3,431 million to EGP 4,598 million; the June half already spent EGP 2,239 million, so this asks for EGP 2,359 million in the second. Thereafter inflation plus about six points, because a bank adding branches and systems does not hold headcount flat. Cost-to-income is an OUTPUT of this and of the revenue lines; it is not typed anywhere.</w:t>
            </w:r>
          </w:p>
        </w:tc>
      </w:tr>
      <w:tr>
        <w:tc>
          <w:tcPr>
            <w:tcW w:type="dxa" w:w="1800"/>
          </w:tcPr>
          <w:p>
            <w:pPr>
              <w:spacing w:after="20"/>
            </w:pPr>
            <w:r>
              <w:rPr>
                <w:color w:val="1C3A36"/>
                <w:sz w:val="13"/>
              </w:rPr>
              <w:t>asset yield</w:t>
            </w:r>
          </w:p>
        </w:tc>
        <w:tc>
          <w:tcPr>
            <w:tcW w:type="dxa" w:w="1440"/>
          </w:tcPr>
          <w:p>
            <w:pPr>
              <w:spacing w:after="20"/>
              <w:jc w:val="right"/>
            </w:pPr>
            <w:r>
              <w:rPr>
                <w:color w:val="1C3A36"/>
                <w:sz w:val="13"/>
              </w:rPr>
              <w:t>0.15 / 0.134 / 0.121 / 0.113 / 0.1</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Income from Murabaha, Musharaka, Mudaraba and similar income over AVERAGE total assets. FY2025 actual 16.23%; the six months to June 2026 annualise to 15.30%. The path falls with the CBE's published policy glide (19.00 -&gt; 12.00) at an asset beta of about 0.75, which is what an Egyptian bank holding treasury bills and floating-rate corporate paper reprices at. IT IS AN INPUT; net interest margin is not.</w:t>
            </w:r>
          </w:p>
        </w:tc>
      </w:tr>
      <w:tr>
        <w:tc>
          <w:tcPr>
            <w:tcW w:type="dxa" w:w="1800"/>
          </w:tcPr>
          <w:p>
            <w:pPr>
              <w:spacing w:after="20"/>
            </w:pPr>
            <w:r>
              <w:rPr>
                <w:color w:val="1C3A36"/>
                <w:sz w:val="13"/>
              </w:rPr>
              <w:t>band construction</w:t>
            </w:r>
          </w:p>
        </w:tc>
        <w:tc>
          <w:tcPr>
            <w:tcW w:type="dxa" w:w="1440"/>
          </w:tcPr>
          <w:p>
            <w:pPr>
              <w:spacing w:after="20"/>
              <w:jc w:val="right"/>
            </w:pPr>
            <w:r>
              <w:rPr>
                <w:color w:val="1C3A36"/>
                <w:sz w:val="13"/>
              </w:rPr>
              <w:t>the range of the present-value rea</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Bear is the free-cash-flow-to-equity read, full the residual-income read, and the central the dividend-discount primary between them. THE ENVELOPE IS NARROW BECAUSE THE THREE LENSES AGREE, AND THAT IS A STATEMENT ABOUT LENS AGREEMENT RATHER THAN ABOUT FORECAST CONFIDENCE. The fundamental walk-forward beneath this study measured a three-year attributable-profit dispersion of x0.29 to x1.48 on eight cells; that distribution sets</w:t>
            </w:r>
          </w:p>
        </w:tc>
      </w:tr>
      <w:tr>
        <w:tc>
          <w:tcPr>
            <w:tcW w:type="dxa" w:w="1800"/>
          </w:tcPr>
          <w:p>
            <w:pPr>
              <w:spacing w:after="20"/>
            </w:pPr>
            <w:r>
              <w:rPr>
                <w:color w:val="1C3A36"/>
                <w:sz w:val="13"/>
              </w:rPr>
              <w:t>base year</w:t>
            </w:r>
          </w:p>
        </w:tc>
        <w:tc>
          <w:tcPr>
            <w:tcW w:type="dxa" w:w="1440"/>
          </w:tcPr>
          <w:p>
            <w:pPr>
              <w:spacing w:after="20"/>
              <w:jc w:val="right"/>
            </w:pPr>
            <w:r>
              <w:rPr>
                <w:color w:val="1C3A36"/>
                <w:sz w:val="13"/>
              </w:rPr>
              <w:t>FY2025</w:t>
            </w:r>
          </w:p>
        </w:tc>
        <w:tc>
          <w:tcPr>
            <w:tcW w:type="dxa" w:w="1080"/>
          </w:tcPr>
          <w:p>
            <w:pPr>
              <w:spacing w:after="20"/>
              <w:jc w:val="right"/>
            </w:pPr>
            <w:r>
              <w:rPr>
                <w:color w:val="1C3A36"/>
                <w:sz w:val="13"/>
              </w:rPr>
              <w:t>2026-02-05</w:t>
            </w:r>
          </w:p>
        </w:tc>
        <w:tc>
          <w:tcPr>
            <w:tcW w:type="dxa" w:w="720"/>
          </w:tcPr>
          <w:p>
            <w:pPr>
              <w:spacing w:after="20"/>
              <w:jc w:val="right"/>
            </w:pPr>
            <w:r>
              <w:rPr>
                <w:color w:val="1C3A36"/>
                <w:sz w:val="13"/>
              </w:rPr>
              <w:t>A</w:t>
            </w:r>
          </w:p>
        </w:tc>
        <w:tc>
          <w:tcPr>
            <w:tcW w:type="dxa" w:w="5040"/>
          </w:tcPr>
          <w:p>
            <w:pPr>
              <w:spacing w:after="20"/>
              <w:jc w:val="right"/>
            </w:pPr>
            <w:r>
              <w:rPr>
                <w:color w:val="1C3A36"/>
                <w:sz w:val="13"/>
              </w:rPr>
              <w:t>The audited consolidated financial statements for the year ended 31 December 2025, signed in Cairo on 5 February 2026. Attributable profit EGP 12,588.6 million, total assets EGP 346,711.2 million, attributable equity EGP 34,596.3 million. Every figure is read from the filing itself and the statement foots.</w:t>
            </w:r>
          </w:p>
        </w:tc>
      </w:tr>
      <w:tr>
        <w:tc>
          <w:tcPr>
            <w:tcW w:type="dxa" w:w="1800"/>
          </w:tcPr>
          <w:p>
            <w:pPr>
              <w:spacing w:after="20"/>
            </w:pPr>
            <w:r>
              <w:rPr>
                <w:color w:val="1C3A36"/>
                <w:sz w:val="13"/>
              </w:rPr>
              <w:t>beta</w:t>
            </w:r>
          </w:p>
        </w:tc>
        <w:tc>
          <w:tcPr>
            <w:tcW w:type="dxa" w:w="1440"/>
          </w:tcPr>
          <w:p>
            <w:pPr>
              <w:spacing w:after="20"/>
              <w:jc w:val="right"/>
            </w:pPr>
            <w:r>
              <w:rPr>
                <w:color w:val="1C3A36"/>
                <w:sz w:val="13"/>
              </w:rPr>
              <w:t>1.07469</w:t>
            </w:r>
          </w:p>
        </w:tc>
        <w:tc>
          <w:tcPr>
            <w:tcW w:type="dxa" w:w="1080"/>
          </w:tcPr>
          <w:p>
            <w:pPr>
              <w:spacing w:after="20"/>
              <w:jc w:val="right"/>
            </w:pPr>
            <w:r>
              <w:rPr>
                <w:color w:val="1C3A36"/>
                <w:sz w:val="13"/>
              </w:rPr>
              <w:t>2026-09-08</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Own-stock first-tier weekly regression against EGX30 — THE PUBLISHED INDEX OF THE EXCHANGE THIS STOCK IS LISTED ON — resolved by beta_regression.own_stock_beta() rather than hand-rolled. Beta 1.0747, R-squared 0.248, n = 256 weekly observations over 4.94 years to 2026-08-20, standard error 0.1634, 90% confidence interval [0.806, 1.344], Dimson-corrected and matched to the exchange's own trading week (W-THU). The coefficient is</w:t>
            </w:r>
          </w:p>
        </w:tc>
      </w:tr>
      <w:tr>
        <w:tc>
          <w:tcPr>
            <w:tcW w:type="dxa" w:w="1800"/>
          </w:tcPr>
          <w:p>
            <w:pPr>
              <w:spacing w:after="20"/>
            </w:pPr>
            <w:r>
              <w:rPr>
                <w:color w:val="1C3A36"/>
                <w:sz w:val="13"/>
              </w:rPr>
              <w:t>capital increase 2026</w:t>
            </w:r>
          </w:p>
        </w:tc>
        <w:tc>
          <w:tcPr>
            <w:tcW w:type="dxa" w:w="1440"/>
          </w:tcPr>
          <w:p>
            <w:pPr>
              <w:spacing w:after="20"/>
              <w:jc w:val="right"/>
            </w:pPr>
            <w:r>
              <w:rPr>
                <w:color w:val="1C3A36"/>
                <w:sz w:val="13"/>
              </w:rPr>
              <w:t>3000</w:t>
            </w:r>
          </w:p>
        </w:tc>
        <w:tc>
          <w:tcPr>
            <w:tcW w:type="dxa" w:w="1080"/>
          </w:tcPr>
          <w:p>
            <w:pPr>
              <w:spacing w:after="20"/>
              <w:jc w:val="right"/>
            </w:pPr>
            <w:r>
              <w:rPr>
                <w:color w:val="1C3A36"/>
                <w:sz w:val="13"/>
              </w:rPr>
              <w:t>2026-06-30</w:t>
            </w:r>
          </w:p>
        </w:tc>
        <w:tc>
          <w:tcPr>
            <w:tcW w:type="dxa" w:w="720"/>
          </w:tcPr>
          <w:p>
            <w:pPr>
              <w:spacing w:after="20"/>
              <w:jc w:val="right"/>
            </w:pPr>
            <w:r>
              <w:rPr>
                <w:color w:val="1C3A36"/>
                <w:sz w:val="13"/>
              </w:rPr>
              <w:t>A</w:t>
            </w:r>
          </w:p>
        </w:tc>
        <w:tc>
          <w:tcPr>
            <w:tcW w:type="dxa" w:w="5040"/>
          </w:tcPr>
          <w:p>
            <w:pPr>
              <w:spacing w:after="20"/>
              <w:jc w:val="right"/>
            </w:pPr>
            <w:r>
              <w:rPr>
                <w:color w:val="1C3A36"/>
                <w:sz w:val="13"/>
              </w:rPr>
              <w:t>The EGP 3,000 million cash capital increase completed in the first half of 2026, taking issued capital from EGP 12 billion to EGP 15 billion — 300 million new shares at the LE 10 par. IT WAS ISSUED AT PAR, far below book: attributable book value per share was EGP 28.83 at 31 December 2025 on 1,200 million shares and EGP 29.04 at 30 June 2026 on 1,500 million, so a half-year at a 38.6% return on equity bought existing holders 0</w:t>
            </w:r>
          </w:p>
        </w:tc>
      </w:tr>
      <w:tr>
        <w:tc>
          <w:tcPr>
            <w:tcW w:type="dxa" w:w="1800"/>
          </w:tcPr>
          <w:p>
            <w:pPr>
              <w:spacing w:after="20"/>
            </w:pPr>
            <w:r>
              <w:rPr>
                <w:color w:val="1C3A36"/>
                <w:sz w:val="13"/>
              </w:rPr>
              <w:t>cost of funds</w:t>
            </w:r>
          </w:p>
        </w:tc>
        <w:tc>
          <w:tcPr>
            <w:tcW w:type="dxa" w:w="1440"/>
          </w:tcPr>
          <w:p>
            <w:pPr>
              <w:spacing w:after="20"/>
              <w:jc w:val="right"/>
            </w:pPr>
            <w:r>
              <w:rPr>
                <w:color w:val="1C3A36"/>
                <w:sz w:val="13"/>
              </w:rPr>
              <w:t>0.106 / 0.092 / 0.081 / 0.074 / 0.</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Cost of deposits and similar costs over AVERAGE INTEREST-BEARING LIABILITIES — customers' deposits plus due to banks plus subordinated financing, and nothing else. FY2025 actual 11.22%. Total liabilities is NOT the denominator: at FY2025 it would add EGP 17.9 billion of other liabilities, current tax and provisions that pay nothing, and understate the funding rate by about a sixth of itself. The path falls at a deposit beta of</w:t>
            </w:r>
          </w:p>
        </w:tc>
      </w:tr>
      <w:tr>
        <w:tc>
          <w:tcPr>
            <w:tcW w:type="dxa" w:w="1800"/>
          </w:tcPr>
          <w:p>
            <w:pPr>
              <w:spacing w:after="20"/>
            </w:pPr>
            <w:r>
              <w:rPr>
                <w:color w:val="1C3A36"/>
                <w:sz w:val="13"/>
              </w:rPr>
              <w:t>cost of risk</w:t>
            </w:r>
          </w:p>
        </w:tc>
        <w:tc>
          <w:tcPr>
            <w:tcW w:type="dxa" w:w="1440"/>
          </w:tcPr>
          <w:p>
            <w:pPr>
              <w:spacing w:after="20"/>
              <w:jc w:val="right"/>
            </w:pPr>
            <w:r>
              <w:rPr>
                <w:color w:val="1C3A36"/>
                <w:sz w:val="13"/>
              </w:rPr>
              <w:t>0.01 / 0.013 / 0.013 / 0.013 / 0.0</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Expected credit losses over AVERAGE net financing to customers. The observed series is 1.64% (FY2022), 2.73% (FY2023), 2.73% (FY2024), 1.25% (FY2025) and effectively ZERO in the June 2026 half — EGP 2.176 million on a EGP 190 billion book. FY2026 is set at 1.00%, above the half-year run rate and below the four-year mean of 2.09%; the outer years at 1.30% sit between the two. ANNUALISING THE JUNE HALF WOULD HAVE ADDED ABOUT EGP</w:t>
            </w:r>
          </w:p>
        </w:tc>
      </w:tr>
      <w:tr>
        <w:tc>
          <w:tcPr>
            <w:tcW w:type="dxa" w:w="1800"/>
          </w:tcPr>
          <w:p>
            <w:pPr>
              <w:spacing w:after="20"/>
            </w:pPr>
            <w:r>
              <w:rPr>
                <w:color w:val="1C3A36"/>
                <w:sz w:val="13"/>
              </w:rPr>
              <w:t>erp</w:t>
            </w:r>
          </w:p>
        </w:tc>
        <w:tc>
          <w:tcPr>
            <w:tcW w:type="dxa" w:w="1440"/>
          </w:tcPr>
          <w:p>
            <w:pPr>
              <w:spacing w:after="20"/>
              <w:jc w:val="right"/>
            </w:pPr>
            <w:r>
              <w:rPr>
                <w:color w:val="1C3A36"/>
                <w:sz w:val="13"/>
              </w:rPr>
              <w:t>0.095164</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TOTAL equity risk premium on the sovereign-CDS basis, 9.5164%, same mid-year vintage. This is the dataset's TOTAL premium column, not its country premium column — the total is what multiplies beta. The country risk premium alone on this basis is 5.3164% and is NOT added on top.</w:t>
            </w:r>
          </w:p>
        </w:tc>
      </w:tr>
      <w:tr>
        <w:tc>
          <w:tcPr>
            <w:tcW w:type="dxa" w:w="1800"/>
          </w:tcPr>
          <w:p>
            <w:pPr>
              <w:spacing w:after="20"/>
            </w:pPr>
            <w:r>
              <w:rPr>
                <w:color w:val="1C3A36"/>
                <w:sz w:val="13"/>
              </w:rPr>
              <w:t>erp rating</w:t>
            </w:r>
          </w:p>
        </w:tc>
        <w:tc>
          <w:tcPr>
            <w:tcW w:type="dxa" w:w="1440"/>
          </w:tcPr>
          <w:p>
            <w:pPr>
              <w:spacing w:after="20"/>
              <w:jc w:val="right"/>
            </w:pPr>
            <w:r>
              <w:rPr>
                <w:color w:val="1C3A36"/>
                <w:sz w:val="13"/>
              </w:rPr>
              <w:t>0.134806</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TOTAL equity risk premium on the rating basis, 13.4806%, same vintage.</w:t>
            </w:r>
          </w:p>
        </w:tc>
      </w:tr>
      <w:tr>
        <w:tc>
          <w:tcPr>
            <w:tcW w:type="dxa" w:w="1800"/>
          </w:tcPr>
          <w:p>
            <w:pPr>
              <w:spacing w:after="20"/>
            </w:pPr>
            <w:r>
              <w:rPr>
                <w:color w:val="1C3A36"/>
                <w:sz w:val="13"/>
              </w:rPr>
              <w:t>erp terminal</w:t>
            </w:r>
          </w:p>
        </w:tc>
        <w:tc>
          <w:tcPr>
            <w:tcW w:type="dxa" w:w="1440"/>
          </w:tcPr>
          <w:p>
            <w:pPr>
              <w:spacing w:after="20"/>
              <w:jc w:val="right"/>
            </w:pPr>
            <w:r>
              <w:rPr>
                <w:color w:val="1C3A36"/>
                <w:sz w:val="13"/>
              </w:rPr>
              <w:t>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equity risk premium, 7.00%, normalised below today's crisis-era level toward the rating-class norm; never held flat into perpetuity.</w:t>
            </w:r>
          </w:p>
        </w:tc>
      </w:tr>
      <w:tr>
        <w:tc>
          <w:tcPr>
            <w:tcW w:type="dxa" w:w="1800"/>
          </w:tcPr>
          <w:p>
            <w:pPr>
              <w:spacing w:after="20"/>
            </w:pPr>
            <w:r>
              <w:rPr>
                <w:color w:val="1C3A36"/>
                <w:sz w:val="13"/>
              </w:rPr>
              <w:t>fee ratio</w:t>
            </w:r>
          </w:p>
        </w:tc>
        <w:tc>
          <w:tcPr>
            <w:tcW w:type="dxa" w:w="1440"/>
          </w:tcPr>
          <w:p>
            <w:pPr>
              <w:spacing w:after="20"/>
              <w:jc w:val="right"/>
            </w:pPr>
            <w:r>
              <w:rPr>
                <w:color w:val="1C3A36"/>
                <w:sz w:val="13"/>
              </w:rPr>
              <w:t>0.008 / 0.0082 / 0.0084 / 0.0085 /</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Net fees and commissions over average total assets. FY2025 actual 0.899%; the June 2026 half annualises to 0.797%. The path opens at the reviewed half's level and recovers slowly as trade finance and card income grow with the branch network.</w:t>
            </w:r>
          </w:p>
        </w:tc>
      </w:tr>
      <w:tr>
        <w:tc>
          <w:tcPr>
            <w:tcW w:type="dxa" w:w="1800"/>
          </w:tcPr>
          <w:p>
            <w:pPr>
              <w:spacing w:after="20"/>
            </w:pPr>
            <w:r>
              <w:rPr>
                <w:color w:val="1C3A36"/>
                <w:sz w:val="13"/>
              </w:rPr>
              <w:t>financing growth</w:t>
            </w:r>
          </w:p>
        </w:tc>
        <w:tc>
          <w:tcPr>
            <w:tcW w:type="dxa" w:w="1440"/>
          </w:tcPr>
          <w:p>
            <w:pPr>
              <w:spacing w:after="20"/>
              <w:jc w:val="right"/>
            </w:pPr>
            <w:r>
              <w:rPr>
                <w:color w:val="1C3A36"/>
                <w:sz w:val="13"/>
              </w:rPr>
              <w:t>0.48 / 0.26 / 0.19 / 0.15 / 0.12</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Net financing to customers, year-on-year. FY2026 +48% takes the FY2025 close of EGP 147,226 million to EGP 217,895 million — and the bank was ALREADY at EGP 190,427 million on 30 June, so this asks for only +14.4% in the second half against +29.3% in the first. The path then decays toward nominal GDP. IT IS NOT A FLAT SHARE OF SYSTEM CREDIT, and that is the walk-forward's doing: a flat-share rule under-forecast this name at ev</w:t>
            </w:r>
          </w:p>
        </w:tc>
      </w:tr>
      <w:tr>
        <w:tc>
          <w:tcPr>
            <w:tcW w:type="dxa" w:w="1800"/>
          </w:tcPr>
          <w:p>
            <w:pPr>
              <w:spacing w:after="20"/>
            </w:pPr>
            <w:r>
              <w:rPr>
                <w:color w:val="1C3A36"/>
                <w:sz w:val="13"/>
              </w:rPr>
              <w:t>financing over assets</w:t>
            </w:r>
          </w:p>
        </w:tc>
        <w:tc>
          <w:tcPr>
            <w:tcW w:type="dxa" w:w="1440"/>
          </w:tcPr>
          <w:p>
            <w:pPr>
              <w:spacing w:after="20"/>
              <w:jc w:val="right"/>
            </w:pPr>
            <w:r>
              <w:rPr>
                <w:color w:val="1C3A36"/>
                <w:sz w:val="13"/>
              </w:rPr>
              <w:t>0.47 / 0.485 / 0.5 / 0.51 / 0.52</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Financing to customers over total assets. FY2025 actual 42.46%; 30 June 2026 actual 45.96%. The bank is rotating out of treasury bills into customer financing as policy rates fall and bill yields compress, and the path continues that observed rotation at a decelerating pace. Every point is above both observations, which is the assumption, and it is sensitised.</w:t>
            </w:r>
          </w:p>
        </w:tc>
      </w:tr>
      <w:tr>
        <w:tc>
          <w:tcPr>
            <w:tcW w:type="dxa" w:w="1800"/>
          </w:tcPr>
          <w:p>
            <w:pPr>
              <w:spacing w:after="20"/>
            </w:pPr>
            <w:r>
              <w:rPr>
                <w:color w:val="1C3A36"/>
                <w:sz w:val="13"/>
              </w:rPr>
              <w:t>h1 2026 ecl</w:t>
            </w:r>
          </w:p>
        </w:tc>
        <w:tc>
          <w:tcPr>
            <w:tcW w:type="dxa" w:w="1440"/>
          </w:tcPr>
          <w:p>
            <w:pPr>
              <w:spacing w:after="20"/>
              <w:jc w:val="right"/>
            </w:pPr>
            <w:r>
              <w:rPr>
                <w:color w:val="1C3A36"/>
                <w:sz w:val="13"/>
              </w:rPr>
              <w:t>2.176</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A</w:t>
            </w:r>
          </w:p>
        </w:tc>
        <w:tc>
          <w:tcPr>
            <w:tcW w:type="dxa" w:w="5040"/>
          </w:tcPr>
          <w:p>
            <w:pPr>
              <w:spacing w:after="20"/>
              <w:jc w:val="right"/>
            </w:pPr>
            <w:r>
              <w:rPr>
                <w:color w:val="1C3A36"/>
                <w:sz w:val="13"/>
              </w:rPr>
              <w:t>THE SINGLE MOST IMPORTANT FACT IN THE BASE YEAR. ADIB-Egypt charged EGP 2.176 million of expected credit losses in the six months to 30 June 2026 — an annualised 0.003% of average financing — against EGP 732.193 million in the same half of 2025 and EGP 1,514.062 million for the whole of FY2025. The line is filed as "Release / (Charge) Expected credit losses", note 11, and the income statement foots on it: every other line on t</w:t>
            </w:r>
          </w:p>
        </w:tc>
      </w:tr>
      <w:tr>
        <w:tc>
          <w:tcPr>
            <w:tcW w:type="dxa" w:w="1800"/>
          </w:tcPr>
          <w:p>
            <w:pPr>
              <w:spacing w:after="20"/>
            </w:pPr>
            <w:r>
              <w:rPr>
                <w:color w:val="1C3A36"/>
                <w:sz w:val="13"/>
              </w:rPr>
              <w:t>ibl over assets</w:t>
            </w:r>
          </w:p>
        </w:tc>
        <w:tc>
          <w:tcPr>
            <w:tcW w:type="dxa" w:w="1440"/>
          </w:tcPr>
          <w:p>
            <w:pPr>
              <w:spacing w:after="20"/>
              <w:jc w:val="right"/>
            </w:pPr>
            <w:r>
              <w:rPr>
                <w:color w:val="1C3A36"/>
                <w:sz w:val="13"/>
              </w:rPr>
              <w:t>0.855</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Average interest-bearing liabilities over average total assets, held at the FY2025 observed 85.5%. The bank funds itself with deposits and that ratio has moved within two points across the whole panel.</w:t>
            </w:r>
          </w:p>
        </w:tc>
      </w:tr>
      <w:tr>
        <w:tc>
          <w:tcPr>
            <w:tcW w:type="dxa" w:w="1800"/>
          </w:tcPr>
          <w:p>
            <w:pPr>
              <w:spacing w:after="20"/>
            </w:pPr>
            <w:r>
              <w:rPr>
                <w:color w:val="1C3A36"/>
                <w:sz w:val="13"/>
              </w:rPr>
              <w:t>inflation path</w:t>
            </w:r>
          </w:p>
        </w:tc>
        <w:tc>
          <w:tcPr>
            <w:tcW w:type="dxa" w:w="1440"/>
          </w:tcPr>
          <w:p>
            <w:pPr>
              <w:spacing w:after="20"/>
              <w:jc w:val="right"/>
            </w:pPr>
            <w:r>
              <w:rPr>
                <w:color w:val="1C3A36"/>
                <w:sz w:val="13"/>
              </w:rPr>
              <w:t>0.16 / 0.12 / 0.09 / 0.075 / 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Central Bank of Egypt baseline average annual headline inflation, 16.0% in 2026 and 12.0% in 2027 (Q1-2026 Monetary Policy Report as reported 11 May 2026); 2028-2030 interpolated on the bank's own glide between the published 2027 baseline and the 7% target-band midpoint, labelled as interpolation and never presented as a central-bank forecast. Held in engine/macro_path.py, the house path every Egyptian study runs on.</w:t>
            </w:r>
          </w:p>
        </w:tc>
      </w:tr>
      <w:tr>
        <w:tc>
          <w:tcPr>
            <w:tcW w:type="dxa" w:w="1800"/>
          </w:tcPr>
          <w:p>
            <w:pPr>
              <w:spacing w:after="20"/>
            </w:pPr>
            <w:r>
              <w:rPr>
                <w:color w:val="1C3A36"/>
                <w:sz w:val="13"/>
              </w:rPr>
              <w:t>ke construction</w:t>
            </w:r>
          </w:p>
        </w:tc>
        <w:tc>
          <w:tcPr>
            <w:tcW w:type="dxa" w:w="1440"/>
          </w:tcPr>
          <w:p>
            <w:pPr>
              <w:spacing w:after="20"/>
              <w:jc w:val="right"/>
            </w:pPr>
            <w:r>
              <w:rPr>
                <w:color w:val="1C3A36"/>
                <w:sz w:val="13"/>
              </w:rPr>
              <w:t>same_beta</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terminal cost of equity uses the SAME regression beta as the explicit window. ADIB-Egypt is a deposit-funded bank whose capital structure is its business, so there is no leverage to relever: the beta already embeds the balance sheet it is measured on. [R-COC-02] — the record names the construction from the closed list so that two right answers a hundred basis points apart are not indistinguishable from a typo.</w:t>
            </w:r>
          </w:p>
        </w:tc>
      </w:tr>
      <w:tr>
        <w:tc>
          <w:tcPr>
            <w:tcW w:type="dxa" w:w="1800"/>
          </w:tcPr>
          <w:p>
            <w:pPr>
              <w:spacing w:after="20"/>
            </w:pPr>
            <w:r>
              <w:rPr>
                <w:color w:val="1C3A36"/>
                <w:sz w:val="13"/>
              </w:rPr>
              <w:t>latest reviewed</w:t>
            </w:r>
          </w:p>
        </w:tc>
        <w:tc>
          <w:tcPr>
            <w:tcW w:type="dxa" w:w="1440"/>
          </w:tcPr>
          <w:p>
            <w:pPr>
              <w:spacing w:after="20"/>
              <w:jc w:val="right"/>
            </w:pPr>
            <w:r>
              <w:rPr>
                <w:color w:val="1C3A36"/>
                <w:sz w:val="13"/>
              </w:rPr>
              <w:t>H1-2026</w:t>
            </w:r>
          </w:p>
        </w:tc>
        <w:tc>
          <w:tcPr>
            <w:tcW w:type="dxa" w:w="1080"/>
          </w:tcPr>
          <w:p>
            <w:pPr>
              <w:spacing w:after="20"/>
              <w:jc w:val="right"/>
            </w:pPr>
            <w:r>
              <w:rPr>
                <w:color w:val="1C3A36"/>
                <w:sz w:val="13"/>
              </w:rPr>
              <w:t>2026-07-30</w:t>
            </w:r>
          </w:p>
        </w:tc>
        <w:tc>
          <w:tcPr>
            <w:tcW w:type="dxa" w:w="720"/>
          </w:tcPr>
          <w:p>
            <w:pPr>
              <w:spacing w:after="20"/>
              <w:jc w:val="right"/>
            </w:pPr>
            <w:r>
              <w:rPr>
                <w:color w:val="1C3A36"/>
                <w:sz w:val="13"/>
              </w:rPr>
              <w:t>A</w:t>
            </w:r>
          </w:p>
        </w:tc>
        <w:tc>
          <w:tcPr>
            <w:tcW w:type="dxa" w:w="5040"/>
          </w:tcPr>
          <w:p>
            <w:pPr>
              <w:spacing w:after="20"/>
              <w:jc w:val="right"/>
            </w:pPr>
            <w:r>
              <w:rPr>
                <w:color w:val="1C3A36"/>
                <w:sz w:val="13"/>
              </w:rPr>
              <w:t>The condensed consolidated interim statements for the six months ended 30 June 2026, signed 30 July 2026. Attributable profit EGP 7,536.8 million, total assets EGP 414,302.1 million, financing to customers EGP 190,427.1 million, attributable equity EGP 43,557.9 million. This is the period [R-ANCHOR-01] anchors the forecast on.</w:t>
            </w:r>
          </w:p>
        </w:tc>
      </w:tr>
      <w:tr>
        <w:tc>
          <w:tcPr>
            <w:tcW w:type="dxa" w:w="1800"/>
          </w:tcPr>
          <w:p>
            <w:pPr>
              <w:spacing w:after="20"/>
            </w:pPr>
            <w:r>
              <w:rPr>
                <w:color w:val="1C3A36"/>
                <w:sz w:val="13"/>
              </w:rPr>
              <w:t>lens architecture</w:t>
            </w:r>
          </w:p>
        </w:tc>
        <w:tc>
          <w:tcPr>
            <w:tcW w:type="dxa" w:w="1440"/>
          </w:tcPr>
          <w:p>
            <w:pPr>
              <w:spacing w:after="20"/>
              <w:jc w:val="right"/>
            </w:pPr>
            <w:r>
              <w:rPr>
                <w:color w:val="1C3A36"/>
                <w:sz w:val="13"/>
              </w:rPr>
              <w:t>class primary = dividend discount;</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bank class is keyed to a dividend-discount PRIMARY with residual income, a relative multiple and book value beside it. The central IS the primary. The envelope is the range of the three present-value reads and no spread is invented around it [R-LENS-03].</w:t>
            </w:r>
          </w:p>
        </w:tc>
      </w:tr>
      <w:tr>
        <w:tc>
          <w:tcPr>
            <w:tcW w:type="dxa" w:w="1800"/>
          </w:tcPr>
          <w:p>
            <w:pPr>
              <w:spacing w:after="20"/>
            </w:pPr>
            <w:r>
              <w:rPr>
                <w:color w:val="1C3A36"/>
                <w:sz w:val="13"/>
              </w:rPr>
              <w:t>nci share</w:t>
            </w:r>
          </w:p>
        </w:tc>
        <w:tc>
          <w:tcPr>
            <w:tcW w:type="dxa" w:w="1440"/>
          </w:tcPr>
          <w:p>
            <w:pPr>
              <w:spacing w:after="20"/>
              <w:jc w:val="right"/>
            </w:pPr>
            <w:r>
              <w:rPr>
                <w:color w:val="1C3A36"/>
                <w:sz w:val="13"/>
              </w:rPr>
              <w:t>0.001</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A</w:t>
            </w:r>
          </w:p>
        </w:tc>
        <w:tc>
          <w:tcPr>
            <w:tcW w:type="dxa" w:w="5040"/>
          </w:tcPr>
          <w:p>
            <w:pPr>
              <w:spacing w:after="20"/>
              <w:jc w:val="right"/>
            </w:pPr>
            <w:r>
              <w:rPr>
                <w:color w:val="1C3A36"/>
                <w:sz w:val="13"/>
              </w:rPr>
              <w:t>Non-controlling interests take 0.10% of net profit — EGP 12.4 million of EGP 12,601.0 million in FY2025. Held at that level; it is immaterial and is carried rather than dropped so the bridge to attributable profit closes.</w:t>
            </w:r>
          </w:p>
        </w:tc>
      </w:tr>
      <w:tr>
        <w:tc>
          <w:tcPr>
            <w:tcW w:type="dxa" w:w="1800"/>
          </w:tcPr>
          <w:p>
            <w:pPr>
              <w:spacing w:after="20"/>
            </w:pPr>
            <w:r>
              <w:rPr>
                <w:color w:val="1C3A36"/>
                <w:sz w:val="13"/>
              </w:rPr>
              <w:t>other nii ratio</w:t>
            </w:r>
          </w:p>
        </w:tc>
        <w:tc>
          <w:tcPr>
            <w:tcW w:type="dxa" w:w="1440"/>
          </w:tcPr>
          <w:p>
            <w:pPr>
              <w:spacing w:after="20"/>
              <w:jc w:val="right"/>
            </w:pPr>
            <w:r>
              <w:rPr>
                <w:color w:val="1C3A36"/>
                <w:sz w:val="13"/>
              </w:rPr>
              <w:t xml:space="preserve">0.0028 / 0.0026 / 0.0024 / 0.0023 </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Dividends, net trading, share of associates and gains on investments, as one block, over average total assets. FY2025 actual 0.238%; the June 2026 half annualises to 0.372%, flattered by trading gains on a moving currency. The path normalises DOWN toward the FY2022-FY2024 average as the pound settles.</w:t>
            </w:r>
          </w:p>
        </w:tc>
      </w:tr>
      <w:tr>
        <w:tc>
          <w:tcPr>
            <w:tcW w:type="dxa" w:w="1800"/>
          </w:tcPr>
          <w:p>
            <w:pPr>
              <w:spacing w:after="20"/>
            </w:pPr>
            <w:r>
              <w:rPr>
                <w:color w:val="1C3A36"/>
                <w:sz w:val="13"/>
              </w:rPr>
              <w:t>other op ratio</w:t>
            </w:r>
          </w:p>
        </w:tc>
        <w:tc>
          <w:tcPr>
            <w:tcW w:type="dxa" w:w="1440"/>
          </w:tcPr>
          <w:p>
            <w:pPr>
              <w:spacing w:after="20"/>
              <w:jc w:val="right"/>
            </w:pPr>
            <w:r>
              <w:rPr>
                <w:color w:val="1C3A36"/>
                <w:sz w:val="13"/>
              </w:rPr>
              <w:t>-0.0075 / -0.007 / -0.0065 / -0.00</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Other operating expenses over average total assets — deposit insurance, central-bank charges and the operating-provision line. FY2025 actual -0.387%; the June 2026 half annualises to -0.797%, more than double. The path opens at the reviewed level and decays, which is the conservative reading of a line that has doubled.</w:t>
            </w:r>
          </w:p>
        </w:tc>
      </w:tr>
      <w:tr>
        <w:tc>
          <w:tcPr>
            <w:tcW w:type="dxa" w:w="1800"/>
          </w:tcPr>
          <w:p>
            <w:pPr>
              <w:spacing w:after="20"/>
            </w:pPr>
            <w:r>
              <w:rPr>
                <w:color w:val="1C3A36"/>
                <w:sz w:val="13"/>
              </w:rPr>
              <w:t>payout</w:t>
            </w:r>
          </w:p>
        </w:tc>
        <w:tc>
          <w:tcPr>
            <w:tcW w:type="dxa" w:w="1440"/>
          </w:tcPr>
          <w:p>
            <w:pPr>
              <w:spacing w:after="20"/>
              <w:jc w:val="right"/>
            </w:pPr>
            <w:r>
              <w:rPr>
                <w:color w:val="1C3A36"/>
                <w:sz w:val="13"/>
              </w:rPr>
              <w:t>DERIVED — see below</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PAYOUT IS NOT TYPED. It is what is left after the balance sheet has taken the capital it needs: payout(t) = 1 - (target equity/assets x the year's asset growth) / attributable profit, floored at zero and capped at 80%. A typed payout path is an assumption about the single thing a growing bank has least discretion over, and typing one made this model's dividend and free-cash-flow lenses disagree by EGP 7 a share while its e</w:t>
            </w:r>
          </w:p>
        </w:tc>
      </w:tr>
      <w:tr>
        <w:tc>
          <w:tcPr>
            <w:tcW w:type="dxa" w:w="1800"/>
          </w:tcPr>
          <w:p>
            <w:pPr>
              <w:spacing w:after="20"/>
            </w:pPr>
            <w:r>
              <w:rPr>
                <w:color w:val="1C3A36"/>
                <w:sz w:val="13"/>
              </w:rPr>
              <w:t>peer comi price</w:t>
            </w:r>
          </w:p>
        </w:tc>
        <w:tc>
          <w:tcPr>
            <w:tcW w:type="dxa" w:w="1440"/>
          </w:tcPr>
          <w:p>
            <w:pPr>
              <w:spacing w:after="20"/>
              <w:jc w:val="right"/>
            </w:pPr>
            <w:r>
              <w:rPr>
                <w:color w:val="1C3A36"/>
                <w:sz w:val="13"/>
              </w:rPr>
              <w:t>138.98</w:t>
            </w:r>
          </w:p>
        </w:tc>
        <w:tc>
          <w:tcPr>
            <w:tcW w:type="dxa" w:w="1080"/>
          </w:tcPr>
          <w:p>
            <w:pPr>
              <w:spacing w:after="20"/>
              <w:jc w:val="right"/>
            </w:pPr>
            <w:r>
              <w:rPr>
                <w:color w:val="1C3A36"/>
                <w:sz w:val="13"/>
              </w:rPr>
              <w:t>2026-09-03</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Commercial International Bank (EGX: COMI), EGP 138.98, the close on 3 September 2026 from engine/prices/SUPPLIED_03-09-2026.json — the same file, the same date and the same supplier as ADIB's own price, so the two are struck on one day.</w:t>
            </w:r>
          </w:p>
        </w:tc>
      </w:tr>
      <w:tr>
        <w:tc>
          <w:tcPr>
            <w:tcW w:type="dxa" w:w="1800"/>
          </w:tcPr>
          <w:p>
            <w:pPr>
              <w:spacing w:after="20"/>
            </w:pPr>
            <w:r>
              <w:rPr>
                <w:color w:val="1C3A36"/>
                <w:sz w:val="13"/>
              </w:rPr>
              <w:t>peer pb band</w:t>
            </w:r>
          </w:p>
        </w:tc>
        <w:tc>
          <w:tcPr>
            <w:tcW w:type="dxa" w:w="1440"/>
          </w:tcPr>
          <w:p>
            <w:pPr>
              <w:spacing w:after="20"/>
              <w:jc w:val="right"/>
            </w:pPr>
            <w:r>
              <w:rPr>
                <w:color w:val="1C3A36"/>
                <w:sz w:val="13"/>
              </w:rPr>
              <w:t>1.4 / 2.2</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price-to-book band Egyptian large-cap banks trade in. It is a BAND and not a point because this study could not source a same-day book value for any Egyptian bank other than ADIB itself: the only peer whose price it holds on the same day is CIB, and CIB's own book value is not in this repository. The band is carried as a cross-check on the two cash-flow lenses, weighted at 15%, and it is NOT allowed to set the answer. Wher</w:t>
            </w:r>
          </w:p>
        </w:tc>
      </w:tr>
      <w:tr>
        <w:tc>
          <w:tcPr>
            <w:tcW w:type="dxa" w:w="1800"/>
          </w:tcPr>
          <w:p>
            <w:pPr>
              <w:spacing w:after="20"/>
            </w:pPr>
            <w:r>
              <w:rPr>
                <w:color w:val="1C3A36"/>
                <w:sz w:val="13"/>
              </w:rPr>
              <w:t>peer pe band</w:t>
            </w:r>
          </w:p>
        </w:tc>
        <w:tc>
          <w:tcPr>
            <w:tcW w:type="dxa" w:w="1440"/>
          </w:tcPr>
          <w:p>
            <w:pPr>
              <w:spacing w:after="20"/>
              <w:jc w:val="right"/>
            </w:pPr>
            <w:r>
              <w:rPr>
                <w:color w:val="1C3A36"/>
                <w:sz w:val="13"/>
              </w:rPr>
              <w:t>5.5 / 8.5</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The trailing price-to-earnings band for the same group, on the same caveat.</w:t>
            </w:r>
          </w:p>
        </w:tc>
      </w:tr>
      <w:tr>
        <w:tc>
          <w:tcPr>
            <w:tcW w:type="dxa" w:w="1800"/>
          </w:tcPr>
          <w:p>
            <w:pPr>
              <w:spacing w:after="20"/>
            </w:pPr>
            <w:r>
              <w:rPr>
                <w:color w:val="1C3A36"/>
                <w:sz w:val="13"/>
              </w:rPr>
              <w:t>policy rate path</w:t>
            </w:r>
          </w:p>
        </w:tc>
        <w:tc>
          <w:tcPr>
            <w:tcW w:type="dxa" w:w="1440"/>
          </w:tcPr>
          <w:p>
            <w:pPr>
              <w:spacing w:after="20"/>
              <w:jc w:val="right"/>
            </w:pPr>
            <w:r>
              <w:rPr>
                <w:color w:val="1C3A36"/>
                <w:sz w:val="13"/>
              </w:rPr>
              <w:t>0.19 / 0.165 / 0.145 / 0.13 / 0.12</w:t>
            </w:r>
          </w:p>
        </w:tc>
        <w:tc>
          <w:tcPr>
            <w:tcW w:type="dxa" w:w="1080"/>
          </w:tcPr>
          <w:p>
            <w:pPr>
              <w:spacing w:after="20"/>
              <w:jc w:val="right"/>
            </w:pPr>
            <w:r>
              <w:rPr>
                <w:color w:val="1C3A36"/>
                <w:sz w:val="13"/>
              </w:rPr>
              <w:t>2026-08-20</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Overnight deposit rate 19.00% now, gliding 19.00 -&gt; 16.50 -&gt; 14.50 -&gt; 13.00 -&gt; 12.00 with the published inflation path at an approximately constant real policy rate. Held for a fourth consecutive meeting on 20 August 2026. This is the SHAPE input for the asset-yield and cost-of-funds paths below; it is not a second free parameter and no valuation input is set from it independently.</w:t>
            </w:r>
          </w:p>
        </w:tc>
      </w:tr>
      <w:tr>
        <w:tc>
          <w:tcPr>
            <w:tcW w:type="dxa" w:w="1800"/>
          </w:tcPr>
          <w:p>
            <w:pPr>
              <w:spacing w:after="20"/>
            </w:pPr>
            <w:r>
              <w:rPr>
                <w:color w:val="1C3A36"/>
                <w:sz w:val="13"/>
              </w:rPr>
              <w:t>rf</w:t>
            </w:r>
          </w:p>
        </w:tc>
        <w:tc>
          <w:tcPr>
            <w:tcW w:type="dxa" w:w="1440"/>
          </w:tcPr>
          <w:p>
            <w:pPr>
              <w:spacing w:after="20"/>
              <w:jc w:val="right"/>
            </w:pPr>
            <w:r>
              <w:rPr>
                <w:color w:val="1C3A36"/>
                <w:sz w:val="13"/>
              </w:rPr>
              <w:t>0.23</w:t>
            </w:r>
          </w:p>
        </w:tc>
        <w:tc>
          <w:tcPr>
            <w:tcW w:type="dxa" w:w="1080"/>
          </w:tcPr>
          <w:p>
            <w:pPr>
              <w:spacing w:after="20"/>
              <w:jc w:val="right"/>
            </w:pPr>
            <w:r>
              <w:rPr>
                <w:color w:val="1C3A36"/>
                <w:sz w:val="13"/>
              </w:rPr>
              <w:t>2026-08-06</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ten-year EGP government bond yield, 23.00%, the quote of 6 August 2026 held in engine/macro_path.py and already used by the PHDC, EGCH and PHAR cost-of-capital records. IT IS 34 DAYS OLD AGAINST THIS STUDY'S PRICING DATE AND THE HOUSE PATH'S OWN 14-DAY STALENESS RULE FLAGS IT AS STALE. A live re-source was attempted on 9 September 2026 down four routes and all four failed: the central bank's treasury-bond auction pages r</w:t>
            </w:r>
          </w:p>
        </w:tc>
      </w:tr>
      <w:tr>
        <w:tc>
          <w:tcPr>
            <w:tcW w:type="dxa" w:w="1800"/>
          </w:tcPr>
          <w:p>
            <w:pPr>
              <w:spacing w:after="20"/>
            </w:pPr>
            <w:r>
              <w:rPr>
                <w:color w:val="1C3A36"/>
                <w:sz w:val="13"/>
              </w:rPr>
              <w:t>rf terminal</w:t>
            </w:r>
          </w:p>
        </w:tc>
        <w:tc>
          <w:tcPr>
            <w:tcW w:type="dxa" w:w="1440"/>
          </w:tcPr>
          <w:p>
            <w:pPr>
              <w:spacing w:after="20"/>
              <w:jc w:val="right"/>
            </w:pPr>
            <w:r>
              <w:rPr>
                <w:color w:val="1C3A36"/>
                <w:sz w:val="13"/>
              </w:rPr>
              <w:t>0.125</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risk-free rate, DERIVED and never quoted: terminal inflation of 7.00% (the CBE target-band midpoint in force) plus the 5.50% emerging-market terminal real convention. It cannot disagree with the inflation the rest of the model runs on because it is computed from it.</w:t>
            </w:r>
          </w:p>
        </w:tc>
      </w:tr>
      <w:tr>
        <w:tc>
          <w:tcPr>
            <w:tcW w:type="dxa" w:w="1800"/>
          </w:tcPr>
          <w:p>
            <w:pPr>
              <w:spacing w:after="20"/>
            </w:pPr>
            <w:r>
              <w:rPr>
                <w:color w:val="1C3A36"/>
                <w:sz w:val="13"/>
              </w:rPr>
              <w:t>shares</w:t>
            </w:r>
          </w:p>
        </w:tc>
        <w:tc>
          <w:tcPr>
            <w:tcW w:type="dxa" w:w="1440"/>
          </w:tcPr>
          <w:p>
            <w:pPr>
              <w:spacing w:after="20"/>
              <w:jc w:val="right"/>
            </w:pPr>
            <w:r>
              <w:rPr>
                <w:color w:val="1C3A36"/>
                <w:sz w:val="13"/>
              </w:rPr>
              <w:t>1500</w:t>
            </w:r>
          </w:p>
        </w:tc>
        <w:tc>
          <w:tcPr>
            <w:tcW w:type="dxa" w:w="1080"/>
          </w:tcPr>
          <w:p>
            <w:pPr>
              <w:spacing w:after="20"/>
              <w:jc w:val="right"/>
            </w:pPr>
            <w:r>
              <w:rPr>
                <w:color w:val="1C3A36"/>
                <w:sz w:val="13"/>
              </w:rPr>
              <w:t>2026-06-30</w:t>
            </w:r>
          </w:p>
        </w:tc>
        <w:tc>
          <w:tcPr>
            <w:tcW w:type="dxa" w:w="720"/>
          </w:tcPr>
          <w:p>
            <w:pPr>
              <w:spacing w:after="20"/>
              <w:jc w:val="right"/>
            </w:pPr>
            <w:r>
              <w:rPr>
                <w:color w:val="1C3A36"/>
                <w:sz w:val="13"/>
              </w:rPr>
              <w:t>A</w:t>
            </w:r>
          </w:p>
        </w:tc>
        <w:tc>
          <w:tcPr>
            <w:tcW w:type="dxa" w:w="5040"/>
          </w:tcPr>
          <w:p>
            <w:pPr>
              <w:spacing w:after="20"/>
              <w:jc w:val="right"/>
            </w:pPr>
            <w:r>
              <w:rPr>
                <w:color w:val="1C3A36"/>
                <w:sz w:val="13"/>
              </w:rPr>
              <w:t>ADIB-Egypt issued and paid-up capital of EGP 15,000,000 thousand at 30 June 2026, over the LE 10 par value the filings state (FY2018 note 34/2), = 1,500 million shares. THE CAPITAL FIGURE IS PROVED BY THE EQUITY BLOCK'S OWN ARITHMETIC RATHER THAN BY THE OCR: attributable equity of 43,557,932 less the subordinated-financing difference of 16,454 leaves 43,541,478 for capital plus reserves plus retained earnings; retained earning</w:t>
            </w:r>
          </w:p>
        </w:tc>
      </w:tr>
      <w:tr>
        <w:tc>
          <w:tcPr>
            <w:tcW w:type="dxa" w:w="1800"/>
          </w:tcPr>
          <w:p>
            <w:pPr>
              <w:spacing w:after="20"/>
            </w:pPr>
            <w:r>
              <w:rPr>
                <w:color w:val="1C3A36"/>
                <w:sz w:val="13"/>
              </w:rPr>
              <w:t>sov default spread</w:t>
            </w:r>
          </w:p>
        </w:tc>
        <w:tc>
          <w:tcPr>
            <w:tcW w:type="dxa" w:w="1440"/>
          </w:tcPr>
          <w:p>
            <w:pPr>
              <w:spacing w:after="20"/>
              <w:jc w:val="right"/>
            </w:pPr>
            <w:r>
              <w:rPr>
                <w:color w:val="1C3A36"/>
                <w:sz w:val="13"/>
              </w:rPr>
              <w:t>0.0342</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sovereign credit-default-swap spread, 3.42%, mid-year (July 2026) vintage of the country default-spread dataset, Egypt row, "Sovereign CDS net of Swiss CDS". Netted out of the local-currency risk-free rate so that sovereign default risk is charged ONCE, inside the equity risk premium, and not twice [L-004]. engine/macro_path.py carries 3.41% for the same field from the same file; the one-basis-point difference is a round</w:t>
            </w:r>
          </w:p>
        </w:tc>
      </w:tr>
      <w:tr>
        <w:tc>
          <w:tcPr>
            <w:tcW w:type="dxa" w:w="1800"/>
          </w:tcPr>
          <w:p>
            <w:pPr>
              <w:spacing w:after="20"/>
            </w:pPr>
            <w:r>
              <w:rPr>
                <w:color w:val="1C3A36"/>
                <w:sz w:val="13"/>
              </w:rPr>
              <w:t>sov default spread rating</w:t>
            </w:r>
          </w:p>
        </w:tc>
        <w:tc>
          <w:tcPr>
            <w:tcW w:type="dxa" w:w="1440"/>
          </w:tcPr>
          <w:p>
            <w:pPr>
              <w:spacing w:after="20"/>
              <w:jc w:val="right"/>
            </w:pPr>
            <w:r>
              <w:rPr>
                <w:color w:val="1C3A36"/>
                <w:sz w:val="13"/>
              </w:rPr>
              <w:t>0.059702</w:t>
            </w:r>
          </w:p>
        </w:tc>
        <w:tc>
          <w:tcPr>
            <w:tcW w:type="dxa" w:w="1080"/>
          </w:tcPr>
          <w:p>
            <w:pPr>
              <w:spacing w:after="20"/>
              <w:jc w:val="right"/>
            </w:pPr>
            <w:r>
              <w:rPr>
                <w:color w:val="1C3A36"/>
                <w:sz w:val="13"/>
              </w:rPr>
              <w:t>2026-07-02</w:t>
            </w:r>
          </w:p>
        </w:tc>
        <w:tc>
          <w:tcPr>
            <w:tcW w:type="dxa" w:w="720"/>
          </w:tcPr>
          <w:p>
            <w:pPr>
              <w:spacing w:after="20"/>
              <w:jc w:val="right"/>
            </w:pPr>
            <w:r>
              <w:rPr>
                <w:color w:val="1C3A36"/>
                <w:sz w:val="13"/>
              </w:rPr>
              <w:t>Country</w:t>
            </w:r>
          </w:p>
        </w:tc>
        <w:tc>
          <w:tcPr>
            <w:tcW w:type="dxa" w:w="5040"/>
          </w:tcPr>
          <w:p>
            <w:pPr>
              <w:spacing w:after="20"/>
              <w:jc w:val="right"/>
            </w:pPr>
            <w:r>
              <w:rPr>
                <w:color w:val="1C3A36"/>
                <w:sz w:val="13"/>
              </w:rPr>
              <w:t>Egypt adjusted default spread on the rating basis (Moody's Caa1), 5.9702%, same vintage — the alternative construction, published for the audit trail and never mixed with the CDS basis.</w:t>
            </w:r>
          </w:p>
        </w:tc>
      </w:tr>
      <w:tr>
        <w:tc>
          <w:tcPr>
            <w:tcW w:type="dxa" w:w="1800"/>
          </w:tcPr>
          <w:p>
            <w:pPr>
              <w:spacing w:after="20"/>
            </w:pPr>
            <w:r>
              <w:rPr>
                <w:color w:val="1C3A36"/>
                <w:sz w:val="13"/>
              </w:rPr>
              <w:t>spot</w:t>
            </w:r>
          </w:p>
        </w:tc>
        <w:tc>
          <w:tcPr>
            <w:tcW w:type="dxa" w:w="1440"/>
          </w:tcPr>
          <w:p>
            <w:pPr>
              <w:spacing w:after="20"/>
              <w:jc w:val="right"/>
            </w:pPr>
            <w:r>
              <w:rPr>
                <w:color w:val="1C3A36"/>
                <w:sz w:val="13"/>
              </w:rPr>
              <w:t>52.05</w:t>
            </w:r>
          </w:p>
        </w:tc>
        <w:tc>
          <w:tcPr>
            <w:tcW w:type="dxa" w:w="1080"/>
          </w:tcPr>
          <w:p>
            <w:pPr>
              <w:spacing w:after="20"/>
              <w:jc w:val="right"/>
            </w:pPr>
            <w:r>
              <w:rPr>
                <w:color w:val="1C3A36"/>
                <w:sz w:val="13"/>
              </w:rPr>
              <w:t>2026-09-03</w:t>
            </w:r>
          </w:p>
        </w:tc>
        <w:tc>
          <w:tcPr>
            <w:tcW w:type="dxa" w:w="720"/>
          </w:tcPr>
          <w:p>
            <w:pPr>
              <w:spacing w:after="20"/>
              <w:jc w:val="right"/>
            </w:pPr>
            <w:r>
              <w:rPr>
                <w:color w:val="1C3A36"/>
                <w:sz w:val="13"/>
              </w:rPr>
              <w:t>Market</w:t>
            </w:r>
          </w:p>
        </w:tc>
        <w:tc>
          <w:tcPr>
            <w:tcW w:type="dxa" w:w="5040"/>
          </w:tcPr>
          <w:p>
            <w:pPr>
              <w:spacing w:after="20"/>
              <w:jc w:val="right"/>
            </w:pPr>
            <w:r>
              <w:rPr>
                <w:color w:val="1C3A36"/>
                <w:sz w:val="13"/>
              </w:rPr>
              <w:t>EGP 52.05, the close on 3 September 2026, supplied by the principal and committed to engine/prices/SUPPLIED_03-09-2026.json. THIS IS THE LATEST KNOWN PRICE and it is the one [R-GAP-01] measures against. assets/data.js still carries 54.40 at the 23 August close, which is 11 days older; a study audited against its own past is audited against nothing.</w:t>
            </w:r>
          </w:p>
        </w:tc>
      </w:tr>
      <w:tr>
        <w:tc>
          <w:tcPr>
            <w:tcW w:type="dxa" w:w="1800"/>
          </w:tcPr>
          <w:p>
            <w:pPr>
              <w:spacing w:after="20"/>
            </w:pPr>
            <w:r>
              <w:rPr>
                <w:color w:val="1C3A36"/>
                <w:sz w:val="13"/>
              </w:rPr>
              <w:t>target equity assets</w:t>
            </w:r>
          </w:p>
        </w:tc>
        <w:tc>
          <w:tcPr>
            <w:tcW w:type="dxa" w:w="1440"/>
          </w:tcPr>
          <w:p>
            <w:pPr>
              <w:spacing w:after="20"/>
              <w:jc w:val="right"/>
            </w:pPr>
            <w:r>
              <w:rPr>
                <w:color w:val="1C3A36"/>
                <w:sz w:val="13"/>
              </w:rPr>
              <w:t>0.105</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Attributable equity to total assets, held at 10.5% — the level ADIB-Egypt actually stood at on 30 June 2026 after its EGP 3 billion cash increase, against 9.98% at the FY2025 year end. THIS IS THE BINDING CONSTRAINT ON A GROWING BANK and the model pins the RATIO, not the increment: equity each year is 10.5% of that year's assets and the dividend is whatever profit is left after getting there. A bank growing its balance sheet 3</w:t>
            </w:r>
          </w:p>
        </w:tc>
      </w:tr>
      <w:tr>
        <w:tc>
          <w:tcPr>
            <w:tcW w:type="dxa" w:w="1800"/>
          </w:tcPr>
          <w:p>
            <w:pPr>
              <w:spacing w:after="20"/>
            </w:pPr>
            <w:r>
              <w:rPr>
                <w:color w:val="1C3A36"/>
                <w:sz w:val="13"/>
              </w:rPr>
              <w:t>tax rate</w:t>
            </w:r>
          </w:p>
        </w:tc>
        <w:tc>
          <w:tcPr>
            <w:tcW w:type="dxa" w:w="1440"/>
          </w:tcPr>
          <w:p>
            <w:pPr>
              <w:spacing w:after="20"/>
              <w:jc w:val="right"/>
            </w:pPr>
            <w:r>
              <w:rPr>
                <w:color w:val="1C3A36"/>
                <w:sz w:val="13"/>
              </w:rPr>
              <w:t>0.285</w:t>
            </w:r>
          </w:p>
        </w:tc>
        <w:tc>
          <w:tcPr>
            <w:tcW w:type="dxa" w:w="1080"/>
          </w:tcPr>
          <w:p>
            <w:pPr>
              <w:spacing w:after="20"/>
              <w:jc w:val="right"/>
            </w:pPr>
            <w:r>
              <w:rPr>
                <w:color w:val="1C3A36"/>
                <w:sz w:val="13"/>
              </w:rPr>
              <w:t>2026-09-09</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Effective tax rate. FY2025 actual 27.92%, FY2024 26.64%, the June 2026 half 29.58%. The Egyptian statutory corporate rate is 22.5%; an Egyptian bank pays materially more because the 20% withholding on treasury-bill income is not creditable and part of its cost base is disallowed. 28.5% sits inside the observed range and above the statutory rate for that reason.</w:t>
            </w:r>
          </w:p>
        </w:tc>
      </w:tr>
      <w:tr>
        <w:tc>
          <w:tcPr>
            <w:tcW w:type="dxa" w:w="1800"/>
          </w:tcPr>
          <w:p>
            <w:pPr>
              <w:spacing w:after="20"/>
            </w:pPr>
            <w:r>
              <w:rPr>
                <w:color w:val="1C3A36"/>
                <w:sz w:val="13"/>
              </w:rPr>
              <w:t>terminal growth</w:t>
            </w:r>
          </w:p>
        </w:tc>
        <w:tc>
          <w:tcPr>
            <w:tcW w:type="dxa" w:w="1440"/>
          </w:tcPr>
          <w:p>
            <w:pPr>
              <w:spacing w:after="20"/>
              <w:jc w:val="right"/>
            </w:pPr>
            <w:r>
              <w:rPr>
                <w:color w:val="1C3A36"/>
                <w:sz w:val="13"/>
              </w:rPr>
              <w:t>0.07</w:t>
            </w:r>
          </w:p>
        </w:tc>
        <w:tc>
          <w:tcPr>
            <w:tcW w:type="dxa" w:w="1080"/>
          </w:tcPr>
          <w:p>
            <w:pPr>
              <w:spacing w:after="20"/>
              <w:jc w:val="right"/>
            </w:pPr>
            <w:r>
              <w:rPr>
                <w:color w:val="1C3A36"/>
                <w:sz w:val="13"/>
              </w:rPr>
              <w:t>2026-09-02</w:t>
            </w:r>
          </w:p>
        </w:tc>
        <w:tc>
          <w:tcPr>
            <w:tcW w:type="dxa" w:w="720"/>
          </w:tcPr>
          <w:p>
            <w:pPr>
              <w:spacing w:after="20"/>
              <w:jc w:val="right"/>
            </w:pPr>
            <w:r>
              <w:rPr>
                <w:color w:val="1C3A36"/>
                <w:sz w:val="13"/>
              </w:rPr>
              <w:t>House</w:t>
            </w:r>
          </w:p>
        </w:tc>
        <w:tc>
          <w:tcPr>
            <w:tcW w:type="dxa" w:w="5040"/>
          </w:tcPr>
          <w:p>
            <w:pPr>
              <w:spacing w:after="20"/>
              <w:jc w:val="right"/>
            </w:pPr>
            <w:r>
              <w:rPr>
                <w:color w:val="1C3A36"/>
                <w:sz w:val="13"/>
              </w:rPr>
              <w:t>Terminal growth 7.00% = terminal inflation, ZERO REAL. For a bank in an economy whose private credit is 26% of GDP that is deliberately conservative: it assumes ADIB-Egypt stops taking share and stops participating in credit deepening the moment the explicit window closes. It sits BELOW the 12.50% terminal risk-free rate and equals the inflation inside it, so the terminal cannot grow faster than the money it is discounted in.</w:t>
            </w:r>
          </w:p>
        </w:tc>
      </w:tr>
    </w:tbl>
    <w:p>
      <w:pPr>
        <w:spacing w:after="40"/>
      </w:pPr>
    </w:p>
    <w:p>
      <w:pPr>
        <w:spacing w:after="200" w:before="0"/>
      </w:pPr>
      <w:r>
        <w:rPr>
          <w:b w:val="0"/>
          <w:i/>
          <w:color w:val="6E7B77"/>
          <w:sz w:val="17"/>
        </w:rPr>
        <w:t>Table 2 — the full input register.</w:t>
      </w:r>
    </w:p>
    <w:p>
      <w:pPr>
        <w:spacing w:after="120" w:before="280"/>
      </w:pPr>
      <w:r>
        <w:rPr>
          <w:b/>
          <w:i w:val="0"/>
          <w:color w:val="1C3A36"/>
          <w:sz w:val="30"/>
        </w:rPr>
        <w:t>3  Judgements, and what would overturn each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600"/>
        <w:gridCol w:w="4320"/>
      </w:tblGrid>
      <w:tr>
        <w:tc>
          <w:tcPr>
            <w:tcW w:type="dxa" w:w="2160"/>
            <w:shd w:val="clear" w:color="auto" w:fill="EAF0EE"/>
          </w:tcPr>
          <w:p>
            <w:pPr>
              <w:spacing w:after="20"/>
            </w:pPr>
            <w:r>
              <w:rPr>
                <w:b/>
                <w:color w:val="1C3A36"/>
                <w:sz w:val="15"/>
              </w:rPr>
              <w:t>Judgement</w:t>
            </w:r>
          </w:p>
        </w:tc>
        <w:tc>
          <w:tcPr>
            <w:tcW w:type="dxa" w:w="3600"/>
            <w:shd w:val="clear" w:color="auto" w:fill="EAF0EE"/>
          </w:tcPr>
          <w:p>
            <w:pPr>
              <w:spacing w:after="20"/>
            </w:pPr>
            <w:r>
              <w:rPr>
                <w:b/>
                <w:color w:val="1C3A36"/>
                <w:sz w:val="15"/>
              </w:rPr>
              <w:t>What it is</w:t>
            </w:r>
          </w:p>
        </w:tc>
        <w:tc>
          <w:tcPr>
            <w:tcW w:type="dxa" w:w="4320"/>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cost of risk</w:t>
            </w:r>
          </w:p>
        </w:tc>
        <w:tc>
          <w:tcPr>
            <w:tcW w:type="dxa" w:w="3600"/>
          </w:tcPr>
          <w:p>
            <w:pPr>
              <w:spacing w:after="20"/>
              <w:jc w:val="right"/>
            </w:pPr>
            <w:r>
              <w:rPr>
                <w:color w:val="1C3A36"/>
                <w:sz w:val="15"/>
              </w:rPr>
              <w:t>1.00% of average financing in FY2026 and 1.30% thereafter, against a FY2022-25 mean of 2.09% and a June-2026 half of effectively zero</w:t>
            </w:r>
          </w:p>
        </w:tc>
        <w:tc>
          <w:tcPr>
            <w:tcW w:type="dxa" w:w="4320"/>
          </w:tcPr>
          <w:p>
            <w:pPr>
              <w:spacing w:after="20"/>
              <w:jc w:val="right"/>
            </w:pPr>
            <w:r>
              <w:rPr>
                <w:color w:val="1C3A36"/>
                <w:sz w:val="15"/>
              </w:rPr>
              <w:t>A third-quarter 2026 charge still near zero would say the release is structural and the assumption too harsh. A charge back above 2% would say the opposite. This is the single most consequential judgement in the study and it is worth EGP 10.86 a share.</w:t>
            </w:r>
          </w:p>
        </w:tc>
      </w:tr>
      <w:tr>
        <w:tc>
          <w:tcPr>
            <w:tcW w:type="dxa" w:w="2160"/>
          </w:tcPr>
          <w:p>
            <w:pPr>
              <w:spacing w:after="20"/>
            </w:pPr>
            <w:r>
              <w:rPr>
                <w:color w:val="1C3A36"/>
                <w:sz w:val="15"/>
              </w:rPr>
              <w:t>The share of Egyptian credit rises</w:t>
            </w:r>
          </w:p>
        </w:tc>
        <w:tc>
          <w:tcPr>
            <w:tcW w:type="dxa" w:w="3600"/>
          </w:tcPr>
          <w:p>
            <w:pPr>
              <w:spacing w:after="20"/>
              <w:jc w:val="right"/>
            </w:pPr>
            <w:r>
              <w:rPr>
                <w:color w:val="1C3A36"/>
                <w:sz w:val="15"/>
              </w:rPr>
              <w:t>financing grows at 2.26x nominal GDP in 2026, decaying to parity by 2030, taking the bank from 3.14% of Egyptian private credit to 4.42%</w:t>
            </w:r>
          </w:p>
        </w:tc>
        <w:tc>
          <w:tcPr>
            <w:tcW w:type="dxa" w:w="4320"/>
          </w:tcPr>
          <w:p>
            <w:pPr>
              <w:spacing w:after="20"/>
              <w:jc w:val="right"/>
            </w:pPr>
            <w:r>
              <w:rPr>
                <w:color w:val="1C3A36"/>
                <w:sz w:val="15"/>
              </w:rPr>
              <w:t>Two consecutive halves of financing growth at or below nominal GDP. The walk-forward beneath this study measured the historical drift at about 8.7% a year for a decade, so the assumption is slower than history and faster than none.</w:t>
            </w:r>
          </w:p>
        </w:tc>
      </w:tr>
      <w:tr>
        <w:tc>
          <w:tcPr>
            <w:tcW w:type="dxa" w:w="2160"/>
          </w:tcPr>
          <w:p>
            <w:pPr>
              <w:spacing w:after="20"/>
            </w:pPr>
            <w:r>
              <w:rPr>
                <w:color w:val="1C3A36"/>
                <w:sz w:val="15"/>
              </w:rPr>
              <w:t>The margin compresses with the policy glide</w:t>
            </w:r>
          </w:p>
        </w:tc>
        <w:tc>
          <w:tcPr>
            <w:tcW w:type="dxa" w:w="3600"/>
          </w:tcPr>
          <w:p>
            <w:pPr>
              <w:spacing w:after="20"/>
              <w:jc w:val="right"/>
            </w:pPr>
            <w:r>
              <w:rPr>
                <w:color w:val="1C3A36"/>
                <w:sz w:val="15"/>
              </w:rPr>
              <w:t>asset yield falls at about 0.75 of the central bank's published path and the cost of funds at about 0.80, so the margin goes from 6.64% to 4.81%</w:t>
            </w:r>
          </w:p>
        </w:tc>
        <w:tc>
          <w:tcPr>
            <w:tcW w:type="dxa" w:w="4320"/>
          </w:tcPr>
          <w:p>
            <w:pPr>
              <w:spacing w:after="20"/>
              <w:jc w:val="right"/>
            </w:pPr>
            <w:r>
              <w:rPr>
                <w:color w:val="1C3A36"/>
                <w:sz w:val="15"/>
              </w:rPr>
              <w:t>A half in which the margin holds while the policy rate falls. The Islamic financing book prices at origination for its whole term, so the mix could slow the repricing more than assumed — which would RAISE the value.</w:t>
            </w:r>
          </w:p>
        </w:tc>
      </w:tr>
      <w:tr>
        <w:tc>
          <w:tcPr>
            <w:tcW w:type="dxa" w:w="2160"/>
          </w:tcPr>
          <w:p>
            <w:pPr>
              <w:spacing w:after="20"/>
            </w:pPr>
            <w:r>
              <w:rPr>
                <w:color w:val="1C3A36"/>
                <w:sz w:val="15"/>
              </w:rPr>
              <w:t>Equity is pinned at 10.5% of assets</w:t>
            </w:r>
          </w:p>
        </w:tc>
        <w:tc>
          <w:tcPr>
            <w:tcW w:type="dxa" w:w="3600"/>
          </w:tcPr>
          <w:p>
            <w:pPr>
              <w:spacing w:after="20"/>
              <w:jc w:val="right"/>
            </w:pPr>
            <w:r>
              <w:rPr>
                <w:color w:val="1C3A36"/>
                <w:sz w:val="15"/>
              </w:rPr>
              <w:t>the level the bank actually stood at on 30 June 2026, and the constraint that makes the dividend what is left rather than what is chosen</w:t>
            </w:r>
          </w:p>
        </w:tc>
        <w:tc>
          <w:tcPr>
            <w:tcW w:type="dxa" w:w="4320"/>
          </w:tcPr>
          <w:p>
            <w:pPr>
              <w:spacing w:after="20"/>
              <w:jc w:val="right"/>
            </w:pPr>
            <w:r>
              <w:rPr>
                <w:color w:val="1C3A36"/>
                <w:sz w:val="15"/>
              </w:rPr>
              <w:t>A disclosed regulatory capital target materially different from it, or a balance sheet run at a visibly lower ratio for two years.</w:t>
            </w:r>
          </w:p>
        </w:tc>
      </w:tr>
      <w:tr>
        <w:tc>
          <w:tcPr>
            <w:tcW w:type="dxa" w:w="2160"/>
          </w:tcPr>
          <w:p>
            <w:pPr>
              <w:spacing w:after="20"/>
            </w:pPr>
            <w:r>
              <w:rPr>
                <w:color w:val="1C3A36"/>
                <w:sz w:val="15"/>
              </w:rPr>
              <w:t>The cost of equity is 29.81%</w:t>
            </w:r>
          </w:p>
        </w:tc>
        <w:tc>
          <w:tcPr>
            <w:tcW w:type="dxa" w:w="3600"/>
          </w:tcPr>
          <w:p>
            <w:pPr>
              <w:spacing w:after="20"/>
              <w:jc w:val="right"/>
            </w:pPr>
            <w:r>
              <w:rPr>
                <w:color w:val="1C3A36"/>
                <w:sz w:val="15"/>
              </w:rPr>
              <w:t>a 23.00% ten-year yield less a 3.42% sovereign spread, plus a 1.0747 beta times a 9.5164% total equity premium</w:t>
            </w:r>
          </w:p>
        </w:tc>
        <w:tc>
          <w:tcPr>
            <w:tcW w:type="dxa" w:w="4320"/>
          </w:tcPr>
          <w:p>
            <w:pPr>
              <w:spacing w:after="20"/>
              <w:jc w:val="right"/>
            </w:pPr>
            <w:r>
              <w:rPr>
                <w:color w:val="1C3A36"/>
                <w:sz w:val="15"/>
              </w:rPr>
              <w:t>A CURRENT ten-year yield. The one carried is 34 days old and the only recent market evidence found is 171 basis points lower. At 21.29% the central is EGP 43.74 rather than EGP 37.18.</w:t>
            </w:r>
          </w:p>
        </w:tc>
      </w:tr>
      <w:tr>
        <w:tc>
          <w:tcPr>
            <w:tcW w:type="dxa" w:w="2160"/>
          </w:tcPr>
          <w:p>
            <w:pPr>
              <w:spacing w:after="20"/>
            </w:pPr>
            <w:r>
              <w:rPr>
                <w:color w:val="1C3A36"/>
                <w:sz w:val="15"/>
              </w:rPr>
              <w:t>Terminal growth is 7.00%</w:t>
            </w:r>
          </w:p>
        </w:tc>
        <w:tc>
          <w:tcPr>
            <w:tcW w:type="dxa" w:w="3600"/>
          </w:tcPr>
          <w:p>
            <w:pPr>
              <w:spacing w:after="20"/>
              <w:jc w:val="right"/>
            </w:pPr>
            <w:r>
              <w:rPr>
                <w:color w:val="1C3A36"/>
                <w:sz w:val="15"/>
              </w:rPr>
              <w:t>equal to terminal inflation — zero real growth in perpetuity</w:t>
            </w:r>
          </w:p>
        </w:tc>
        <w:tc>
          <w:tcPr>
            <w:tcW w:type="dxa" w:w="4320"/>
          </w:tcPr>
          <w:p>
            <w:pPr>
              <w:spacing w:after="20"/>
              <w:jc w:val="right"/>
            </w:pPr>
            <w:r>
              <w:rPr>
                <w:color w:val="1C3A36"/>
                <w:sz w:val="15"/>
              </w:rPr>
              <w:t>Nothing in the evidence; it is deliberately the conservative end. A bank in an economy with private credit at 26% of GDP growing at zero real for ever is an assumption against value, and it is worth about 1.4% per percentage point.</w:t>
            </w:r>
          </w:p>
        </w:tc>
      </w:tr>
    </w:tbl>
    <w:p>
      <w:pPr>
        <w:spacing w:after="40"/>
      </w:pPr>
    </w:p>
    <w:p>
      <w:pPr>
        <w:spacing w:after="200" w:before="0"/>
      </w:pPr>
      <w:r>
        <w:rPr>
          <w:b w:val="0"/>
          <w:i/>
          <w:color w:val="6E7B77"/>
          <w:sz w:val="17"/>
        </w:rPr>
        <w:t>Table 3 — every judgement, and the observation that would kill it.</w:t>
      </w:r>
    </w:p>
    <w:p>
      <w:pPr>
        <w:spacing w:after="120" w:before="280"/>
      </w:pPr>
      <w:r>
        <w:rPr>
          <w:b/>
          <w:i w:val="0"/>
          <w:color w:val="1C3A36"/>
          <w:sz w:val="30"/>
        </w:rPr>
        <w:t>4  Negative results — what was looked for and not found</w:t>
      </w:r>
    </w:p>
    <w:p>
      <w:pPr>
        <w:spacing w:after="120" w:before="0"/>
      </w:pPr>
      <w:r>
        <w:rPr>
          <w:b w:val="0"/>
          <w:i w:val="0"/>
          <w:color w:val="1C3A36"/>
          <w:sz w:val="21"/>
        </w:rPr>
        <w:t>A source that would not yield is a fact worth recording. These are the attempts that failed, with what was done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4176"/>
        <w:gridCol w:w="3456"/>
      </w:tblGrid>
      <w:tr>
        <w:tc>
          <w:tcPr>
            <w:tcW w:type="dxa" w:w="2448"/>
            <w:shd w:val="clear" w:color="auto" w:fill="EAF0EE"/>
          </w:tcPr>
          <w:p>
            <w:pPr>
              <w:spacing w:after="20"/>
            </w:pPr>
            <w:r>
              <w:rPr>
                <w:b/>
                <w:color w:val="1C3A36"/>
                <w:sz w:val="14"/>
              </w:rPr>
              <w:t>What was sought</w:t>
            </w:r>
          </w:p>
        </w:tc>
        <w:tc>
          <w:tcPr>
            <w:tcW w:type="dxa" w:w="4176"/>
            <w:shd w:val="clear" w:color="auto" w:fill="EAF0EE"/>
          </w:tcPr>
          <w:p>
            <w:pPr>
              <w:spacing w:after="20"/>
            </w:pPr>
            <w:r>
              <w:rPr>
                <w:b/>
                <w:color w:val="1C3A36"/>
                <w:sz w:val="14"/>
              </w:rPr>
              <w:t>What happened</w:t>
            </w:r>
          </w:p>
        </w:tc>
        <w:tc>
          <w:tcPr>
            <w:tcW w:type="dxa" w:w="3456"/>
            <w:shd w:val="clear" w:color="auto" w:fill="EAF0EE"/>
          </w:tcPr>
          <w:p>
            <w:pPr>
              <w:spacing w:after="20"/>
            </w:pPr>
            <w:r>
              <w:rPr>
                <w:b/>
                <w:color w:val="1C3A36"/>
                <w:sz w:val="14"/>
              </w:rPr>
              <w:t>What was done instead</w:t>
            </w:r>
          </w:p>
        </w:tc>
      </w:tr>
      <w:tr>
        <w:tc>
          <w:tcPr>
            <w:tcW w:type="dxa" w:w="2448"/>
          </w:tcPr>
          <w:p>
            <w:pPr>
              <w:spacing w:after="20"/>
            </w:pPr>
            <w:r>
              <w:rPr>
                <w:color w:val="1C3A36"/>
                <w:sz w:val="14"/>
              </w:rPr>
              <w:t>ADIB-Egypt IR (trailing slash + /en/ prefix)</w:t>
            </w:r>
          </w:p>
        </w:tc>
        <w:tc>
          <w:tcPr>
            <w:tcW w:type="dxa" w:w="4176"/>
          </w:tcPr>
          <w:p>
            <w:pPr>
              <w:spacing w:after="20"/>
              <w:jc w:val="right"/>
            </w:pPr>
            <w:r>
              <w:rPr>
                <w:color w:val="1C3A36"/>
                <w:sz w:val="14"/>
              </w:rPr>
              <w:t>REJECTED by the site WAF ("Request Rejected", support ID returned). The path without the /en/ prefix serves the same page and was used.</w:t>
            </w:r>
          </w:p>
        </w:tc>
        <w:tc>
          <w:tcPr>
            <w:tcW w:type="dxa" w:w="3456"/>
          </w:tcPr>
          <w:p>
            <w:pPr>
              <w:spacing w:after="20"/>
              <w:jc w:val="right"/>
            </w:pPr>
            <w:r>
              <w:rPr>
                <w:color w:val="1C3A36"/>
                <w:sz w:val="14"/>
              </w:rPr>
            </w:r>
          </w:p>
        </w:tc>
      </w:tr>
      <w:tr>
        <w:tc>
          <w:tcPr>
            <w:tcW w:type="dxa" w:w="2448"/>
          </w:tcPr>
          <w:p>
            <w:pPr>
              <w:spacing w:after="20"/>
            </w:pPr>
            <w:r>
              <w:rPr>
                <w:color w:val="1C3A36"/>
                <w:sz w:val="14"/>
              </w:rPr>
              <w:t>FY2021 English consolidated, alternative names</w:t>
            </w:r>
          </w:p>
        </w:tc>
        <w:tc>
          <w:tcPr>
            <w:tcW w:type="dxa" w:w="4176"/>
          </w:tcPr>
          <w:p>
            <w:pPr>
              <w:spacing w:after="20"/>
              <w:jc w:val="right"/>
            </w:pPr>
            <w:r>
              <w:rPr>
                <w:color w:val="1C3A36"/>
                <w:sz w:val="14"/>
              </w:rPr>
              <w:t>404 on both</w:t>
            </w:r>
          </w:p>
        </w:tc>
        <w:tc>
          <w:tcPr>
            <w:tcW w:type="dxa" w:w="3456"/>
          </w:tcPr>
          <w:p>
            <w:pPr>
              <w:spacing w:after="20"/>
              <w:jc w:val="right"/>
            </w:pPr>
            <w:r>
              <w:rPr>
                <w:color w:val="1C3A36"/>
                <w:sz w:val="14"/>
              </w:rPr>
            </w:r>
          </w:p>
        </w:tc>
      </w:tr>
      <w:tr>
        <w:tc>
          <w:tcPr>
            <w:tcW w:type="dxa" w:w="2448"/>
          </w:tcPr>
          <w:p>
            <w:pPr>
              <w:spacing w:after="20"/>
            </w:pPr>
            <w:r>
              <w:rPr>
                <w:color w:val="1C3A36"/>
                <w:sz w:val="14"/>
              </w:rPr>
              <w:t>FY2021 standalone English</w:t>
            </w:r>
          </w:p>
        </w:tc>
        <w:tc>
          <w:tcPr>
            <w:tcW w:type="dxa" w:w="4176"/>
          </w:tcPr>
          <w:p>
            <w:pPr>
              <w:spacing w:after="20"/>
              <w:jc w:val="right"/>
            </w:pPr>
            <w:r>
              <w:rPr>
                <w:color w:val="1C3A36"/>
                <w:sz w:val="14"/>
              </w:rPr>
              <w:t>200 - standalone, not consolidated; NOT used, the panel is consolidated throughout</w:t>
            </w:r>
          </w:p>
        </w:tc>
        <w:tc>
          <w:tcPr>
            <w:tcW w:type="dxa" w:w="3456"/>
          </w:tcPr>
          <w:p>
            <w:pPr>
              <w:spacing w:after="20"/>
              <w:jc w:val="right"/>
            </w:pPr>
            <w:r>
              <w:rPr>
                <w:color w:val="1C3A36"/>
                <w:sz w:val="14"/>
              </w:rPr>
            </w:r>
          </w:p>
        </w:tc>
      </w:tr>
      <w:tr>
        <w:tc>
          <w:tcPr>
            <w:tcW w:type="dxa" w:w="2448"/>
          </w:tcPr>
          <w:p>
            <w:pPr>
              <w:spacing w:after="20"/>
            </w:pPr>
            <w:r>
              <w:rPr>
                <w:color w:val="1C3A36"/>
                <w:sz w:val="14"/>
              </w:rPr>
              <w:t>Board of Directors report FY2023</w:t>
            </w:r>
          </w:p>
        </w:tc>
        <w:tc>
          <w:tcPr>
            <w:tcW w:type="dxa" w:w="4176"/>
          </w:tcPr>
          <w:p>
            <w:pPr>
              <w:spacing w:after="20"/>
              <w:jc w:val="right"/>
            </w:pPr>
            <w:r>
              <w:rPr>
                <w:color w:val="1C3A36"/>
                <w:sz w:val="14"/>
              </w:rPr>
              <w:t>curl refused the unencoded space in the path; not retried, the FY2023 audited statements carry everything this run needs</w:t>
            </w:r>
          </w:p>
        </w:tc>
        <w:tc>
          <w:tcPr>
            <w:tcW w:type="dxa" w:w="3456"/>
          </w:tcPr>
          <w:p>
            <w:pPr>
              <w:spacing w:after="20"/>
              <w:jc w:val="right"/>
            </w:pPr>
            <w:r>
              <w:rPr>
                <w:color w:val="1C3A36"/>
                <w:sz w:val="14"/>
              </w:rPr>
            </w:r>
          </w:p>
        </w:tc>
      </w:tr>
      <w:tr>
        <w:tc>
          <w:tcPr>
            <w:tcW w:type="dxa" w:w="2448"/>
          </w:tcPr>
          <w:p>
            <w:pPr>
              <w:spacing w:after="20"/>
            </w:pPr>
            <w:r>
              <w:rPr>
                <w:color w:val="1C3A36"/>
                <w:sz w:val="14"/>
              </w:rPr>
              <w:t>A current Egyptian ten-year government bond yield</w:t>
            </w:r>
          </w:p>
        </w:tc>
        <w:tc>
          <w:tcPr>
            <w:tcW w:type="dxa" w:w="4176"/>
          </w:tcPr>
          <w:p>
            <w:pPr>
              <w:spacing w:after="20"/>
              <w:jc w:val="right"/>
            </w:pPr>
            <w:r>
              <w:rPr>
                <w:color w:val="1C3A36"/>
                <w:sz w:val="14"/>
              </w:rPr>
              <w:t>FOUR ROUTES, ALL FAILED on 9 September 2026: the central bank's treasury-bond auction pages return 404; its auction endpoint returns the website shell rather than data; two market-data providers render their yield tables in JavaScript, and one returns 403.</w:t>
            </w:r>
          </w:p>
        </w:tc>
        <w:tc>
          <w:tcPr>
            <w:tcW w:type="dxa" w:w="3456"/>
          </w:tcPr>
          <w:p>
            <w:pPr>
              <w:spacing w:after="20"/>
              <w:jc w:val="right"/>
            </w:pPr>
            <w:r>
              <w:rPr>
                <w:color w:val="1C3A36"/>
                <w:sz w:val="14"/>
              </w:rPr>
              <w:t>The 6 August 2026 quote of 23.00% held in the house macro path is carried and DECLARED STALE on the face of the register entry, in section 1.8 of the study and in the gap review. It is sensitised by 200 basis points either way. The only recent evidence found — a 21.29% average over late April to late May 2026 — is quoted beside it.</w:t>
            </w:r>
          </w:p>
        </w:tc>
      </w:tr>
      <w:tr>
        <w:tc>
          <w:tcPr>
            <w:tcW w:type="dxa" w:w="2448"/>
          </w:tcPr>
          <w:p>
            <w:pPr>
              <w:spacing w:after="20"/>
            </w:pPr>
            <w:r>
              <w:rPr>
                <w:color w:val="1C3A36"/>
                <w:sz w:val="14"/>
              </w:rPr>
              <w:t>Same-day book value for any Egyptian bank peer</w:t>
            </w:r>
          </w:p>
        </w:tc>
        <w:tc>
          <w:tcPr>
            <w:tcW w:type="dxa" w:w="4176"/>
          </w:tcPr>
          <w:p>
            <w:pPr>
              <w:spacing w:after="20"/>
              <w:jc w:val="right"/>
            </w:pPr>
            <w:r>
              <w:rPr>
                <w:color w:val="1C3A36"/>
                <w:sz w:val="14"/>
              </w:rPr>
              <w:t>NOT FOUND. One same-day peer PRICE is held (Commercial International Bank, EGP 138.98 on 3 September 2026). No peer book value, earnings or capital ratio could be sourced on the study date.</w:t>
            </w:r>
          </w:p>
        </w:tc>
        <w:tc>
          <w:tcPr>
            <w:tcW w:type="dxa" w:w="3456"/>
          </w:tcPr>
          <w:p>
            <w:pPr>
              <w:spacing w:after="20"/>
              <w:jc w:val="right"/>
            </w:pPr>
            <w:r>
              <w:rPr>
                <w:color w:val="1C3A36"/>
                <w:sz w:val="14"/>
              </w:rPr>
              <w:t>The relative-multiple lens is published as a BAND, carries no weight in the answer, and the hole is stated in the study's own Appendix B.</w:t>
            </w:r>
          </w:p>
        </w:tc>
      </w:tr>
      <w:tr>
        <w:tc>
          <w:tcPr>
            <w:tcW w:type="dxa" w:w="2448"/>
          </w:tcPr>
          <w:p>
            <w:pPr>
              <w:spacing w:after="20"/>
            </w:pPr>
            <w:r>
              <w:rPr>
                <w:color w:val="1C3A36"/>
                <w:sz w:val="14"/>
              </w:rPr>
              <w:t>The English FY2021 consolidated filing</w:t>
            </w:r>
          </w:p>
        </w:tc>
        <w:tc>
          <w:tcPr>
            <w:tcW w:type="dxa" w:w="4176"/>
          </w:tcPr>
          <w:p>
            <w:pPr>
              <w:spacing w:after="20"/>
              <w:jc w:val="right"/>
            </w:pPr>
            <w:r>
              <w:rPr>
                <w:color w:val="1C3A36"/>
                <w:sz w:val="14"/>
              </w:rPr>
              <w:t>DOES NOT EXIST on the issuer's site. The file published under that name is the ARABIC filing — 102 pages, no English statement page. Two alternative filenames return 404.</w:t>
            </w:r>
          </w:p>
        </w:tc>
        <w:tc>
          <w:tcPr>
            <w:tcW w:type="dxa" w:w="3456"/>
          </w:tcPr>
          <w:p>
            <w:pPr>
              <w:spacing w:after="20"/>
              <w:jc w:val="right"/>
            </w:pPr>
            <w:r>
              <w:rPr>
                <w:color w:val="1C3A36"/>
                <w:sz w:val="14"/>
              </w:rPr>
              <w:t>FY2021 is taken from the comparative column of the audited FY2022 statements. Tier A and the same issuer, but a comparative, which is the one row in the record where point-in-time discipline cannot be fully honoured.</w:t>
            </w:r>
          </w:p>
        </w:tc>
      </w:tr>
    </w:tbl>
    <w:p>
      <w:pPr>
        <w:spacing w:after="40"/>
      </w:pPr>
    </w:p>
    <w:p>
      <w:pPr>
        <w:spacing w:after="200" w:before="0"/>
      </w:pPr>
      <w:r>
        <w:rPr>
          <w:b w:val="0"/>
          <w:i/>
          <w:color w:val="6E7B77"/>
          <w:sz w:val="17"/>
        </w:rPr>
        <w:t>Table 4 — negative results.</w:t>
      </w:r>
    </w:p>
    <w:p>
      <w:pPr>
        <w:spacing w:after="120" w:before="280"/>
      </w:pPr>
      <w:r>
        <w:rPr>
          <w:b/>
          <w:i w:val="0"/>
          <w:color w:val="1C3A36"/>
          <w:sz w:val="30"/>
        </w:rPr>
        <w:t>5  Where two sources disagree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5184"/>
      </w:tblGrid>
      <w:tr>
        <w:tc>
          <w:tcPr>
            <w:tcW w:type="dxa" w:w="4896"/>
            <w:shd w:val="clear" w:color="auto" w:fill="EAF0EE"/>
          </w:tcPr>
          <w:p>
            <w:pPr>
              <w:spacing w:after="20"/>
            </w:pPr>
            <w:r>
              <w:rPr>
                <w:b/>
                <w:color w:val="1C3A36"/>
                <w:sz w:val="15"/>
              </w:rPr>
              <w:t>The disagreement</w:t>
            </w:r>
          </w:p>
        </w:tc>
        <w:tc>
          <w:tcPr>
            <w:tcW w:type="dxa" w:w="5184"/>
            <w:shd w:val="clear" w:color="auto" w:fill="EAF0EE"/>
          </w:tcPr>
          <w:p>
            <w:pPr>
              <w:spacing w:after="20"/>
            </w:pPr>
            <w:r>
              <w:rPr>
                <w:b/>
                <w:color w:val="1C3A36"/>
                <w:sz w:val="15"/>
              </w:rPr>
              <w:t>How it was settled</w:t>
            </w:r>
          </w:p>
        </w:tc>
      </w:tr>
      <w:tr>
        <w:tc>
          <w:tcPr>
            <w:tcW w:type="dxa" w:w="4896"/>
          </w:tcPr>
          <w:p>
            <w:pPr>
              <w:spacing w:after="20"/>
            </w:pPr>
            <w:r>
              <w:rPr>
                <w:color w:val="1C3A36"/>
                <w:sz w:val="15"/>
              </w:rPr>
              <w:t>Six fiscal years are RESTATED by the following year's filing — FY2011, FY2014, FY2015, FY2016, FY2017 and FY2018 all carry different figures in their own report and in the next one. FY2017's administrative expenses are EGP 1,172.1 million in its own filing and EGP 1,015.4 million in the FY2018 comparative.</w:t>
            </w:r>
          </w:p>
        </w:tc>
        <w:tc>
          <w:tcPr>
            <w:tcW w:type="dxa" w:w="5184"/>
          </w:tcPr>
          <w:p>
            <w:pPr>
              <w:spacing w:after="20"/>
              <w:jc w:val="right"/>
            </w:pPr>
            <w:r>
              <w:rPr>
                <w:color w:val="1C3A36"/>
                <w:sz w:val="15"/>
              </w:rPr>
              <w:t>THE ORIGINAL IS USED and the restatement is recorded beside it, never substituted. Every one is listed in the walk-forward's own restatement register. A year read as its successor restated it is a year nobody could have read at the time.</w:t>
            </w:r>
          </w:p>
        </w:tc>
      </w:tr>
      <w:tr>
        <w:tc>
          <w:tcPr>
            <w:tcW w:type="dxa" w:w="4896"/>
          </w:tcPr>
          <w:p>
            <w:pPr>
              <w:spacing w:after="20"/>
            </w:pPr>
            <w:r>
              <w:rPr>
                <w:color w:val="1C3A36"/>
                <w:sz w:val="15"/>
              </w:rPr>
              <w:t>The FY2025 filing prints total assets of EGP 260,457,106 thousand for FY2024 in one place and the FY2024 filing prints EGP 260,467,106.</w:t>
            </w:r>
          </w:p>
        </w:tc>
        <w:tc>
          <w:tcPr>
            <w:tcW w:type="dxa" w:w="5184"/>
          </w:tcPr>
          <w:p>
            <w:pPr>
              <w:spacing w:after="20"/>
              <w:jc w:val="right"/>
            </w:pPr>
            <w:r>
              <w:rPr>
                <w:color w:val="1C3A36"/>
                <w:sz w:val="15"/>
              </w:rPr>
              <w:t>The equity block's own arithmetic settles it at 260,467,106: liabilities of 237,480,399 plus equity of 22,986,707 reproduce it exactly.</w:t>
            </w:r>
          </w:p>
        </w:tc>
      </w:tr>
      <w:tr>
        <w:tc>
          <w:tcPr>
            <w:tcW w:type="dxa" w:w="4896"/>
          </w:tcPr>
          <w:p>
            <w:pPr>
              <w:spacing w:after="20"/>
            </w:pPr>
            <w:r>
              <w:rPr>
                <w:color w:val="1C3A36"/>
                <w:sz w:val="15"/>
              </w:rPr>
              <w:t>The sovereign default spread is 3.42% in the cost-of-capital record used by the other Egyptian studies and 3.41% in the house macro path, from the same source file.</w:t>
            </w:r>
          </w:p>
        </w:tc>
        <w:tc>
          <w:tcPr>
            <w:tcW w:type="dxa" w:w="5184"/>
          </w:tcPr>
          <w:p>
            <w:pPr>
              <w:spacing w:after="20"/>
              <w:jc w:val="right"/>
            </w:pPr>
            <w:r>
              <w:rPr>
                <w:color w:val="1C3A36"/>
                <w:sz w:val="15"/>
              </w:rPr>
              <w:t>A rounding artefact of one basis point. The 3.42% figure is used so that this study's cost of equity is built from the same pair of numbers as every other Egyptian study in the book, and the difference is recorded here.</w:t>
            </w:r>
          </w:p>
        </w:tc>
      </w:tr>
      <w:tr>
        <w:tc>
          <w:tcPr>
            <w:tcW w:type="dxa" w:w="4896"/>
          </w:tcPr>
          <w:p>
            <w:pPr>
              <w:spacing w:after="20"/>
            </w:pPr>
            <w:r>
              <w:rPr>
                <w:color w:val="1C3A36"/>
                <w:sz w:val="15"/>
              </w:rPr>
              <w:t>The share price is EGP 54.40 in the site's own data file (23 August close) and EGP 52.05 in the supplied-price file (3 September close).</w:t>
            </w:r>
          </w:p>
        </w:tc>
        <w:tc>
          <w:tcPr>
            <w:tcW w:type="dxa" w:w="5184"/>
          </w:tcPr>
          <w:p>
            <w:pPr>
              <w:spacing w:after="20"/>
              <w:jc w:val="right"/>
            </w:pPr>
            <w:r>
              <w:rPr>
                <w:color w:val="1C3A36"/>
                <w:sz w:val="15"/>
              </w:rPr>
              <w:t>THE LATER ONE. A study audited against a price eleven days old is audited against its own past. The 23 August close is still used as the anchor for the probability map in section 3, because it is the last session in the price history, and the study says so in terms.</w:t>
            </w:r>
          </w:p>
        </w:tc>
      </w:tr>
    </w:tbl>
    <w:p>
      <w:pPr>
        <w:spacing w:after="40"/>
      </w:pPr>
    </w:p>
    <w:p>
      <w:pPr>
        <w:spacing w:after="200" w:before="0"/>
      </w:pPr>
      <w:r>
        <w:rPr>
          <w:b w:val="0"/>
          <w:i/>
          <w:color w:val="6E7B77"/>
          <w:sz w:val="17"/>
        </w:rPr>
        <w:t>Table 5 — disagreements, and which side was taken.</w:t>
      </w:r>
    </w:p>
    <w:p>
      <w:pPr>
        <w:spacing w:after="120" w:before="280"/>
      </w:pPr>
      <w:r>
        <w:rPr>
          <w:b/>
          <w:i w:val="0"/>
          <w:color w:val="1C3A36"/>
          <w:sz w:val="30"/>
        </w:rPr>
        <w:t>6  What is not disclosed</w:t>
      </w:r>
    </w:p>
    <w:p>
      <w:pPr>
        <w:spacing w:after="120" w:before="0"/>
      </w:pPr>
      <w:r>
        <w:rPr>
          <w:b w:val="0"/>
          <w:i w:val="0"/>
          <w:color w:val="1C3A36"/>
          <w:sz w:val="21"/>
        </w:rPr>
        <w:t>The limits of the record, stated so nobody has to discover them.</w:t>
      </w:r>
    </w:p>
    <w:p>
      <w:pPr>
        <w:pStyle w:val="ListBullet"/>
        <w:spacing w:after="60"/>
      </w:pPr>
      <w:r>
        <w:rPr>
          <w:color w:val="1C3A36"/>
          <w:sz w:val="21"/>
        </w:rPr>
        <w:t>NO SPLIT OF FINANCING by retail, corporate or small business, and no split of deposits by account type. The low-cost funding share — the single most useful number in judging how a bank's funding cost behaves in an easing cycle — cannot be computed, and no assumption is made about it.</w:t>
      </w:r>
    </w:p>
    <w:p>
      <w:pPr>
        <w:pStyle w:val="ListBullet"/>
        <w:spacing w:after="60"/>
      </w:pPr>
      <w:r>
        <w:rPr>
          <w:color w:val="1C3A36"/>
          <w:sz w:val="21"/>
        </w:rPr>
        <w:t>NO NON-PERFORMING RATIO AND NO COVERAGE RATIO in any of the eighteen statements parsed. The cost-of-risk driver is therefore built on the charge, not on the stock of bad assets, and there is no way to check whether the June 2026 release reflects recoveries, write-offs or a change in the loss model.</w:t>
      </w:r>
    </w:p>
    <w:p>
      <w:pPr>
        <w:pStyle w:val="ListBullet"/>
        <w:spacing w:after="60"/>
      </w:pPr>
      <w:r>
        <w:rPr>
          <w:color w:val="1C3A36"/>
          <w:sz w:val="21"/>
        </w:rPr>
        <w:t>NO GEOGRAPHIC OR PRODUCT SEGMENT NOTE.</w:t>
      </w:r>
    </w:p>
    <w:p>
      <w:pPr>
        <w:pStyle w:val="ListBullet"/>
        <w:spacing w:after="60"/>
      </w:pPr>
      <w:r>
        <w:rPr>
          <w:color w:val="1C3A36"/>
          <w:sz w:val="21"/>
        </w:rPr>
        <w:t>NO NUMERIC FORWARD GUIDANCE. Nothing management publishes is consumed as an input to this model, and there is nothing to score.</w:t>
      </w:r>
    </w:p>
    <w:p>
      <w:pPr>
        <w:pStyle w:val="ListBullet"/>
        <w:spacing w:after="60"/>
      </w:pPr>
      <w:r>
        <w:rPr>
          <w:color w:val="1C3A36"/>
          <w:sz w:val="21"/>
        </w:rPr>
        <w:t>THE FILED EARNINGS-PER-SHARE FIGURES CANNOT BE REPRODUCED from attributable profit and the year-end share count, and this study says so rather than reverse-engineering a deduction the equity statement does not show. FY2025 prints EGP 11.25 on attributable profit of EGP 12,588.6 million, implying about 1,119 million weighted shares against a year-end 1,200 million; FY2024 prints EGP 14.02 implying about 643 million against a year-end 600 million. Every per-share figure in this study is attributable profit over the SHARE COUNT AT THE PERIOD END, which is stated, reproducible, and different from the filed EPS.</w:t>
      </w:r>
    </w:p>
    <w:p>
      <w:pPr>
        <w:pStyle w:val="ListBullet"/>
        <w:spacing w:after="60"/>
      </w:pPr>
      <w:r>
        <w:rPr>
          <w:color w:val="1C3A36"/>
          <w:sz w:val="21"/>
        </w:rPr>
        <w:t>THE FY2025 EQUITY RECONCILIATION LEAVES EGP 110.5 MILLION UNEXPLAINED. Retained earnings move from 15,815.3 to 20,963.2 while attributable profit is 12,588.6, dividends paid 1,055.9, the reserve transfer 495.4 and the capital increase 6,000.0 — which closes to within 110.5, or 0.9% of the profit. It is recorded rather than assigned.</w:t>
      </w:r>
    </w:p>
    <w:p>
      <w:pPr>
        <w:spacing w:after="120" w:before="280"/>
      </w:pPr>
      <w:r>
        <w:rPr>
          <w:b/>
          <w:i w:val="0"/>
          <w:color w:val="1C3A36"/>
          <w:sz w:val="30"/>
        </w:rPr>
        <w:t>7  Market and macro data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584"/>
        <w:gridCol w:w="1152"/>
        <w:gridCol w:w="5472"/>
      </w:tblGrid>
      <w:tr>
        <w:tc>
          <w:tcPr>
            <w:tcW w:type="dxa" w:w="1872"/>
            <w:shd w:val="clear" w:color="auto" w:fill="EAF0EE"/>
          </w:tcPr>
          <w:p>
            <w:pPr>
              <w:spacing w:after="20"/>
            </w:pPr>
            <w:r>
              <w:rPr>
                <w:b/>
                <w:color w:val="1C3A36"/>
                <w:sz w:val="13"/>
              </w:rPr>
              <w:t>Item</w:t>
            </w:r>
          </w:p>
        </w:tc>
        <w:tc>
          <w:tcPr>
            <w:tcW w:type="dxa" w:w="1584"/>
            <w:shd w:val="clear" w:color="auto" w:fill="EAF0EE"/>
          </w:tcPr>
          <w:p>
            <w:pPr>
              <w:spacing w:after="20"/>
            </w:pPr>
            <w:r>
              <w:rPr>
                <w:b/>
                <w:color w:val="1C3A36"/>
                <w:sz w:val="13"/>
              </w:rPr>
              <w:t>Value</w:t>
            </w:r>
          </w:p>
        </w:tc>
        <w:tc>
          <w:tcPr>
            <w:tcW w:type="dxa" w:w="1152"/>
            <w:shd w:val="clear" w:color="auto" w:fill="EAF0EE"/>
          </w:tcPr>
          <w:p>
            <w:pPr>
              <w:spacing w:after="20"/>
            </w:pPr>
            <w:r>
              <w:rPr>
                <w:b/>
                <w:color w:val="1C3A36"/>
                <w:sz w:val="13"/>
              </w:rPr>
              <w:t>Date</w:t>
            </w:r>
          </w:p>
        </w:tc>
        <w:tc>
          <w:tcPr>
            <w:tcW w:type="dxa" w:w="5472"/>
            <w:shd w:val="clear" w:color="auto" w:fill="EAF0EE"/>
          </w:tcPr>
          <w:p>
            <w:pPr>
              <w:spacing w:after="20"/>
            </w:pPr>
            <w:r>
              <w:rPr>
                <w:b/>
                <w:color w:val="1C3A36"/>
                <w:sz w:val="13"/>
              </w:rPr>
              <w:t>Source</w:t>
            </w:r>
          </w:p>
        </w:tc>
      </w:tr>
      <w:tr>
        <w:tc>
          <w:tcPr>
            <w:tcW w:type="dxa" w:w="1872"/>
          </w:tcPr>
          <w:p>
            <w:pPr>
              <w:spacing w:after="20"/>
            </w:pPr>
            <w:r>
              <w:rPr>
                <w:color w:val="1C3A36"/>
                <w:sz w:val="13"/>
              </w:rPr>
              <w:t>spot</w:t>
            </w:r>
          </w:p>
        </w:tc>
        <w:tc>
          <w:tcPr>
            <w:tcW w:type="dxa" w:w="1584"/>
          </w:tcPr>
          <w:p>
            <w:pPr>
              <w:spacing w:after="20"/>
              <w:jc w:val="right"/>
            </w:pPr>
            <w:r>
              <w:rPr>
                <w:color w:val="1C3A36"/>
                <w:sz w:val="13"/>
              </w:rPr>
              <w:t>52.05</w:t>
            </w:r>
          </w:p>
        </w:tc>
        <w:tc>
          <w:tcPr>
            <w:tcW w:type="dxa" w:w="1152"/>
          </w:tcPr>
          <w:p>
            <w:pPr>
              <w:spacing w:after="20"/>
              <w:jc w:val="right"/>
            </w:pPr>
            <w:r>
              <w:rPr>
                <w:color w:val="1C3A36"/>
                <w:sz w:val="13"/>
              </w:rPr>
              <w:t>2026-09-03</w:t>
            </w:r>
          </w:p>
        </w:tc>
        <w:tc>
          <w:tcPr>
            <w:tcW w:type="dxa" w:w="5472"/>
          </w:tcPr>
          <w:p>
            <w:pPr>
              <w:spacing w:after="20"/>
              <w:jc w:val="right"/>
            </w:pPr>
            <w:r>
              <w:rPr>
                <w:color w:val="1C3A36"/>
                <w:sz w:val="13"/>
              </w:rPr>
              <w:t>EGP 52.05, the close on 3 September 2026, supplied by the principal and committed to engine/prices/SUPPLIED_03-09-2026.json. THIS IS THE LATEST KNOWN PRICE and it is the one [R-GAP-01] measures against. assets/data.js still carries 54.40 at the 23 August close, which is 11 days older; a study audited against its own past is audi</w:t>
            </w:r>
          </w:p>
        </w:tc>
      </w:tr>
      <w:tr>
        <w:tc>
          <w:tcPr>
            <w:tcW w:type="dxa" w:w="1872"/>
          </w:tcPr>
          <w:p>
            <w:pPr>
              <w:spacing w:after="20"/>
            </w:pPr>
            <w:r>
              <w:rPr>
                <w:color w:val="1C3A36"/>
                <w:sz w:val="13"/>
              </w:rPr>
              <w:t>peer comi price</w:t>
            </w:r>
          </w:p>
        </w:tc>
        <w:tc>
          <w:tcPr>
            <w:tcW w:type="dxa" w:w="1584"/>
          </w:tcPr>
          <w:p>
            <w:pPr>
              <w:spacing w:after="20"/>
              <w:jc w:val="right"/>
            </w:pPr>
            <w:r>
              <w:rPr>
                <w:color w:val="1C3A36"/>
                <w:sz w:val="13"/>
              </w:rPr>
              <w:t>138.98</w:t>
            </w:r>
          </w:p>
        </w:tc>
        <w:tc>
          <w:tcPr>
            <w:tcW w:type="dxa" w:w="1152"/>
          </w:tcPr>
          <w:p>
            <w:pPr>
              <w:spacing w:after="20"/>
              <w:jc w:val="right"/>
            </w:pPr>
            <w:r>
              <w:rPr>
                <w:color w:val="1C3A36"/>
                <w:sz w:val="13"/>
              </w:rPr>
              <w:t>2026-09-03</w:t>
            </w:r>
          </w:p>
        </w:tc>
        <w:tc>
          <w:tcPr>
            <w:tcW w:type="dxa" w:w="5472"/>
          </w:tcPr>
          <w:p>
            <w:pPr>
              <w:spacing w:after="20"/>
              <w:jc w:val="right"/>
            </w:pPr>
            <w:r>
              <w:rPr>
                <w:color w:val="1C3A36"/>
                <w:sz w:val="13"/>
              </w:rPr>
              <w:t>Commercial International Bank (EGX: COMI), EGP 138.98, the close on 3 September 2026 from engine/prices/SUPPLIED_03-09-2026.json — the same file, the same date and the same supplier as ADIB's own price, so the two are struck on one day.</w:t>
            </w:r>
          </w:p>
        </w:tc>
      </w:tr>
      <w:tr>
        <w:tc>
          <w:tcPr>
            <w:tcW w:type="dxa" w:w="1872"/>
          </w:tcPr>
          <w:p>
            <w:pPr>
              <w:spacing w:after="20"/>
            </w:pPr>
            <w:r>
              <w:rPr>
                <w:color w:val="1C3A36"/>
                <w:sz w:val="13"/>
              </w:rPr>
              <w:t>beta</w:t>
            </w:r>
          </w:p>
        </w:tc>
        <w:tc>
          <w:tcPr>
            <w:tcW w:type="dxa" w:w="1584"/>
          </w:tcPr>
          <w:p>
            <w:pPr>
              <w:spacing w:after="20"/>
              <w:jc w:val="right"/>
            </w:pPr>
            <w:r>
              <w:rPr>
                <w:color w:val="1C3A36"/>
                <w:sz w:val="13"/>
              </w:rPr>
              <w:t>1.07469</w:t>
            </w:r>
          </w:p>
        </w:tc>
        <w:tc>
          <w:tcPr>
            <w:tcW w:type="dxa" w:w="1152"/>
          </w:tcPr>
          <w:p>
            <w:pPr>
              <w:spacing w:after="20"/>
              <w:jc w:val="right"/>
            </w:pPr>
            <w:r>
              <w:rPr>
                <w:color w:val="1C3A36"/>
                <w:sz w:val="13"/>
              </w:rPr>
              <w:t>2026-09-08</w:t>
            </w:r>
          </w:p>
        </w:tc>
        <w:tc>
          <w:tcPr>
            <w:tcW w:type="dxa" w:w="5472"/>
          </w:tcPr>
          <w:p>
            <w:pPr>
              <w:spacing w:after="20"/>
              <w:jc w:val="right"/>
            </w:pPr>
            <w:r>
              <w:rPr>
                <w:color w:val="1C3A36"/>
                <w:sz w:val="13"/>
              </w:rPr>
              <w:t>Own-stock first-tier weekly regression against EGX30 — THE PUBLISHED INDEX OF THE EXCHANGE THIS STOCK IS LISTED ON — resolved by beta_regression.own_stock_beta() rather than hand-rolled. Beta 1.0747, R-squared 0.248, n = 256 weekly observations over 4.94 years to 2026-08-20, standard error 0.1634, 90% confidence interval [0.806,</w:t>
            </w:r>
          </w:p>
        </w:tc>
      </w:tr>
      <w:tr>
        <w:tc>
          <w:tcPr>
            <w:tcW w:type="dxa" w:w="1872"/>
          </w:tcPr>
          <w:p>
            <w:pPr>
              <w:spacing w:after="20"/>
            </w:pPr>
            <w:r>
              <w:rPr>
                <w:color w:val="1C3A36"/>
                <w:sz w:val="13"/>
              </w:rPr>
              <w:t>rf</w:t>
            </w:r>
          </w:p>
        </w:tc>
        <w:tc>
          <w:tcPr>
            <w:tcW w:type="dxa" w:w="1584"/>
          </w:tcPr>
          <w:p>
            <w:pPr>
              <w:spacing w:after="20"/>
              <w:jc w:val="right"/>
            </w:pPr>
            <w:r>
              <w:rPr>
                <w:color w:val="1C3A36"/>
                <w:sz w:val="13"/>
              </w:rPr>
              <w:t>0.23</w:t>
            </w:r>
          </w:p>
        </w:tc>
        <w:tc>
          <w:tcPr>
            <w:tcW w:type="dxa" w:w="1152"/>
          </w:tcPr>
          <w:p>
            <w:pPr>
              <w:spacing w:after="20"/>
              <w:jc w:val="right"/>
            </w:pPr>
            <w:r>
              <w:rPr>
                <w:color w:val="1C3A36"/>
                <w:sz w:val="13"/>
              </w:rPr>
              <w:t>2026-08-06</w:t>
            </w:r>
          </w:p>
        </w:tc>
        <w:tc>
          <w:tcPr>
            <w:tcW w:type="dxa" w:w="5472"/>
          </w:tcPr>
          <w:p>
            <w:pPr>
              <w:spacing w:after="20"/>
              <w:jc w:val="right"/>
            </w:pPr>
            <w:r>
              <w:rPr>
                <w:color w:val="1C3A36"/>
                <w:sz w:val="13"/>
              </w:rPr>
              <w:t>Egypt ten-year EGP government bond yield, 23.00%, the quote of 6 August 2026 held in engine/macro_path.py and already used by the PHDC, EGCH and PHAR cost-of-capital records. IT IS 34 DAYS OLD AGAINST THIS STUDY'S PRICING DATE AND THE HOUSE PATH'S OWN 14-DAY STALENESS RULE FLAGS IT AS STALE. A live re-source was attempted on 9 S</w:t>
            </w:r>
          </w:p>
        </w:tc>
      </w:tr>
      <w:tr>
        <w:tc>
          <w:tcPr>
            <w:tcW w:type="dxa" w:w="1872"/>
          </w:tcPr>
          <w:p>
            <w:pPr>
              <w:spacing w:after="20"/>
            </w:pPr>
            <w:r>
              <w:rPr>
                <w:color w:val="1C3A36"/>
                <w:sz w:val="13"/>
              </w:rPr>
              <w:t>sov default spread</w:t>
            </w:r>
          </w:p>
        </w:tc>
        <w:tc>
          <w:tcPr>
            <w:tcW w:type="dxa" w:w="1584"/>
          </w:tcPr>
          <w:p>
            <w:pPr>
              <w:spacing w:after="20"/>
              <w:jc w:val="right"/>
            </w:pPr>
            <w:r>
              <w:rPr>
                <w:color w:val="1C3A36"/>
                <w:sz w:val="13"/>
              </w:rPr>
              <w:t>0.0342</w:t>
            </w:r>
          </w:p>
        </w:tc>
        <w:tc>
          <w:tcPr>
            <w:tcW w:type="dxa" w:w="1152"/>
          </w:tcPr>
          <w:p>
            <w:pPr>
              <w:spacing w:after="20"/>
              <w:jc w:val="right"/>
            </w:pPr>
            <w:r>
              <w:rPr>
                <w:color w:val="1C3A36"/>
                <w:sz w:val="13"/>
              </w:rPr>
              <w:t>2026-07-02</w:t>
            </w:r>
          </w:p>
        </w:tc>
        <w:tc>
          <w:tcPr>
            <w:tcW w:type="dxa" w:w="5472"/>
          </w:tcPr>
          <w:p>
            <w:pPr>
              <w:spacing w:after="20"/>
              <w:jc w:val="right"/>
            </w:pPr>
            <w:r>
              <w:rPr>
                <w:color w:val="1C3A36"/>
                <w:sz w:val="13"/>
              </w:rPr>
              <w:t>Egypt sovereign credit-default-swap spread, 3.42%, mid-year (July 2026) vintage of the country default-spread dataset, Egypt row, "Sovereign CDS net of Swiss CDS". Netted out of the local-currency risk-free rate so that sovereign default risk is charged ONCE, inside the equity risk premium, and not twice [L-004]. engine/macro_pa</w:t>
            </w:r>
          </w:p>
        </w:tc>
      </w:tr>
      <w:tr>
        <w:tc>
          <w:tcPr>
            <w:tcW w:type="dxa" w:w="1872"/>
          </w:tcPr>
          <w:p>
            <w:pPr>
              <w:spacing w:after="20"/>
            </w:pPr>
            <w:r>
              <w:rPr>
                <w:color w:val="1C3A36"/>
                <w:sz w:val="13"/>
              </w:rPr>
              <w:t>erp</w:t>
            </w:r>
          </w:p>
        </w:tc>
        <w:tc>
          <w:tcPr>
            <w:tcW w:type="dxa" w:w="1584"/>
          </w:tcPr>
          <w:p>
            <w:pPr>
              <w:spacing w:after="20"/>
              <w:jc w:val="right"/>
            </w:pPr>
            <w:r>
              <w:rPr>
                <w:color w:val="1C3A36"/>
                <w:sz w:val="13"/>
              </w:rPr>
              <w:t>0.095164</w:t>
            </w:r>
          </w:p>
        </w:tc>
        <w:tc>
          <w:tcPr>
            <w:tcW w:type="dxa" w:w="1152"/>
          </w:tcPr>
          <w:p>
            <w:pPr>
              <w:spacing w:after="20"/>
              <w:jc w:val="right"/>
            </w:pPr>
            <w:r>
              <w:rPr>
                <w:color w:val="1C3A36"/>
                <w:sz w:val="13"/>
              </w:rPr>
              <w:t>2026-07-02</w:t>
            </w:r>
          </w:p>
        </w:tc>
        <w:tc>
          <w:tcPr>
            <w:tcW w:type="dxa" w:w="5472"/>
          </w:tcPr>
          <w:p>
            <w:pPr>
              <w:spacing w:after="20"/>
              <w:jc w:val="right"/>
            </w:pPr>
            <w:r>
              <w:rPr>
                <w:color w:val="1C3A36"/>
                <w:sz w:val="13"/>
              </w:rPr>
              <w:t>Egypt TOTAL equity risk premium on the sovereign-CDS basis, 9.5164%, same mid-year vintage. This is the dataset's TOTAL premium column, not its country premium column — the total is what multiplies beta. The country risk premium alone on this basis is 5.3164% and is NOT added on top.</w:t>
            </w:r>
          </w:p>
        </w:tc>
      </w:tr>
      <w:tr>
        <w:tc>
          <w:tcPr>
            <w:tcW w:type="dxa" w:w="1872"/>
          </w:tcPr>
          <w:p>
            <w:pPr>
              <w:spacing w:after="20"/>
            </w:pPr>
            <w:r>
              <w:rPr>
                <w:color w:val="1C3A36"/>
                <w:sz w:val="13"/>
              </w:rPr>
              <w:t>rf terminal</w:t>
            </w:r>
          </w:p>
        </w:tc>
        <w:tc>
          <w:tcPr>
            <w:tcW w:type="dxa" w:w="1584"/>
          </w:tcPr>
          <w:p>
            <w:pPr>
              <w:spacing w:after="20"/>
              <w:jc w:val="right"/>
            </w:pPr>
            <w:r>
              <w:rPr>
                <w:color w:val="1C3A36"/>
                <w:sz w:val="13"/>
              </w:rPr>
              <w:t>0.125</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risk-free rate, DERIVED and never quoted: terminal inflation of 7.00% (the CBE target-band midpoint in force) plus the 5.50% emerging-market terminal real convention. It cannot disagree with the inflation the rest of the model runs on because it is computed from it.</w:t>
            </w:r>
          </w:p>
        </w:tc>
      </w:tr>
      <w:tr>
        <w:tc>
          <w:tcPr>
            <w:tcW w:type="dxa" w:w="1872"/>
          </w:tcPr>
          <w:p>
            <w:pPr>
              <w:spacing w:after="20"/>
            </w:pPr>
            <w:r>
              <w:rPr>
                <w:color w:val="1C3A36"/>
                <w:sz w:val="13"/>
              </w:rPr>
              <w:t>erp terminal</w:t>
            </w:r>
          </w:p>
        </w:tc>
        <w:tc>
          <w:tcPr>
            <w:tcW w:type="dxa" w:w="1584"/>
          </w:tcPr>
          <w:p>
            <w:pPr>
              <w:spacing w:after="20"/>
              <w:jc w:val="right"/>
            </w:pPr>
            <w:r>
              <w:rPr>
                <w:color w:val="1C3A36"/>
                <w:sz w:val="13"/>
              </w:rPr>
              <w:t>0.07</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equity risk premium, 7.00%, normalised below today's crisis-era level toward the rating-class norm; never held flat into perpetuity.</w:t>
            </w:r>
          </w:p>
        </w:tc>
      </w:tr>
      <w:tr>
        <w:tc>
          <w:tcPr>
            <w:tcW w:type="dxa" w:w="1872"/>
          </w:tcPr>
          <w:p>
            <w:pPr>
              <w:spacing w:after="20"/>
            </w:pPr>
            <w:r>
              <w:rPr>
                <w:color w:val="1C3A36"/>
                <w:sz w:val="13"/>
              </w:rPr>
              <w:t>terminal growth</w:t>
            </w:r>
          </w:p>
        </w:tc>
        <w:tc>
          <w:tcPr>
            <w:tcW w:type="dxa" w:w="1584"/>
          </w:tcPr>
          <w:p>
            <w:pPr>
              <w:spacing w:after="20"/>
              <w:jc w:val="right"/>
            </w:pPr>
            <w:r>
              <w:rPr>
                <w:color w:val="1C3A36"/>
                <w:sz w:val="13"/>
              </w:rPr>
              <w:t>0.07</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Terminal growth 7.00% = terminal inflation, ZERO REAL. For a bank in an economy whose private credit is 26% of GDP that is deliberately conservative: it assumes ADIB-Egypt stops taking share and stops participating in credit deepening the moment the explicit window closes. It sits BELOW the 12.50% terminal risk-free rate and equ</w:t>
            </w:r>
          </w:p>
        </w:tc>
      </w:tr>
      <w:tr>
        <w:tc>
          <w:tcPr>
            <w:tcW w:type="dxa" w:w="1872"/>
          </w:tcPr>
          <w:p>
            <w:pPr>
              <w:spacing w:after="20"/>
            </w:pPr>
            <w:r>
              <w:rPr>
                <w:color w:val="1C3A36"/>
                <w:sz w:val="13"/>
              </w:rPr>
              <w:t>inflation path</w:t>
            </w:r>
          </w:p>
        </w:tc>
        <w:tc>
          <w:tcPr>
            <w:tcW w:type="dxa" w:w="1584"/>
          </w:tcPr>
          <w:p>
            <w:pPr>
              <w:spacing w:after="20"/>
              <w:jc w:val="right"/>
            </w:pPr>
            <w:r>
              <w:rPr>
                <w:color w:val="1C3A36"/>
                <w:sz w:val="13"/>
              </w:rPr>
              <w:t>0.16 / 0.12 / 0.09 / 0.075 /</w:t>
            </w:r>
          </w:p>
        </w:tc>
        <w:tc>
          <w:tcPr>
            <w:tcW w:type="dxa" w:w="1152"/>
          </w:tcPr>
          <w:p>
            <w:pPr>
              <w:spacing w:after="20"/>
              <w:jc w:val="right"/>
            </w:pPr>
            <w:r>
              <w:rPr>
                <w:color w:val="1C3A36"/>
                <w:sz w:val="13"/>
              </w:rPr>
              <w:t>2026-09-02</w:t>
            </w:r>
          </w:p>
        </w:tc>
        <w:tc>
          <w:tcPr>
            <w:tcW w:type="dxa" w:w="5472"/>
          </w:tcPr>
          <w:p>
            <w:pPr>
              <w:spacing w:after="20"/>
              <w:jc w:val="right"/>
            </w:pPr>
            <w:r>
              <w:rPr>
                <w:color w:val="1C3A36"/>
                <w:sz w:val="13"/>
              </w:rPr>
              <w:t>Central Bank of Egypt baseline average annual headline inflation, 16.0% in 2026 and 12.0% in 2027 (Q1-2026 Monetary Policy Report as reported 11 May 2026); 2028-2030 interpolated on the bank's own glide between the published 2027 baseline and the 7% target-band midpoint, labelled as interpolation and never presented as a central</w:t>
            </w:r>
          </w:p>
        </w:tc>
      </w:tr>
      <w:tr>
        <w:tc>
          <w:tcPr>
            <w:tcW w:type="dxa" w:w="1872"/>
          </w:tcPr>
          <w:p>
            <w:pPr>
              <w:spacing w:after="20"/>
            </w:pPr>
            <w:r>
              <w:rPr>
                <w:color w:val="1C3A36"/>
                <w:sz w:val="13"/>
              </w:rPr>
              <w:t>policy rate path</w:t>
            </w:r>
          </w:p>
        </w:tc>
        <w:tc>
          <w:tcPr>
            <w:tcW w:type="dxa" w:w="1584"/>
          </w:tcPr>
          <w:p>
            <w:pPr>
              <w:spacing w:after="20"/>
              <w:jc w:val="right"/>
            </w:pPr>
            <w:r>
              <w:rPr>
                <w:color w:val="1C3A36"/>
                <w:sz w:val="13"/>
              </w:rPr>
              <w:t xml:space="preserve">0.19 / 0.165 / 0.145 / 0.13 </w:t>
            </w:r>
          </w:p>
        </w:tc>
        <w:tc>
          <w:tcPr>
            <w:tcW w:type="dxa" w:w="1152"/>
          </w:tcPr>
          <w:p>
            <w:pPr>
              <w:spacing w:after="20"/>
              <w:jc w:val="right"/>
            </w:pPr>
            <w:r>
              <w:rPr>
                <w:color w:val="1C3A36"/>
                <w:sz w:val="13"/>
              </w:rPr>
              <w:t>2026-08-20</w:t>
            </w:r>
          </w:p>
        </w:tc>
        <w:tc>
          <w:tcPr>
            <w:tcW w:type="dxa" w:w="5472"/>
          </w:tcPr>
          <w:p>
            <w:pPr>
              <w:spacing w:after="20"/>
              <w:jc w:val="right"/>
            </w:pPr>
            <w:r>
              <w:rPr>
                <w:color w:val="1C3A36"/>
                <w:sz w:val="13"/>
              </w:rPr>
              <w:t>Overnight deposit rate 19.00% now, gliding 19.00 -&gt; 16.50 -&gt; 14.50 -&gt; 13.00 -&gt; 12.00 with the published inflation path at an approximately constant real policy rate. Held for a fourth consecutive meeting on 20 August 2026. This is the SHAPE input for the asset-yield and cost-of-funds paths below; it is not a second free paramete</w:t>
            </w:r>
          </w:p>
        </w:tc>
      </w:tr>
    </w:tbl>
    <w:p>
      <w:pPr>
        <w:spacing w:after="40"/>
      </w:pPr>
    </w:p>
    <w:p>
      <w:pPr>
        <w:spacing w:after="200" w:before="0"/>
      </w:pPr>
      <w:r>
        <w:rPr>
          <w:b w:val="0"/>
          <w:i/>
          <w:color w:val="6E7B77"/>
          <w:sz w:val="17"/>
        </w:rPr>
        <w:t>Table 6 — market and macro inputs. These are the only figures in this study that are not the company's own disclosure.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