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4.85 per share on the base framing and AED 5.40 with the joint-venture network capitalised — against a market price of AED 4.97. </w:t>
      </w:r>
      <w:r>
        <w:rPr>
          <w:b w:val="0"/>
          <w:i w:val="0"/>
          <w:color w:val="1C3A36"/>
          <w:sz w:val="21"/>
        </w:rPr>
        <w:t>The market is paying about +2% above the base fundamental central (equivalently, the central sits -2%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4.97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Role</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(the central) · terminal value 96% of EV</w:t>
            </w:r>
          </w:p>
        </w:tc>
        <w:tc>
          <w:tcPr>
            <w:tcW w:type="dxa" w:w="1080"/>
          </w:tcPr>
          <w:p>
            <w:pPr>
              <w:spacing w:after="20"/>
              <w:jc w:val="right"/>
            </w:pPr>
            <w:r>
              <w:rPr>
                <w:color w:val="1C3A36"/>
                <w:sz w:val="18"/>
              </w:rPr>
              <w:t>1.12</w:t>
            </w:r>
          </w:p>
        </w:tc>
        <w:tc>
          <w:tcPr>
            <w:tcW w:type="dxa" w:w="1080"/>
          </w:tcPr>
          <w:p>
            <w:pPr>
              <w:spacing w:after="20"/>
              <w:jc w:val="right"/>
            </w:pPr>
            <w:r>
              <w:rPr>
                <w:color w:val="1C3A36"/>
                <w:sz w:val="18"/>
              </w:rPr>
              <w:t>4.85</w:t>
            </w:r>
          </w:p>
        </w:tc>
        <w:tc>
          <w:tcPr>
            <w:tcW w:type="dxa" w:w="1080"/>
          </w:tcPr>
          <w:p>
            <w:pPr>
              <w:spacing w:after="20"/>
              <w:jc w:val="right"/>
            </w:pPr>
            <w:r>
              <w:rPr>
                <w:color w:val="1C3A36"/>
                <w:sz w:val="18"/>
              </w:rPr>
              <w:t>7.04</w:t>
            </w:r>
          </w:p>
        </w:tc>
        <w:tc>
          <w:tcPr>
            <w:tcW w:type="dxa" w:w="1080"/>
          </w:tcPr>
          <w:p>
            <w:pPr>
              <w:spacing w:after="20"/>
              <w:jc w:val="right"/>
            </w:pPr>
            <w:r>
              <w:rPr>
                <w:color w:val="1C3A36"/>
                <w:sz w:val="18"/>
              </w:rPr>
              <w:t>THE CENTRAL</w:t>
            </w:r>
          </w:p>
        </w:tc>
        <w:tc>
          <w:tcPr>
            <w:tcW w:type="dxa" w:w="1224"/>
          </w:tcPr>
          <w:p>
            <w:pPr>
              <w:spacing w:after="20"/>
              <w:jc w:val="right"/>
            </w:pPr>
            <w:r>
              <w:rPr>
                <w:color w:val="1C3A36"/>
                <w:sz w:val="18"/>
              </w:rPr>
              <w:t>-2%</w:t>
            </w:r>
          </w:p>
        </w:tc>
      </w:tr>
      <w:tr>
        <w:tc>
          <w:tcPr>
            <w:tcW w:type="dxa" w:w="3816"/>
          </w:tcPr>
          <w:p>
            <w:pPr>
              <w:spacing w:after="20"/>
            </w:pPr>
            <w:r>
              <w:rPr>
                <w:color w:val="1C3A36"/>
                <w:sz w:val="18"/>
              </w:rPr>
              <w:t>Relative multiples (cross-check)</w:t>
            </w:r>
          </w:p>
        </w:tc>
        <w:tc>
          <w:tcPr>
            <w:tcW w:type="dxa" w:w="1080"/>
          </w:tcPr>
          <w:p>
            <w:pPr>
              <w:spacing w:after="20"/>
              <w:jc w:val="right"/>
            </w:pPr>
            <w:r>
              <w:rPr>
                <w:color w:val="1C3A36"/>
                <w:sz w:val="18"/>
              </w:rPr>
              <w:t>3.21</w:t>
            </w:r>
          </w:p>
        </w:tc>
        <w:tc>
          <w:tcPr>
            <w:tcW w:type="dxa" w:w="1080"/>
          </w:tcPr>
          <w:p>
            <w:pPr>
              <w:spacing w:after="20"/>
              <w:jc w:val="right"/>
            </w:pPr>
            <w:r>
              <w:rPr>
                <w:color w:val="1C3A36"/>
                <w:sz w:val="18"/>
              </w:rPr>
              <w:t>3.81</w:t>
            </w:r>
          </w:p>
        </w:tc>
        <w:tc>
          <w:tcPr>
            <w:tcW w:type="dxa" w:w="1080"/>
          </w:tcPr>
          <w:p>
            <w:pPr>
              <w:spacing w:after="20"/>
              <w:jc w:val="right"/>
            </w:pPr>
            <w:r>
              <w:rPr>
                <w:color w:val="1C3A36"/>
                <w:sz w:val="18"/>
              </w:rPr>
              <w:t>4.41</w:t>
            </w:r>
          </w:p>
        </w:tc>
        <w:tc>
          <w:tcPr>
            <w:tcW w:type="dxa" w:w="1080"/>
          </w:tcPr>
          <w:p>
            <w:pPr>
              <w:spacing w:after="20"/>
              <w:jc w:val="right"/>
            </w:pPr>
            <w:r>
              <w:rPr>
                <w:color w:val="1C3A36"/>
                <w:sz w:val="18"/>
              </w:rPr>
              <w:t>cross-check</w:t>
            </w:r>
          </w:p>
        </w:tc>
        <w:tc>
          <w:tcPr>
            <w:tcW w:type="dxa" w:w="1224"/>
          </w:tcPr>
          <w:p>
            <w:pPr>
              <w:spacing w:after="20"/>
              <w:jc w:val="right"/>
            </w:pPr>
            <w:r>
              <w:rPr>
                <w:color w:val="1C3A36"/>
                <w:sz w:val="18"/>
              </w:rPr>
              <w:t>-23%</w:t>
            </w:r>
          </w:p>
        </w:tc>
      </w:tr>
      <w:tr>
        <w:tc>
          <w:tcPr>
            <w:tcW w:type="dxa" w:w="3816"/>
          </w:tcPr>
          <w:p>
            <w:pPr>
              <w:spacing w:after="20"/>
            </w:pPr>
            <w:r>
              <w:rPr>
                <w:color w:val="1C3A36"/>
                <w:sz w:val="18"/>
              </w:rPr>
              <w:t>Book value and sustainable return (cross-check, a floor)</w:t>
            </w:r>
          </w:p>
        </w:tc>
        <w:tc>
          <w:tcPr>
            <w:tcW w:type="dxa" w:w="1080"/>
          </w:tcPr>
          <w:p>
            <w:pPr>
              <w:spacing w:after="20"/>
              <w:jc w:val="right"/>
            </w:pPr>
            <w:r>
              <w:rPr>
                <w:color w:val="1C3A36"/>
                <w:sz w:val="18"/>
              </w:rPr>
              <w:t>3.86</w:t>
            </w:r>
          </w:p>
        </w:tc>
        <w:tc>
          <w:tcPr>
            <w:tcW w:type="dxa" w:w="1080"/>
          </w:tcPr>
          <w:p>
            <w:pPr>
              <w:spacing w:after="20"/>
              <w:jc w:val="right"/>
            </w:pPr>
            <w:r>
              <w:rPr>
                <w:color w:val="1C3A36"/>
                <w:sz w:val="18"/>
              </w:rPr>
              <w:t>5.20</w:t>
            </w:r>
          </w:p>
        </w:tc>
        <w:tc>
          <w:tcPr>
            <w:tcW w:type="dxa" w:w="1080"/>
          </w:tcPr>
          <w:p>
            <w:pPr>
              <w:spacing w:after="20"/>
              <w:jc w:val="right"/>
            </w:pPr>
            <w:r>
              <w:rPr>
                <w:color w:val="1C3A36"/>
                <w:sz w:val="18"/>
              </w:rPr>
              <w:t>5.91</w:t>
            </w:r>
          </w:p>
        </w:tc>
        <w:tc>
          <w:tcPr>
            <w:tcW w:type="dxa" w:w="1080"/>
          </w:tcPr>
          <w:p>
            <w:pPr>
              <w:spacing w:after="20"/>
              <w:jc w:val="right"/>
            </w:pPr>
            <w:r>
              <w:rPr>
                <w:color w:val="1C3A36"/>
                <w:sz w:val="18"/>
              </w:rPr>
              <w:t>cross-check</w:t>
            </w:r>
          </w:p>
        </w:tc>
        <w:tc>
          <w:tcPr>
            <w:tcW w:type="dxa" w:w="1224"/>
          </w:tcPr>
          <w:p>
            <w:pPr>
              <w:spacing w:after="20"/>
              <w:jc w:val="right"/>
            </w:pPr>
            <w:r>
              <w:rPr>
                <w:color w:val="1C3A36"/>
                <w:sz w:val="18"/>
              </w:rPr>
              <w:t>+5%</w:t>
            </w:r>
          </w:p>
        </w:tc>
      </w:tr>
      <w:tr>
        <w:tc>
          <w:tcPr>
            <w:tcW w:type="dxa" w:w="3816"/>
            <w:shd w:val="clear" w:color="auto" w:fill="F6F1E6"/>
          </w:tcPr>
          <w:p>
            <w:pPr>
              <w:spacing w:after="20"/>
            </w:pPr>
            <w:r>
              <w:rPr>
                <w:b/>
                <w:color w:val="1C3A36"/>
                <w:sz w:val="18"/>
              </w:rPr>
              <w:t>Central — the cash-flow lens, with the envelope its own bear and bull</w:t>
            </w:r>
          </w:p>
        </w:tc>
        <w:tc>
          <w:tcPr>
            <w:tcW w:type="dxa" w:w="1080"/>
            <w:shd w:val="clear" w:color="auto" w:fill="F6F1E6"/>
          </w:tcPr>
          <w:p>
            <w:pPr>
              <w:spacing w:after="20"/>
              <w:jc w:val="right"/>
            </w:pPr>
            <w:r>
              <w:rPr>
                <w:b/>
                <w:color w:val="1C3A36"/>
                <w:sz w:val="18"/>
              </w:rPr>
              <w:t>1.12</w:t>
            </w:r>
          </w:p>
        </w:tc>
        <w:tc>
          <w:tcPr>
            <w:tcW w:type="dxa" w:w="1080"/>
            <w:shd w:val="clear" w:color="auto" w:fill="F6F1E6"/>
          </w:tcPr>
          <w:p>
            <w:pPr>
              <w:spacing w:after="20"/>
              <w:jc w:val="right"/>
            </w:pPr>
            <w:r>
              <w:rPr>
                <w:b/>
                <w:color w:val="1C3A36"/>
                <w:sz w:val="18"/>
              </w:rPr>
              <w:t>4.85</w:t>
            </w:r>
          </w:p>
        </w:tc>
        <w:tc>
          <w:tcPr>
            <w:tcW w:type="dxa" w:w="1080"/>
            <w:shd w:val="clear" w:color="auto" w:fill="F6F1E6"/>
          </w:tcPr>
          <w:p>
            <w:pPr>
              <w:spacing w:after="20"/>
              <w:jc w:val="right"/>
            </w:pPr>
            <w:r>
              <w:rPr>
                <w:b/>
                <w:color w:val="1C3A36"/>
                <w:sz w:val="18"/>
              </w:rPr>
              <w:t>7.04</w:t>
            </w:r>
          </w:p>
        </w:tc>
        <w:tc>
          <w:tcPr>
            <w:tcW w:type="dxa" w:w="1080"/>
            <w:shd w:val="clear" w:color="auto" w:fill="F6F1E6"/>
          </w:tcPr>
          <w:p>
            <w:pPr>
              <w:spacing w:after="20"/>
              <w:jc w:val="right"/>
            </w:pPr>
            <w:r>
              <w:rPr>
                <w:b/>
                <w:color w:val="1C3A36"/>
                <w:sz w:val="18"/>
              </w:rPr>
              <w:t>unweighted</w:t>
            </w:r>
          </w:p>
        </w:tc>
        <w:tc>
          <w:tcPr>
            <w:tcW w:type="dxa" w:w="1224"/>
            <w:shd w:val="clear" w:color="auto" w:fill="F6F1E6"/>
          </w:tcPr>
          <w:p>
            <w:pPr>
              <w:spacing w:after="20"/>
              <w:jc w:val="right"/>
            </w:pPr>
            <w:r>
              <w:rPr>
                <w:b/>
                <w:color w:val="1C3A36"/>
                <w:sz w:val="18"/>
              </w:rPr>
              <w:t>-2%</w:t>
            </w:r>
          </w:p>
        </w:tc>
      </w:tr>
      <w:tr>
        <w:tc>
          <w:tcPr>
            <w:tcW w:type="dxa" w:w="3816"/>
          </w:tcPr>
          <w:p>
            <w:pPr>
              <w:spacing w:after="20"/>
            </w:pPr>
            <w:r>
              <w:rPr>
                <w:color w:val="1C3A36"/>
                <w:sz w:val="18"/>
              </w:rPr>
              <w:t>Normalised earnings power — computed and excluded, not a permitted lens for an airline: its reported earnings in any one year are an accident of the fuel curve, the delivery schedule and the load factor, so normalising them normalises a cycle rather than a level</w:t>
            </w:r>
          </w:p>
        </w:tc>
        <w:tc>
          <w:tcPr>
            <w:tcW w:type="dxa" w:w="1080"/>
          </w:tcPr>
          <w:p>
            <w:pPr>
              <w:spacing w:after="20"/>
              <w:jc w:val="right"/>
            </w:pPr>
            <w:r>
              <w:rPr>
                <w:color w:val="1C3A36"/>
                <w:sz w:val="18"/>
              </w:rPr>
              <w:t>2.60</w:t>
            </w:r>
          </w:p>
        </w:tc>
        <w:tc>
          <w:tcPr>
            <w:tcW w:type="dxa" w:w="1080"/>
          </w:tcPr>
          <w:p>
            <w:pPr>
              <w:spacing w:after="20"/>
              <w:jc w:val="right"/>
            </w:pPr>
            <w:r>
              <w:rPr>
                <w:color w:val="1C3A36"/>
                <w:sz w:val="18"/>
              </w:rPr>
              <w:t>3.45</w:t>
            </w:r>
          </w:p>
        </w:tc>
        <w:tc>
          <w:tcPr>
            <w:tcW w:type="dxa" w:w="1080"/>
          </w:tcPr>
          <w:p>
            <w:pPr>
              <w:spacing w:after="20"/>
              <w:jc w:val="right"/>
            </w:pPr>
            <w:r>
              <w:rPr>
                <w:color w:val="1C3A36"/>
                <w:sz w:val="18"/>
              </w:rPr>
              <w:t>4.30</w:t>
            </w:r>
          </w:p>
        </w:tc>
        <w:tc>
          <w:tcPr>
            <w:tcW w:type="dxa" w:w="1080"/>
          </w:tcPr>
          <w:p>
            <w:pPr>
              <w:spacing w:after="20"/>
              <w:jc w:val="right"/>
            </w:pPr>
            <w:r>
              <w:rPr>
                <w:color w:val="1C3A36"/>
                <w:sz w:val="18"/>
              </w:rPr>
              <w:t>excluded</w:t>
            </w:r>
          </w:p>
        </w:tc>
        <w:tc>
          <w:tcPr>
            <w:tcW w:type="dxa" w:w="1224"/>
          </w:tcPr>
          <w:p>
            <w:pPr>
              <w:spacing w:after="20"/>
              <w:jc w:val="right"/>
            </w:pPr>
            <w:r>
              <w:rPr>
                <w:color w:val="1C3A36"/>
                <w:sz w:val="18"/>
              </w:rPr>
              <w:t>-31%</w:t>
            </w:r>
          </w:p>
        </w:tc>
      </w:tr>
      <w:tr>
        <w:tc>
          <w:tcPr>
            <w:tcW w:type="dxa" w:w="3816"/>
          </w:tcPr>
          <w:p>
            <w:pPr>
              <w:spacing w:after="20"/>
            </w:pPr>
            <w:r>
              <w:rPr>
                <w:color w:val="1C3A36"/>
                <w:sz w:val="18"/>
              </w:rPr>
              <w:t>Memo — the retired weighted blend this edition replaced</w:t>
            </w:r>
          </w:p>
        </w:tc>
        <w:tc>
          <w:tcPr>
            <w:tcW w:type="dxa" w:w="1080"/>
          </w:tcPr>
          <w:p>
            <w:pPr>
              <w:spacing w:after="20"/>
              <w:jc w:val="right"/>
            </w:pPr>
            <w:r>
              <w:rPr>
                <w:color w:val="1C3A36"/>
                <w:sz w:val="18"/>
              </w:rPr>
              <w:t>—</w:t>
            </w:r>
          </w:p>
        </w:tc>
        <w:tc>
          <w:tcPr>
            <w:tcW w:type="dxa" w:w="1080"/>
          </w:tcPr>
          <w:p>
            <w:pPr>
              <w:spacing w:after="20"/>
              <w:jc w:val="right"/>
            </w:pPr>
            <w:r>
              <w:rPr>
                <w:color w:val="1C3A36"/>
                <w:sz w:val="18"/>
              </w:rPr>
              <w:t>4.42</w:t>
            </w:r>
          </w:p>
        </w:tc>
        <w:tc>
          <w:tcPr>
            <w:tcW w:type="dxa" w:w="1080"/>
          </w:tcPr>
          <w:p>
            <w:pPr>
              <w:spacing w:after="20"/>
              <w:jc w:val="right"/>
            </w:pPr>
            <w:r>
              <w:rPr>
                <w:color w:val="1C3A36"/>
                <w:sz w:val="18"/>
              </w:rPr>
              <w:t>—</w:t>
            </w:r>
          </w:p>
        </w:tc>
        <w:tc>
          <w:tcPr>
            <w:tcW w:type="dxa" w:w="1080"/>
          </w:tcPr>
          <w:p>
            <w:pPr>
              <w:spacing w:after="20"/>
              <w:jc w:val="right"/>
            </w:pPr>
            <w:r>
              <w:rPr>
                <w:color w:val="1C3A36"/>
                <w:sz w:val="18"/>
              </w:rPr>
              <w:t>retired</w:t>
            </w:r>
          </w:p>
        </w:tc>
        <w:tc>
          <w:tcPr>
            <w:tcW w:type="dxa" w:w="1224"/>
          </w:tcPr>
          <w:p>
            <w:pPr>
              <w:spacing w:after="20"/>
              <w:jc w:val="right"/>
            </w:pPr>
            <w:r>
              <w:rPr>
                <w:color w:val="1C3A36"/>
                <w:sz w:val="18"/>
              </w:rPr>
              <w:t>-11%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5.40</w:t>
            </w:r>
          </w:p>
        </w:tc>
        <w:tc>
          <w:tcPr>
            <w:tcW w:type="dxa" w:w="1440"/>
          </w:tcPr>
          <w:p>
            <w:pPr>
              <w:spacing w:after="20"/>
              <w:jc w:val="right"/>
            </w:pPr>
            <w:r>
              <w:rPr>
                <w:color w:val="1C3A36"/>
                <w:sz w:val="18"/>
              </w:rPr>
              <w:t>+9%</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2.75</w:t>
            </w:r>
          </w:p>
        </w:tc>
        <w:tc>
          <w:tcPr>
            <w:tcW w:type="dxa" w:w="1440"/>
          </w:tcPr>
          <w:p>
            <w:pPr>
              <w:spacing w:after="20"/>
              <w:jc w:val="right"/>
            </w:pPr>
            <w:r>
              <w:rPr>
                <w:color w:val="1C3A36"/>
                <w:sz w:val="18"/>
              </w:rPr>
              <w:t>-45%</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4.12</w:t>
            </w:r>
          </w:p>
        </w:tc>
        <w:tc>
          <w:tcPr>
            <w:tcW w:type="dxa" w:w="1440"/>
          </w:tcPr>
          <w:p>
            <w:pPr>
              <w:spacing w:after="20"/>
              <w:jc w:val="right"/>
            </w:pPr>
            <w:r>
              <w:rPr>
                <w:color w:val="1C3A36"/>
                <w:sz w:val="18"/>
              </w:rPr>
              <w:t>-17%</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4.97</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96%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depreciation &amp; amortisation added back</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change in working capital — a release adds, a build subtracts</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0.9260</w:t>
            </w:r>
          </w:p>
        </w:tc>
        <w:tc>
          <w:tcPr>
            <w:tcW w:type="dxa" w:w="1282"/>
          </w:tcPr>
          <w:p>
            <w:pPr>
              <w:spacing w:after="20"/>
              <w:jc w:val="right"/>
            </w:pPr>
            <w:r>
              <w:rPr>
                <w:color w:val="1C3A36"/>
                <w:sz w:val="18"/>
              </w:rPr>
              <w:t>0.8594</w:t>
            </w:r>
          </w:p>
        </w:tc>
        <w:tc>
          <w:tcPr>
            <w:tcW w:type="dxa" w:w="1282"/>
          </w:tcPr>
          <w:p>
            <w:pPr>
              <w:spacing w:after="20"/>
              <w:jc w:val="right"/>
            </w:pPr>
            <w:r>
              <w:rPr>
                <w:color w:val="1C3A36"/>
                <w:sz w:val="18"/>
              </w:rPr>
              <w:t>0.7985</w:t>
            </w:r>
          </w:p>
        </w:tc>
        <w:tc>
          <w:tcPr>
            <w:tcW w:type="dxa" w:w="1282"/>
          </w:tcPr>
          <w:p>
            <w:pPr>
              <w:spacing w:after="20"/>
              <w:jc w:val="right"/>
            </w:pPr>
            <w:r>
              <w:rPr>
                <w:color w:val="1C3A36"/>
                <w:sz w:val="18"/>
              </w:rPr>
              <w:t>0.7428</w:t>
            </w:r>
          </w:p>
        </w:tc>
        <w:tc>
          <w:tcPr>
            <w:tcW w:type="dxa" w:w="1282"/>
          </w:tcPr>
          <w:p>
            <w:pPr>
              <w:spacing w:after="20"/>
              <w:jc w:val="right"/>
            </w:pPr>
            <w:r>
              <w:rPr>
                <w:color w:val="1C3A36"/>
                <w:sz w:val="18"/>
              </w:rPr>
              <w:t>0.6910</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-577</w:t>
            </w:r>
          </w:p>
        </w:tc>
        <w:tc>
          <w:tcPr>
            <w:tcW w:type="dxa" w:w="1282"/>
            <w:shd w:val="clear" w:color="auto" w:fill="F6F1E6"/>
          </w:tcPr>
          <w:p>
            <w:pPr>
              <w:spacing w:after="20"/>
              <w:jc w:val="right"/>
            </w:pPr>
            <w:r>
              <w:rPr>
                <w:b/>
                <w:color w:val="1C3A36"/>
                <w:sz w:val="18"/>
              </w:rPr>
              <w:t>161</w:t>
            </w:r>
          </w:p>
        </w:tc>
        <w:tc>
          <w:tcPr>
            <w:tcW w:type="dxa" w:w="1282"/>
            <w:shd w:val="clear" w:color="auto" w:fill="F6F1E6"/>
          </w:tcPr>
          <w:p>
            <w:pPr>
              <w:spacing w:after="20"/>
              <w:jc w:val="right"/>
            </w:pPr>
            <w:r>
              <w:rPr>
                <w:b/>
                <w:color w:val="1C3A36"/>
                <w:sz w:val="18"/>
              </w:rPr>
              <w:t>365</w:t>
            </w:r>
          </w:p>
        </w:tc>
        <w:tc>
          <w:tcPr>
            <w:tcW w:type="dxa" w:w="1282"/>
            <w:shd w:val="clear" w:color="auto" w:fill="F6F1E6"/>
          </w:tcPr>
          <w:p>
            <w:pPr>
              <w:spacing w:after="20"/>
              <w:jc w:val="right"/>
            </w:pPr>
            <w:r>
              <w:rPr>
                <w:b/>
                <w:color w:val="1C3A36"/>
                <w:sz w:val="18"/>
              </w:rPr>
              <w:t>413</w:t>
            </w:r>
          </w:p>
        </w:tc>
        <w:tc>
          <w:tcPr>
            <w:tcW w:type="dxa" w:w="1282"/>
            <w:shd w:val="clear" w:color="auto" w:fill="F6F1E6"/>
          </w:tcPr>
          <w:p>
            <w:pPr>
              <w:spacing w:after="20"/>
              <w:jc w:val="right"/>
            </w:pPr>
            <w:r>
              <w:rPr>
                <w:b/>
                <w:color w:val="1C3A36"/>
                <w:sz w:val="18"/>
              </w:rPr>
              <w:t>439</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801</w:t>
            </w:r>
          </w:p>
        </w:tc>
      </w:tr>
      <w:tr>
        <w:tc>
          <w:tcPr>
            <w:tcW w:type="dxa" w:w="7632"/>
          </w:tcPr>
          <w:p>
            <w:pPr>
              <w:spacing w:after="20"/>
            </w:pPr>
            <w:r>
              <w:rPr>
                <w:color w:val="1C3A36"/>
                <w:sz w:val="18"/>
              </w:rPr>
              <w:t>PV of terminal value (growth 2.5%, terminal cost of capital 7.50%, reinvestment = g / return on capital = 17.5%)</w:t>
            </w:r>
          </w:p>
        </w:tc>
        <w:tc>
          <w:tcPr>
            <w:tcW w:type="dxa" w:w="1728"/>
          </w:tcPr>
          <w:p>
            <w:pPr>
              <w:spacing w:after="20"/>
              <w:jc w:val="right"/>
            </w:pPr>
            <w:r>
              <w:rPr>
                <w:color w:val="1C3A36"/>
                <w:sz w:val="18"/>
              </w:rPr>
              <w:t>18,221</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19,022</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96%</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22,871</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4.85</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5.40</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(7.86% − 2.5%) = 2.89× values the share at AED 5.20 at the anchor (bear 3.86 / bull 5.91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3,912mn), discounted and passed through the same bridge, the share is worth AED 3.81 (bear 3.21 at 5.0×, bull 4.41 at 8.0×). For context, the market currently pays 11.0× trailing EV/EBITDA ex-fees (9.9× including them — both bases published) and 14.2×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3.45 (bear 2.60 at 10×, bull 4.30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5.65 and at 107.5% it is AED 4.05 — about AED 0.80 per share for each 7.5% move in the fuel line (roughly AED 13 per passenger). Priced BOTH ways as full paths: base (official-curve relief) AED 4.85; association-assumption held high, AED 2.75.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 — adopted</w:t>
            </w:r>
          </w:p>
        </w:tc>
        <w:tc>
          <w:tcPr>
            <w:tcW w:type="dxa" w:w="1296"/>
          </w:tcPr>
          <w:p>
            <w:pPr>
              <w:spacing w:after="20"/>
              <w:jc w:val="right"/>
            </w:pPr>
            <w:r>
              <w:rPr>
                <w:color w:val="1C3A36"/>
                <w:sz w:val="17"/>
              </w:rPr>
              <w:t>0.812</w:t>
            </w:r>
          </w:p>
        </w:tc>
        <w:tc>
          <w:tcPr>
            <w:tcW w:type="dxa" w:w="5832"/>
          </w:tcPr>
          <w:p>
            <w:pPr>
              <w:spacing w:after="20"/>
              <w:jc w:val="right"/>
            </w:pPr>
            <w:r>
              <w:rPr>
                <w:color w:val="1C3A36"/>
                <w:sz w:val="17"/>
              </w:rPr>
              <w:t>own-stock five-year weekly regression against the published index of the exchange this share is listed on: R² 0.13, 260 weeks, standard error 0.128, 90% interval 0.60–1.02. The listing is a primary-source fact rather than an inference from the head office (the company is Sharjah-domiciled and its own investment portfolio holds securities listed on both UAE exchanges): the 2025 statements note 1, the 2025 annual report and the Q1-2026 interim note 1 all state the ordinary shares are listed on the Dubai Financial Market. No Dubai general-index series is registered for this purpose, so the regression stands on the FTSE Abu Dhabi general index as a registered interim substitute — stated in full below, as an interim regressor requires</w:t>
            </w:r>
          </w:p>
        </w:tc>
      </w:tr>
      <w:tr>
        <w:tc>
          <w:tcPr>
            <w:tcW w:type="dxa" w:w="2952"/>
          </w:tcPr>
          <w:p>
            <w:pPr>
              <w:spacing w:after="20"/>
            </w:pPr>
            <w:r>
              <w:rPr>
                <w:color w:val="1C3A36"/>
                <w:sz w:val="17"/>
              </w:rPr>
              <w:t>Beta — cross-check (published, not used)</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the identical regression against a Dubai general-index series that is held but is not the registered regressor: R² 0.40, 258 weeks, standard error 0.083, 90% interval 0.95–1.22. It is the HIGHER beta and explains three times as much of this share's weekly movement, so on the evidence it is the better measurement — and it would LOWER the valuation. It is published rather than used because which index a beta is measured against is a matter of method, settled once for every company, not something one study decides for itself. Priced in full: cost of equity 9.73%, cost of capital 9.19%, cash-flow value AED 3.91 per share (-0.94, -19%)</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8.39%</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10.7% / 89.3%</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8.00%</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7.50%</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On the index the beta is measured against — stated plainly, because it is the second most consequential number in this valuation after the fuel path. This share is listed in Dubai, and the natural regressor would be a Dubai general index. No Dubai general-index series is held for this purpose, so every company measured this way stands on the FTSE Abu Dhabi general index instead, one UAE market proxy standing in for the other. That substitution is better supported than it sounds: across five years of weekly returns the Abu Dhabi index explains the Dubai-listed shares BETTER than it explains the Abu Dhabi-listed ones it actually covers (median R² 0.240 against 0.127), and every one of those Dubai names clears the minimum usability threshold. It is nonetheless a substitute, and for THIS share it is the weaker of the two available measurements: 0.40 against 0.13 on explanatory power. Both are therefore published with their full statistics and both are priced — AED 4.85 on the measurement used, AED 3.91 on the cross-check, a 19% difference in the cash-flow value. A reader who prefers the Dubai measurement can read the second figure as this study's own, already-computed answer; it is not hidden in a sensitivity table.</w:t>
      </w: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(rightmost = the Dubai-index cross-check)  [0.60 … 1.09]</w:t>
            </w:r>
          </w:p>
        </w:tc>
        <w:tc>
          <w:tcPr>
            <w:tcW w:type="dxa" w:w="1181"/>
          </w:tcPr>
          <w:p>
            <w:pPr>
              <w:spacing w:after="20"/>
              <w:jc w:val="right"/>
            </w:pPr>
            <w:r>
              <w:rPr>
                <w:color w:val="1C3A36"/>
                <w:sz w:val="17"/>
              </w:rPr>
              <w:t>5.96</w:t>
            </w:r>
          </w:p>
        </w:tc>
        <w:tc>
          <w:tcPr>
            <w:tcW w:type="dxa" w:w="1181"/>
          </w:tcPr>
          <w:p>
            <w:pPr>
              <w:spacing w:after="20"/>
              <w:jc w:val="right"/>
            </w:pPr>
            <w:r>
              <w:rPr>
                <w:color w:val="1C3A36"/>
                <w:sz w:val="17"/>
              </w:rPr>
              <w:t>5.38</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4.33</w:t>
            </w:r>
          </w:p>
        </w:tc>
        <w:tc>
          <w:tcPr>
            <w:tcW w:type="dxa" w:w="1181"/>
          </w:tcPr>
          <w:p>
            <w:pPr>
              <w:spacing w:after="20"/>
              <w:jc w:val="right"/>
            </w:pPr>
            <w:r>
              <w:rPr>
                <w:color w:val="1C3A36"/>
                <w:sz w:val="17"/>
              </w:rPr>
              <w:t>3.91</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6.44</w:t>
            </w:r>
          </w:p>
        </w:tc>
        <w:tc>
          <w:tcPr>
            <w:tcW w:type="dxa" w:w="1181"/>
          </w:tcPr>
          <w:p>
            <w:pPr>
              <w:spacing w:after="20"/>
              <w:jc w:val="right"/>
            </w:pPr>
            <w:r>
              <w:rPr>
                <w:color w:val="1C3A36"/>
                <w:sz w:val="17"/>
              </w:rPr>
              <w:t>5.65</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4.05</w:t>
            </w:r>
          </w:p>
        </w:tc>
        <w:tc>
          <w:tcPr>
            <w:tcW w:type="dxa" w:w="1181"/>
          </w:tcPr>
          <w:p>
            <w:pPr>
              <w:spacing w:after="20"/>
              <w:jc w:val="right"/>
            </w:pPr>
            <w:r>
              <w:rPr>
                <w:color w:val="1C3A36"/>
                <w:sz w:val="17"/>
              </w:rPr>
              <w:t>3.26</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4.02</w:t>
            </w:r>
          </w:p>
        </w:tc>
        <w:tc>
          <w:tcPr>
            <w:tcW w:type="dxa" w:w="1181"/>
          </w:tcPr>
          <w:p>
            <w:pPr>
              <w:spacing w:after="20"/>
              <w:jc w:val="right"/>
            </w:pPr>
            <w:r>
              <w:rPr>
                <w:color w:val="1C3A36"/>
                <w:sz w:val="17"/>
              </w:rPr>
              <w:t>4.44</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5.26</w:t>
            </w:r>
          </w:p>
        </w:tc>
        <w:tc>
          <w:tcPr>
            <w:tcW w:type="dxa" w:w="1181"/>
          </w:tcPr>
          <w:p>
            <w:pPr>
              <w:spacing w:after="20"/>
              <w:jc w:val="right"/>
            </w:pPr>
            <w:r>
              <w:rPr>
                <w:color w:val="1C3A36"/>
                <w:sz w:val="17"/>
              </w:rPr>
              <w:t>5.68</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2.99</w:t>
            </w:r>
          </w:p>
        </w:tc>
        <w:tc>
          <w:tcPr>
            <w:tcW w:type="dxa" w:w="1181"/>
          </w:tcPr>
          <w:p>
            <w:pPr>
              <w:spacing w:after="20"/>
              <w:jc w:val="right"/>
            </w:pPr>
            <w:r>
              <w:rPr>
                <w:color w:val="1C3A36"/>
                <w:sz w:val="17"/>
              </w:rPr>
              <w:t>3.92</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5.78</w:t>
            </w:r>
          </w:p>
        </w:tc>
        <w:tc>
          <w:tcPr>
            <w:tcW w:type="dxa" w:w="1181"/>
          </w:tcPr>
          <w:p>
            <w:pPr>
              <w:spacing w:after="20"/>
              <w:jc w:val="right"/>
            </w:pPr>
            <w:r>
              <w:rPr>
                <w:color w:val="1C3A36"/>
                <w:sz w:val="17"/>
              </w:rPr>
              <w:t>6.71</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5.36</w:t>
            </w:r>
          </w:p>
        </w:tc>
        <w:tc>
          <w:tcPr>
            <w:tcW w:type="dxa" w:w="1181"/>
          </w:tcPr>
          <w:p>
            <w:pPr>
              <w:spacing w:after="20"/>
              <w:jc w:val="right"/>
            </w:pPr>
            <w:r>
              <w:rPr>
                <w:color w:val="1C3A36"/>
                <w:sz w:val="17"/>
              </w:rPr>
              <w:t>5.11</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4.47</w:t>
            </w:r>
          </w:p>
        </w:tc>
        <w:tc>
          <w:tcPr>
            <w:tcW w:type="dxa" w:w="1181"/>
          </w:tcPr>
          <w:p>
            <w:pPr>
              <w:spacing w:after="20"/>
              <w:jc w:val="right"/>
            </w:pPr>
            <w:r>
              <w:rPr>
                <w:color w:val="1C3A36"/>
                <w:sz w:val="17"/>
              </w:rPr>
              <w:t>4.08</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5.11</w:t>
            </w:r>
          </w:p>
        </w:tc>
        <w:tc>
          <w:tcPr>
            <w:tcW w:type="dxa" w:w="1181"/>
          </w:tcPr>
          <w:p>
            <w:pPr>
              <w:spacing w:after="20"/>
              <w:jc w:val="right"/>
            </w:pPr>
            <w:r>
              <w:rPr>
                <w:color w:val="1C3A36"/>
                <w:sz w:val="17"/>
              </w:rPr>
              <w:t>5.27</w:t>
            </w:r>
          </w:p>
        </w:tc>
        <w:tc>
          <w:tcPr>
            <w:tcW w:type="dxa" w:w="1181"/>
          </w:tcPr>
          <w:p>
            <w:pPr>
              <w:spacing w:after="20"/>
              <w:jc w:val="right"/>
            </w:pPr>
            <w:r>
              <w:rPr>
                <w:color w:val="1C3A36"/>
                <w:sz w:val="17"/>
              </w:rPr>
              <w:t>5.40</w:t>
            </w:r>
          </w:p>
        </w:tc>
        <w:tc>
          <w:tcPr>
            <w:tcW w:type="dxa" w:w="1181"/>
          </w:tcPr>
          <w:p>
            <w:pPr>
              <w:spacing w:after="20"/>
              <w:jc w:val="right"/>
            </w:pPr>
            <w:r>
              <w:rPr>
                <w:color w:val="1C3A36"/>
                <w:sz w:val="17"/>
              </w:rPr>
              <w:t>5.61</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4.67</w:t>
            </w:r>
          </w:p>
        </w:tc>
        <w:tc>
          <w:tcPr>
            <w:tcW w:type="dxa" w:w="1181"/>
          </w:tcPr>
          <w:p>
            <w:pPr>
              <w:spacing w:after="20"/>
              <w:jc w:val="right"/>
            </w:pPr>
            <w:r>
              <w:rPr>
                <w:color w:val="1C3A36"/>
                <w:sz w:val="17"/>
              </w:rPr>
              <w:t>4.76</w:t>
            </w:r>
          </w:p>
        </w:tc>
        <w:tc>
          <w:tcPr>
            <w:tcW w:type="dxa" w:w="1181"/>
          </w:tcPr>
          <w:p>
            <w:pPr>
              <w:spacing w:after="20"/>
              <w:jc w:val="right"/>
            </w:pPr>
            <w:r>
              <w:rPr>
                <w:color w:val="1C3A36"/>
                <w:sz w:val="17"/>
              </w:rPr>
              <w:t>4.85</w:t>
            </w:r>
          </w:p>
        </w:tc>
        <w:tc>
          <w:tcPr>
            <w:tcW w:type="dxa" w:w="1181"/>
          </w:tcPr>
          <w:p>
            <w:pPr>
              <w:spacing w:after="20"/>
              <w:jc w:val="right"/>
            </w:pPr>
            <w:r>
              <w:rPr>
                <w:color w:val="1C3A36"/>
                <w:sz w:val="17"/>
              </w:rPr>
              <w:t>4.94</w:t>
            </w:r>
          </w:p>
        </w:tc>
        <w:tc>
          <w:tcPr>
            <w:tcW w:type="dxa" w:w="1181"/>
          </w:tcPr>
          <w:p>
            <w:pPr>
              <w:spacing w:after="20"/>
              <w:jc w:val="right"/>
            </w:pPr>
            <w:r>
              <w:rPr>
                <w:color w:val="1C3A36"/>
                <w:sz w:val="17"/>
              </w:rPr>
              <w:t>5.04</w:t>
            </w:r>
          </w:p>
        </w:tc>
      </w:tr>
    </w:tbl>
    <w:p>
      <w:pPr>
        <w:spacing w:after="40"/>
      </w:pPr>
    </w:p>
    <w:p>
      <w:pPr>
        <w:spacing w:after="200" w:before="0"/>
      </w:pPr>
      <w:r>
        <w:rPr>
          <w:b w:val="0"/>
          <w:i/>
          <w:color w:val="6E7B77"/>
          <w:sz w:val="17"/>
        </w:rPr>
        <w:t>Each cell is a complete revaluation at the perturbed driver, all else held. Where the perturbation moves the cost of capital, the accretion from the balance-sheet date to the pricing date moves with it — the accretion is a cost-of-equity effect, so holding it fixed while changing the rate would be inconsistent. (An earlier edition did hold it fixed, which left the base column of the rate rows reading AED 3.54 against a headline of 4.85; corrected, and the agreement is now checked automatically on every rebuild.) The middle column is the base value of AED 4.85 on every row EXCEPT the JV row, whose base (the audited carrying value) is its leftmost column — the remaining columns price successively richer JV framings — and the beta row, whose RIGHTMOST column is the Dubai-index cross-check described in 1.8.</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4.97</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4.97,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The three lens bases sit between AED 3.81 and AED 5.20 — a cluster 2%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14.2×</w:t>
            </w:r>
          </w:p>
        </w:tc>
        <w:tc>
          <w:tcPr>
            <w:tcW w:type="dxa" w:w="1872"/>
            <w:shd w:val="clear" w:color="auto" w:fill="F6F1E6"/>
          </w:tcPr>
          <w:p>
            <w:pPr>
              <w:spacing w:after="20"/>
              <w:jc w:val="right"/>
            </w:pPr>
            <w:r>
              <w:rPr>
                <w:b/>
                <w:color w:val="1C3A36"/>
                <w:sz w:val="16"/>
              </w:rPr>
              <w:t>11.0× ex-fees / 9.9×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10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1.0558, less the 30-fils dividend → value at the anchor</w:t>
            </w:r>
          </w:p>
        </w:tc>
        <w:tc>
          <w:tcPr>
            <w:tcW w:type="dxa" w:w="3888"/>
            <w:shd w:val="clear" w:color="auto" w:fill="F6F1E6"/>
          </w:tcPr>
          <w:p>
            <w:pPr>
              <w:spacing w:after="20"/>
              <w:jc w:val="right"/>
            </w:pPr>
            <w:r>
              <w:rPr>
                <w:b/>
                <w:color w:val="1C3A36"/>
                <w:sz w:val="17"/>
              </w:rPr>
              <w:t>4.12</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3.10 – 5.14</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7.86% − 2.5%, plus half the net cash (haircut for permanence)</w:t>
            </w:r>
          </w:p>
        </w:tc>
        <w:tc>
          <w:tcPr>
            <w:tcW w:type="dxa" w:w="3888"/>
          </w:tcPr>
          <w:p>
            <w:pPr>
              <w:spacing w:after="20"/>
              <w:jc w:val="right"/>
            </w:pPr>
            <w:r>
              <w:rPr>
                <w:color w:val="1C3A36"/>
                <w:sz w:val="17"/>
              </w:rPr>
              <w:t>12,772</w:t>
            </w:r>
          </w:p>
        </w:tc>
      </w:tr>
      <w:tr>
        <w:tc>
          <w:tcPr>
            <w:tcW w:type="dxa" w:w="6192"/>
            <w:shd w:val="clear" w:color="auto" w:fill="F6F1E6"/>
          </w:tcPr>
          <w:p>
            <w:pPr>
              <w:spacing w:after="20"/>
            </w:pPr>
            <w:r>
              <w:rPr>
                <w:b/>
                <w:color w:val="1C3A36"/>
                <w:sz w:val="17"/>
              </w:rPr>
              <w:t>Per share, × anchor accretion 1.0558, less the 30-fils dividend</w:t>
            </w:r>
          </w:p>
        </w:tc>
        <w:tc>
          <w:tcPr>
            <w:tcW w:type="dxa" w:w="3888"/>
            <w:shd w:val="clear" w:color="auto" w:fill="F6F1E6"/>
          </w:tcPr>
          <w:p>
            <w:pPr>
              <w:spacing w:after="20"/>
              <w:jc w:val="right"/>
            </w:pPr>
            <w:r>
              <w:rPr>
                <w:b/>
                <w:color w:val="1C3A36"/>
                <w:sz w:val="17"/>
              </w:rPr>
              <w:t>2.59</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1.79 – 3.50</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2,782</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9,019</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16,647</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4.31</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3.14 – 4.86</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4.12, Expert 2 at 2.59, Expert 3 at 4.31 — a median of 4.12, 17%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