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August 2026 · share price EGP 127.30 at the close of 6 August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37 and EGP 57 a share. Because the contested judgement below is carried BOTH ways and the two are never averaged, the study publishes TWO weighted centres: EGP 36.64 a share on the permanent-provision reading and EGP 54.24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36.64 and EGP 54.24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37 and EGP 57.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36.64</w:t>
            </w:r>
          </w:p>
        </w:tc>
        <w:tc>
          <w:tcPr>
            <w:tcW w:type="dxa" w:w="1224"/>
          </w:tcPr>
          <w:p>
            <w:pPr>
              <w:spacing w:after="20"/>
              <w:jc w:val="right"/>
            </w:pPr>
            <w:r>
              <w:rPr>
                <w:color w:val="1C3A36"/>
                <w:sz w:val="18"/>
              </w:rPr>
              <w:t>-71%</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54.24</w:t>
            </w:r>
          </w:p>
        </w:tc>
        <w:tc>
          <w:tcPr>
            <w:tcW w:type="dxa" w:w="1224"/>
          </w:tcPr>
          <w:p>
            <w:pPr>
              <w:spacing w:after="20"/>
              <w:jc w:val="right"/>
            </w:pPr>
            <w:r>
              <w:rPr>
                <w:color w:val="1C3A36"/>
                <w:sz w:val="18"/>
              </w:rPr>
              <w:t>-57%</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43.91</w:t>
            </w:r>
          </w:p>
        </w:tc>
        <w:tc>
          <w:tcPr>
            <w:tcW w:type="dxa" w:w="1224"/>
          </w:tcPr>
          <w:p>
            <w:pPr>
              <w:spacing w:after="20"/>
              <w:jc w:val="right"/>
            </w:pPr>
            <w:r>
              <w:rPr>
                <w:color w:val="1C3A36"/>
                <w:sz w:val="18"/>
              </w:rPr>
              <w:t>-66%</w:t>
            </w:r>
          </w:p>
        </w:tc>
        <w:tc>
          <w:tcPr>
            <w:tcW w:type="dxa" w:w="3960"/>
          </w:tcPr>
          <w:p>
            <w:pPr>
              <w:spacing w:after="20"/>
              <w:jc w:val="right"/>
            </w:pPr>
            <w:r>
              <w:rPr>
                <w:color w:val="1C3A36"/>
                <w:sz w:val="18"/>
              </w:rPr>
              <w:t>justified 1.19x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48.65</w:t>
            </w:r>
          </w:p>
        </w:tc>
        <w:tc>
          <w:tcPr>
            <w:tcW w:type="dxa" w:w="1224"/>
          </w:tcPr>
          <w:p>
            <w:pPr>
              <w:spacing w:after="20"/>
              <w:jc w:val="right"/>
            </w:pPr>
            <w:r>
              <w:rPr>
                <w:color w:val="1C3A36"/>
                <w:sz w:val="18"/>
              </w:rPr>
              <w:t>-62%</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56.78</w:t>
            </w:r>
          </w:p>
        </w:tc>
        <w:tc>
          <w:tcPr>
            <w:tcW w:type="dxa" w:w="1224"/>
          </w:tcPr>
          <w:p>
            <w:pPr>
              <w:spacing w:after="20"/>
              <w:jc w:val="right"/>
            </w:pPr>
            <w:r>
              <w:rPr>
                <w:color w:val="1C3A36"/>
                <w:sz w:val="18"/>
              </w:rPr>
              <w:t>-55%</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36.64</w:t>
            </w:r>
          </w:p>
        </w:tc>
        <w:tc>
          <w:tcPr>
            <w:tcW w:type="dxa" w:w="1224"/>
            <w:shd w:val="clear" w:color="auto" w:fill="F6F1E6"/>
          </w:tcPr>
          <w:p>
            <w:pPr>
              <w:spacing w:after="20"/>
              <w:jc w:val="right"/>
            </w:pPr>
            <w:r>
              <w:rPr>
                <w:b/>
                <w:color w:val="1C3A36"/>
                <w:sz w:val="18"/>
              </w:rPr>
              <w:t>-71%</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54.24</w:t>
            </w:r>
          </w:p>
        </w:tc>
        <w:tc>
          <w:tcPr>
            <w:tcW w:type="dxa" w:w="1224"/>
            <w:shd w:val="clear" w:color="auto" w:fill="F6F1E6"/>
          </w:tcPr>
          <w:p>
            <w:pPr>
              <w:spacing w:after="20"/>
              <w:jc w:val="right"/>
            </w:pPr>
            <w:r>
              <w:rPr>
                <w:b/>
                <w:color w:val="1C3A36"/>
                <w:sz w:val="18"/>
              </w:rPr>
              <w:t>-57%</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42.92 / 51.72</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36.64 – 56.78</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25.57%</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22.71%</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15.03%</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tcPr>
          <w:p>
            <w:pPr>
              <w:spacing w:after="20"/>
            </w:pPr>
            <w:r>
              <w:rPr>
                <w:color w:val="1C3A36"/>
                <w:sz w:val="17"/>
              </w:rPr>
              <w:t>EBITDA</w:t>
            </w:r>
          </w:p>
        </w:tc>
        <w:tc>
          <w:tcPr>
            <w:tcW w:type="dxa" w:w="1325"/>
          </w:tcPr>
          <w:p>
            <w:pPr>
              <w:spacing w:after="20"/>
              <w:jc w:val="right"/>
            </w:pPr>
            <w:r>
              <w:rPr>
                <w:color w:val="1C3A36"/>
                <w:sz w:val="17"/>
              </w:rPr>
              <w:t>2,415</w:t>
            </w:r>
          </w:p>
        </w:tc>
        <w:tc>
          <w:tcPr>
            <w:tcW w:type="dxa" w:w="1325"/>
          </w:tcPr>
          <w:p>
            <w:pPr>
              <w:spacing w:after="20"/>
              <w:jc w:val="right"/>
            </w:pPr>
            <w:r>
              <w:rPr>
                <w:color w:val="1C3A36"/>
                <w:sz w:val="17"/>
              </w:rPr>
              <w:t>2,679</w:t>
            </w:r>
          </w:p>
        </w:tc>
        <w:tc>
          <w:tcPr>
            <w:tcW w:type="dxa" w:w="1325"/>
          </w:tcPr>
          <w:p>
            <w:pPr>
              <w:spacing w:after="20"/>
              <w:jc w:val="right"/>
            </w:pPr>
            <w:r>
              <w:rPr>
                <w:color w:val="1C3A36"/>
                <w:sz w:val="17"/>
              </w:rPr>
              <w:t>3,037</w:t>
            </w:r>
          </w:p>
        </w:tc>
        <w:tc>
          <w:tcPr>
            <w:tcW w:type="dxa" w:w="1325"/>
          </w:tcPr>
          <w:p>
            <w:pPr>
              <w:spacing w:after="20"/>
              <w:jc w:val="right"/>
            </w:pPr>
            <w:r>
              <w:rPr>
                <w:color w:val="1C3A36"/>
                <w:sz w:val="17"/>
              </w:rPr>
              <w:t>3,394</w:t>
            </w:r>
          </w:p>
        </w:tc>
        <w:tc>
          <w:tcPr>
            <w:tcW w:type="dxa" w:w="1325"/>
          </w:tcPr>
          <w:p>
            <w:pPr>
              <w:spacing w:after="20"/>
              <w:jc w:val="right"/>
            </w:pPr>
            <w:r>
              <w:rPr>
                <w:color w:val="1C3A36"/>
                <w:sz w:val="17"/>
              </w:rPr>
              <w:t>3,713</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22.6%</w:t>
            </w:r>
          </w:p>
        </w:tc>
        <w:tc>
          <w:tcPr>
            <w:tcW w:type="dxa" w:w="1325"/>
          </w:tcPr>
          <w:p>
            <w:pPr>
              <w:spacing w:after="20"/>
              <w:jc w:val="right"/>
            </w:pPr>
            <w:r>
              <w:rPr>
                <w:color w:val="1C3A36"/>
                <w:sz w:val="17"/>
              </w:rPr>
              <w:t>21.2%</w:t>
            </w:r>
          </w:p>
        </w:tc>
        <w:tc>
          <w:tcPr>
            <w:tcW w:type="dxa" w:w="1325"/>
          </w:tcPr>
          <w:p>
            <w:pPr>
              <w:spacing w:after="20"/>
              <w:jc w:val="right"/>
            </w:pPr>
            <w:r>
              <w:rPr>
                <w:color w:val="1C3A36"/>
                <w:sz w:val="17"/>
              </w:rPr>
              <w:t>20.8%</w:t>
            </w:r>
          </w:p>
        </w:tc>
        <w:tc>
          <w:tcPr>
            <w:tcW w:type="dxa" w:w="1325"/>
          </w:tcPr>
          <w:p>
            <w:pPr>
              <w:spacing w:after="20"/>
              <w:jc w:val="right"/>
            </w:pPr>
            <w:r>
              <w:rPr>
                <w:color w:val="1C3A36"/>
                <w:sz w:val="17"/>
              </w:rPr>
              <w:t>20.4%</w:t>
            </w:r>
          </w:p>
        </w:tc>
        <w:tc>
          <w:tcPr>
            <w:tcW w:type="dxa" w:w="1325"/>
          </w:tcPr>
          <w:p>
            <w:pPr>
              <w:spacing w:after="20"/>
              <w:jc w:val="right"/>
            </w:pPr>
            <w:r>
              <w:rPr>
                <w:color w:val="1C3A36"/>
                <w:sz w:val="17"/>
              </w:rPr>
              <w:t>20.0%</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2,111</w:t>
            </w:r>
          </w:p>
        </w:tc>
        <w:tc>
          <w:tcPr>
            <w:tcW w:type="dxa" w:w="1325"/>
          </w:tcPr>
          <w:p>
            <w:pPr>
              <w:spacing w:after="20"/>
              <w:jc w:val="right"/>
            </w:pPr>
            <w:r>
              <w:rPr>
                <w:color w:val="1C3A36"/>
                <w:sz w:val="17"/>
              </w:rPr>
              <w:t>2,254</w:t>
            </w:r>
          </w:p>
        </w:tc>
        <w:tc>
          <w:tcPr>
            <w:tcW w:type="dxa" w:w="1325"/>
          </w:tcPr>
          <w:p>
            <w:pPr>
              <w:spacing w:after="20"/>
              <w:jc w:val="right"/>
            </w:pPr>
            <w:r>
              <w:rPr>
                <w:color w:val="1C3A36"/>
                <w:sz w:val="17"/>
              </w:rPr>
              <w:t>2,591</w:t>
            </w:r>
          </w:p>
        </w:tc>
        <w:tc>
          <w:tcPr>
            <w:tcW w:type="dxa" w:w="1325"/>
          </w:tcPr>
          <w:p>
            <w:pPr>
              <w:spacing w:after="20"/>
              <w:jc w:val="right"/>
            </w:pPr>
            <w:r>
              <w:rPr>
                <w:color w:val="1C3A36"/>
                <w:sz w:val="17"/>
              </w:rPr>
              <w:t>2,957</w:t>
            </w:r>
          </w:p>
        </w:tc>
        <w:tc>
          <w:tcPr>
            <w:tcW w:type="dxa" w:w="1325"/>
          </w:tcPr>
          <w:p>
            <w:pPr>
              <w:spacing w:after="20"/>
              <w:jc w:val="right"/>
            </w:pPr>
            <w:r>
              <w:rPr>
                <w:color w:val="1C3A36"/>
                <w:sz w:val="17"/>
              </w:rPr>
              <w:t>3,290</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1,615</w:t>
            </w:r>
          </w:p>
        </w:tc>
        <w:tc>
          <w:tcPr>
            <w:tcW w:type="dxa" w:w="1325"/>
          </w:tcPr>
          <w:p>
            <w:pPr>
              <w:spacing w:after="20"/>
              <w:jc w:val="right"/>
            </w:pPr>
            <w:r>
              <w:rPr>
                <w:color w:val="1C3A36"/>
                <w:sz w:val="17"/>
              </w:rPr>
              <w:t>1,724</w:t>
            </w:r>
          </w:p>
        </w:tc>
        <w:tc>
          <w:tcPr>
            <w:tcW w:type="dxa" w:w="1325"/>
          </w:tcPr>
          <w:p>
            <w:pPr>
              <w:spacing w:after="20"/>
              <w:jc w:val="right"/>
            </w:pPr>
            <w:r>
              <w:rPr>
                <w:color w:val="1C3A36"/>
                <w:sz w:val="17"/>
              </w:rPr>
              <w:t>1,982</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2,517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(1,337)</w:t>
            </w:r>
          </w:p>
        </w:tc>
        <w:tc>
          <w:tcPr>
            <w:tcW w:type="dxa" w:w="1325"/>
          </w:tcPr>
          <w:p>
            <w:pPr>
              <w:spacing w:after="20"/>
              <w:jc w:val="right"/>
            </w:pPr>
            <w:r>
              <w:rPr>
                <w:color w:val="1C3A36"/>
                <w:sz w:val="17"/>
              </w:rPr>
              <w:t>(568)</w:t>
            </w:r>
          </w:p>
        </w:tc>
        <w:tc>
          <w:tcPr>
            <w:tcW w:type="dxa" w:w="1325"/>
          </w:tcPr>
          <w:p>
            <w:pPr>
              <w:spacing w:after="20"/>
              <w:jc w:val="right"/>
            </w:pPr>
            <w:r>
              <w:rPr>
                <w:color w:val="1C3A36"/>
                <w:sz w:val="17"/>
              </w:rPr>
              <w:t>(512)</w:t>
            </w:r>
          </w:p>
        </w:tc>
        <w:tc>
          <w:tcPr>
            <w:tcW w:type="dxa" w:w="1325"/>
          </w:tcPr>
          <w:p>
            <w:pPr>
              <w:spacing w:after="20"/>
              <w:jc w:val="right"/>
            </w:pPr>
            <w:r>
              <w:rPr>
                <w:color w:val="1C3A36"/>
                <w:sz w:val="17"/>
              </w:rPr>
              <w:t>(532)</w:t>
            </w:r>
          </w:p>
        </w:tc>
        <w:tc>
          <w:tcPr>
            <w:tcW w:type="dxa" w:w="1325"/>
          </w:tcPr>
          <w:p>
            <w:pPr>
              <w:spacing w:after="20"/>
              <w:jc w:val="right"/>
            </w:pPr>
            <w:r>
              <w:rPr>
                <w:color w:val="1C3A36"/>
                <w:sz w:val="17"/>
              </w:rPr>
              <w:t>(558)</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(910)</w:t>
            </w:r>
          </w:p>
        </w:tc>
        <w:tc>
          <w:tcPr>
            <w:tcW w:type="dxa" w:w="1325"/>
          </w:tcPr>
          <w:p>
            <w:pPr>
              <w:spacing w:after="20"/>
              <w:jc w:val="right"/>
            </w:pPr>
            <w:r>
              <w:rPr>
                <w:color w:val="1C3A36"/>
                <w:sz w:val="17"/>
              </w:rPr>
              <w:t>(1,020)</w:t>
            </w:r>
          </w:p>
        </w:tc>
        <w:tc>
          <w:tcPr>
            <w:tcW w:type="dxa" w:w="1325"/>
          </w:tcPr>
          <w:p>
            <w:pPr>
              <w:spacing w:after="20"/>
              <w:jc w:val="right"/>
            </w:pPr>
            <w:r>
              <w:rPr>
                <w:color w:val="1C3A36"/>
                <w:sz w:val="17"/>
              </w:rPr>
              <w:t>(869)</w:t>
            </w:r>
          </w:p>
        </w:tc>
        <w:tc>
          <w:tcPr>
            <w:tcW w:type="dxa" w:w="1325"/>
          </w:tcPr>
          <w:p>
            <w:pPr>
              <w:spacing w:after="20"/>
              <w:jc w:val="right"/>
            </w:pPr>
            <w:r>
              <w:rPr>
                <w:color w:val="1C3A36"/>
                <w:sz w:val="17"/>
              </w:rPr>
              <w:t>(877)</w:t>
            </w:r>
          </w:p>
        </w:tc>
        <w:tc>
          <w:tcPr>
            <w:tcW w:type="dxa" w:w="1325"/>
          </w:tcPr>
          <w:p>
            <w:pPr>
              <w:spacing w:after="20"/>
              <w:jc w:val="right"/>
            </w:pPr>
            <w:r>
              <w:rPr>
                <w:color w:val="1C3A36"/>
                <w:sz w:val="17"/>
              </w:rPr>
              <w:t>(829)</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-328</w:t>
            </w:r>
          </w:p>
        </w:tc>
        <w:tc>
          <w:tcPr>
            <w:tcW w:type="dxa" w:w="1325"/>
          </w:tcPr>
          <w:p>
            <w:pPr>
              <w:spacing w:after="20"/>
              <w:jc w:val="right"/>
            </w:pPr>
            <w:r>
              <w:rPr>
                <w:color w:val="1C3A36"/>
                <w:sz w:val="17"/>
              </w:rPr>
              <w:t>562</w:t>
            </w:r>
          </w:p>
        </w:tc>
        <w:tc>
          <w:tcPr>
            <w:tcW w:type="dxa" w:w="1325"/>
          </w:tcPr>
          <w:p>
            <w:pPr>
              <w:spacing w:after="20"/>
              <w:jc w:val="right"/>
            </w:pPr>
            <w:r>
              <w:rPr>
                <w:color w:val="1C3A36"/>
                <w:sz w:val="17"/>
              </w:rPr>
              <w:t>1,048</w:t>
            </w:r>
          </w:p>
        </w:tc>
        <w:tc>
          <w:tcPr>
            <w:tcW w:type="dxa" w:w="1325"/>
          </w:tcPr>
          <w:p>
            <w:pPr>
              <w:spacing w:after="20"/>
              <w:jc w:val="right"/>
            </w:pPr>
            <w:r>
              <w:rPr>
                <w:color w:val="1C3A36"/>
                <w:sz w:val="17"/>
              </w:rPr>
              <w:t>1,290</w:t>
            </w:r>
          </w:p>
        </w:tc>
        <w:tc>
          <w:tcPr>
            <w:tcW w:type="dxa" w:w="1325"/>
          </w:tcPr>
          <w:p>
            <w:pPr>
              <w:spacing w:after="20"/>
              <w:jc w:val="right"/>
            </w:pPr>
            <w:r>
              <w:rPr>
                <w:color w:val="1C3A36"/>
                <w:sz w:val="17"/>
              </w:rPr>
              <w:t>1,553</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22.71%</w:t>
            </w:r>
          </w:p>
        </w:tc>
        <w:tc>
          <w:tcPr>
            <w:tcW w:type="dxa" w:w="1325"/>
            <w:shd w:val="clear" w:color="auto" w:fill="F6F1E6"/>
          </w:tcPr>
          <w:p>
            <w:pPr>
              <w:spacing w:after="20"/>
              <w:jc w:val="right"/>
            </w:pPr>
            <w:r>
              <w:rPr>
                <w:b/>
                <w:color w:val="1C3A36"/>
                <w:sz w:val="17"/>
              </w:rPr>
              <w:t>20.65%</w:t>
            </w:r>
          </w:p>
        </w:tc>
        <w:tc>
          <w:tcPr>
            <w:tcW w:type="dxa" w:w="1325"/>
            <w:shd w:val="clear" w:color="auto" w:fill="F6F1E6"/>
          </w:tcPr>
          <w:p>
            <w:pPr>
              <w:spacing w:after="20"/>
              <w:jc w:val="right"/>
            </w:pPr>
            <w:r>
              <w:rPr>
                <w:b/>
                <w:color w:val="1C3A36"/>
                <w:sz w:val="17"/>
              </w:rPr>
              <w:t>18.40%</w:t>
            </w:r>
          </w:p>
        </w:tc>
        <w:tc>
          <w:tcPr>
            <w:tcW w:type="dxa" w:w="1325"/>
            <w:shd w:val="clear" w:color="auto" w:fill="F6F1E6"/>
          </w:tcPr>
          <w:p>
            <w:pPr>
              <w:spacing w:after="20"/>
              <w:jc w:val="right"/>
            </w:pPr>
            <w:r>
              <w:rPr>
                <w:b/>
                <w:color w:val="1C3A36"/>
                <w:sz w:val="17"/>
              </w:rPr>
              <w:t>16.53%</w:t>
            </w:r>
          </w:p>
        </w:tc>
        <w:tc>
          <w:tcPr>
            <w:tcW w:type="dxa" w:w="1325"/>
            <w:shd w:val="clear" w:color="auto" w:fill="F6F1E6"/>
          </w:tcPr>
          <w:p>
            <w:pPr>
              <w:spacing w:after="20"/>
              <w:jc w:val="right"/>
            </w:pPr>
            <w:r>
              <w:rPr>
                <w:b/>
                <w:color w:val="1C3A36"/>
                <w:sz w:val="17"/>
              </w:rPr>
              <w:t>15.03%</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0.8149</w:t>
            </w:r>
          </w:p>
        </w:tc>
        <w:tc>
          <w:tcPr>
            <w:tcW w:type="dxa" w:w="1325"/>
          </w:tcPr>
          <w:p>
            <w:pPr>
              <w:spacing w:after="20"/>
              <w:jc w:val="right"/>
            </w:pPr>
            <w:r>
              <w:rPr>
                <w:color w:val="1C3A36"/>
                <w:sz w:val="17"/>
              </w:rPr>
              <w:t>0.6755</w:t>
            </w:r>
          </w:p>
        </w:tc>
        <w:tc>
          <w:tcPr>
            <w:tcW w:type="dxa" w:w="1325"/>
          </w:tcPr>
          <w:p>
            <w:pPr>
              <w:spacing w:after="20"/>
              <w:jc w:val="right"/>
            </w:pPr>
            <w:r>
              <w:rPr>
                <w:color w:val="1C3A36"/>
                <w:sz w:val="17"/>
              </w:rPr>
              <w:t>0.5705</w:t>
            </w:r>
          </w:p>
        </w:tc>
        <w:tc>
          <w:tcPr>
            <w:tcW w:type="dxa" w:w="1325"/>
          </w:tcPr>
          <w:p>
            <w:pPr>
              <w:spacing w:after="20"/>
              <w:jc w:val="right"/>
            </w:pPr>
            <w:r>
              <w:rPr>
                <w:color w:val="1C3A36"/>
                <w:sz w:val="17"/>
              </w:rPr>
              <w:t>0.4896</w:t>
            </w:r>
          </w:p>
        </w:tc>
        <w:tc>
          <w:tcPr>
            <w:tcW w:type="dxa" w:w="1325"/>
          </w:tcPr>
          <w:p>
            <w:pPr>
              <w:spacing w:after="20"/>
              <w:jc w:val="right"/>
            </w:pPr>
            <w:r>
              <w:rPr>
                <w:color w:val="1C3A36"/>
                <w:sz w:val="17"/>
              </w:rPr>
              <w:t>0.4256</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-268</w:t>
            </w:r>
          </w:p>
        </w:tc>
        <w:tc>
          <w:tcPr>
            <w:tcW w:type="dxa" w:w="1325"/>
          </w:tcPr>
          <w:p>
            <w:pPr>
              <w:spacing w:after="20"/>
              <w:jc w:val="right"/>
            </w:pPr>
            <w:r>
              <w:rPr>
                <w:color w:val="1C3A36"/>
                <w:sz w:val="17"/>
              </w:rPr>
              <w:t>380</w:t>
            </w:r>
          </w:p>
        </w:tc>
        <w:tc>
          <w:tcPr>
            <w:tcW w:type="dxa" w:w="1325"/>
          </w:tcPr>
          <w:p>
            <w:pPr>
              <w:spacing w:after="20"/>
              <w:jc w:val="right"/>
            </w:pPr>
            <w:r>
              <w:rPr>
                <w:color w:val="1C3A36"/>
                <w:sz w:val="17"/>
              </w:rPr>
              <w:t>598</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661</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2,002</w:t>
            </w:r>
          </w:p>
        </w:tc>
        <w:tc>
          <w:tcPr>
            <w:tcW w:type="dxa" w:w="2232"/>
          </w:tcPr>
          <w:p>
            <w:pPr>
              <w:spacing w:after="20"/>
              <w:jc w:val="right"/>
            </w:pPr>
            <w:r>
              <w:rPr>
                <w:color w:val="1C3A36"/>
                <w:sz w:val="18"/>
              </w:rPr>
              <w:t>11.86</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8,559</w:t>
            </w:r>
          </w:p>
        </w:tc>
        <w:tc>
          <w:tcPr>
            <w:tcW w:type="dxa" w:w="2232"/>
          </w:tcPr>
          <w:p>
            <w:pPr>
              <w:spacing w:after="20"/>
              <w:jc w:val="right"/>
            </w:pPr>
            <w:r>
              <w:rPr>
                <w:color w:val="1C3A36"/>
                <w:sz w:val="18"/>
              </w:rPr>
              <w:t>50.72</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10,561</w:t>
            </w:r>
          </w:p>
        </w:tc>
        <w:tc>
          <w:tcPr>
            <w:tcW w:type="dxa" w:w="2232"/>
          </w:tcPr>
          <w:p>
            <w:pPr>
              <w:spacing w:after="20"/>
              <w:jc w:val="right"/>
            </w:pPr>
            <w:r>
              <w:rPr>
                <w:color w:val="1C3A36"/>
                <w:sz w:val="18"/>
              </w:rPr>
              <w:t>62.58</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81%</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13,551</w:t>
            </w:r>
          </w:p>
        </w:tc>
        <w:tc>
          <w:tcPr>
            <w:tcW w:type="dxa" w:w="2232"/>
          </w:tcPr>
          <w:p>
            <w:pPr>
              <w:spacing w:after="20"/>
              <w:jc w:val="right"/>
            </w:pPr>
            <w:r>
              <w:rPr>
                <w:color w:val="1C3A36"/>
                <w:sz w:val="18"/>
              </w:rPr>
              <w:t>80.30</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63%</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6,183</w:t>
            </w:r>
          </w:p>
        </w:tc>
        <w:tc>
          <w:tcPr>
            <w:tcW w:type="dxa" w:w="2232"/>
          </w:tcPr>
          <w:p>
            <w:pPr>
              <w:spacing w:after="20"/>
              <w:jc w:val="right"/>
            </w:pPr>
            <w:r>
              <w:rPr>
                <w:color w:val="1C3A36"/>
                <w:sz w:val="18"/>
              </w:rPr>
              <w:t>36.64</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9,154</w:t>
            </w:r>
          </w:p>
        </w:tc>
        <w:tc>
          <w:tcPr>
            <w:tcW w:type="dxa" w:w="2232"/>
            <w:shd w:val="clear" w:color="auto" w:fill="F6F1E6"/>
          </w:tcPr>
          <w:p>
            <w:pPr>
              <w:spacing w:after="20"/>
              <w:jc w:val="right"/>
            </w:pPr>
            <w:r>
              <w:rPr>
                <w:b/>
                <w:color w:val="1C3A36"/>
                <w:sz w:val="18"/>
              </w:rPr>
              <w:t>54.24</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81% of the CORE operating value and 63%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13.7% / 14.5% / 17.1% / 19.1% / 20.1% — it RISES through the window rather than settling, so the sustainable return used here is the mean of its last three years, 18.75%, read off that path rather than chosen. A business earning 18.8% on equity while its perpetual cost of equity is 16.90% is worth more than its book: the multiple that relationship justifies is (return less growth) over (cost of equity less growth), or 1.19 times book — EGP 43.91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6.33x</w:t>
            </w:r>
          </w:p>
        </w:tc>
        <w:tc>
          <w:tcPr>
            <w:tcW w:type="dxa" w:w="1368"/>
          </w:tcPr>
          <w:p>
            <w:pPr>
              <w:spacing w:after="20"/>
              <w:jc w:val="right"/>
            </w:pPr>
            <w:r>
              <w:rPr>
                <w:color w:val="1C3A36"/>
                <w:sz w:val="17"/>
              </w:rPr>
              <w:t>34.55</w:t>
            </w:r>
          </w:p>
        </w:tc>
        <w:tc>
          <w:tcPr>
            <w:tcW w:type="dxa" w:w="4320"/>
          </w:tcPr>
          <w:p>
            <w:pPr>
              <w:spacing w:after="20"/>
              <w:jc w:val="right"/>
            </w:pPr>
            <w:r>
              <w:rPr>
                <w:color w:val="1C3A36"/>
                <w:sz w:val="17"/>
              </w:rPr>
              <w:t>a FORWARD multiple on FORWARD earnings of EGP 5.46. Retention must equal growth 7% over sustainable return 18.8%, so payout is 63%</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6.47x</w:t>
            </w:r>
          </w:p>
        </w:tc>
        <w:tc>
          <w:tcPr>
            <w:tcW w:type="dxa" w:w="1368"/>
          </w:tcPr>
          <w:p>
            <w:pPr>
              <w:spacing w:after="20"/>
              <w:jc w:val="right"/>
            </w:pPr>
            <w:r>
              <w:rPr>
                <w:color w:val="1C3A36"/>
                <w:sz w:val="17"/>
              </w:rPr>
              <w:t>55.25</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16.9%</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6.46x</w:t>
            </w:r>
          </w:p>
        </w:tc>
        <w:tc>
          <w:tcPr>
            <w:tcW w:type="dxa" w:w="1368"/>
            <w:shd w:val="clear" w:color="auto" w:fill="F6F1E6"/>
          </w:tcPr>
          <w:p>
            <w:pPr>
              <w:spacing w:after="20"/>
              <w:jc w:val="right"/>
            </w:pPr>
            <w:r>
              <w:rPr>
                <w:b/>
                <w:color w:val="1C3A36"/>
                <w:sz w:val="17"/>
              </w:rPr>
              <w:t>48.65</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8.97 a share of sustainable earnings. Capitalised at the PERPETUAL cost of equity of 16.90% less 7% growth, on the 63% payout that growth rate permits, that is EGP 56.78 a share. Using today's crisis-level cost of equity of 25.57%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37 to EGP 57.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36.64 a share on Frame A and EGP 54.24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22.28</w:t>
            </w:r>
          </w:p>
        </w:tc>
        <w:tc>
          <w:tcPr>
            <w:tcW w:type="dxa" w:w="1325"/>
          </w:tcPr>
          <w:p>
            <w:pPr>
              <w:spacing w:after="20"/>
              <w:jc w:val="right"/>
            </w:pPr>
            <w:r>
              <w:rPr>
                <w:color w:val="1C3A36"/>
                <w:sz w:val="17"/>
              </w:rPr>
              <w:t>24.07</w:t>
            </w:r>
          </w:p>
        </w:tc>
        <w:tc>
          <w:tcPr>
            <w:tcW w:type="dxa" w:w="1325"/>
          </w:tcPr>
          <w:p>
            <w:pPr>
              <w:spacing w:after="20"/>
              <w:jc w:val="right"/>
            </w:pPr>
            <w:r>
              <w:rPr>
                <w:color w:val="1C3A36"/>
                <w:sz w:val="17"/>
              </w:rPr>
              <w:t>25.87</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29.07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9.45</w:t>
            </w:r>
          </w:p>
        </w:tc>
        <w:tc>
          <w:tcPr>
            <w:tcW w:type="dxa" w:w="1325"/>
          </w:tcPr>
          <w:p>
            <w:pPr>
              <w:spacing w:after="20"/>
              <w:jc w:val="right"/>
            </w:pPr>
            <w:r>
              <w:rPr>
                <w:color w:val="1C3A36"/>
                <w:sz w:val="17"/>
              </w:rPr>
              <w:t>10.21</w:t>
            </w:r>
          </w:p>
        </w:tc>
        <w:tc>
          <w:tcPr>
            <w:tcW w:type="dxa" w:w="1325"/>
          </w:tcPr>
          <w:p>
            <w:pPr>
              <w:spacing w:after="20"/>
              <w:jc w:val="right"/>
            </w:pPr>
            <w:r>
              <w:rPr>
                <w:color w:val="1C3A36"/>
                <w:sz w:val="17"/>
              </w:rPr>
              <w:t>10.97</w:t>
            </w:r>
          </w:p>
        </w:tc>
        <w:tc>
          <w:tcPr>
            <w:tcW w:type="dxa" w:w="1325"/>
          </w:tcPr>
          <w:p>
            <w:pPr>
              <w:spacing w:after="20"/>
              <w:jc w:val="right"/>
            </w:pPr>
            <w:r>
              <w:rPr>
                <w:color w:val="1C3A36"/>
                <w:sz w:val="17"/>
              </w:rPr>
              <w:t>11.68</w:t>
            </w:r>
          </w:p>
        </w:tc>
        <w:tc>
          <w:tcPr>
            <w:tcW w:type="dxa" w:w="1325"/>
          </w:tcPr>
          <w:p>
            <w:pPr>
              <w:spacing w:after="20"/>
              <w:jc w:val="right"/>
            </w:pPr>
            <w:r>
              <w:rPr>
                <w:color w:val="1C3A36"/>
                <w:sz w:val="17"/>
              </w:rPr>
              <w:t>12.33</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17.79</w:t>
            </w:r>
          </w:p>
        </w:tc>
        <w:tc>
          <w:tcPr>
            <w:tcW w:type="dxa" w:w="1325"/>
          </w:tcPr>
          <w:p>
            <w:pPr>
              <w:spacing w:after="20"/>
              <w:jc w:val="right"/>
            </w:pPr>
            <w:r>
              <w:rPr>
                <w:color w:val="1C3A36"/>
                <w:sz w:val="17"/>
              </w:rPr>
              <w:t>19.22</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22.00</w:t>
            </w:r>
          </w:p>
        </w:tc>
        <w:tc>
          <w:tcPr>
            <w:tcW w:type="dxa" w:w="1325"/>
          </w:tcPr>
          <w:p>
            <w:pPr>
              <w:spacing w:after="20"/>
              <w:jc w:val="right"/>
            </w:pPr>
            <w:r>
              <w:rPr>
                <w:color w:val="1C3A36"/>
                <w:sz w:val="17"/>
              </w:rPr>
              <w:t>23.21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39.2%</w:t>
            </w:r>
          </w:p>
        </w:tc>
        <w:tc>
          <w:tcPr>
            <w:tcW w:type="dxa" w:w="1325"/>
            <w:shd w:val="clear" w:color="auto" w:fill="F6F1E6"/>
          </w:tcPr>
          <w:p>
            <w:pPr>
              <w:spacing w:after="20"/>
              <w:jc w:val="right"/>
            </w:pPr>
            <w:r>
              <w:rPr>
                <w:b/>
                <w:color w:val="1C3A36"/>
                <w:sz w:val="17"/>
              </w:rPr>
              <w:t>37.3%</w:t>
            </w:r>
          </w:p>
        </w:tc>
        <w:tc>
          <w:tcPr>
            <w:tcW w:type="dxa" w:w="1325"/>
            <w:shd w:val="clear" w:color="auto" w:fill="F6F1E6"/>
          </w:tcPr>
          <w:p>
            <w:pPr>
              <w:spacing w:after="20"/>
              <w:jc w:val="right"/>
            </w:pPr>
            <w:r>
              <w:rPr>
                <w:b/>
                <w:color w:val="1C3A36"/>
                <w:sz w:val="17"/>
              </w:rPr>
              <w:t>36.9%</w:t>
            </w:r>
          </w:p>
        </w:tc>
        <w:tc>
          <w:tcPr>
            <w:tcW w:type="dxa" w:w="1325"/>
            <w:shd w:val="clear" w:color="auto" w:fill="F6F1E6"/>
          </w:tcPr>
          <w:p>
            <w:pPr>
              <w:spacing w:after="20"/>
              <w:jc w:val="right"/>
            </w:pPr>
            <w:r>
              <w:rPr>
                <w:b/>
                <w:color w:val="1C3A36"/>
                <w:sz w:val="17"/>
              </w:rPr>
              <w:t>36.8%</w:t>
            </w:r>
          </w:p>
        </w:tc>
        <w:tc>
          <w:tcPr>
            <w:tcW w:type="dxa" w:w="1325"/>
            <w:shd w:val="clear" w:color="auto" w:fill="F6F1E6"/>
          </w:tcPr>
          <w:p>
            <w:pPr>
              <w:spacing w:after="20"/>
              <w:jc w:val="right"/>
            </w:pPr>
            <w:r>
              <w:rPr>
                <w:b/>
                <w:color w:val="1C3A36"/>
                <w:sz w:val="17"/>
              </w:rPr>
              <w:t>36.5%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7,983 million of revenue by FY2030 at a 45% contribution margin closes the gap from EGP 36.64 to EGP 127.30. That is 30% of FY2030 revenue, or about USD 114 million a year — 1.14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114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90.66 a share — EGP 15,299 million, 71% of the entire share price — for a plant this study values at nothing, against a stated build cost of USD 100 million, about EGP 7,011 million. The market is not merely paying for the plant to work; it is paying roughly 2.2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114 million a year of biosimilar revenue by 2030 is a figure the company will eventually disclose, and a reader can check this study against it. An asset turn of 1.14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10,694</w:t>
            </w:r>
          </w:p>
        </w:tc>
        <w:tc>
          <w:tcPr>
            <w:tcW w:type="dxa" w:w="3312"/>
          </w:tcPr>
          <w:p>
            <w:pPr>
              <w:spacing w:after="20"/>
              <w:jc w:val="right"/>
            </w:pPr>
            <w:r>
              <w:rPr>
                <w:color w:val="1C3A36"/>
                <w:sz w:val="16"/>
              </w:rPr>
              <w:t>2.9%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39.2%</w:t>
            </w:r>
          </w:p>
        </w:tc>
        <w:tc>
          <w:tcPr>
            <w:tcW w:type="dxa" w:w="3312"/>
          </w:tcPr>
          <w:p>
            <w:pPr>
              <w:spacing w:after="20"/>
              <w:jc w:val="right"/>
            </w:pPr>
            <w:r>
              <w:rPr>
                <w:color w:val="1C3A36"/>
                <w:sz w:val="16"/>
              </w:rPr>
              <w:t>within 320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1,337</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891</w:t>
            </w:r>
          </w:p>
        </w:tc>
        <w:tc>
          <w:tcPr>
            <w:tcW w:type="dxa" w:w="3312"/>
          </w:tcPr>
          <w:p>
            <w:pPr>
              <w:spacing w:after="20"/>
              <w:jc w:val="right"/>
            </w:pPr>
            <w:r>
              <w:rPr>
                <w:color w:val="1C3A36"/>
                <w:sz w:val="16"/>
              </w:rPr>
              <w:t>the study is -31%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5.28</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28.99%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0.629</w:t>
            </w:r>
          </w:p>
        </w:tc>
        <w:tc>
          <w:tcPr>
            <w:tcW w:type="dxa" w:w="1368"/>
          </w:tcPr>
          <w:p>
            <w:pPr>
              <w:spacing w:after="20"/>
              <w:jc w:val="right"/>
            </w:pPr>
            <w:r>
              <w:rPr>
                <w:color w:val="1C3A36"/>
                <w:sz w:val="16"/>
              </w:rPr>
              <w:t>0.629</w:t>
            </w:r>
          </w:p>
        </w:tc>
        <w:tc>
          <w:tcPr>
            <w:tcW w:type="dxa" w:w="4536"/>
          </w:tcPr>
          <w:p>
            <w:pPr>
              <w:spacing w:after="20"/>
              <w:jc w:val="right"/>
            </w:pPr>
            <w:r>
              <w:rPr>
                <w:color w:val="1C3A36"/>
                <w:sz w:val="16"/>
              </w:rPr>
              <w:t>Own-stock weekly regression against a 36-name local composite, five years; R-squared 0.235, n = 257, standard error 0.071</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25.57%</w:t>
            </w:r>
          </w:p>
        </w:tc>
        <w:tc>
          <w:tcPr>
            <w:tcW w:type="dxa" w:w="1368"/>
            <w:shd w:val="clear" w:color="auto" w:fill="F6F1E6"/>
          </w:tcPr>
          <w:p>
            <w:pPr>
              <w:spacing w:after="20"/>
              <w:jc w:val="right"/>
            </w:pPr>
            <w:r>
              <w:rPr>
                <w:b/>
                <w:color w:val="1C3A36"/>
                <w:sz w:val="16"/>
              </w:rPr>
              <w:t>25.51%</w:t>
            </w:r>
          </w:p>
        </w:tc>
        <w:tc>
          <w:tcPr>
            <w:tcW w:type="dxa" w:w="4536"/>
            <w:shd w:val="clear" w:color="auto" w:fill="F6F1E6"/>
          </w:tcPr>
          <w:p>
            <w:pPr>
              <w:spacing w:after="20"/>
              <w:jc w:val="right"/>
            </w:pPr>
            <w:r>
              <w:rPr>
                <w:b/>
                <w:color w:val="1C3A36"/>
                <w:sz w:val="16"/>
              </w:rPr>
              <w:t>The two bases agree to 6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22.71%</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22.31%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15.03%</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16.90%, cost of debt after tax 9.56%, DERIVED debt weight 25.5% on today's market values. The forecast balance sheet, once funded, carries 47.9% on book at FY2030E, which would give 13.38%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22.71%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36.64</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27.77</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52.23</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37.34</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37</w:t>
            </w:r>
          </w:p>
        </w:tc>
        <w:tc>
          <w:tcPr>
            <w:tcW w:type="dxa" w:w="1368"/>
          </w:tcPr>
          <w:p>
            <w:pPr>
              <w:spacing w:after="20"/>
              <w:jc w:val="right"/>
            </w:pPr>
            <w:r>
              <w:rPr>
                <w:color w:val="1C3A36"/>
                <w:sz w:val="17"/>
              </w:rPr>
              <w:t>41</w:t>
            </w:r>
          </w:p>
        </w:tc>
        <w:tc>
          <w:tcPr>
            <w:tcW w:type="dxa" w:w="1368"/>
          </w:tcPr>
          <w:p>
            <w:pPr>
              <w:spacing w:after="20"/>
              <w:jc w:val="right"/>
            </w:pPr>
            <w:r>
              <w:rPr>
                <w:color w:val="1C3A36"/>
                <w:sz w:val="17"/>
              </w:rPr>
              <w:t>46</w:t>
            </w:r>
          </w:p>
        </w:tc>
        <w:tc>
          <w:tcPr>
            <w:tcW w:type="dxa" w:w="1368"/>
          </w:tcPr>
          <w:p>
            <w:pPr>
              <w:spacing w:after="20"/>
              <w:jc w:val="right"/>
            </w:pPr>
            <w:r>
              <w:rPr>
                <w:color w:val="1C3A36"/>
                <w:sz w:val="17"/>
              </w:rPr>
              <w:t>53</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32</w:t>
            </w:r>
          </w:p>
        </w:tc>
        <w:tc>
          <w:tcPr>
            <w:tcW w:type="dxa" w:w="1368"/>
          </w:tcPr>
          <w:p>
            <w:pPr>
              <w:spacing w:after="20"/>
              <w:jc w:val="right"/>
            </w:pPr>
            <w:r>
              <w:rPr>
                <w:color w:val="1C3A36"/>
                <w:sz w:val="17"/>
              </w:rPr>
              <w:t>35</w:t>
            </w:r>
          </w:p>
        </w:tc>
        <w:tc>
          <w:tcPr>
            <w:tcW w:type="dxa" w:w="1368"/>
          </w:tcPr>
          <w:p>
            <w:pPr>
              <w:spacing w:after="20"/>
              <w:jc w:val="right"/>
            </w:pPr>
            <w:r>
              <w:rPr>
                <w:color w:val="1C3A36"/>
                <w:sz w:val="17"/>
              </w:rPr>
              <w:t>39</w:t>
            </w:r>
          </w:p>
        </w:tc>
        <w:tc>
          <w:tcPr>
            <w:tcW w:type="dxa" w:w="1368"/>
          </w:tcPr>
          <w:p>
            <w:pPr>
              <w:spacing w:after="20"/>
              <w:jc w:val="right"/>
            </w:pPr>
            <w:r>
              <w:rPr>
                <w:color w:val="1C3A36"/>
                <w:sz w:val="17"/>
              </w:rPr>
              <w:t>44</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25</w:t>
            </w:r>
          </w:p>
        </w:tc>
        <w:tc>
          <w:tcPr>
            <w:tcW w:type="dxa" w:w="1368"/>
          </w:tcPr>
          <w:p>
            <w:pPr>
              <w:spacing w:after="20"/>
              <w:jc w:val="right"/>
            </w:pPr>
            <w:r>
              <w:rPr>
                <w:color w:val="1C3A36"/>
                <w:sz w:val="17"/>
              </w:rPr>
              <w:t>27</w:t>
            </w:r>
          </w:p>
        </w:tc>
        <w:tc>
          <w:tcPr>
            <w:tcW w:type="dxa" w:w="1368"/>
          </w:tcPr>
          <w:p>
            <w:pPr>
              <w:spacing w:after="20"/>
              <w:jc w:val="right"/>
            </w:pPr>
            <w:r>
              <w:rPr>
                <w:color w:val="1C3A36"/>
                <w:sz w:val="17"/>
              </w:rPr>
              <w:t>30</w:t>
            </w:r>
          </w:p>
        </w:tc>
        <w:tc>
          <w:tcPr>
            <w:tcW w:type="dxa" w:w="1368"/>
          </w:tcPr>
          <w:p>
            <w:pPr>
              <w:spacing w:after="20"/>
              <w:jc w:val="right"/>
            </w:pPr>
            <w:r>
              <w:rPr>
                <w:color w:val="1C3A36"/>
                <w:sz w:val="17"/>
              </w:rPr>
              <w:t>33</w:t>
            </w:r>
          </w:p>
        </w:tc>
        <w:tc>
          <w:tcPr>
            <w:tcW w:type="dxa" w:w="1368"/>
          </w:tcPr>
          <w:p>
            <w:pPr>
              <w:spacing w:after="20"/>
              <w:jc w:val="right"/>
            </w:pPr>
            <w:r>
              <w:rPr>
                <w:color w:val="1C3A36"/>
                <w:sz w:val="17"/>
              </w:rPr>
              <w:t>37</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21</w:t>
            </w:r>
          </w:p>
        </w:tc>
        <w:tc>
          <w:tcPr>
            <w:tcW w:type="dxa" w:w="1368"/>
          </w:tcPr>
          <w:p>
            <w:pPr>
              <w:spacing w:after="20"/>
              <w:jc w:val="right"/>
            </w:pPr>
            <w:r>
              <w:rPr>
                <w:color w:val="1C3A36"/>
                <w:sz w:val="17"/>
              </w:rPr>
              <w:t>23</w:t>
            </w:r>
          </w:p>
        </w:tc>
        <w:tc>
          <w:tcPr>
            <w:tcW w:type="dxa" w:w="1368"/>
          </w:tcPr>
          <w:p>
            <w:pPr>
              <w:spacing w:after="20"/>
              <w:jc w:val="right"/>
            </w:pPr>
            <w:r>
              <w:rPr>
                <w:color w:val="1C3A36"/>
                <w:sz w:val="17"/>
              </w:rPr>
              <w:t>25</w:t>
            </w:r>
          </w:p>
        </w:tc>
        <w:tc>
          <w:tcPr>
            <w:tcW w:type="dxa" w:w="1368"/>
          </w:tcPr>
          <w:p>
            <w:pPr>
              <w:spacing w:after="20"/>
              <w:jc w:val="right"/>
            </w:pPr>
            <w:r>
              <w:rPr>
                <w:color w:val="1C3A36"/>
                <w:sz w:val="17"/>
              </w:rPr>
              <w:t>28</w:t>
            </w:r>
          </w:p>
        </w:tc>
        <w:tc>
          <w:tcPr>
            <w:tcW w:type="dxa" w:w="1368"/>
          </w:tcPr>
          <w:p>
            <w:pPr>
              <w:spacing w:after="20"/>
              <w:jc w:val="right"/>
            </w:pPr>
            <w:r>
              <w:rPr>
                <w:color w:val="1C3A36"/>
                <w:sz w:val="17"/>
              </w:rPr>
              <w:t>31</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18</w:t>
            </w:r>
          </w:p>
        </w:tc>
        <w:tc>
          <w:tcPr>
            <w:tcW w:type="dxa" w:w="1368"/>
          </w:tcPr>
          <w:p>
            <w:pPr>
              <w:spacing w:after="20"/>
              <w:jc w:val="right"/>
            </w:pPr>
            <w:r>
              <w:rPr>
                <w:color w:val="1C3A36"/>
                <w:sz w:val="17"/>
              </w:rPr>
              <w:t>19</w:t>
            </w:r>
          </w:p>
        </w:tc>
        <w:tc>
          <w:tcPr>
            <w:tcW w:type="dxa" w:w="1368"/>
          </w:tcPr>
          <w:p>
            <w:pPr>
              <w:spacing w:after="20"/>
              <w:jc w:val="right"/>
            </w:pPr>
            <w:r>
              <w:rPr>
                <w:color w:val="1C3A36"/>
                <w:sz w:val="17"/>
              </w:rPr>
              <w:t>21</w:t>
            </w:r>
          </w:p>
        </w:tc>
        <w:tc>
          <w:tcPr>
            <w:tcW w:type="dxa" w:w="1368"/>
          </w:tcPr>
          <w:p>
            <w:pPr>
              <w:spacing w:after="20"/>
              <w:jc w:val="right"/>
            </w:pPr>
            <w:r>
              <w:rPr>
                <w:color w:val="1C3A36"/>
                <w:sz w:val="17"/>
              </w:rPr>
              <w:t>23</w:t>
            </w:r>
          </w:p>
        </w:tc>
        <w:tc>
          <w:tcPr>
            <w:tcW w:type="dxa" w:w="1368"/>
          </w:tcPr>
          <w:p>
            <w:pPr>
              <w:spacing w:after="20"/>
              <w:jc w:val="right"/>
            </w:pPr>
            <w:r>
              <w:rPr>
                <w:color w:val="1C3A36"/>
                <w:sz w:val="17"/>
              </w:rPr>
              <w:t>26</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18 to EGP 53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1,996 million of FY2030 sales, or USD 28 million a year — is worth about EGP 22.67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4160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4160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scoring each forecast against what actually happened. Over the last five years of those tests — 19 non-overlapping three-month windows — it scored marginally better than a random walk anchored on the same carry, by +0.0021 on a scale where zero means no better and one means perfect. Over the full 13.8-year history and 56 windows it scored -0.0177. A third set was run on the period AFTER the currency break that dominates the older history — 16 windows from 2022-06-20 to 2026-03-24, scoring -0.0109 — and it is published here because it is the set that matches the period the bands shown above are built on. All three are reported together; reporting only two of three would be a choice about which evidence a reader sees. In plain terms: on this single share the method is indistinguishable from a random walk, and this study says so rather than claiming an edge it cannot demonstrate.</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36.64</w:t>
            </w:r>
          </w:p>
        </w:tc>
        <w:tc>
          <w:tcPr>
            <w:tcW w:type="dxa" w:w="2952"/>
          </w:tcPr>
          <w:p>
            <w:pPr>
              <w:spacing w:after="20"/>
              <w:jc w:val="right"/>
            </w:pPr>
            <w:r>
              <w:rPr>
                <w:color w:val="1C3A36"/>
                <w:sz w:val="16"/>
              </w:rPr>
              <w:t>the terminal discount rate and the terminal growth rate — 81%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54.24</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43.91</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48.65</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56.78</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cash-flow reading on the permanent-provision frame at EGP 36.64; the highest is the normalised-earnings lens at EGP 56.78. The cash-flow readings charge the new plant's full cost and credit it with nothing, so they sit low despite capturing five years of the volume and price growth the existing business is already delivering. The relative lens prices the company on what a 18.8% return and a 16.9% perpetual cost of equity can justify, which supports about 6.33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114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36.64 and EGP 54.24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12.73% in FY2030E. It now READS the model's own final year, so terminal reinvestment rises from 25.0% to 55.0%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3,108 million of construction is still parked at FY2030E and had never entered the depreciable base. A perpetuity cannot capitalise profit on capital it never charges, so EGP 193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47.9%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36.64 on Frame A (-54%) and EGP 54.24 on Frame B (-32%)</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9.30% against a blended MARGINAL cost of debt of 18.55%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beta composite contains the subject itself</w:t>
            </w:r>
          </w:p>
        </w:tc>
        <w:tc>
          <w:tcPr>
            <w:tcW w:type="dxa" w:w="4824"/>
          </w:tcPr>
          <w:p>
            <w:pPr>
              <w:spacing w:after="20"/>
              <w:jc w:val="right"/>
            </w:pPr>
            <w:r>
              <w:rPr>
                <w:color w:val="1C3A36"/>
                <w:sz w:val="16"/>
              </w:rPr>
              <w:t>the 36-name equal-weighted local composite the beta is regressed against includes this company at about 2.8% weight, which biases the coefficient toward one. Removing it gives 0.565 rather than 0.629, which would RAISE the two centres by about EGP 28.40 and EGP 18.62 a share. The in-index coefficient is carried because it is the more conservative of the two and because it is what a real local index produces; both are published in the bibliography</w:t>
            </w:r>
          </w:p>
        </w:tc>
        <w:tc>
          <w:tcPr>
            <w:tcW w:type="dxa" w:w="2376"/>
          </w:tcPr>
          <w:p>
            <w:pPr>
              <w:spacing w:after="20"/>
              <w:jc w:val="right"/>
            </w:pPr>
            <w:r>
              <w:rPr>
                <w:color w:val="1C3A36"/>
                <w:sz w:val="16"/>
              </w:rPr>
              <w:t>a published local index that excludes the constituent under study</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114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10,694</w:t>
            </w:r>
          </w:p>
        </w:tc>
        <w:tc>
          <w:tcPr>
            <w:tcW w:type="dxa" w:w="1037"/>
          </w:tcPr>
          <w:p>
            <w:pPr>
              <w:spacing w:after="20"/>
              <w:jc w:val="right"/>
            </w:pPr>
            <w:r>
              <w:rPr>
                <w:color w:val="1C3A36"/>
                <w:sz w:val="15"/>
              </w:rPr>
              <w:t>12,612</w:t>
            </w:r>
          </w:p>
        </w:tc>
        <w:tc>
          <w:tcPr>
            <w:tcW w:type="dxa" w:w="1037"/>
          </w:tcPr>
          <w:p>
            <w:pPr>
              <w:spacing w:after="20"/>
              <w:jc w:val="right"/>
            </w:pPr>
            <w:r>
              <w:rPr>
                <w:color w:val="1C3A36"/>
                <w:sz w:val="15"/>
              </w:rPr>
              <w:t>14,621</w:t>
            </w:r>
          </w:p>
        </w:tc>
        <w:tc>
          <w:tcPr>
            <w:tcW w:type="dxa" w:w="1037"/>
          </w:tcPr>
          <w:p>
            <w:pPr>
              <w:spacing w:after="20"/>
              <w:jc w:val="right"/>
            </w:pPr>
            <w:r>
              <w:rPr>
                <w:color w:val="1C3A36"/>
                <w:sz w:val="15"/>
              </w:rPr>
              <w:t>16,637</w:t>
            </w:r>
          </w:p>
        </w:tc>
        <w:tc>
          <w:tcPr>
            <w:tcW w:type="dxa" w:w="1037"/>
          </w:tcPr>
          <w:p>
            <w:pPr>
              <w:spacing w:after="20"/>
              <w:jc w:val="right"/>
            </w:pPr>
            <w:r>
              <w:rPr>
                <w:color w:val="1C3A36"/>
                <w:sz w:val="15"/>
              </w:rPr>
              <w:t>18,608</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4,191</w:t>
            </w:r>
          </w:p>
        </w:tc>
        <w:tc>
          <w:tcPr>
            <w:tcW w:type="dxa" w:w="1037"/>
            <w:shd w:val="clear" w:color="auto" w:fill="F6F1E6"/>
          </w:tcPr>
          <w:p>
            <w:pPr>
              <w:spacing w:after="20"/>
              <w:jc w:val="right"/>
            </w:pPr>
            <w:r>
              <w:rPr>
                <w:b/>
                <w:color w:val="1C3A36"/>
                <w:sz w:val="15"/>
              </w:rPr>
              <w:t>4,702</w:t>
            </w:r>
          </w:p>
        </w:tc>
        <w:tc>
          <w:tcPr>
            <w:tcW w:type="dxa" w:w="1037"/>
            <w:shd w:val="clear" w:color="auto" w:fill="F6F1E6"/>
          </w:tcPr>
          <w:p>
            <w:pPr>
              <w:spacing w:after="20"/>
              <w:jc w:val="right"/>
            </w:pPr>
            <w:r>
              <w:rPr>
                <w:b/>
                <w:color w:val="1C3A36"/>
                <w:sz w:val="15"/>
              </w:rPr>
              <w:t>5,390</w:t>
            </w:r>
          </w:p>
        </w:tc>
        <w:tc>
          <w:tcPr>
            <w:tcW w:type="dxa" w:w="1037"/>
            <w:shd w:val="clear" w:color="auto" w:fill="F6F1E6"/>
          </w:tcPr>
          <w:p>
            <w:pPr>
              <w:spacing w:after="20"/>
              <w:jc w:val="right"/>
            </w:pPr>
            <w:r>
              <w:rPr>
                <w:b/>
                <w:color w:val="1C3A36"/>
                <w:sz w:val="15"/>
              </w:rPr>
              <w:t>6,115</w:t>
            </w:r>
          </w:p>
        </w:tc>
        <w:tc>
          <w:tcPr>
            <w:tcW w:type="dxa" w:w="1037"/>
            <w:shd w:val="clear" w:color="auto" w:fill="F6F1E6"/>
          </w:tcPr>
          <w:p>
            <w:pPr>
              <w:spacing w:after="20"/>
              <w:jc w:val="right"/>
            </w:pPr>
            <w:r>
              <w:rPr>
                <w:b/>
                <w:color w:val="1C3A36"/>
                <w:sz w:val="15"/>
              </w:rPr>
              <w:t>6,785</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39.2%</w:t>
            </w:r>
          </w:p>
        </w:tc>
        <w:tc>
          <w:tcPr>
            <w:tcW w:type="dxa" w:w="1037"/>
          </w:tcPr>
          <w:p>
            <w:pPr>
              <w:spacing w:after="20"/>
              <w:jc w:val="right"/>
            </w:pPr>
            <w:r>
              <w:rPr>
                <w:color w:val="1C3A36"/>
                <w:sz w:val="15"/>
              </w:rPr>
              <w:t>37.3%</w:t>
            </w:r>
          </w:p>
        </w:tc>
        <w:tc>
          <w:tcPr>
            <w:tcW w:type="dxa" w:w="1037"/>
          </w:tcPr>
          <w:p>
            <w:pPr>
              <w:spacing w:after="20"/>
              <w:jc w:val="right"/>
            </w:pPr>
            <w:r>
              <w:rPr>
                <w:color w:val="1C3A36"/>
                <w:sz w:val="15"/>
              </w:rPr>
              <w:t>36.9%</w:t>
            </w:r>
          </w:p>
        </w:tc>
        <w:tc>
          <w:tcPr>
            <w:tcW w:type="dxa" w:w="1037"/>
          </w:tcPr>
          <w:p>
            <w:pPr>
              <w:spacing w:after="20"/>
              <w:jc w:val="right"/>
            </w:pPr>
            <w:r>
              <w:rPr>
                <w:color w:val="1C3A36"/>
                <w:sz w:val="15"/>
              </w:rPr>
              <w:t>36.8%</w:t>
            </w:r>
          </w:p>
        </w:tc>
        <w:tc>
          <w:tcPr>
            <w:tcW w:type="dxa" w:w="1037"/>
          </w:tcPr>
          <w:p>
            <w:pPr>
              <w:spacing w:after="20"/>
              <w:jc w:val="right"/>
            </w:pPr>
            <w:r>
              <w:rPr>
                <w:color w:val="1C3A36"/>
                <w:sz w:val="15"/>
              </w:rPr>
              <w:t>36.5%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1,112</w:t>
            </w:r>
          </w:p>
        </w:tc>
        <w:tc>
          <w:tcPr>
            <w:tcW w:type="dxa" w:w="1037"/>
          </w:tcPr>
          <w:p>
            <w:pPr>
              <w:spacing w:after="20"/>
              <w:jc w:val="right"/>
            </w:pPr>
            <w:r>
              <w:rPr>
                <w:color w:val="1C3A36"/>
                <w:sz w:val="15"/>
              </w:rPr>
              <w:t>1,286</w:t>
            </w:r>
          </w:p>
        </w:tc>
        <w:tc>
          <w:tcPr>
            <w:tcW w:type="dxa" w:w="1037"/>
          </w:tcPr>
          <w:p>
            <w:pPr>
              <w:spacing w:after="20"/>
              <w:jc w:val="right"/>
            </w:pPr>
            <w:r>
              <w:rPr>
                <w:color w:val="1C3A36"/>
                <w:sz w:val="15"/>
              </w:rPr>
              <w:t>1,462</w:t>
            </w:r>
          </w:p>
        </w:tc>
        <w:tc>
          <w:tcPr>
            <w:tcW w:type="dxa" w:w="1037"/>
          </w:tcPr>
          <w:p>
            <w:pPr>
              <w:spacing w:after="20"/>
              <w:jc w:val="right"/>
            </w:pPr>
            <w:r>
              <w:rPr>
                <w:color w:val="1C3A36"/>
                <w:sz w:val="15"/>
              </w:rPr>
              <w:t>1,647</w:t>
            </w:r>
          </w:p>
        </w:tc>
        <w:tc>
          <w:tcPr>
            <w:tcW w:type="dxa" w:w="1037"/>
          </w:tcPr>
          <w:p>
            <w:pPr>
              <w:spacing w:after="20"/>
              <w:jc w:val="right"/>
            </w:pPr>
            <w:r>
              <w:rPr>
                <w:color w:val="1C3A36"/>
                <w:sz w:val="15"/>
              </w:rPr>
              <w:t>1,824</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90.9</w:t>
            </w:r>
          </w:p>
        </w:tc>
        <w:tc>
          <w:tcPr>
            <w:tcW w:type="dxa" w:w="1037"/>
          </w:tcPr>
          <w:p>
            <w:pPr>
              <w:spacing w:after="20"/>
              <w:jc w:val="right"/>
            </w:pPr>
            <w:r>
              <w:rPr>
                <w:color w:val="1C3A36"/>
                <w:sz w:val="15"/>
              </w:rPr>
              <w:t>113.5</w:t>
            </w:r>
          </w:p>
        </w:tc>
        <w:tc>
          <w:tcPr>
            <w:tcW w:type="dxa" w:w="1037"/>
          </w:tcPr>
          <w:p>
            <w:pPr>
              <w:spacing w:after="20"/>
              <w:jc w:val="right"/>
            </w:pPr>
            <w:r>
              <w:rPr>
                <w:color w:val="1C3A36"/>
                <w:sz w:val="15"/>
              </w:rPr>
              <w:t>138.9</w:t>
            </w:r>
          </w:p>
        </w:tc>
        <w:tc>
          <w:tcPr>
            <w:tcW w:type="dxa" w:w="1037"/>
          </w:tcPr>
          <w:p>
            <w:pPr>
              <w:spacing w:after="20"/>
              <w:jc w:val="right"/>
            </w:pPr>
            <w:r>
              <w:rPr>
                <w:color w:val="1C3A36"/>
                <w:sz w:val="15"/>
              </w:rPr>
              <w:t>166.4</w:t>
            </w:r>
          </w:p>
        </w:tc>
        <w:tc>
          <w:tcPr>
            <w:tcW w:type="dxa" w:w="1037"/>
          </w:tcPr>
          <w:p>
            <w:pPr>
              <w:spacing w:after="20"/>
              <w:jc w:val="right"/>
            </w:pPr>
            <w:r>
              <w:rPr>
                <w:color w:val="1C3A36"/>
                <w:sz w:val="15"/>
              </w:rPr>
              <w:t>186.1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251.3</w:t>
            </w:r>
          </w:p>
        </w:tc>
        <w:tc>
          <w:tcPr>
            <w:tcW w:type="dxa" w:w="1037"/>
          </w:tcPr>
          <w:p>
            <w:pPr>
              <w:spacing w:after="20"/>
              <w:jc w:val="right"/>
            </w:pPr>
            <w:r>
              <w:rPr>
                <w:color w:val="1C3A36"/>
                <w:sz w:val="15"/>
              </w:rPr>
              <w:t>296.4</w:t>
            </w:r>
          </w:p>
        </w:tc>
        <w:tc>
          <w:tcPr>
            <w:tcW w:type="dxa" w:w="1037"/>
          </w:tcPr>
          <w:p>
            <w:pPr>
              <w:spacing w:after="20"/>
              <w:jc w:val="right"/>
            </w:pPr>
            <w:r>
              <w:rPr>
                <w:color w:val="1C3A36"/>
                <w:sz w:val="15"/>
              </w:rPr>
              <w:t>336.3</w:t>
            </w:r>
          </w:p>
        </w:tc>
        <w:tc>
          <w:tcPr>
            <w:tcW w:type="dxa" w:w="1037"/>
          </w:tcPr>
          <w:p>
            <w:pPr>
              <w:spacing w:after="20"/>
              <w:jc w:val="right"/>
            </w:pPr>
            <w:r>
              <w:rPr>
                <w:color w:val="1C3A36"/>
                <w:sz w:val="15"/>
              </w:rPr>
              <w:t>379.3</w:t>
            </w:r>
          </w:p>
        </w:tc>
        <w:tc>
          <w:tcPr>
            <w:tcW w:type="dxa" w:w="1037"/>
          </w:tcPr>
          <w:p>
            <w:pPr>
              <w:spacing w:after="20"/>
              <w:jc w:val="right"/>
            </w:pPr>
            <w:r>
              <w:rPr>
                <w:color w:val="1C3A36"/>
                <w:sz w:val="15"/>
              </w:rPr>
              <w:t>418.7</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561</w:t>
            </w:r>
          </w:p>
        </w:tc>
        <w:tc>
          <w:tcPr>
            <w:tcW w:type="dxa" w:w="1037"/>
          </w:tcPr>
          <w:p>
            <w:pPr>
              <w:spacing w:after="20"/>
              <w:jc w:val="right"/>
            </w:pPr>
            <w:r>
              <w:rPr>
                <w:color w:val="1C3A36"/>
                <w:sz w:val="15"/>
              </w:rPr>
              <w:t>662</w:t>
            </w:r>
          </w:p>
        </w:tc>
        <w:tc>
          <w:tcPr>
            <w:tcW w:type="dxa" w:w="1037"/>
          </w:tcPr>
          <w:p>
            <w:pPr>
              <w:spacing w:after="20"/>
              <w:jc w:val="right"/>
            </w:pPr>
            <w:r>
              <w:rPr>
                <w:color w:val="1C3A36"/>
                <w:sz w:val="15"/>
              </w:rPr>
              <w:t>768</w:t>
            </w:r>
          </w:p>
        </w:tc>
        <w:tc>
          <w:tcPr>
            <w:tcW w:type="dxa" w:w="1037"/>
          </w:tcPr>
          <w:p>
            <w:pPr>
              <w:spacing w:after="20"/>
              <w:jc w:val="right"/>
            </w:pPr>
            <w:r>
              <w:rPr>
                <w:color w:val="1C3A36"/>
                <w:sz w:val="15"/>
              </w:rPr>
              <w:t>873</w:t>
            </w:r>
          </w:p>
        </w:tc>
        <w:tc>
          <w:tcPr>
            <w:tcW w:type="dxa" w:w="1037"/>
          </w:tcPr>
          <w:p>
            <w:pPr>
              <w:spacing w:after="20"/>
              <w:jc w:val="right"/>
            </w:pPr>
            <w:r>
              <w:rPr>
                <w:color w:val="1C3A36"/>
                <w:sz w:val="15"/>
              </w:rPr>
              <w:t>977</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2,111</w:t>
            </w:r>
          </w:p>
        </w:tc>
        <w:tc>
          <w:tcPr>
            <w:tcW w:type="dxa" w:w="1037"/>
            <w:shd w:val="clear" w:color="auto" w:fill="F6F1E6"/>
          </w:tcPr>
          <w:p>
            <w:pPr>
              <w:spacing w:after="20"/>
              <w:jc w:val="right"/>
            </w:pPr>
            <w:r>
              <w:rPr>
                <w:b/>
                <w:color w:val="1C3A36"/>
                <w:sz w:val="15"/>
              </w:rPr>
              <w:t>2,254</w:t>
            </w:r>
          </w:p>
        </w:tc>
        <w:tc>
          <w:tcPr>
            <w:tcW w:type="dxa" w:w="1037"/>
            <w:shd w:val="clear" w:color="auto" w:fill="F6F1E6"/>
          </w:tcPr>
          <w:p>
            <w:pPr>
              <w:spacing w:after="20"/>
              <w:jc w:val="right"/>
            </w:pPr>
            <w:r>
              <w:rPr>
                <w:b/>
                <w:color w:val="1C3A36"/>
                <w:sz w:val="15"/>
              </w:rPr>
              <w:t>2,591</w:t>
            </w:r>
          </w:p>
        </w:tc>
        <w:tc>
          <w:tcPr>
            <w:tcW w:type="dxa" w:w="1037"/>
            <w:shd w:val="clear" w:color="auto" w:fill="F6F1E6"/>
          </w:tcPr>
          <w:p>
            <w:pPr>
              <w:spacing w:after="20"/>
              <w:jc w:val="right"/>
            </w:pPr>
            <w:r>
              <w:rPr>
                <w:b/>
                <w:color w:val="1C3A36"/>
                <w:sz w:val="15"/>
              </w:rPr>
              <w:t>2,957</w:t>
            </w:r>
          </w:p>
        </w:tc>
        <w:tc>
          <w:tcPr>
            <w:tcW w:type="dxa" w:w="1037"/>
            <w:shd w:val="clear" w:color="auto" w:fill="F6F1E6"/>
          </w:tcPr>
          <w:p>
            <w:pPr>
              <w:spacing w:after="20"/>
              <w:jc w:val="right"/>
            </w:pPr>
            <w:r>
              <w:rPr>
                <w:b/>
                <w:color w:val="1C3A36"/>
                <w:sz w:val="15"/>
              </w:rPr>
              <w:t>3,290</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2,415</w:t>
            </w:r>
          </w:p>
        </w:tc>
        <w:tc>
          <w:tcPr>
            <w:tcW w:type="dxa" w:w="1037"/>
          </w:tcPr>
          <w:p>
            <w:pPr>
              <w:spacing w:after="20"/>
              <w:jc w:val="right"/>
            </w:pPr>
            <w:r>
              <w:rPr>
                <w:color w:val="1C3A36"/>
                <w:sz w:val="15"/>
              </w:rPr>
              <w:t>2,679</w:t>
            </w:r>
          </w:p>
        </w:tc>
        <w:tc>
          <w:tcPr>
            <w:tcW w:type="dxa" w:w="1037"/>
          </w:tcPr>
          <w:p>
            <w:pPr>
              <w:spacing w:after="20"/>
              <w:jc w:val="right"/>
            </w:pPr>
            <w:r>
              <w:rPr>
                <w:color w:val="1C3A36"/>
                <w:sz w:val="15"/>
              </w:rPr>
              <w:t>3,037</w:t>
            </w:r>
          </w:p>
        </w:tc>
        <w:tc>
          <w:tcPr>
            <w:tcW w:type="dxa" w:w="1037"/>
          </w:tcPr>
          <w:p>
            <w:pPr>
              <w:spacing w:after="20"/>
              <w:jc w:val="right"/>
            </w:pPr>
            <w:r>
              <w:rPr>
                <w:color w:val="1C3A36"/>
                <w:sz w:val="15"/>
              </w:rPr>
              <w:t>3,394</w:t>
            </w:r>
          </w:p>
        </w:tc>
        <w:tc>
          <w:tcPr>
            <w:tcW w:type="dxa" w:w="1037"/>
          </w:tcPr>
          <w:p>
            <w:pPr>
              <w:spacing w:after="20"/>
              <w:jc w:val="right"/>
            </w:pPr>
            <w:r>
              <w:rPr>
                <w:color w:val="1C3A36"/>
                <w:sz w:val="15"/>
              </w:rPr>
              <w:t>3,713</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891</w:t>
            </w:r>
          </w:p>
        </w:tc>
        <w:tc>
          <w:tcPr>
            <w:tcW w:type="dxa" w:w="1037"/>
            <w:shd w:val="clear" w:color="auto" w:fill="F6F1E6"/>
          </w:tcPr>
          <w:p>
            <w:pPr>
              <w:spacing w:after="20"/>
              <w:jc w:val="right"/>
            </w:pPr>
            <w:r>
              <w:rPr>
                <w:b/>
                <w:color w:val="1C3A36"/>
                <w:sz w:val="15"/>
              </w:rPr>
              <w:t>1,031</w:t>
            </w:r>
          </w:p>
        </w:tc>
        <w:tc>
          <w:tcPr>
            <w:tcW w:type="dxa" w:w="1037"/>
            <w:shd w:val="clear" w:color="auto" w:fill="F6F1E6"/>
          </w:tcPr>
          <w:p>
            <w:pPr>
              <w:spacing w:after="20"/>
              <w:jc w:val="right"/>
            </w:pPr>
            <w:r>
              <w:rPr>
                <w:b/>
                <w:color w:val="1C3A36"/>
                <w:sz w:val="15"/>
              </w:rPr>
              <w:t>1,335</w:t>
            </w:r>
          </w:p>
        </w:tc>
        <w:tc>
          <w:tcPr>
            <w:tcW w:type="dxa" w:w="1037"/>
            <w:shd w:val="clear" w:color="auto" w:fill="F6F1E6"/>
          </w:tcPr>
          <w:p>
            <w:pPr>
              <w:spacing w:after="20"/>
              <w:jc w:val="right"/>
            </w:pPr>
            <w:r>
              <w:rPr>
                <w:b/>
                <w:color w:val="1C3A36"/>
                <w:sz w:val="15"/>
              </w:rPr>
              <w:t>1,660</w:t>
            </w:r>
          </w:p>
        </w:tc>
        <w:tc>
          <w:tcPr>
            <w:tcW w:type="dxa" w:w="1037"/>
            <w:shd w:val="clear" w:color="auto" w:fill="F6F1E6"/>
          </w:tcPr>
          <w:p>
            <w:pPr>
              <w:spacing w:after="20"/>
              <w:jc w:val="right"/>
            </w:pPr>
            <w:r>
              <w:rPr>
                <w:b/>
                <w:color w:val="1C3A36"/>
                <w:sz w:val="15"/>
              </w:rPr>
              <w:t>1,961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5.28</w:t>
            </w:r>
          </w:p>
        </w:tc>
        <w:tc>
          <w:tcPr>
            <w:tcW w:type="dxa" w:w="1037"/>
          </w:tcPr>
          <w:p>
            <w:pPr>
              <w:spacing w:after="20"/>
              <w:jc w:val="right"/>
            </w:pPr>
            <w:r>
              <w:rPr>
                <w:color w:val="1C3A36"/>
                <w:sz w:val="15"/>
              </w:rPr>
              <w:t>6.11</w:t>
            </w:r>
          </w:p>
        </w:tc>
        <w:tc>
          <w:tcPr>
            <w:tcW w:type="dxa" w:w="1037"/>
          </w:tcPr>
          <w:p>
            <w:pPr>
              <w:spacing w:after="20"/>
              <w:jc w:val="right"/>
            </w:pPr>
            <w:r>
              <w:rPr>
                <w:color w:val="1C3A36"/>
                <w:sz w:val="15"/>
              </w:rPr>
              <w:t>7.91</w:t>
            </w:r>
          </w:p>
        </w:tc>
        <w:tc>
          <w:tcPr>
            <w:tcW w:type="dxa" w:w="1037"/>
          </w:tcPr>
          <w:p>
            <w:pPr>
              <w:spacing w:after="20"/>
              <w:jc w:val="right"/>
            </w:pPr>
            <w:r>
              <w:rPr>
                <w:color w:val="1C3A36"/>
                <w:sz w:val="15"/>
              </w:rPr>
              <w:t>9.84</w:t>
            </w:r>
          </w:p>
        </w:tc>
        <w:tc>
          <w:tcPr>
            <w:tcW w:type="dxa" w:w="1037"/>
          </w:tcPr>
          <w:p>
            <w:pPr>
              <w:spacing w:after="20"/>
              <w:jc w:val="right"/>
            </w:pPr>
            <w:r>
              <w:rPr>
                <w:color w:val="1C3A36"/>
                <w:sz w:val="15"/>
              </w:rPr>
              <w:t>11.62</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534</w:t>
            </w:r>
          </w:p>
        </w:tc>
        <w:tc>
          <w:tcPr>
            <w:tcW w:type="dxa" w:w="1037"/>
          </w:tcPr>
          <w:p>
            <w:pPr>
              <w:spacing w:after="20"/>
              <w:jc w:val="right"/>
            </w:pPr>
            <w:r>
              <w:rPr>
                <w:color w:val="1C3A36"/>
                <w:sz w:val="15"/>
              </w:rPr>
              <w:t>618</w:t>
            </w:r>
          </w:p>
        </w:tc>
        <w:tc>
          <w:tcPr>
            <w:tcW w:type="dxa" w:w="1037"/>
          </w:tcPr>
          <w:p>
            <w:pPr>
              <w:spacing w:after="20"/>
              <w:jc w:val="right"/>
            </w:pPr>
            <w:r>
              <w:rPr>
                <w:color w:val="1C3A36"/>
                <w:sz w:val="15"/>
              </w:rPr>
              <w:t>801</w:t>
            </w:r>
          </w:p>
        </w:tc>
        <w:tc>
          <w:tcPr>
            <w:tcW w:type="dxa" w:w="1037"/>
          </w:tcPr>
          <w:p>
            <w:pPr>
              <w:spacing w:after="20"/>
              <w:jc w:val="right"/>
            </w:pPr>
            <w:r>
              <w:rPr>
                <w:color w:val="1C3A36"/>
                <w:sz w:val="15"/>
              </w:rPr>
              <w:t>996</w:t>
            </w:r>
          </w:p>
        </w:tc>
        <w:tc>
          <w:tcPr>
            <w:tcW w:type="dxa" w:w="1037"/>
          </w:tcPr>
          <w:p>
            <w:pPr>
              <w:spacing w:after="20"/>
              <w:jc w:val="right"/>
            </w:pPr>
            <w:r>
              <w:rPr>
                <w:color w:val="1C3A36"/>
                <w:sz w:val="15"/>
              </w:rPr>
              <w:t>1,177</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2,838</w:t>
            </w:r>
          </w:p>
        </w:tc>
        <w:tc>
          <w:tcPr>
            <w:tcW w:type="dxa" w:w="1037"/>
          </w:tcPr>
          <w:p>
            <w:pPr>
              <w:spacing w:after="20"/>
              <w:jc w:val="right"/>
            </w:pPr>
            <w:r>
              <w:rPr>
                <w:color w:val="1C3A36"/>
                <w:sz w:val="15"/>
              </w:rPr>
              <w:t>2,306</w:t>
            </w:r>
          </w:p>
        </w:tc>
        <w:tc>
          <w:tcPr>
            <w:tcW w:type="dxa" w:w="1037"/>
          </w:tcPr>
          <w:p>
            <w:pPr>
              <w:spacing w:after="20"/>
              <w:jc w:val="right"/>
            </w:pPr>
            <w:r>
              <w:rPr>
                <w:color w:val="1C3A36"/>
                <w:sz w:val="15"/>
              </w:rPr>
              <w:t>2,417</w:t>
            </w:r>
          </w:p>
        </w:tc>
        <w:tc>
          <w:tcPr>
            <w:tcW w:type="dxa" w:w="1037"/>
          </w:tcPr>
          <w:p>
            <w:pPr>
              <w:spacing w:after="20"/>
              <w:jc w:val="right"/>
            </w:pPr>
            <w:r>
              <w:rPr>
                <w:color w:val="1C3A36"/>
                <w:sz w:val="15"/>
              </w:rPr>
              <w:t>2,750</w:t>
            </w:r>
          </w:p>
        </w:tc>
        <w:tc>
          <w:tcPr>
            <w:tcW w:type="dxa" w:w="1037"/>
          </w:tcPr>
          <w:p>
            <w:pPr>
              <w:spacing w:after="20"/>
              <w:jc w:val="right"/>
            </w:pPr>
            <w:r>
              <w:rPr>
                <w:color w:val="1C3A36"/>
                <w:sz w:val="15"/>
              </w:rPr>
              <w:t>3,108</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3,692</w:t>
            </w:r>
          </w:p>
        </w:tc>
        <w:tc>
          <w:tcPr>
            <w:tcW w:type="dxa" w:w="1037"/>
          </w:tcPr>
          <w:p>
            <w:pPr>
              <w:spacing w:after="20"/>
              <w:jc w:val="right"/>
            </w:pPr>
            <w:r>
              <w:rPr>
                <w:color w:val="1C3A36"/>
                <w:sz w:val="15"/>
              </w:rPr>
              <w:t>4,215</w:t>
            </w:r>
          </w:p>
        </w:tc>
        <w:tc>
          <w:tcPr>
            <w:tcW w:type="dxa" w:w="1037"/>
          </w:tcPr>
          <w:p>
            <w:pPr>
              <w:spacing w:after="20"/>
              <w:jc w:val="right"/>
            </w:pPr>
            <w:r>
              <w:rPr>
                <w:color w:val="1C3A36"/>
                <w:sz w:val="15"/>
              </w:rPr>
              <w:t>4,727</w:t>
            </w:r>
          </w:p>
        </w:tc>
        <w:tc>
          <w:tcPr>
            <w:tcW w:type="dxa" w:w="1037"/>
          </w:tcPr>
          <w:p>
            <w:pPr>
              <w:spacing w:after="20"/>
              <w:jc w:val="right"/>
            </w:pPr>
            <w:r>
              <w:rPr>
                <w:color w:val="1C3A36"/>
                <w:sz w:val="15"/>
              </w:rPr>
              <w:t>5,242</w:t>
            </w:r>
          </w:p>
        </w:tc>
        <w:tc>
          <w:tcPr>
            <w:tcW w:type="dxa" w:w="1037"/>
          </w:tcPr>
          <w:p>
            <w:pPr>
              <w:spacing w:after="20"/>
              <w:jc w:val="right"/>
            </w:pPr>
            <w:r>
              <w:rPr>
                <w:color w:val="1C3A36"/>
                <w:sz w:val="15"/>
              </w:rPr>
              <w:t>5,710</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10,500</w:t>
            </w:r>
          </w:p>
        </w:tc>
        <w:tc>
          <w:tcPr>
            <w:tcW w:type="dxa" w:w="1037"/>
          </w:tcPr>
          <w:p>
            <w:pPr>
              <w:spacing w:after="20"/>
              <w:jc w:val="right"/>
            </w:pPr>
            <w:r>
              <w:rPr>
                <w:color w:val="1C3A36"/>
                <w:sz w:val="15"/>
              </w:rPr>
              <w:t>11,052</w:t>
            </w:r>
          </w:p>
        </w:tc>
        <w:tc>
          <w:tcPr>
            <w:tcW w:type="dxa" w:w="1037"/>
          </w:tcPr>
          <w:p>
            <w:pPr>
              <w:spacing w:after="20"/>
              <w:jc w:val="right"/>
            </w:pPr>
            <w:r>
              <w:rPr>
                <w:color w:val="1C3A36"/>
                <w:sz w:val="15"/>
              </w:rPr>
              <w:t>11,194</w:t>
            </w:r>
          </w:p>
        </w:tc>
        <w:tc>
          <w:tcPr>
            <w:tcW w:type="dxa" w:w="1037"/>
          </w:tcPr>
          <w:p>
            <w:pPr>
              <w:spacing w:after="20"/>
              <w:jc w:val="right"/>
            </w:pPr>
            <w:r>
              <w:rPr>
                <w:color w:val="1C3A36"/>
                <w:sz w:val="15"/>
              </w:rPr>
              <w:t>11,179</w:t>
            </w:r>
          </w:p>
        </w:tc>
        <w:tc>
          <w:tcPr>
            <w:tcW w:type="dxa" w:w="1037"/>
          </w:tcPr>
          <w:p>
            <w:pPr>
              <w:spacing w:after="20"/>
              <w:jc w:val="right"/>
            </w:pPr>
            <w:r>
              <w:rPr>
                <w:color w:val="1C3A36"/>
                <w:sz w:val="15"/>
              </w:rPr>
              <w:t>10,975</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9,066</w:t>
            </w:r>
          </w:p>
        </w:tc>
        <w:tc>
          <w:tcPr>
            <w:tcW w:type="dxa" w:w="1037"/>
          </w:tcPr>
          <w:p>
            <w:pPr>
              <w:spacing w:after="20"/>
              <w:jc w:val="right"/>
            </w:pPr>
            <w:r>
              <w:rPr>
                <w:color w:val="1C3A36"/>
                <w:sz w:val="15"/>
              </w:rPr>
              <w:t>9,619</w:t>
            </w:r>
          </w:p>
        </w:tc>
        <w:tc>
          <w:tcPr>
            <w:tcW w:type="dxa" w:w="1037"/>
          </w:tcPr>
          <w:p>
            <w:pPr>
              <w:spacing w:after="20"/>
              <w:jc w:val="right"/>
            </w:pPr>
            <w:r>
              <w:rPr>
                <w:color w:val="1C3A36"/>
                <w:sz w:val="15"/>
              </w:rPr>
              <w:t>9,761</w:t>
            </w:r>
          </w:p>
        </w:tc>
        <w:tc>
          <w:tcPr>
            <w:tcW w:type="dxa" w:w="1037"/>
          </w:tcPr>
          <w:p>
            <w:pPr>
              <w:spacing w:after="20"/>
              <w:jc w:val="right"/>
            </w:pPr>
            <w:r>
              <w:rPr>
                <w:color w:val="1C3A36"/>
                <w:sz w:val="15"/>
              </w:rPr>
              <w:t>9,745</w:t>
            </w:r>
          </w:p>
        </w:tc>
        <w:tc>
          <w:tcPr>
            <w:tcW w:type="dxa" w:w="1037"/>
          </w:tcPr>
          <w:p>
            <w:pPr>
              <w:spacing w:after="20"/>
              <w:jc w:val="right"/>
            </w:pPr>
            <w:r>
              <w:rPr>
                <w:color w:val="1C3A36"/>
                <w:sz w:val="15"/>
              </w:rPr>
              <w:t>9,541</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6,777</w:t>
            </w:r>
          </w:p>
        </w:tc>
        <w:tc>
          <w:tcPr>
            <w:tcW w:type="dxa" w:w="1037"/>
          </w:tcPr>
          <w:p>
            <w:pPr>
              <w:spacing w:after="20"/>
              <w:jc w:val="right"/>
            </w:pPr>
            <w:r>
              <w:rPr>
                <w:color w:val="1C3A36"/>
                <w:sz w:val="15"/>
              </w:rPr>
              <w:t>7,396</w:t>
            </w:r>
          </w:p>
        </w:tc>
        <w:tc>
          <w:tcPr>
            <w:tcW w:type="dxa" w:w="1037"/>
          </w:tcPr>
          <w:p>
            <w:pPr>
              <w:spacing w:after="20"/>
              <w:jc w:val="right"/>
            </w:pPr>
            <w:r>
              <w:rPr>
                <w:color w:val="1C3A36"/>
                <w:sz w:val="15"/>
              </w:rPr>
              <w:t>8,197</w:t>
            </w:r>
          </w:p>
        </w:tc>
        <w:tc>
          <w:tcPr>
            <w:tcW w:type="dxa" w:w="1037"/>
          </w:tcPr>
          <w:p>
            <w:pPr>
              <w:spacing w:after="20"/>
              <w:jc w:val="right"/>
            </w:pPr>
            <w:r>
              <w:rPr>
                <w:color w:val="1C3A36"/>
                <w:sz w:val="15"/>
              </w:rPr>
              <w:t>9,193</w:t>
            </w:r>
          </w:p>
        </w:tc>
        <w:tc>
          <w:tcPr>
            <w:tcW w:type="dxa" w:w="1037"/>
          </w:tcPr>
          <w:p>
            <w:pPr>
              <w:spacing w:after="20"/>
              <w:jc w:val="right"/>
            </w:pPr>
            <w:r>
              <w:rPr>
                <w:color w:val="1C3A36"/>
                <w:sz w:val="15"/>
              </w:rPr>
              <w:t>10,369</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40.16</w:t>
            </w:r>
          </w:p>
        </w:tc>
        <w:tc>
          <w:tcPr>
            <w:tcW w:type="dxa" w:w="1037"/>
            <w:shd w:val="clear" w:color="auto" w:fill="F6F1E6"/>
          </w:tcPr>
          <w:p>
            <w:pPr>
              <w:spacing w:after="20"/>
              <w:jc w:val="right"/>
            </w:pPr>
            <w:r>
              <w:rPr>
                <w:b/>
                <w:color w:val="1C3A36"/>
                <w:sz w:val="15"/>
              </w:rPr>
              <w:t>43.83</w:t>
            </w:r>
          </w:p>
        </w:tc>
        <w:tc>
          <w:tcPr>
            <w:tcW w:type="dxa" w:w="1037"/>
            <w:shd w:val="clear" w:color="auto" w:fill="F6F1E6"/>
          </w:tcPr>
          <w:p>
            <w:pPr>
              <w:spacing w:after="20"/>
              <w:jc w:val="right"/>
            </w:pPr>
            <w:r>
              <w:rPr>
                <w:b/>
                <w:color w:val="1C3A36"/>
                <w:sz w:val="15"/>
              </w:rPr>
              <w:t>48.57</w:t>
            </w:r>
          </w:p>
        </w:tc>
        <w:tc>
          <w:tcPr>
            <w:tcW w:type="dxa" w:w="1037"/>
            <w:shd w:val="clear" w:color="auto" w:fill="F6F1E6"/>
          </w:tcPr>
          <w:p>
            <w:pPr>
              <w:spacing w:after="20"/>
              <w:jc w:val="right"/>
            </w:pPr>
            <w:r>
              <w:rPr>
                <w:b/>
                <w:color w:val="1C3A36"/>
                <w:sz w:val="15"/>
              </w:rPr>
              <w:t>54.47</w:t>
            </w:r>
          </w:p>
        </w:tc>
        <w:tc>
          <w:tcPr>
            <w:tcW w:type="dxa" w:w="1037"/>
            <w:shd w:val="clear" w:color="auto" w:fill="F6F1E6"/>
          </w:tcPr>
          <w:p>
            <w:pPr>
              <w:spacing w:after="20"/>
              <w:jc w:val="right"/>
            </w:pPr>
            <w:r>
              <w:rPr>
                <w:b/>
                <w:color w:val="1C3A36"/>
                <w:sz w:val="15"/>
              </w:rPr>
              <w:t>61.45</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1,337</w:t>
            </w:r>
          </w:p>
        </w:tc>
        <w:tc>
          <w:tcPr>
            <w:tcW w:type="dxa" w:w="1224"/>
          </w:tcPr>
          <w:p>
            <w:pPr>
              <w:spacing w:after="20"/>
              <w:jc w:val="right"/>
            </w:pPr>
            <w:r>
              <w:rPr>
                <w:color w:val="1C3A36"/>
                <w:sz w:val="16"/>
              </w:rPr>
              <w:t>568</w:t>
            </w:r>
          </w:p>
        </w:tc>
        <w:tc>
          <w:tcPr>
            <w:tcW w:type="dxa" w:w="1224"/>
          </w:tcPr>
          <w:p>
            <w:pPr>
              <w:spacing w:after="20"/>
              <w:jc w:val="right"/>
            </w:pPr>
            <w:r>
              <w:rPr>
                <w:color w:val="1C3A36"/>
                <w:sz w:val="16"/>
              </w:rPr>
              <w:t>512</w:t>
            </w:r>
          </w:p>
        </w:tc>
        <w:tc>
          <w:tcPr>
            <w:tcW w:type="dxa" w:w="1224"/>
          </w:tcPr>
          <w:p>
            <w:pPr>
              <w:spacing w:after="20"/>
              <w:jc w:val="right"/>
            </w:pPr>
            <w:r>
              <w:rPr>
                <w:color w:val="1C3A36"/>
                <w:sz w:val="16"/>
              </w:rPr>
              <w:t>532</w:t>
            </w:r>
          </w:p>
        </w:tc>
        <w:tc>
          <w:tcPr>
            <w:tcW w:type="dxa" w:w="1224"/>
          </w:tcPr>
          <w:p>
            <w:pPr>
              <w:spacing w:after="20"/>
              <w:jc w:val="right"/>
            </w:pPr>
            <w:r>
              <w:rPr>
                <w:color w:val="1C3A36"/>
                <w:sz w:val="16"/>
              </w:rPr>
              <w:t>558</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-328</w:t>
            </w:r>
          </w:p>
        </w:tc>
        <w:tc>
          <w:tcPr>
            <w:tcW w:type="dxa" w:w="1224"/>
          </w:tcPr>
          <w:p>
            <w:pPr>
              <w:spacing w:after="20"/>
              <w:jc w:val="right"/>
            </w:pPr>
            <w:r>
              <w:rPr>
                <w:color w:val="1C3A36"/>
                <w:sz w:val="16"/>
              </w:rPr>
              <w:t>562</w:t>
            </w:r>
          </w:p>
        </w:tc>
        <w:tc>
          <w:tcPr>
            <w:tcW w:type="dxa" w:w="1224"/>
          </w:tcPr>
          <w:p>
            <w:pPr>
              <w:spacing w:after="20"/>
              <w:jc w:val="right"/>
            </w:pPr>
            <w:r>
              <w:rPr>
                <w:color w:val="1C3A36"/>
                <w:sz w:val="16"/>
              </w:rPr>
              <w:t>1,048</w:t>
            </w:r>
          </w:p>
        </w:tc>
        <w:tc>
          <w:tcPr>
            <w:tcW w:type="dxa" w:w="1224"/>
          </w:tcPr>
          <w:p>
            <w:pPr>
              <w:spacing w:after="20"/>
              <w:jc w:val="right"/>
            </w:pPr>
            <w:r>
              <w:rPr>
                <w:color w:val="1C3A36"/>
                <w:sz w:val="16"/>
              </w:rPr>
              <w:t>1,290</w:t>
            </w:r>
          </w:p>
        </w:tc>
        <w:tc>
          <w:tcPr>
            <w:tcW w:type="dxa" w:w="1224"/>
          </w:tcPr>
          <w:p>
            <w:pPr>
              <w:spacing w:after="20"/>
              <w:jc w:val="right"/>
            </w:pPr>
            <w:r>
              <w:rPr>
                <w:color w:val="1C3A36"/>
                <w:sz w:val="16"/>
              </w:rPr>
              <w:t>1,553</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23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27.77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81%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2,002</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1,509</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15.03% − 7% = 8.03%</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20,109</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8,559</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10,561</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6,183</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36.64</w:t>
            </w:r>
          </w:p>
        </w:tc>
      </w:tr>
    </w:tbl>
    <w:p>
      <w:pPr>
        <w:spacing w:after="40"/>
      </w:pPr>
    </w:p>
    <w:p>
      <w:pPr>
        <w:spacing w:after="120" w:before="0"/>
      </w:pPr>
      <w:r>
        <w:rPr>
          <w:b w:val="0"/>
          <w:i w:val="0"/>
          <w:color w:val="1C3A36"/>
          <w:sz w:val="21"/>
        </w:rPr>
        <w:t>Named sensitivity: the terminal discount rate. Every 100 basis points on it is worth roughly EGP 6 a share. At 81% terminal weight, this expert is mostly forecasting one number.</w:t>
      </w:r>
    </w:p>
    <w:p>
      <w:pPr>
        <w:spacing w:after="120" w:before="0"/>
      </w:pPr>
      <w:r>
        <w:rPr>
          <w:b w:val="0"/>
          <w:i w:val="0"/>
          <w:color w:val="1C3A36"/>
          <w:sz w:val="21"/>
        </w:rPr>
        <w:t>Falsifier, stated in advance: "If free cash flow to the firm in FY2027 comes in below EGP 393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18.8%</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16.90%</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1.19x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43.91</w:t>
            </w:r>
          </w:p>
        </w:tc>
      </w:tr>
    </w:tbl>
    <w:p>
      <w:pPr>
        <w:spacing w:after="40"/>
      </w:pPr>
    </w:p>
    <w:p>
      <w:pPr>
        <w:spacing w:after="120" w:before="0"/>
      </w:pPr>
      <w:r>
        <w:rPr>
          <w:b w:val="0"/>
          <w:i w:val="0"/>
          <w:color w:val="1C3A36"/>
          <w:sz w:val="21"/>
        </w:rPr>
        <w:t>Named sensitivity: the sustainable return. If it settles at 20% rather than 18.8%, the justified multiple falls to 1.31 times and the value to EGP 48.56 a share.</w:t>
      </w:r>
    </w:p>
    <w:p>
      <w:pPr>
        <w:spacing w:after="120" w:before="0"/>
      </w:pPr>
      <w:r>
        <w:rPr>
          <w:b w:val="0"/>
          <w:i w:val="0"/>
          <w:color w:val="1C3A36"/>
          <w:sz w:val="21"/>
        </w:rPr>
        <w:t>Falsifier: "If return on average equity falls below 18% in either FY2026 or FY2027, the 18.8%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18.8%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36.64</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90.66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15,299m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7,983m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30%</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114m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1.14x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10,264 million, or USD 146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18 to EGP 53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36.64 to EGP 43.91 a share, and the study's own two centres, EGP 36.64 and EGP 54.24,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36.64. Expert 2 says: nothing until it produces a return, so EGP 43.91. Expert 3 says: the market says EGP 90.66 a share, which requires USD 114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408213"/>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408213"/>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-7.27</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90.66</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-17.60</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-90.66</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-73.06</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-17.60</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24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Its performance on this individual share is reported honestly in section 3, including where it is no better than a random walk.</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