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55.48 per share against a market price of 105.20 — the price sits about +90% above the central estimate. That gap is not mainly an argument about the business; it is an argument about the discount rate. Discounted at an Egyptian cost of capital gliding 26.6% to 15.9%, the cash flows support roughly EGP 55.48. Discount the hard-currency share of those same cash flows at a hard-currency cost of capital of about 10.1% and the same model produces EGP 69.58 — still -34% against today's price, but +25%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26.6% → 15.9%, terminal growth 7%; 85% of enterprise value comes from the terminal value</w:t>
            </w:r>
          </w:p>
        </w:tc>
        <w:tc>
          <w:tcPr>
            <w:tcW w:type="dxa" w:w="1656"/>
          </w:tcPr>
          <w:p>
            <w:pPr>
              <w:spacing w:after="20"/>
              <w:jc w:val="right"/>
            </w:pPr>
            <w:r>
              <w:rPr>
                <w:color w:val="1C3A36"/>
                <w:sz w:val="17"/>
              </w:rPr>
              <w:t>19.89 – 104.96</w:t>
            </w:r>
          </w:p>
        </w:tc>
        <w:tc>
          <w:tcPr>
            <w:tcW w:type="dxa" w:w="1037"/>
          </w:tcPr>
          <w:p>
            <w:pPr>
              <w:spacing w:after="20"/>
              <w:jc w:val="right"/>
            </w:pPr>
            <w:r>
              <w:rPr>
                <w:color w:val="1C3A36"/>
                <w:sz w:val="17"/>
              </w:rPr>
              <w:t>55.48</w:t>
            </w:r>
          </w:p>
        </w:tc>
        <w:tc>
          <w:tcPr>
            <w:tcW w:type="dxa" w:w="907"/>
          </w:tcPr>
          <w:p>
            <w:pPr>
              <w:spacing w:after="20"/>
              <w:jc w:val="right"/>
            </w:pPr>
            <w:r>
              <w:rPr>
                <w:color w:val="1C3A36"/>
                <w:sz w:val="17"/>
              </w:rPr>
              <w:t>-47%</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8.7×; trailing P/E 13.0×)</w:t>
            </w:r>
          </w:p>
        </w:tc>
        <w:tc>
          <w:tcPr>
            <w:tcW w:type="dxa" w:w="1656"/>
          </w:tcPr>
          <w:p>
            <w:pPr>
              <w:spacing w:after="20"/>
              <w:jc w:val="right"/>
            </w:pPr>
            <w:r>
              <w:rPr>
                <w:color w:val="1C3A36"/>
                <w:sz w:val="17"/>
              </w:rPr>
              <w:t>66.93 – 101.05</w:t>
            </w:r>
          </w:p>
        </w:tc>
        <w:tc>
          <w:tcPr>
            <w:tcW w:type="dxa" w:w="1037"/>
          </w:tcPr>
          <w:p>
            <w:pPr>
              <w:spacing w:after="20"/>
              <w:jc w:val="right"/>
            </w:pPr>
            <w:r>
              <w:rPr>
                <w:color w:val="1C3A36"/>
                <w:sz w:val="17"/>
              </w:rPr>
              <w:t>80.58</w:t>
            </w:r>
          </w:p>
        </w:tc>
        <w:tc>
          <w:tcPr>
            <w:tcW w:type="dxa" w:w="907"/>
          </w:tcPr>
          <w:p>
            <w:pPr>
              <w:spacing w:after="20"/>
              <w:jc w:val="right"/>
            </w:pPr>
            <w:r>
              <w:rPr>
                <w:color w:val="1C3A36"/>
                <w:sz w:val="17"/>
              </w:rPr>
              <w:t>-23%</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10.3% at a justified 9.0× P/E</w:t>
            </w:r>
          </w:p>
        </w:tc>
        <w:tc>
          <w:tcPr>
            <w:tcW w:type="dxa" w:w="1656"/>
          </w:tcPr>
          <w:p>
            <w:pPr>
              <w:spacing w:after="20"/>
              <w:jc w:val="right"/>
            </w:pPr>
            <w:r>
              <w:rPr>
                <w:color w:val="1C3A36"/>
                <w:sz w:val="17"/>
              </w:rPr>
              <w:t>84.77 – 140.45</w:t>
            </w:r>
          </w:p>
        </w:tc>
        <w:tc>
          <w:tcPr>
            <w:tcW w:type="dxa" w:w="1037"/>
          </w:tcPr>
          <w:p>
            <w:pPr>
              <w:spacing w:after="20"/>
              <w:jc w:val="right"/>
            </w:pPr>
            <w:r>
              <w:rPr>
                <w:color w:val="1C3A36"/>
                <w:sz w:val="17"/>
              </w:rPr>
              <w:t>109.52</w:t>
            </w:r>
          </w:p>
        </w:tc>
        <w:tc>
          <w:tcPr>
            <w:tcW w:type="dxa" w:w="907"/>
          </w:tcPr>
          <w:p>
            <w:pPr>
              <w:spacing w:after="20"/>
              <w:jc w:val="right"/>
            </w:pPr>
            <w:r>
              <w:rPr>
                <w:color w:val="1C3A36"/>
                <w:sz w:val="17"/>
              </w:rPr>
              <w:t>+4%</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1.6× on book value of 31.24/share at a sustainable return on equity of 23.5%</w:t>
            </w:r>
          </w:p>
        </w:tc>
        <w:tc>
          <w:tcPr>
            <w:tcW w:type="dxa" w:w="1656"/>
          </w:tcPr>
          <w:p>
            <w:pPr>
              <w:spacing w:after="20"/>
              <w:jc w:val="right"/>
            </w:pPr>
            <w:r>
              <w:rPr>
                <w:color w:val="1C3A36"/>
                <w:sz w:val="17"/>
              </w:rPr>
              <w:t>35.33 – 61.63</w:t>
            </w:r>
          </w:p>
        </w:tc>
        <w:tc>
          <w:tcPr>
            <w:tcW w:type="dxa" w:w="1037"/>
          </w:tcPr>
          <w:p>
            <w:pPr>
              <w:spacing w:after="20"/>
              <w:jc w:val="right"/>
            </w:pPr>
            <w:r>
              <w:rPr>
                <w:color w:val="1C3A36"/>
                <w:sz w:val="17"/>
              </w:rPr>
              <w:t>54.76</w:t>
            </w:r>
          </w:p>
        </w:tc>
        <w:tc>
          <w:tcPr>
            <w:tcW w:type="dxa" w:w="907"/>
          </w:tcPr>
          <w:p>
            <w:pPr>
              <w:spacing w:after="20"/>
              <w:jc w:val="right"/>
            </w:pPr>
            <w:r>
              <w:rPr>
                <w:color w:val="1C3A36"/>
                <w:sz w:val="17"/>
              </w:rPr>
              <w:t>-48%</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19.89 – 104.96</w:t>
            </w:r>
          </w:p>
        </w:tc>
        <w:tc>
          <w:tcPr>
            <w:tcW w:type="dxa" w:w="1037"/>
            <w:shd w:val="clear" w:color="auto" w:fill="F6F1E6"/>
          </w:tcPr>
          <w:p>
            <w:pPr>
              <w:spacing w:after="20"/>
              <w:jc w:val="right"/>
            </w:pPr>
            <w:r>
              <w:rPr>
                <w:b/>
                <w:color w:val="1C3A36"/>
                <w:sz w:val="17"/>
              </w:rPr>
              <w:t>55.48</w:t>
            </w:r>
          </w:p>
        </w:tc>
        <w:tc>
          <w:tcPr>
            <w:tcW w:type="dxa" w:w="907"/>
            <w:shd w:val="clear" w:color="auto" w:fill="F6F1E6"/>
          </w:tcPr>
          <w:p>
            <w:pPr>
              <w:spacing w:after="20"/>
              <w:jc w:val="right"/>
            </w:pPr>
            <w:r>
              <w:rPr>
                <w:b/>
                <w:color w:val="1C3A36"/>
                <w:sz w:val="17"/>
              </w:rPr>
              <w:t>-47%</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71.20</w:t>
            </w:r>
          </w:p>
        </w:tc>
        <w:tc>
          <w:tcPr>
            <w:tcW w:type="dxa" w:w="907"/>
          </w:tcPr>
          <w:p>
            <w:pPr>
              <w:spacing w:after="20"/>
              <w:jc w:val="right"/>
            </w:pPr>
            <w:r>
              <w:rPr>
                <w:color w:val="1C3A36"/>
                <w:sz w:val="17"/>
              </w:rPr>
              <w:t>-32%</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105.20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10.1%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69.58</w:t>
            </w:r>
          </w:p>
        </w:tc>
        <w:tc>
          <w:tcPr>
            <w:tcW w:type="dxa" w:w="907"/>
          </w:tcPr>
          <w:p>
            <w:pPr>
              <w:spacing w:after="20"/>
              <w:jc w:val="right"/>
            </w:pPr>
            <w:r>
              <w:rPr>
                <w:color w:val="1C3A36"/>
                <w:sz w:val="17"/>
              </w:rPr>
              <w:t>-34%</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34.38</w:t>
            </w:r>
          </w:p>
        </w:tc>
        <w:tc>
          <w:tcPr>
            <w:tcW w:type="dxa" w:w="907"/>
          </w:tcPr>
          <w:p>
            <w:pPr>
              <w:spacing w:after="20"/>
              <w:jc w:val="right"/>
            </w:pPr>
            <w:r>
              <w:rPr>
                <w:color w:val="1C3A36"/>
                <w:sz w:val="17"/>
              </w:rPr>
              <w:t>-67%</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62.37</w:t>
            </w:r>
          </w:p>
        </w:tc>
        <w:tc>
          <w:tcPr>
            <w:tcW w:type="dxa" w:w="907"/>
          </w:tcPr>
          <w:p>
            <w:pPr>
              <w:spacing w:after="20"/>
              <w:jc w:val="right"/>
            </w:pPr>
            <w:r>
              <w:rPr>
                <w:color w:val="1C3A36"/>
                <w:sz w:val="17"/>
              </w:rPr>
              <w:t>-41%</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85%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370,030</w:t>
            </w:r>
          </w:p>
        </w:tc>
        <w:tc>
          <w:tcPr>
            <w:tcW w:type="dxa" w:w="1426"/>
          </w:tcPr>
          <w:p>
            <w:pPr>
              <w:spacing w:after="20"/>
              <w:jc w:val="right"/>
            </w:pPr>
            <w:r>
              <w:rPr>
                <w:color w:val="1C3A36"/>
                <w:sz w:val="17"/>
              </w:rPr>
              <w:t>422,528</w:t>
            </w:r>
          </w:p>
        </w:tc>
        <w:tc>
          <w:tcPr>
            <w:tcW w:type="dxa" w:w="1426"/>
          </w:tcPr>
          <w:p>
            <w:pPr>
              <w:spacing w:after="20"/>
              <w:jc w:val="right"/>
            </w:pPr>
            <w:r>
              <w:rPr>
                <w:color w:val="1C3A36"/>
                <w:sz w:val="17"/>
              </w:rPr>
              <w:t>466,619</w:t>
            </w:r>
          </w:p>
        </w:tc>
        <w:tc>
          <w:tcPr>
            <w:tcW w:type="dxa" w:w="1426"/>
          </w:tcPr>
          <w:p>
            <w:pPr>
              <w:spacing w:after="20"/>
              <w:jc w:val="right"/>
            </w:pPr>
            <w:r>
              <w:rPr>
                <w:color w:val="1C3A36"/>
                <w:sz w:val="17"/>
              </w:rPr>
              <w:t>510,440</w:t>
            </w:r>
          </w:p>
        </w:tc>
        <w:tc>
          <w:tcPr>
            <w:tcW w:type="dxa" w:w="1426"/>
          </w:tcPr>
          <w:p>
            <w:pPr>
              <w:spacing w:after="20"/>
              <w:jc w:val="right"/>
            </w:pPr>
            <w:r>
              <w:rPr>
                <w:color w:val="1C3A36"/>
                <w:sz w:val="17"/>
              </w:rPr>
              <w:t>555,225</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175,308</w:t>
            </w:r>
          </w:p>
        </w:tc>
        <w:tc>
          <w:tcPr>
            <w:tcW w:type="dxa" w:w="1426"/>
          </w:tcPr>
          <w:p>
            <w:pPr>
              <w:spacing w:after="20"/>
              <w:jc w:val="right"/>
            </w:pPr>
            <w:r>
              <w:rPr>
                <w:color w:val="1C3A36"/>
                <w:sz w:val="17"/>
              </w:rPr>
              <w:t>200,259</w:t>
            </w:r>
          </w:p>
        </w:tc>
        <w:tc>
          <w:tcPr>
            <w:tcW w:type="dxa" w:w="1426"/>
          </w:tcPr>
          <w:p>
            <w:pPr>
              <w:spacing w:after="20"/>
              <w:jc w:val="right"/>
            </w:pPr>
            <w:r>
              <w:rPr>
                <w:color w:val="1C3A36"/>
                <w:sz w:val="17"/>
              </w:rPr>
              <w:t>221,642</w:t>
            </w:r>
          </w:p>
        </w:tc>
        <w:tc>
          <w:tcPr>
            <w:tcW w:type="dxa" w:w="1426"/>
          </w:tcPr>
          <w:p>
            <w:pPr>
              <w:spacing w:after="20"/>
              <w:jc w:val="right"/>
            </w:pPr>
            <w:r>
              <w:rPr>
                <w:color w:val="1C3A36"/>
                <w:sz w:val="17"/>
              </w:rPr>
              <w:t>242,445</w:t>
            </w:r>
          </w:p>
        </w:tc>
        <w:tc>
          <w:tcPr>
            <w:tcW w:type="dxa" w:w="1426"/>
          </w:tcPr>
          <w:p>
            <w:pPr>
              <w:spacing w:after="20"/>
              <w:jc w:val="right"/>
            </w:pPr>
            <w:r>
              <w:rPr>
                <w:color w:val="1C3A36"/>
                <w:sz w:val="17"/>
              </w:rPr>
              <w:t>263,462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194,722</w:t>
            </w:r>
          </w:p>
        </w:tc>
        <w:tc>
          <w:tcPr>
            <w:tcW w:type="dxa" w:w="1426"/>
          </w:tcPr>
          <w:p>
            <w:pPr>
              <w:spacing w:after="20"/>
              <w:jc w:val="right"/>
            </w:pPr>
            <w:r>
              <w:rPr>
                <w:color w:val="1C3A36"/>
                <w:sz w:val="17"/>
              </w:rPr>
              <w:t>222,270</w:t>
            </w:r>
          </w:p>
        </w:tc>
        <w:tc>
          <w:tcPr>
            <w:tcW w:type="dxa" w:w="1426"/>
          </w:tcPr>
          <w:p>
            <w:pPr>
              <w:spacing w:after="20"/>
              <w:jc w:val="right"/>
            </w:pPr>
            <w:r>
              <w:rPr>
                <w:color w:val="1C3A36"/>
                <w:sz w:val="17"/>
              </w:rPr>
              <w:t>244,977</w:t>
            </w:r>
          </w:p>
        </w:tc>
        <w:tc>
          <w:tcPr>
            <w:tcW w:type="dxa" w:w="1426"/>
          </w:tcPr>
          <w:p>
            <w:pPr>
              <w:spacing w:after="20"/>
              <w:jc w:val="right"/>
            </w:pPr>
            <w:r>
              <w:rPr>
                <w:color w:val="1C3A36"/>
                <w:sz w:val="17"/>
              </w:rPr>
              <w:t>267,995</w:t>
            </w:r>
          </w:p>
        </w:tc>
        <w:tc>
          <w:tcPr>
            <w:tcW w:type="dxa" w:w="1426"/>
          </w:tcPr>
          <w:p>
            <w:pPr>
              <w:spacing w:after="20"/>
              <w:jc w:val="right"/>
            </w:pPr>
            <w:r>
              <w:rPr>
                <w:color w:val="1C3A36"/>
                <w:sz w:val="17"/>
              </w:rPr>
              <w:t>291,763</w:t>
            </w:r>
          </w:p>
        </w:tc>
      </w:tr>
      <w:tr>
        <w:tc>
          <w:tcPr>
            <w:tcW w:type="dxa" w:w="2952"/>
          </w:tcPr>
          <w:p>
            <w:pPr>
              <w:spacing w:after="20"/>
            </w:pPr>
            <w:r>
              <w:rPr>
                <w:color w:val="1C3A36"/>
                <w:sz w:val="17"/>
              </w:rPr>
              <w:t>EBITDA</w:t>
            </w:r>
          </w:p>
        </w:tc>
        <w:tc>
          <w:tcPr>
            <w:tcW w:type="dxa" w:w="1426"/>
          </w:tcPr>
          <w:p>
            <w:pPr>
              <w:spacing w:after="20"/>
              <w:jc w:val="right"/>
            </w:pPr>
            <w:r>
              <w:rPr>
                <w:color w:val="1C3A36"/>
                <w:sz w:val="17"/>
              </w:rPr>
              <w:t>37,965</w:t>
            </w:r>
          </w:p>
        </w:tc>
        <w:tc>
          <w:tcPr>
            <w:tcW w:type="dxa" w:w="1426"/>
          </w:tcPr>
          <w:p>
            <w:pPr>
              <w:spacing w:after="20"/>
              <w:jc w:val="right"/>
            </w:pPr>
            <w:r>
              <w:rPr>
                <w:color w:val="1C3A36"/>
                <w:sz w:val="17"/>
              </w:rPr>
              <w:t>43,447</w:t>
            </w:r>
          </w:p>
        </w:tc>
        <w:tc>
          <w:tcPr>
            <w:tcW w:type="dxa" w:w="1426"/>
          </w:tcPr>
          <w:p>
            <w:pPr>
              <w:spacing w:after="20"/>
              <w:jc w:val="right"/>
            </w:pPr>
            <w:r>
              <w:rPr>
                <w:color w:val="1C3A36"/>
                <w:sz w:val="17"/>
              </w:rPr>
              <w:t>48,113</w:t>
            </w:r>
          </w:p>
        </w:tc>
        <w:tc>
          <w:tcPr>
            <w:tcW w:type="dxa" w:w="1426"/>
          </w:tcPr>
          <w:p>
            <w:pPr>
              <w:spacing w:after="20"/>
              <w:jc w:val="right"/>
            </w:pPr>
            <w:r>
              <w:rPr>
                <w:color w:val="1C3A36"/>
                <w:sz w:val="17"/>
              </w:rPr>
              <w:t>52,750</w:t>
            </w:r>
          </w:p>
        </w:tc>
        <w:tc>
          <w:tcPr>
            <w:tcW w:type="dxa" w:w="1426"/>
          </w:tcPr>
          <w:p>
            <w:pPr>
              <w:spacing w:after="20"/>
              <w:jc w:val="right"/>
            </w:pPr>
            <w:r>
              <w:rPr>
                <w:color w:val="1C3A36"/>
                <w:sz w:val="17"/>
              </w:rPr>
              <w:t>57,496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10.4%</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EBIT</w:t>
            </w:r>
          </w:p>
        </w:tc>
        <w:tc>
          <w:tcPr>
            <w:tcW w:type="dxa" w:w="1426"/>
          </w:tcPr>
          <w:p>
            <w:pPr>
              <w:spacing w:after="20"/>
              <w:jc w:val="right"/>
            </w:pPr>
            <w:r>
              <w:rPr>
                <w:color w:val="1C3A36"/>
                <w:sz w:val="17"/>
              </w:rPr>
              <w:t>33,339</w:t>
            </w:r>
          </w:p>
        </w:tc>
        <w:tc>
          <w:tcPr>
            <w:tcW w:type="dxa" w:w="1426"/>
          </w:tcPr>
          <w:p>
            <w:pPr>
              <w:spacing w:after="20"/>
              <w:jc w:val="right"/>
            </w:pPr>
            <w:r>
              <w:rPr>
                <w:color w:val="1C3A36"/>
                <w:sz w:val="17"/>
              </w:rPr>
              <w:t>38,165</w:t>
            </w:r>
          </w:p>
        </w:tc>
        <w:tc>
          <w:tcPr>
            <w:tcW w:type="dxa" w:w="1426"/>
          </w:tcPr>
          <w:p>
            <w:pPr>
              <w:spacing w:after="20"/>
              <w:jc w:val="right"/>
            </w:pPr>
            <w:r>
              <w:rPr>
                <w:color w:val="1C3A36"/>
                <w:sz w:val="17"/>
              </w:rPr>
              <w:t>42,280</w:t>
            </w:r>
          </w:p>
        </w:tc>
        <w:tc>
          <w:tcPr>
            <w:tcW w:type="dxa" w:w="1426"/>
          </w:tcPr>
          <w:p>
            <w:pPr>
              <w:spacing w:after="20"/>
              <w:jc w:val="right"/>
            </w:pPr>
            <w:r>
              <w:rPr>
                <w:color w:val="1C3A36"/>
                <w:sz w:val="17"/>
              </w:rPr>
              <w:t>46,370</w:t>
            </w:r>
          </w:p>
        </w:tc>
        <w:tc>
          <w:tcPr>
            <w:tcW w:type="dxa" w:w="1426"/>
          </w:tcPr>
          <w:p>
            <w:pPr>
              <w:spacing w:after="20"/>
              <w:jc w:val="right"/>
            </w:pPr>
            <w:r>
              <w:rPr>
                <w:color w:val="1C3A36"/>
                <w:sz w:val="17"/>
              </w:rPr>
              <w:t>50,556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25,171</w:t>
            </w:r>
          </w:p>
        </w:tc>
        <w:tc>
          <w:tcPr>
            <w:tcW w:type="dxa" w:w="1426"/>
          </w:tcPr>
          <w:p>
            <w:pPr>
              <w:spacing w:after="20"/>
              <w:jc w:val="right"/>
            </w:pPr>
            <w:r>
              <w:rPr>
                <w:color w:val="1C3A36"/>
                <w:sz w:val="17"/>
              </w:rPr>
              <w:t>28,815</w:t>
            </w:r>
          </w:p>
        </w:tc>
        <w:tc>
          <w:tcPr>
            <w:tcW w:type="dxa" w:w="1426"/>
          </w:tcPr>
          <w:p>
            <w:pPr>
              <w:spacing w:after="20"/>
              <w:jc w:val="right"/>
            </w:pPr>
            <w:r>
              <w:rPr>
                <w:color w:val="1C3A36"/>
                <w:sz w:val="17"/>
              </w:rPr>
              <w:t>31,922</w:t>
            </w:r>
          </w:p>
        </w:tc>
        <w:tc>
          <w:tcPr>
            <w:tcW w:type="dxa" w:w="1426"/>
          </w:tcPr>
          <w:p>
            <w:pPr>
              <w:spacing w:after="20"/>
              <w:jc w:val="right"/>
            </w:pPr>
            <w:r>
              <w:rPr>
                <w:color w:val="1C3A36"/>
                <w:sz w:val="17"/>
              </w:rPr>
              <w:t>35,009</w:t>
            </w:r>
          </w:p>
        </w:tc>
        <w:tc>
          <w:tcPr>
            <w:tcW w:type="dxa" w:w="1426"/>
          </w:tcPr>
          <w:p>
            <w:pPr>
              <w:spacing w:after="20"/>
              <w:jc w:val="right"/>
            </w:pPr>
            <w:r>
              <w:rPr>
                <w:color w:val="1C3A36"/>
                <w:sz w:val="17"/>
              </w:rPr>
              <w:t>38,170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(16,281)</w:t>
            </w:r>
          </w:p>
        </w:tc>
        <w:tc>
          <w:tcPr>
            <w:tcW w:type="dxa" w:w="1426"/>
          </w:tcPr>
          <w:p>
            <w:pPr>
              <w:spacing w:after="20"/>
              <w:jc w:val="right"/>
            </w:pPr>
            <w:r>
              <w:rPr>
                <w:color w:val="1C3A36"/>
                <w:sz w:val="17"/>
              </w:rPr>
              <w:t>(16,901)</w:t>
            </w:r>
          </w:p>
        </w:tc>
        <w:tc>
          <w:tcPr>
            <w:tcW w:type="dxa" w:w="1426"/>
          </w:tcPr>
          <w:p>
            <w:pPr>
              <w:spacing w:after="20"/>
              <w:jc w:val="right"/>
            </w:pPr>
            <w:r>
              <w:rPr>
                <w:color w:val="1C3A36"/>
                <w:sz w:val="17"/>
              </w:rPr>
              <w:t>(16,798)</w:t>
            </w:r>
          </w:p>
        </w:tc>
        <w:tc>
          <w:tcPr>
            <w:tcW w:type="dxa" w:w="1426"/>
          </w:tcPr>
          <w:p>
            <w:pPr>
              <w:spacing w:after="20"/>
              <w:jc w:val="right"/>
            </w:pPr>
            <w:r>
              <w:rPr>
                <w:color w:val="1C3A36"/>
                <w:sz w:val="17"/>
              </w:rPr>
              <w:t>(16,845)</w:t>
            </w:r>
          </w:p>
        </w:tc>
        <w:tc>
          <w:tcPr>
            <w:tcW w:type="dxa" w:w="1426"/>
          </w:tcPr>
          <w:p>
            <w:pPr>
              <w:spacing w:after="20"/>
              <w:jc w:val="right"/>
            </w:pPr>
            <w:r>
              <w:rPr>
                <w:color w:val="1C3A36"/>
                <w:sz w:val="17"/>
              </w:rPr>
              <w:t>(17,212)</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(17,783)</w:t>
            </w:r>
          </w:p>
        </w:tc>
        <w:tc>
          <w:tcPr>
            <w:tcW w:type="dxa" w:w="1426"/>
          </w:tcPr>
          <w:p>
            <w:pPr>
              <w:spacing w:after="20"/>
              <w:jc w:val="right"/>
            </w:pPr>
            <w:r>
              <w:rPr>
                <w:color w:val="1C3A36"/>
                <w:sz w:val="17"/>
              </w:rPr>
              <w:t>(10,447)</w:t>
            </w:r>
          </w:p>
        </w:tc>
        <w:tc>
          <w:tcPr>
            <w:tcW w:type="dxa" w:w="1426"/>
          </w:tcPr>
          <w:p>
            <w:pPr>
              <w:spacing w:after="20"/>
              <w:jc w:val="right"/>
            </w:pPr>
            <w:r>
              <w:rPr>
                <w:color w:val="1C3A36"/>
                <w:sz w:val="17"/>
              </w:rPr>
              <w:t>(8,774)</w:t>
            </w:r>
          </w:p>
        </w:tc>
        <w:tc>
          <w:tcPr>
            <w:tcW w:type="dxa" w:w="1426"/>
          </w:tcPr>
          <w:p>
            <w:pPr>
              <w:spacing w:after="20"/>
              <w:jc w:val="right"/>
            </w:pPr>
            <w:r>
              <w:rPr>
                <w:color w:val="1C3A36"/>
                <w:sz w:val="17"/>
              </w:rPr>
              <w:t>(8,720)</w:t>
            </w:r>
          </w:p>
        </w:tc>
        <w:tc>
          <w:tcPr>
            <w:tcW w:type="dxa" w:w="1426"/>
          </w:tcPr>
          <w:p>
            <w:pPr>
              <w:spacing w:after="20"/>
              <w:jc w:val="right"/>
            </w:pPr>
            <w:r>
              <w:rPr>
                <w:color w:val="1C3A36"/>
                <w:sz w:val="17"/>
              </w:rPr>
              <w:t>(8,912)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-4,268</w:t>
            </w:r>
          </w:p>
        </w:tc>
        <w:tc>
          <w:tcPr>
            <w:tcW w:type="dxa" w:w="1426"/>
            <w:shd w:val="clear" w:color="auto" w:fill="F6F1E6"/>
          </w:tcPr>
          <w:p>
            <w:pPr>
              <w:spacing w:after="20"/>
              <w:jc w:val="right"/>
            </w:pPr>
            <w:r>
              <w:rPr>
                <w:b/>
                <w:color w:val="1C3A36"/>
                <w:sz w:val="17"/>
              </w:rPr>
              <w:t>6,748</w:t>
            </w:r>
          </w:p>
        </w:tc>
        <w:tc>
          <w:tcPr>
            <w:tcW w:type="dxa" w:w="1426"/>
            <w:shd w:val="clear" w:color="auto" w:fill="F6F1E6"/>
          </w:tcPr>
          <w:p>
            <w:pPr>
              <w:spacing w:after="20"/>
              <w:jc w:val="right"/>
            </w:pPr>
            <w:r>
              <w:rPr>
                <w:b/>
                <w:color w:val="1C3A36"/>
                <w:sz w:val="17"/>
              </w:rPr>
              <w:t>12,182</w:t>
            </w:r>
          </w:p>
        </w:tc>
        <w:tc>
          <w:tcPr>
            <w:tcW w:type="dxa" w:w="1426"/>
            <w:shd w:val="clear" w:color="auto" w:fill="F6F1E6"/>
          </w:tcPr>
          <w:p>
            <w:pPr>
              <w:spacing w:after="20"/>
              <w:jc w:val="right"/>
            </w:pPr>
            <w:r>
              <w:rPr>
                <w:b/>
                <w:color w:val="1C3A36"/>
                <w:sz w:val="17"/>
              </w:rPr>
              <w:t>15,825</w:t>
            </w:r>
          </w:p>
        </w:tc>
        <w:tc>
          <w:tcPr>
            <w:tcW w:type="dxa" w:w="1426"/>
            <w:shd w:val="clear" w:color="auto" w:fill="F6F1E6"/>
          </w:tcPr>
          <w:p>
            <w:pPr>
              <w:spacing w:after="20"/>
              <w:jc w:val="right"/>
            </w:pPr>
            <w:r>
              <w:rPr>
                <w:b/>
                <w:color w:val="1C3A36"/>
                <w:sz w:val="17"/>
              </w:rPr>
              <w:t>18,986</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26.6%</w:t>
            </w:r>
          </w:p>
        </w:tc>
        <w:tc>
          <w:tcPr>
            <w:tcW w:type="dxa" w:w="1426"/>
          </w:tcPr>
          <w:p>
            <w:pPr>
              <w:spacing w:after="20"/>
              <w:jc w:val="right"/>
            </w:pPr>
            <w:r>
              <w:rPr>
                <w:color w:val="1C3A36"/>
                <w:sz w:val="17"/>
              </w:rPr>
              <w:t>23.1%</w:t>
            </w:r>
          </w:p>
        </w:tc>
        <w:tc>
          <w:tcPr>
            <w:tcW w:type="dxa" w:w="1426"/>
          </w:tcPr>
          <w:p>
            <w:pPr>
              <w:spacing w:after="20"/>
              <w:jc w:val="right"/>
            </w:pPr>
            <w:r>
              <w:rPr>
                <w:color w:val="1C3A36"/>
                <w:sz w:val="17"/>
              </w:rPr>
              <w:t>20.1%</w:t>
            </w:r>
          </w:p>
        </w:tc>
        <w:tc>
          <w:tcPr>
            <w:tcW w:type="dxa" w:w="1426"/>
          </w:tcPr>
          <w:p>
            <w:pPr>
              <w:spacing w:after="20"/>
              <w:jc w:val="right"/>
            </w:pPr>
            <w:r>
              <w:rPr>
                <w:color w:val="1C3A36"/>
                <w:sz w:val="17"/>
              </w:rPr>
              <w:t>17.7%</w:t>
            </w:r>
          </w:p>
        </w:tc>
        <w:tc>
          <w:tcPr>
            <w:tcW w:type="dxa" w:w="1426"/>
          </w:tcPr>
          <w:p>
            <w:pPr>
              <w:spacing w:after="20"/>
              <w:jc w:val="right"/>
            </w:pPr>
            <w:r>
              <w:rPr>
                <w:color w:val="1C3A36"/>
                <w:sz w:val="17"/>
              </w:rPr>
              <w:t>15.9%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0.7897</w:t>
            </w:r>
          </w:p>
        </w:tc>
        <w:tc>
          <w:tcPr>
            <w:tcW w:type="dxa" w:w="1426"/>
          </w:tcPr>
          <w:p>
            <w:pPr>
              <w:spacing w:after="20"/>
              <w:jc w:val="right"/>
            </w:pPr>
            <w:r>
              <w:rPr>
                <w:color w:val="1C3A36"/>
                <w:sz w:val="17"/>
              </w:rPr>
              <w:t>0.6417</w:t>
            </w:r>
          </w:p>
        </w:tc>
        <w:tc>
          <w:tcPr>
            <w:tcW w:type="dxa" w:w="1426"/>
          </w:tcPr>
          <w:p>
            <w:pPr>
              <w:spacing w:after="20"/>
              <w:jc w:val="right"/>
            </w:pPr>
            <w:r>
              <w:rPr>
                <w:color w:val="1C3A36"/>
                <w:sz w:val="17"/>
              </w:rPr>
              <w:t>0.5343</w:t>
            </w:r>
          </w:p>
        </w:tc>
        <w:tc>
          <w:tcPr>
            <w:tcW w:type="dxa" w:w="1426"/>
          </w:tcPr>
          <w:p>
            <w:pPr>
              <w:spacing w:after="20"/>
              <w:jc w:val="right"/>
            </w:pPr>
            <w:r>
              <w:rPr>
                <w:color w:val="1C3A36"/>
                <w:sz w:val="17"/>
              </w:rPr>
              <w:t>0.4539</w:t>
            </w:r>
          </w:p>
        </w:tc>
        <w:tc>
          <w:tcPr>
            <w:tcW w:type="dxa" w:w="1426"/>
          </w:tcPr>
          <w:p>
            <w:pPr>
              <w:spacing w:after="20"/>
              <w:jc w:val="right"/>
            </w:pPr>
            <w:r>
              <w:rPr>
                <w:color w:val="1C3A36"/>
                <w:sz w:val="17"/>
              </w:rPr>
              <w:t>0.3915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-3,370</w:t>
            </w:r>
          </w:p>
        </w:tc>
        <w:tc>
          <w:tcPr>
            <w:tcW w:type="dxa" w:w="1426"/>
            <w:shd w:val="clear" w:color="auto" w:fill="F6F1E6"/>
          </w:tcPr>
          <w:p>
            <w:pPr>
              <w:spacing w:after="20"/>
              <w:jc w:val="right"/>
            </w:pPr>
            <w:r>
              <w:rPr>
                <w:b/>
                <w:color w:val="1C3A36"/>
                <w:sz w:val="17"/>
              </w:rPr>
              <w:t>4,330</w:t>
            </w:r>
          </w:p>
        </w:tc>
        <w:tc>
          <w:tcPr>
            <w:tcW w:type="dxa" w:w="1426"/>
            <w:shd w:val="clear" w:color="auto" w:fill="F6F1E6"/>
          </w:tcPr>
          <w:p>
            <w:pPr>
              <w:spacing w:after="20"/>
              <w:jc w:val="right"/>
            </w:pPr>
            <w:r>
              <w:rPr>
                <w:b/>
                <w:color w:val="1C3A36"/>
                <w:sz w:val="17"/>
              </w:rPr>
              <w:t>6,509</w:t>
            </w:r>
          </w:p>
        </w:tc>
        <w:tc>
          <w:tcPr>
            <w:tcW w:type="dxa" w:w="1426"/>
            <w:shd w:val="clear" w:color="auto" w:fill="F6F1E6"/>
          </w:tcPr>
          <w:p>
            <w:pPr>
              <w:spacing w:after="20"/>
              <w:jc w:val="right"/>
            </w:pPr>
            <w:r>
              <w:rPr>
                <w:b/>
                <w:color w:val="1C3A36"/>
                <w:sz w:val="17"/>
              </w:rPr>
              <w:t>7,183</w:t>
            </w:r>
          </w:p>
        </w:tc>
        <w:tc>
          <w:tcPr>
            <w:tcW w:type="dxa" w:w="1426"/>
            <w:shd w:val="clear" w:color="auto" w:fill="F6F1E6"/>
          </w:tcPr>
          <w:p>
            <w:pPr>
              <w:spacing w:after="20"/>
              <w:jc w:val="right"/>
            </w:pPr>
            <w:r>
              <w:rPr>
                <w:b/>
                <w:color w:val="1C3A36"/>
                <w:sz w:val="17"/>
              </w:rPr>
              <w:t>7,434</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22,086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26,619</w:t>
            </w:r>
          </w:p>
        </w:tc>
        <w:tc>
          <w:tcPr>
            <w:tcW w:type="dxa" w:w="4896"/>
          </w:tcPr>
          <w:p>
            <w:pPr>
              <w:spacing w:after="20"/>
              <w:jc w:val="right"/>
            </w:pPr>
            <w:r>
              <w:rPr>
                <w:color w:val="1C3A36"/>
                <w:sz w:val="16"/>
              </w:rPr>
              <w:t>FY2030E NOPAT grown 7% × (1 − reinvestment rate 34.8%); the reinvestment rate is forced to g ÷ terminal return on capital (20.1%)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125,092</w:t>
            </w:r>
          </w:p>
        </w:tc>
        <w:tc>
          <w:tcPr>
            <w:tcW w:type="dxa" w:w="4896"/>
          </w:tcPr>
          <w:p>
            <w:pPr>
              <w:spacing w:after="20"/>
              <w:jc w:val="right"/>
            </w:pPr>
            <w:r>
              <w:rPr>
                <w:color w:val="1C3A36"/>
                <w:sz w:val="16"/>
              </w:rPr>
              <w:t>the terminal cash flow capitalised at 15.9% − 7% = 319,492, discounted at the year-5 factor 0.3915</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147,178</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85%</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(12,904)</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105,783</w:t>
            </w:r>
          </w:p>
        </w:tc>
        <w:tc>
          <w:tcPr>
            <w:tcW w:type="dxa" w:w="4896"/>
          </w:tcPr>
          <w:p>
            <w:pPr>
              <w:spacing w:after="20"/>
              <w:jc w:val="right"/>
            </w:pPr>
            <w:r>
              <w:rPr>
                <w:color w:val="1C3A36"/>
                <w:sz w:val="16"/>
              </w:rPr>
              <w:t>EGP 49.41 per share — dated at the audited balance-sheet date the bridge subtracts net debt at</w:t>
            </w:r>
          </w:p>
        </w:tc>
      </w:tr>
      <w:tr>
        <w:tc>
          <w:tcPr>
            <w:tcW w:type="dxa" w:w="3672"/>
          </w:tcPr>
          <w:p>
            <w:pPr>
              <w:spacing w:after="20"/>
            </w:pPr>
            <w:r>
              <w:rPr>
                <w:color w:val="1C3A36"/>
                <w:sz w:val="16"/>
              </w:rPr>
              <w:t>Rolled 217/365 of a year to the anchor</w:t>
            </w:r>
          </w:p>
        </w:tc>
        <w:tc>
          <w:tcPr>
            <w:tcW w:type="dxa" w:w="1512"/>
          </w:tcPr>
          <w:p>
            <w:pPr>
              <w:spacing w:after="20"/>
              <w:jc w:val="right"/>
            </w:pPr>
            <w:r>
              <w:rPr>
                <w:color w:val="1C3A36"/>
                <w:sz w:val="16"/>
              </w:rPr>
              <w:t>×1.1603</w:t>
            </w:r>
          </w:p>
        </w:tc>
        <w:tc>
          <w:tcPr>
            <w:tcW w:type="dxa" w:w="4896"/>
          </w:tcPr>
          <w:p>
            <w:pPr>
              <w:spacing w:after="20"/>
              <w:jc w:val="right"/>
            </w:pPr>
            <w:r>
              <w:rPr>
                <w:color w:val="1C3A36"/>
                <w:sz w:val="16"/>
              </w:rPr>
              <w:t>fair value accretes at the 28.4% cost of equity between the valuation date and the 5-Aug-2026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55.48</w:t>
            </w:r>
          </w:p>
        </w:tc>
        <w:tc>
          <w:tcPr>
            <w:tcW w:type="dxa" w:w="4896"/>
            <w:shd w:val="clear" w:color="auto" w:fill="F6F1E6"/>
          </w:tcPr>
          <w:p>
            <w:pPr>
              <w:spacing w:after="20"/>
              <w:jc w:val="right"/>
            </w:pPr>
            <w:r>
              <w:rPr>
                <w:b/>
                <w:color w:val="1C3A36"/>
                <w:sz w:val="16"/>
              </w:rPr>
              <w:t>against a spot of 105.20 (-47%)</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17.6% — a steady-state multiple takes a steady-state rate, not a five-year transitional one. (An earlier wording called this figure an 'average' of the two windows, which it never was; the actual average, 23.0%, is the construction behind this lens's published bear bound of 35.33.) That gives 1.6× book, or EGP 54.76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8.7×</w:t>
            </w:r>
          </w:p>
        </w:tc>
        <w:tc>
          <w:tcPr>
            <w:tcW w:type="dxa" w:w="5688"/>
          </w:tcPr>
          <w:p>
            <w:pPr>
              <w:spacing w:after="20"/>
              <w:jc w:val="right"/>
            </w:pPr>
            <w:r>
              <w:rPr>
                <w:color w:val="1C3A36"/>
                <w:sz w:val="17"/>
              </w:rPr>
              <w:t>enterprise value 245,770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3.4×</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(-960)</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80.58</w:t>
            </w:r>
          </w:p>
        </w:tc>
        <w:tc>
          <w:tcPr>
            <w:tcW w:type="dxa" w:w="5688"/>
          </w:tcPr>
          <w:p>
            <w:pPr>
              <w:spacing w:after="20"/>
              <w:jc w:val="right"/>
            </w:pPr>
            <w:r>
              <w:rPr>
                <w:color w:val="1C3A36"/>
                <w:sz w:val="17"/>
              </w:rPr>
              <w:t>bear 66.93 at 5.5× / bull 101.05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130.11 per share instead of 80.58 — a EGP 49.53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10.3% — the FY28E point of the forecast, comfortably below the FY2024 outturn of 13.6% and above the FY2025 trough of 10.1% — is applied to FY2026E revenue of EGP 370,030mn.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370,030</w:t>
            </w:r>
          </w:p>
        </w:tc>
      </w:tr>
      <w:tr>
        <w:tc>
          <w:tcPr>
            <w:tcW w:type="dxa" w:w="6552"/>
          </w:tcPr>
          <w:p>
            <w:pPr>
              <w:spacing w:after="20"/>
            </w:pPr>
            <w:r>
              <w:rPr>
                <w:color w:val="1C3A36"/>
                <w:sz w:val="17"/>
              </w:rPr>
              <w:t>Mid-cycle EBITDA margin (FY28E) at 10.3%</w:t>
            </w:r>
          </w:p>
        </w:tc>
        <w:tc>
          <w:tcPr>
            <w:tcW w:type="dxa" w:w="1944"/>
          </w:tcPr>
          <w:p>
            <w:pPr>
              <w:spacing w:after="20"/>
              <w:jc w:val="right"/>
            </w:pPr>
            <w:r>
              <w:rPr>
                <w:color w:val="1C3A36"/>
                <w:sz w:val="17"/>
              </w:rPr>
              <w:t>38,154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(4,625)</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33,528</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(10,648)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22,831</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10.66</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109.52</w:t>
            </w:r>
          </w:p>
        </w:tc>
      </w:tr>
    </w:tbl>
    <w:p>
      <w:pPr>
        <w:spacing w:after="40"/>
      </w:pPr>
    </w:p>
    <w:p>
      <w:pPr>
        <w:spacing w:after="200" w:before="0"/>
      </w:pPr>
      <w:r>
        <w:rPr>
          <w:b w:val="0"/>
          <w:i/>
          <w:color w:val="6E7B77"/>
          <w:sz w:val="17"/>
        </w:rPr>
        <w:t>Bear 84.77 at 7.0× and bull 140.45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19.89</w:t>
            </w:r>
          </w:p>
        </w:tc>
        <w:tc>
          <w:tcPr>
            <w:tcW w:type="dxa" w:w="1238"/>
          </w:tcPr>
          <w:p>
            <w:pPr>
              <w:spacing w:after="20"/>
              <w:jc w:val="right"/>
            </w:pPr>
            <w:r>
              <w:rPr>
                <w:color w:val="1C3A36"/>
                <w:sz w:val="17"/>
              </w:rPr>
              <w:t>55.48</w:t>
            </w:r>
          </w:p>
        </w:tc>
        <w:tc>
          <w:tcPr>
            <w:tcW w:type="dxa" w:w="1238"/>
          </w:tcPr>
          <w:p>
            <w:pPr>
              <w:spacing w:after="20"/>
              <w:jc w:val="right"/>
            </w:pPr>
            <w:r>
              <w:rPr>
                <w:color w:val="1C3A36"/>
                <w:sz w:val="17"/>
              </w:rPr>
              <w:t>104.96</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-47%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66.93</w:t>
            </w:r>
          </w:p>
        </w:tc>
        <w:tc>
          <w:tcPr>
            <w:tcW w:type="dxa" w:w="1238"/>
          </w:tcPr>
          <w:p>
            <w:pPr>
              <w:spacing w:after="20"/>
              <w:jc w:val="right"/>
            </w:pPr>
            <w:r>
              <w:rPr>
                <w:color w:val="1C3A36"/>
                <w:sz w:val="17"/>
              </w:rPr>
              <w:t>80.58</w:t>
            </w:r>
          </w:p>
        </w:tc>
        <w:tc>
          <w:tcPr>
            <w:tcW w:type="dxa" w:w="1238"/>
          </w:tcPr>
          <w:p>
            <w:pPr>
              <w:spacing w:after="20"/>
              <w:jc w:val="right"/>
            </w:pPr>
            <w:r>
              <w:rPr>
                <w:color w:val="1C3A36"/>
                <w:sz w:val="17"/>
              </w:rPr>
              <w:t>101.05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-23%</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84.77</w:t>
            </w:r>
          </w:p>
        </w:tc>
        <w:tc>
          <w:tcPr>
            <w:tcW w:type="dxa" w:w="1238"/>
          </w:tcPr>
          <w:p>
            <w:pPr>
              <w:spacing w:after="20"/>
              <w:jc w:val="right"/>
            </w:pPr>
            <w:r>
              <w:rPr>
                <w:color w:val="1C3A36"/>
                <w:sz w:val="17"/>
              </w:rPr>
              <w:t>109.52</w:t>
            </w:r>
          </w:p>
        </w:tc>
        <w:tc>
          <w:tcPr>
            <w:tcW w:type="dxa" w:w="1238"/>
          </w:tcPr>
          <w:p>
            <w:pPr>
              <w:spacing w:after="20"/>
              <w:jc w:val="right"/>
            </w:pPr>
            <w:r>
              <w:rPr>
                <w:color w:val="1C3A36"/>
                <w:sz w:val="17"/>
              </w:rPr>
              <w:t>140.45</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+4%</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35.33</w:t>
            </w:r>
          </w:p>
        </w:tc>
        <w:tc>
          <w:tcPr>
            <w:tcW w:type="dxa" w:w="1238"/>
          </w:tcPr>
          <w:p>
            <w:pPr>
              <w:spacing w:after="20"/>
              <w:jc w:val="right"/>
            </w:pPr>
            <w:r>
              <w:rPr>
                <w:color w:val="1C3A36"/>
                <w:sz w:val="17"/>
              </w:rPr>
              <w:t>54.76</w:t>
            </w:r>
          </w:p>
        </w:tc>
        <w:tc>
          <w:tcPr>
            <w:tcW w:type="dxa" w:w="1238"/>
          </w:tcPr>
          <w:p>
            <w:pPr>
              <w:spacing w:after="20"/>
              <w:jc w:val="right"/>
            </w:pPr>
            <w:r>
              <w:rPr>
                <w:color w:val="1C3A36"/>
                <w:sz w:val="17"/>
              </w:rPr>
              <w:t>61.63</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-48%</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19.89</w:t>
            </w:r>
          </w:p>
        </w:tc>
        <w:tc>
          <w:tcPr>
            <w:tcW w:type="dxa" w:w="1238"/>
            <w:shd w:val="clear" w:color="auto" w:fill="F6F1E6"/>
          </w:tcPr>
          <w:p>
            <w:pPr>
              <w:spacing w:after="20"/>
              <w:jc w:val="right"/>
            </w:pPr>
            <w:r>
              <w:rPr>
                <w:b/>
                <w:color w:val="1C3A36"/>
                <w:sz w:val="17"/>
              </w:rPr>
              <w:t>55.48</w:t>
            </w:r>
          </w:p>
        </w:tc>
        <w:tc>
          <w:tcPr>
            <w:tcW w:type="dxa" w:w="1238"/>
            <w:shd w:val="clear" w:color="auto" w:fill="F6F1E6"/>
          </w:tcPr>
          <w:p>
            <w:pPr>
              <w:spacing w:after="20"/>
              <w:jc w:val="right"/>
            </w:pPr>
            <w:r>
              <w:rPr>
                <w:b/>
                <w:color w:val="1C3A36"/>
                <w:sz w:val="17"/>
              </w:rPr>
              <w:t>104.96</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-47%</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71.20</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-32%</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55.48, and the market-anchored reads are published beside it at their own values so a reader can judge the disagreement rather than receive a number in which it has already been settled by a weight. An earlier edition did settle it that way and reported EGP 71.20, -32% against the price where this study holds -47%.</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49.5</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370,030</w:t>
            </w:r>
          </w:p>
        </w:tc>
        <w:tc>
          <w:tcPr>
            <w:tcW w:type="dxa" w:w="1426"/>
          </w:tcPr>
          <w:p>
            <w:pPr>
              <w:spacing w:after="20"/>
              <w:jc w:val="right"/>
            </w:pPr>
            <w:r>
              <w:rPr>
                <w:color w:val="1C3A36"/>
                <w:sz w:val="16"/>
              </w:rPr>
              <w:t>422,528</w:t>
            </w:r>
          </w:p>
        </w:tc>
        <w:tc>
          <w:tcPr>
            <w:tcW w:type="dxa" w:w="1426"/>
          </w:tcPr>
          <w:p>
            <w:pPr>
              <w:spacing w:after="20"/>
              <w:jc w:val="right"/>
            </w:pPr>
            <w:r>
              <w:rPr>
                <w:color w:val="1C3A36"/>
                <w:sz w:val="16"/>
              </w:rPr>
              <w:t>466,619</w:t>
            </w:r>
          </w:p>
        </w:tc>
        <w:tc>
          <w:tcPr>
            <w:tcW w:type="dxa" w:w="1426"/>
          </w:tcPr>
          <w:p>
            <w:pPr>
              <w:spacing w:after="20"/>
              <w:jc w:val="right"/>
            </w:pPr>
            <w:r>
              <w:rPr>
                <w:color w:val="1C3A36"/>
                <w:sz w:val="16"/>
              </w:rPr>
              <w:t>510,440</w:t>
            </w:r>
          </w:p>
        </w:tc>
        <w:tc>
          <w:tcPr>
            <w:tcW w:type="dxa" w:w="1426"/>
          </w:tcPr>
          <w:p>
            <w:pPr>
              <w:spacing w:after="20"/>
              <w:jc w:val="right"/>
            </w:pPr>
            <w:r>
              <w:rPr>
                <w:color w:val="1C3A36"/>
                <w:sz w:val="16"/>
              </w:rPr>
              <w:t>555,225</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44,699</w:t>
            </w:r>
          </w:p>
        </w:tc>
        <w:tc>
          <w:tcPr>
            <w:tcW w:type="dxa" w:w="1426"/>
          </w:tcPr>
          <w:p>
            <w:pPr>
              <w:spacing w:after="20"/>
              <w:jc w:val="right"/>
            </w:pPr>
            <w:r>
              <w:rPr>
                <w:color w:val="1C3A36"/>
                <w:sz w:val="16"/>
              </w:rPr>
              <w:t>51,137</w:t>
            </w:r>
          </w:p>
        </w:tc>
        <w:tc>
          <w:tcPr>
            <w:tcW w:type="dxa" w:w="1426"/>
          </w:tcPr>
          <w:p>
            <w:pPr>
              <w:spacing w:after="20"/>
              <w:jc w:val="right"/>
            </w:pPr>
            <w:r>
              <w:rPr>
                <w:color w:val="1C3A36"/>
                <w:sz w:val="16"/>
              </w:rPr>
              <w:t>56,606</w:t>
            </w:r>
          </w:p>
        </w:tc>
        <w:tc>
          <w:tcPr>
            <w:tcW w:type="dxa" w:w="1426"/>
          </w:tcPr>
          <w:p>
            <w:pPr>
              <w:spacing w:after="20"/>
              <w:jc w:val="right"/>
            </w:pPr>
            <w:r>
              <w:rPr>
                <w:color w:val="1C3A36"/>
                <w:sz w:val="16"/>
              </w:rPr>
              <w:t>62,040</w:t>
            </w:r>
          </w:p>
        </w:tc>
        <w:tc>
          <w:tcPr>
            <w:tcW w:type="dxa" w:w="1426"/>
          </w:tcPr>
          <w:p>
            <w:pPr>
              <w:spacing w:after="20"/>
              <w:jc w:val="right"/>
            </w:pPr>
            <w:r>
              <w:rPr>
                <w:color w:val="1C3A36"/>
                <w:sz w:val="16"/>
              </w:rPr>
              <w:t>67,601</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12.2%</w:t>
            </w:r>
          </w:p>
        </w:tc>
        <w:tc>
          <w:tcPr>
            <w:tcW w:type="dxa" w:w="1426"/>
          </w:tcPr>
          <w:p>
            <w:pPr>
              <w:spacing w:after="20"/>
              <w:jc w:val="right"/>
            </w:pPr>
            <w:r>
              <w:rPr>
                <w:color w:val="1C3A36"/>
                <w:sz w:val="16"/>
              </w:rPr>
              <w:t>12.2%</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(11,360)</w:t>
            </w:r>
          </w:p>
        </w:tc>
        <w:tc>
          <w:tcPr>
            <w:tcW w:type="dxa" w:w="1426"/>
          </w:tcPr>
          <w:p>
            <w:pPr>
              <w:spacing w:after="20"/>
              <w:jc w:val="right"/>
            </w:pPr>
            <w:r>
              <w:rPr>
                <w:color w:val="1C3A36"/>
                <w:sz w:val="16"/>
              </w:rPr>
              <w:t>(12,972)</w:t>
            </w:r>
          </w:p>
        </w:tc>
        <w:tc>
          <w:tcPr>
            <w:tcW w:type="dxa" w:w="1426"/>
          </w:tcPr>
          <w:p>
            <w:pPr>
              <w:spacing w:after="20"/>
              <w:jc w:val="right"/>
            </w:pPr>
            <w:r>
              <w:rPr>
                <w:color w:val="1C3A36"/>
                <w:sz w:val="16"/>
              </w:rPr>
              <w:t>(14,325)</w:t>
            </w:r>
          </w:p>
        </w:tc>
        <w:tc>
          <w:tcPr>
            <w:tcW w:type="dxa" w:w="1426"/>
          </w:tcPr>
          <w:p>
            <w:pPr>
              <w:spacing w:after="20"/>
              <w:jc w:val="right"/>
            </w:pPr>
            <w:r>
              <w:rPr>
                <w:color w:val="1C3A36"/>
                <w:sz w:val="16"/>
              </w:rPr>
              <w:t>(15,671)</w:t>
            </w:r>
          </w:p>
        </w:tc>
        <w:tc>
          <w:tcPr>
            <w:tcW w:type="dxa" w:w="1426"/>
          </w:tcPr>
          <w:p>
            <w:pPr>
              <w:spacing w:after="20"/>
              <w:jc w:val="right"/>
            </w:pPr>
            <w:r>
              <w:rPr>
                <w:color w:val="1C3A36"/>
                <w:sz w:val="16"/>
              </w:rPr>
              <w:t>(17,045)</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33,339</w:t>
            </w:r>
          </w:p>
        </w:tc>
        <w:tc>
          <w:tcPr>
            <w:tcW w:type="dxa" w:w="1426"/>
            <w:shd w:val="clear" w:color="auto" w:fill="F6F1E6"/>
          </w:tcPr>
          <w:p>
            <w:pPr>
              <w:spacing w:after="20"/>
              <w:jc w:val="right"/>
            </w:pPr>
            <w:r>
              <w:rPr>
                <w:b/>
                <w:color w:val="1C3A36"/>
                <w:sz w:val="16"/>
              </w:rPr>
              <w:t>38,165</w:t>
            </w:r>
          </w:p>
        </w:tc>
        <w:tc>
          <w:tcPr>
            <w:tcW w:type="dxa" w:w="1426"/>
            <w:shd w:val="clear" w:color="auto" w:fill="F6F1E6"/>
          </w:tcPr>
          <w:p>
            <w:pPr>
              <w:spacing w:after="20"/>
              <w:jc w:val="right"/>
            </w:pPr>
            <w:r>
              <w:rPr>
                <w:b/>
                <w:color w:val="1C3A36"/>
                <w:sz w:val="16"/>
              </w:rPr>
              <w:t>42,280</w:t>
            </w:r>
          </w:p>
        </w:tc>
        <w:tc>
          <w:tcPr>
            <w:tcW w:type="dxa" w:w="1426"/>
            <w:shd w:val="clear" w:color="auto" w:fill="F6F1E6"/>
          </w:tcPr>
          <w:p>
            <w:pPr>
              <w:spacing w:after="20"/>
              <w:jc w:val="right"/>
            </w:pPr>
            <w:r>
              <w:rPr>
                <w:b/>
                <w:color w:val="1C3A36"/>
                <w:sz w:val="16"/>
              </w:rPr>
              <w:t>46,370</w:t>
            </w:r>
          </w:p>
        </w:tc>
        <w:tc>
          <w:tcPr>
            <w:tcW w:type="dxa" w:w="1426"/>
            <w:shd w:val="clear" w:color="auto" w:fill="F6F1E6"/>
          </w:tcPr>
          <w:p>
            <w:pPr>
              <w:spacing w:after="20"/>
              <w:jc w:val="right"/>
            </w:pPr>
            <w:r>
              <w:rPr>
                <w:b/>
                <w:color w:val="1C3A36"/>
                <w:sz w:val="16"/>
              </w:rPr>
              <w:t>50,556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4,625</w:t>
            </w:r>
          </w:p>
        </w:tc>
        <w:tc>
          <w:tcPr>
            <w:tcW w:type="dxa" w:w="1426"/>
          </w:tcPr>
          <w:p>
            <w:pPr>
              <w:spacing w:after="20"/>
              <w:jc w:val="right"/>
            </w:pPr>
            <w:r>
              <w:rPr>
                <w:color w:val="1C3A36"/>
                <w:sz w:val="16"/>
              </w:rPr>
              <w:t>5,282</w:t>
            </w:r>
          </w:p>
        </w:tc>
        <w:tc>
          <w:tcPr>
            <w:tcW w:type="dxa" w:w="1426"/>
          </w:tcPr>
          <w:p>
            <w:pPr>
              <w:spacing w:after="20"/>
              <w:jc w:val="right"/>
            </w:pPr>
            <w:r>
              <w:rPr>
                <w:color w:val="1C3A36"/>
                <w:sz w:val="16"/>
              </w:rPr>
              <w:t>5,833</w:t>
            </w:r>
          </w:p>
        </w:tc>
        <w:tc>
          <w:tcPr>
            <w:tcW w:type="dxa" w:w="1426"/>
          </w:tcPr>
          <w:p>
            <w:pPr>
              <w:spacing w:after="20"/>
              <w:jc w:val="right"/>
            </w:pPr>
            <w:r>
              <w:rPr>
                <w:color w:val="1C3A36"/>
                <w:sz w:val="16"/>
              </w:rPr>
              <w:t>6,381</w:t>
            </w:r>
          </w:p>
        </w:tc>
        <w:tc>
          <w:tcPr>
            <w:tcW w:type="dxa" w:w="1426"/>
          </w:tcPr>
          <w:p>
            <w:pPr>
              <w:spacing w:after="20"/>
              <w:jc w:val="right"/>
            </w:pPr>
            <w:r>
              <w:rPr>
                <w:color w:val="1C3A36"/>
                <w:sz w:val="16"/>
              </w:rPr>
              <w:t>6,940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37,965</w:t>
            </w:r>
          </w:p>
        </w:tc>
        <w:tc>
          <w:tcPr>
            <w:tcW w:type="dxa" w:w="1426"/>
            <w:shd w:val="clear" w:color="auto" w:fill="F6F1E6"/>
          </w:tcPr>
          <w:p>
            <w:pPr>
              <w:spacing w:after="20"/>
              <w:jc w:val="right"/>
            </w:pPr>
            <w:r>
              <w:rPr>
                <w:b/>
                <w:color w:val="1C3A36"/>
                <w:sz w:val="16"/>
              </w:rPr>
              <w:t>43,447</w:t>
            </w:r>
          </w:p>
        </w:tc>
        <w:tc>
          <w:tcPr>
            <w:tcW w:type="dxa" w:w="1426"/>
            <w:shd w:val="clear" w:color="auto" w:fill="F6F1E6"/>
          </w:tcPr>
          <w:p>
            <w:pPr>
              <w:spacing w:after="20"/>
              <w:jc w:val="right"/>
            </w:pPr>
            <w:r>
              <w:rPr>
                <w:b/>
                <w:color w:val="1C3A36"/>
                <w:sz w:val="16"/>
              </w:rPr>
              <w:t>48,113</w:t>
            </w:r>
          </w:p>
        </w:tc>
        <w:tc>
          <w:tcPr>
            <w:tcW w:type="dxa" w:w="1426"/>
            <w:shd w:val="clear" w:color="auto" w:fill="F6F1E6"/>
          </w:tcPr>
          <w:p>
            <w:pPr>
              <w:spacing w:after="20"/>
              <w:jc w:val="right"/>
            </w:pPr>
            <w:r>
              <w:rPr>
                <w:b/>
                <w:color w:val="1C3A36"/>
                <w:sz w:val="16"/>
              </w:rPr>
              <w:t>52,750</w:t>
            </w:r>
          </w:p>
        </w:tc>
        <w:tc>
          <w:tcPr>
            <w:tcW w:type="dxa" w:w="1426"/>
            <w:shd w:val="clear" w:color="auto" w:fill="F6F1E6"/>
          </w:tcPr>
          <w:p>
            <w:pPr>
              <w:spacing w:after="20"/>
              <w:jc w:val="right"/>
            </w:pPr>
            <w:r>
              <w:rPr>
                <w:b/>
                <w:color w:val="1C3A36"/>
                <w:sz w:val="16"/>
              </w:rPr>
              <w:t>57,496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10.4%</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370,030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329,470</w:t>
            </w:r>
          </w:p>
        </w:tc>
        <w:tc>
          <w:tcPr>
            <w:tcW w:type="dxa" w:w="1181"/>
          </w:tcPr>
          <w:p>
            <w:pPr>
              <w:spacing w:after="20"/>
              <w:jc w:val="right"/>
            </w:pPr>
            <w:r>
              <w:rPr>
                <w:color w:val="1C3A36"/>
                <w:sz w:val="16"/>
              </w:rPr>
              <w:t>59.3%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159,883</w:t>
            </w:r>
          </w:p>
        </w:tc>
        <w:tc>
          <w:tcPr>
            <w:tcW w:type="dxa" w:w="1181"/>
          </w:tcPr>
          <w:p>
            <w:pPr>
              <w:spacing w:after="20"/>
              <w:jc w:val="right"/>
            </w:pPr>
            <w:r>
              <w:rPr>
                <w:color w:val="1C3A36"/>
                <w:sz w:val="16"/>
              </w:rPr>
              <w:t>28.8%</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65,871</w:t>
            </w:r>
          </w:p>
        </w:tc>
        <w:tc>
          <w:tcPr>
            <w:tcW w:type="dxa" w:w="1181"/>
          </w:tcPr>
          <w:p>
            <w:pPr>
              <w:spacing w:after="20"/>
              <w:jc w:val="right"/>
            </w:pPr>
            <w:r>
              <w:rPr>
                <w:color w:val="1C3A36"/>
                <w:sz w:val="16"/>
              </w:rPr>
              <w:t>11.9%</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555,225</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59.3%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17,783mn working-capital build cuts free cash flow to the firm to just EGP -4,268mn, against EGP 6,748mn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2.33-2.50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8.4%</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26.6%</w:t>
            </w:r>
          </w:p>
        </w:tc>
        <w:tc>
          <w:tcPr>
            <w:tcW w:type="dxa" w:w="1152"/>
          </w:tcPr>
          <w:p>
            <w:pPr>
              <w:spacing w:after="20"/>
              <w:jc w:val="right"/>
            </w:pPr>
            <w:r>
              <w:rPr>
                <w:color w:val="1C3A36"/>
                <w:sz w:val="16"/>
              </w:rPr>
              <w:t>15.9%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30.0%</w:t>
            </w:r>
          </w:p>
        </w:tc>
        <w:tc>
          <w:tcPr>
            <w:tcW w:type="dxa" w:w="1843"/>
          </w:tcPr>
          <w:p>
            <w:pPr>
              <w:spacing w:after="20"/>
              <w:jc w:val="right"/>
            </w:pPr>
            <w:r>
              <w:rPr>
                <w:color w:val="1C3A36"/>
                <w:sz w:val="16"/>
              </w:rPr>
              <w:t>EGP 34.38 (against 55.48)</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21.10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62.37 (6.88)</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(21.7% weight, cost of capital 23.8%)</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(13.9%): the hard-currency legs loaded with the pound's own 5.4%/year forecast depreciation, under uncovered interest parity</w:t>
            </w:r>
          </w:p>
        </w:tc>
        <w:tc>
          <w:tcPr>
            <w:tcW w:type="dxa" w:w="1843"/>
          </w:tcPr>
          <w:p>
            <w:pPr>
              <w:spacing w:after="20"/>
              <w:jc w:val="right"/>
            </w:pPr>
            <w:r>
              <w:rPr>
                <w:color w:val="1C3A36"/>
                <w:sz w:val="16"/>
              </w:rPr>
              <w:t>EGP 55.16 (-0.32)</w:t>
            </w:r>
          </w:p>
        </w:tc>
        <w:tc>
          <w:tcPr>
            <w:tcW w:type="dxa" w:w="3096"/>
          </w:tcPr>
          <w:p>
            <w:pPr>
              <w:spacing w:after="20"/>
              <w:jc w:val="right"/>
            </w:pPr>
            <w:r>
              <w:rPr>
                <w:color w:val="1C3A36"/>
                <w:sz w:val="16"/>
              </w:rPr>
              <w:t>Net debt carries only 8.4% of the capital structure, so even this 444-basis-point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34.38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105.20: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23.6%</w:t>
            </w:r>
          </w:p>
        </w:tc>
        <w:tc>
          <w:tcPr>
            <w:tcW w:type="dxa" w:w="1541"/>
            <w:shd w:val="clear" w:color="auto" w:fill="EAF0EE"/>
          </w:tcPr>
          <w:p>
            <w:pPr>
              <w:spacing w:after="20"/>
            </w:pPr>
            <w:r>
              <w:rPr>
                <w:b/>
                <w:color w:val="1C3A36"/>
                <w:sz w:val="16"/>
              </w:rPr>
              <w:t>25.1%</w:t>
            </w:r>
          </w:p>
        </w:tc>
        <w:tc>
          <w:tcPr>
            <w:tcW w:type="dxa" w:w="1541"/>
            <w:shd w:val="clear" w:color="auto" w:fill="EAF0EE"/>
          </w:tcPr>
          <w:p>
            <w:pPr>
              <w:spacing w:after="20"/>
            </w:pPr>
            <w:r>
              <w:rPr>
                <w:b/>
                <w:color w:val="1C3A36"/>
                <w:sz w:val="16"/>
              </w:rPr>
              <w:t>26.6%</w:t>
            </w:r>
          </w:p>
        </w:tc>
        <w:tc>
          <w:tcPr>
            <w:tcW w:type="dxa" w:w="1541"/>
            <w:shd w:val="clear" w:color="auto" w:fill="EAF0EE"/>
          </w:tcPr>
          <w:p>
            <w:pPr>
              <w:spacing w:after="20"/>
            </w:pPr>
            <w:r>
              <w:rPr>
                <w:b/>
                <w:color w:val="1C3A36"/>
                <w:sz w:val="16"/>
              </w:rPr>
              <w:t>28.1%</w:t>
            </w:r>
          </w:p>
        </w:tc>
        <w:tc>
          <w:tcPr>
            <w:tcW w:type="dxa" w:w="1541"/>
            <w:shd w:val="clear" w:color="auto" w:fill="EAF0EE"/>
          </w:tcPr>
          <w:p>
            <w:pPr>
              <w:spacing w:after="20"/>
            </w:pPr>
            <w:r>
              <w:rPr>
                <w:b/>
                <w:color w:val="1C3A36"/>
                <w:sz w:val="16"/>
              </w:rPr>
              <w:t>29.6%</w:t>
            </w:r>
          </w:p>
        </w:tc>
      </w:tr>
      <w:tr>
        <w:tc>
          <w:tcPr>
            <w:tcW w:type="dxa" w:w="2333"/>
          </w:tcPr>
          <w:p>
            <w:pPr>
              <w:spacing w:after="20"/>
            </w:pPr>
            <w:r>
              <w:rPr>
                <w:color w:val="1C3A36"/>
                <w:sz w:val="16"/>
              </w:rPr>
              <w:t>terminal 13.9%</w:t>
            </w:r>
          </w:p>
        </w:tc>
        <w:tc>
          <w:tcPr>
            <w:tcW w:type="dxa" w:w="1541"/>
          </w:tcPr>
          <w:p>
            <w:pPr>
              <w:spacing w:after="20"/>
              <w:jc w:val="right"/>
            </w:pPr>
            <w:r>
              <w:rPr>
                <w:color w:val="1C3A36"/>
                <w:sz w:val="16"/>
              </w:rPr>
              <w:t>84.66</w:t>
            </w:r>
          </w:p>
        </w:tc>
        <w:tc>
          <w:tcPr>
            <w:tcW w:type="dxa" w:w="1541"/>
          </w:tcPr>
          <w:p>
            <w:pPr>
              <w:spacing w:after="20"/>
              <w:jc w:val="right"/>
            </w:pPr>
            <w:r>
              <w:rPr>
                <w:color w:val="1C3A36"/>
                <w:sz w:val="16"/>
              </w:rPr>
              <w:t>82.13</w:t>
            </w:r>
          </w:p>
        </w:tc>
        <w:tc>
          <w:tcPr>
            <w:tcW w:type="dxa" w:w="1541"/>
          </w:tcPr>
          <w:p>
            <w:pPr>
              <w:spacing w:after="20"/>
              <w:jc w:val="right"/>
            </w:pPr>
            <w:r>
              <w:rPr>
                <w:color w:val="1C3A36"/>
                <w:sz w:val="16"/>
              </w:rPr>
              <w:t>79.70</w:t>
            </w:r>
          </w:p>
        </w:tc>
        <w:tc>
          <w:tcPr>
            <w:tcW w:type="dxa" w:w="1541"/>
          </w:tcPr>
          <w:p>
            <w:pPr>
              <w:spacing w:after="20"/>
              <w:jc w:val="right"/>
            </w:pPr>
            <w:r>
              <w:rPr>
                <w:color w:val="1C3A36"/>
                <w:sz w:val="16"/>
              </w:rPr>
              <w:t>77.34</w:t>
            </w:r>
          </w:p>
        </w:tc>
        <w:tc>
          <w:tcPr>
            <w:tcW w:type="dxa" w:w="1541"/>
          </w:tcPr>
          <w:p>
            <w:pPr>
              <w:spacing w:after="20"/>
              <w:jc w:val="right"/>
            </w:pPr>
            <w:r>
              <w:rPr>
                <w:color w:val="1C3A36"/>
                <w:sz w:val="16"/>
              </w:rPr>
              <w:t>75.07</w:t>
            </w:r>
          </w:p>
        </w:tc>
      </w:tr>
      <w:tr>
        <w:tc>
          <w:tcPr>
            <w:tcW w:type="dxa" w:w="2333"/>
          </w:tcPr>
          <w:p>
            <w:pPr>
              <w:spacing w:after="20"/>
            </w:pPr>
            <w:r>
              <w:rPr>
                <w:color w:val="1C3A36"/>
                <w:sz w:val="16"/>
              </w:rPr>
              <w:t>terminal 14.9%</w:t>
            </w:r>
          </w:p>
        </w:tc>
        <w:tc>
          <w:tcPr>
            <w:tcW w:type="dxa" w:w="1541"/>
          </w:tcPr>
          <w:p>
            <w:pPr>
              <w:spacing w:after="20"/>
              <w:jc w:val="right"/>
            </w:pPr>
            <w:r>
              <w:rPr>
                <w:color w:val="1C3A36"/>
                <w:sz w:val="16"/>
              </w:rPr>
              <w:t>72.53</w:t>
            </w:r>
          </w:p>
        </w:tc>
        <w:tc>
          <w:tcPr>
            <w:tcW w:type="dxa" w:w="1541"/>
          </w:tcPr>
          <w:p>
            <w:pPr>
              <w:spacing w:after="20"/>
              <w:jc w:val="right"/>
            </w:pPr>
            <w:r>
              <w:rPr>
                <w:color w:val="1C3A36"/>
                <w:sz w:val="16"/>
              </w:rPr>
              <w:t>70.33</w:t>
            </w:r>
          </w:p>
        </w:tc>
        <w:tc>
          <w:tcPr>
            <w:tcW w:type="dxa" w:w="1541"/>
          </w:tcPr>
          <w:p>
            <w:pPr>
              <w:spacing w:after="20"/>
              <w:jc w:val="right"/>
            </w:pPr>
            <w:r>
              <w:rPr>
                <w:color w:val="1C3A36"/>
                <w:sz w:val="16"/>
              </w:rPr>
              <w:t>68.22</w:t>
            </w:r>
          </w:p>
        </w:tc>
        <w:tc>
          <w:tcPr>
            <w:tcW w:type="dxa" w:w="1541"/>
          </w:tcPr>
          <w:p>
            <w:pPr>
              <w:spacing w:after="20"/>
              <w:jc w:val="right"/>
            </w:pPr>
            <w:r>
              <w:rPr>
                <w:color w:val="1C3A36"/>
                <w:sz w:val="16"/>
              </w:rPr>
              <w:t>66.17</w:t>
            </w:r>
          </w:p>
        </w:tc>
        <w:tc>
          <w:tcPr>
            <w:tcW w:type="dxa" w:w="1541"/>
          </w:tcPr>
          <w:p>
            <w:pPr>
              <w:spacing w:after="20"/>
              <w:jc w:val="right"/>
            </w:pPr>
            <w:r>
              <w:rPr>
                <w:color w:val="1C3A36"/>
                <w:sz w:val="16"/>
              </w:rPr>
              <w:t>64.20</w:t>
            </w:r>
          </w:p>
        </w:tc>
      </w:tr>
      <w:tr>
        <w:tc>
          <w:tcPr>
            <w:tcW w:type="dxa" w:w="2333"/>
          </w:tcPr>
          <w:p>
            <w:pPr>
              <w:spacing w:after="20"/>
            </w:pPr>
            <w:r>
              <w:rPr>
                <w:color w:val="1C3A36"/>
                <w:sz w:val="16"/>
              </w:rPr>
              <w:t>terminal 15.9%</w:t>
            </w:r>
          </w:p>
        </w:tc>
        <w:tc>
          <w:tcPr>
            <w:tcW w:type="dxa" w:w="1541"/>
          </w:tcPr>
          <w:p>
            <w:pPr>
              <w:spacing w:after="20"/>
              <w:jc w:val="right"/>
            </w:pPr>
            <w:r>
              <w:rPr>
                <w:color w:val="1C3A36"/>
                <w:sz w:val="16"/>
              </w:rPr>
              <w:t>63.12</w:t>
            </w:r>
          </w:p>
        </w:tc>
        <w:tc>
          <w:tcPr>
            <w:tcW w:type="dxa" w:w="1541"/>
          </w:tcPr>
          <w:p>
            <w:pPr>
              <w:spacing w:after="20"/>
              <w:jc w:val="right"/>
            </w:pPr>
            <w:r>
              <w:rPr>
                <w:color w:val="1C3A36"/>
                <w:sz w:val="16"/>
              </w:rPr>
              <w:t>61.18</w:t>
            </w:r>
          </w:p>
        </w:tc>
        <w:tc>
          <w:tcPr>
            <w:tcW w:type="dxa" w:w="1541"/>
          </w:tcPr>
          <w:p>
            <w:pPr>
              <w:spacing w:after="20"/>
              <w:jc w:val="right"/>
            </w:pPr>
            <w:r>
              <w:rPr>
                <w:color w:val="1C3A36"/>
                <w:sz w:val="16"/>
              </w:rPr>
              <w:t>59.31</w:t>
            </w:r>
          </w:p>
        </w:tc>
        <w:tc>
          <w:tcPr>
            <w:tcW w:type="dxa" w:w="1541"/>
          </w:tcPr>
          <w:p>
            <w:pPr>
              <w:spacing w:after="20"/>
              <w:jc w:val="right"/>
            </w:pPr>
            <w:r>
              <w:rPr>
                <w:color w:val="1C3A36"/>
                <w:sz w:val="16"/>
              </w:rPr>
              <w:t>57.51</w:t>
            </w:r>
          </w:p>
        </w:tc>
        <w:tc>
          <w:tcPr>
            <w:tcW w:type="dxa" w:w="1541"/>
          </w:tcPr>
          <w:p>
            <w:pPr>
              <w:spacing w:after="20"/>
              <w:jc w:val="right"/>
            </w:pPr>
            <w:r>
              <w:rPr>
                <w:color w:val="1C3A36"/>
                <w:sz w:val="16"/>
              </w:rPr>
              <w:t>55.77</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55.61</w:t>
            </w:r>
          </w:p>
        </w:tc>
        <w:tc>
          <w:tcPr>
            <w:tcW w:type="dxa" w:w="1541"/>
          </w:tcPr>
          <w:p>
            <w:pPr>
              <w:spacing w:after="20"/>
              <w:jc w:val="right"/>
            </w:pPr>
            <w:r>
              <w:rPr>
                <w:color w:val="1C3A36"/>
                <w:sz w:val="16"/>
              </w:rPr>
              <w:t>53.88</w:t>
            </w:r>
          </w:p>
        </w:tc>
        <w:tc>
          <w:tcPr>
            <w:tcW w:type="dxa" w:w="1541"/>
          </w:tcPr>
          <w:p>
            <w:pPr>
              <w:spacing w:after="20"/>
              <w:jc w:val="right"/>
            </w:pPr>
            <w:r>
              <w:rPr>
                <w:color w:val="1C3A36"/>
                <w:sz w:val="16"/>
              </w:rPr>
              <w:t>52.21</w:t>
            </w:r>
          </w:p>
        </w:tc>
        <w:tc>
          <w:tcPr>
            <w:tcW w:type="dxa" w:w="1541"/>
          </w:tcPr>
          <w:p>
            <w:pPr>
              <w:spacing w:after="20"/>
              <w:jc w:val="right"/>
            </w:pPr>
            <w:r>
              <w:rPr>
                <w:color w:val="1C3A36"/>
                <w:sz w:val="16"/>
              </w:rPr>
              <w:t>50.60</w:t>
            </w:r>
          </w:p>
        </w:tc>
        <w:tc>
          <w:tcPr>
            <w:tcW w:type="dxa" w:w="1541"/>
          </w:tcPr>
          <w:p>
            <w:pPr>
              <w:spacing w:after="20"/>
              <w:jc w:val="right"/>
            </w:pPr>
            <w:r>
              <w:rPr>
                <w:color w:val="1C3A36"/>
                <w:sz w:val="16"/>
              </w:rPr>
              <w:t>49.04</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49.48</w:t>
            </w:r>
          </w:p>
        </w:tc>
        <w:tc>
          <w:tcPr>
            <w:tcW w:type="dxa" w:w="1541"/>
          </w:tcPr>
          <w:p>
            <w:pPr>
              <w:spacing w:after="20"/>
              <w:jc w:val="right"/>
            </w:pPr>
            <w:r>
              <w:rPr>
                <w:color w:val="1C3A36"/>
                <w:sz w:val="16"/>
              </w:rPr>
              <w:t>47.92</w:t>
            </w:r>
          </w:p>
        </w:tc>
        <w:tc>
          <w:tcPr>
            <w:tcW w:type="dxa" w:w="1541"/>
          </w:tcPr>
          <w:p>
            <w:pPr>
              <w:spacing w:after="20"/>
              <w:jc w:val="right"/>
            </w:pPr>
            <w:r>
              <w:rPr>
                <w:color w:val="1C3A36"/>
                <w:sz w:val="16"/>
              </w:rPr>
              <w:t>46.41</w:t>
            </w:r>
          </w:p>
        </w:tc>
        <w:tc>
          <w:tcPr>
            <w:tcW w:type="dxa" w:w="1541"/>
          </w:tcPr>
          <w:p>
            <w:pPr>
              <w:spacing w:after="20"/>
              <w:jc w:val="right"/>
            </w:pPr>
            <w:r>
              <w:rPr>
                <w:color w:val="1C3A36"/>
                <w:sz w:val="16"/>
              </w:rPr>
              <w:t>44.96</w:t>
            </w:r>
          </w:p>
        </w:tc>
        <w:tc>
          <w:tcPr>
            <w:tcW w:type="dxa" w:w="1541"/>
          </w:tcPr>
          <w:p>
            <w:pPr>
              <w:spacing w:after="20"/>
              <w:jc w:val="right"/>
            </w:pPr>
            <w:r>
              <w:rPr>
                <w:color w:val="1C3A36"/>
                <w:sz w:val="16"/>
              </w:rPr>
              <w:t>43.55</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45.39 – 92.06</w:t>
            </w:r>
          </w:p>
        </w:tc>
        <w:tc>
          <w:tcPr>
            <w:tcW w:type="dxa" w:w="1944"/>
          </w:tcPr>
          <w:p>
            <w:pPr>
              <w:spacing w:after="20"/>
              <w:jc w:val="right"/>
            </w:pPr>
            <w:r>
              <w:rPr>
                <w:color w:val="1C3A36"/>
                <w:sz w:val="17"/>
              </w:rPr>
              <w:t>46.67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53.42 – 69.92</w:t>
            </w:r>
          </w:p>
        </w:tc>
        <w:tc>
          <w:tcPr>
            <w:tcW w:type="dxa" w:w="1944"/>
          </w:tcPr>
          <w:p>
            <w:pPr>
              <w:spacing w:after="20"/>
              <w:jc w:val="right"/>
            </w:pPr>
            <w:r>
              <w:rPr>
                <w:color w:val="1C3A36"/>
                <w:sz w:val="17"/>
              </w:rPr>
              <w:t>16.50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31.52 – 79.44</w:t>
            </w:r>
          </w:p>
        </w:tc>
        <w:tc>
          <w:tcPr>
            <w:tcW w:type="dxa" w:w="1944"/>
          </w:tcPr>
          <w:p>
            <w:pPr>
              <w:spacing w:after="20"/>
              <w:jc w:val="right"/>
            </w:pPr>
            <w:r>
              <w:rPr>
                <w:color w:val="1C3A36"/>
                <w:sz w:val="17"/>
              </w:rPr>
              <w:t>47.92</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52.39 – 58.58</w:t>
            </w:r>
          </w:p>
        </w:tc>
        <w:tc>
          <w:tcPr>
            <w:tcW w:type="dxa" w:w="1944"/>
          </w:tcPr>
          <w:p>
            <w:pPr>
              <w:spacing w:after="20"/>
              <w:jc w:val="right"/>
            </w:pPr>
            <w:r>
              <w:rPr>
                <w:color w:val="1C3A36"/>
                <w:sz w:val="17"/>
              </w:rPr>
              <w:t>6.19</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47.73 – 62.74</w:t>
            </w:r>
          </w:p>
        </w:tc>
        <w:tc>
          <w:tcPr>
            <w:tcW w:type="dxa" w:w="1944"/>
          </w:tcPr>
          <w:p>
            <w:pPr>
              <w:spacing w:after="20"/>
              <w:jc w:val="right"/>
            </w:pPr>
            <w:r>
              <w:rPr>
                <w:color w:val="1C3A36"/>
                <w:sz w:val="17"/>
              </w:rPr>
              <w:t>15.01</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48.94 – 69.38</w:t>
            </w:r>
          </w:p>
        </w:tc>
        <w:tc>
          <w:tcPr>
            <w:tcW w:type="dxa" w:w="1944"/>
          </w:tcPr>
          <w:p>
            <w:pPr>
              <w:spacing w:after="20"/>
              <w:jc w:val="right"/>
            </w:pPr>
            <w:r>
              <w:rPr>
                <w:color w:val="1C3A36"/>
                <w:sz w:val="17"/>
              </w:rPr>
              <w:t>20.44</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51.77 – 59.31</w:t>
            </w:r>
          </w:p>
        </w:tc>
        <w:tc>
          <w:tcPr>
            <w:tcW w:type="dxa" w:w="1944"/>
          </w:tcPr>
          <w:p>
            <w:pPr>
              <w:spacing w:after="20"/>
              <w:jc w:val="right"/>
            </w:pPr>
            <w:r>
              <w:rPr>
                <w:color w:val="1C3A36"/>
                <w:sz w:val="17"/>
              </w:rPr>
              <w:t>7.54</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-3.5%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252 trading sessions (the exchange's trailing year on the supplied series) and sits -3.5%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55.48;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55.48 central, -47%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55.48, -47%</w:t>
            </w:r>
          </w:p>
        </w:tc>
        <w:tc>
          <w:tcPr>
            <w:tcW w:type="dxa" w:w="4248"/>
          </w:tcPr>
          <w:p>
            <w:pPr>
              <w:spacing w:after="20"/>
              <w:jc w:val="right"/>
            </w:pPr>
            <w:r>
              <w:rPr>
                <w:color w:val="1C3A36"/>
                <w:sz w:val="17"/>
              </w:rPr>
              <w:t>a cost of capital gliding 26.6% to 15.9%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69.58, -34%</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80.58, -23%</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69.58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55.48</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217/365 of a year to the 5-Aug-2026 anchor at the 28.4% cost of equity less the EGP 1.85 dividend paid in the window — worth about +7.92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85%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370,030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69.58.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12,904mn (6.03 per share) from the equity value — EGP 3.64 per share MORE than deducting the audited book value of 5,119mn would (an earlier wording conflated the total charge with the excess; this states both). It is also the internally consistent choice: this study values the group's equity at 1.6×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370,030</w:t>
            </w:r>
          </w:p>
        </w:tc>
        <w:tc>
          <w:tcPr>
            <w:tcW w:type="dxa" w:w="950"/>
          </w:tcPr>
          <w:p>
            <w:pPr>
              <w:spacing w:after="20"/>
              <w:jc w:val="right"/>
            </w:pPr>
            <w:r>
              <w:rPr>
                <w:color w:val="1C3A36"/>
                <w:sz w:val="15"/>
              </w:rPr>
              <w:t>422,528</w:t>
            </w:r>
          </w:p>
        </w:tc>
        <w:tc>
          <w:tcPr>
            <w:tcW w:type="dxa" w:w="950"/>
          </w:tcPr>
          <w:p>
            <w:pPr>
              <w:spacing w:after="20"/>
              <w:jc w:val="right"/>
            </w:pPr>
            <w:r>
              <w:rPr>
                <w:color w:val="1C3A36"/>
                <w:sz w:val="15"/>
              </w:rPr>
              <w:t>466,619</w:t>
            </w:r>
          </w:p>
        </w:tc>
        <w:tc>
          <w:tcPr>
            <w:tcW w:type="dxa" w:w="950"/>
          </w:tcPr>
          <w:p>
            <w:pPr>
              <w:spacing w:after="20"/>
              <w:jc w:val="right"/>
            </w:pPr>
            <w:r>
              <w:rPr>
                <w:color w:val="1C3A36"/>
                <w:sz w:val="15"/>
              </w:rPr>
              <w:t>510,440</w:t>
            </w:r>
          </w:p>
        </w:tc>
        <w:tc>
          <w:tcPr>
            <w:tcW w:type="dxa" w:w="950"/>
          </w:tcPr>
          <w:p>
            <w:pPr>
              <w:spacing w:after="20"/>
              <w:jc w:val="right"/>
            </w:pPr>
            <w:r>
              <w:rPr>
                <w:color w:val="1C3A36"/>
                <w:sz w:val="15"/>
              </w:rPr>
              <w:t>555,225</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37,965</w:t>
            </w:r>
          </w:p>
        </w:tc>
        <w:tc>
          <w:tcPr>
            <w:tcW w:type="dxa" w:w="950"/>
            <w:shd w:val="clear" w:color="auto" w:fill="F6F1E6"/>
          </w:tcPr>
          <w:p>
            <w:pPr>
              <w:spacing w:after="20"/>
              <w:jc w:val="right"/>
            </w:pPr>
            <w:r>
              <w:rPr>
                <w:b/>
                <w:color w:val="1C3A36"/>
                <w:sz w:val="15"/>
              </w:rPr>
              <w:t>43,447</w:t>
            </w:r>
          </w:p>
        </w:tc>
        <w:tc>
          <w:tcPr>
            <w:tcW w:type="dxa" w:w="950"/>
            <w:shd w:val="clear" w:color="auto" w:fill="F6F1E6"/>
          </w:tcPr>
          <w:p>
            <w:pPr>
              <w:spacing w:after="20"/>
              <w:jc w:val="right"/>
            </w:pPr>
            <w:r>
              <w:rPr>
                <w:b/>
                <w:color w:val="1C3A36"/>
                <w:sz w:val="15"/>
              </w:rPr>
              <w:t>48,113</w:t>
            </w:r>
          </w:p>
        </w:tc>
        <w:tc>
          <w:tcPr>
            <w:tcW w:type="dxa" w:w="950"/>
            <w:shd w:val="clear" w:color="auto" w:fill="F6F1E6"/>
          </w:tcPr>
          <w:p>
            <w:pPr>
              <w:spacing w:after="20"/>
              <w:jc w:val="right"/>
            </w:pPr>
            <w:r>
              <w:rPr>
                <w:b/>
                <w:color w:val="1C3A36"/>
                <w:sz w:val="15"/>
              </w:rPr>
              <w:t>52,750</w:t>
            </w:r>
          </w:p>
        </w:tc>
        <w:tc>
          <w:tcPr>
            <w:tcW w:type="dxa" w:w="950"/>
            <w:shd w:val="clear" w:color="auto" w:fill="F6F1E6"/>
          </w:tcPr>
          <w:p>
            <w:pPr>
              <w:spacing w:after="20"/>
              <w:jc w:val="right"/>
            </w:pPr>
            <w:r>
              <w:rPr>
                <w:b/>
                <w:color w:val="1C3A36"/>
                <w:sz w:val="15"/>
              </w:rPr>
              <w:t>57,496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10.4%</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(4,625)</w:t>
            </w:r>
          </w:p>
        </w:tc>
        <w:tc>
          <w:tcPr>
            <w:tcW w:type="dxa" w:w="950"/>
          </w:tcPr>
          <w:p>
            <w:pPr>
              <w:spacing w:after="20"/>
              <w:jc w:val="right"/>
            </w:pPr>
            <w:r>
              <w:rPr>
                <w:color w:val="1C3A36"/>
                <w:sz w:val="15"/>
              </w:rPr>
              <w:t>(5,282)</w:t>
            </w:r>
          </w:p>
        </w:tc>
        <w:tc>
          <w:tcPr>
            <w:tcW w:type="dxa" w:w="950"/>
          </w:tcPr>
          <w:p>
            <w:pPr>
              <w:spacing w:after="20"/>
              <w:jc w:val="right"/>
            </w:pPr>
            <w:r>
              <w:rPr>
                <w:color w:val="1C3A36"/>
                <w:sz w:val="15"/>
              </w:rPr>
              <w:t>(5,833)</w:t>
            </w:r>
          </w:p>
        </w:tc>
        <w:tc>
          <w:tcPr>
            <w:tcW w:type="dxa" w:w="950"/>
          </w:tcPr>
          <w:p>
            <w:pPr>
              <w:spacing w:after="20"/>
              <w:jc w:val="right"/>
            </w:pPr>
            <w:r>
              <w:rPr>
                <w:color w:val="1C3A36"/>
                <w:sz w:val="15"/>
              </w:rPr>
              <w:t>(6,381)</w:t>
            </w:r>
          </w:p>
        </w:tc>
        <w:tc>
          <w:tcPr>
            <w:tcW w:type="dxa" w:w="950"/>
          </w:tcPr>
          <w:p>
            <w:pPr>
              <w:spacing w:after="20"/>
              <w:jc w:val="right"/>
            </w:pPr>
            <w:r>
              <w:rPr>
                <w:color w:val="1C3A36"/>
                <w:sz w:val="15"/>
              </w:rPr>
              <w:t>(6,940)</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33,339</w:t>
            </w:r>
          </w:p>
        </w:tc>
        <w:tc>
          <w:tcPr>
            <w:tcW w:type="dxa" w:w="950"/>
            <w:shd w:val="clear" w:color="auto" w:fill="F6F1E6"/>
          </w:tcPr>
          <w:p>
            <w:pPr>
              <w:spacing w:after="20"/>
              <w:jc w:val="right"/>
            </w:pPr>
            <w:r>
              <w:rPr>
                <w:b/>
                <w:color w:val="1C3A36"/>
                <w:sz w:val="15"/>
              </w:rPr>
              <w:t>38,165</w:t>
            </w:r>
          </w:p>
        </w:tc>
        <w:tc>
          <w:tcPr>
            <w:tcW w:type="dxa" w:w="950"/>
            <w:shd w:val="clear" w:color="auto" w:fill="F6F1E6"/>
          </w:tcPr>
          <w:p>
            <w:pPr>
              <w:spacing w:after="20"/>
              <w:jc w:val="right"/>
            </w:pPr>
            <w:r>
              <w:rPr>
                <w:b/>
                <w:color w:val="1C3A36"/>
                <w:sz w:val="15"/>
              </w:rPr>
              <w:t>42,280</w:t>
            </w:r>
          </w:p>
        </w:tc>
        <w:tc>
          <w:tcPr>
            <w:tcW w:type="dxa" w:w="950"/>
            <w:shd w:val="clear" w:color="auto" w:fill="F6F1E6"/>
          </w:tcPr>
          <w:p>
            <w:pPr>
              <w:spacing w:after="20"/>
              <w:jc w:val="right"/>
            </w:pPr>
            <w:r>
              <w:rPr>
                <w:b/>
                <w:color w:val="1C3A36"/>
                <w:sz w:val="15"/>
              </w:rPr>
              <w:t>46,370</w:t>
            </w:r>
          </w:p>
        </w:tc>
        <w:tc>
          <w:tcPr>
            <w:tcW w:type="dxa" w:w="950"/>
            <w:shd w:val="clear" w:color="auto" w:fill="F6F1E6"/>
          </w:tcPr>
          <w:p>
            <w:pPr>
              <w:spacing w:after="20"/>
              <w:jc w:val="right"/>
            </w:pPr>
            <w:r>
              <w:rPr>
                <w:b/>
                <w:color w:val="1C3A36"/>
                <w:sz w:val="15"/>
              </w:rPr>
              <w:t>50,556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(2,494)</w:t>
            </w:r>
          </w:p>
        </w:tc>
        <w:tc>
          <w:tcPr>
            <w:tcW w:type="dxa" w:w="950"/>
          </w:tcPr>
          <w:p>
            <w:pPr>
              <w:spacing w:after="20"/>
              <w:jc w:val="right"/>
            </w:pPr>
            <w:r>
              <w:rPr>
                <w:color w:val="1C3A36"/>
                <w:sz w:val="15"/>
              </w:rPr>
              <w:t>(2,335)</w:t>
            </w:r>
          </w:p>
        </w:tc>
        <w:tc>
          <w:tcPr>
            <w:tcW w:type="dxa" w:w="950"/>
          </w:tcPr>
          <w:p>
            <w:pPr>
              <w:spacing w:after="20"/>
              <w:jc w:val="right"/>
            </w:pPr>
            <w:r>
              <w:rPr>
                <w:color w:val="1C3A36"/>
                <w:sz w:val="15"/>
              </w:rPr>
              <w:t>(1,757)</w:t>
            </w:r>
          </w:p>
        </w:tc>
        <w:tc>
          <w:tcPr>
            <w:tcW w:type="dxa" w:w="950"/>
          </w:tcPr>
          <w:p>
            <w:pPr>
              <w:spacing w:after="20"/>
              <w:jc w:val="right"/>
            </w:pPr>
            <w:r>
              <w:rPr>
                <w:color w:val="1C3A36"/>
                <w:sz w:val="15"/>
              </w:rPr>
              <w:t>(917)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22,703</w:t>
            </w:r>
          </w:p>
        </w:tc>
        <w:tc>
          <w:tcPr>
            <w:tcW w:type="dxa" w:w="950"/>
            <w:shd w:val="clear" w:color="auto" w:fill="F6F1E6"/>
          </w:tcPr>
          <w:p>
            <w:pPr>
              <w:spacing w:after="20"/>
              <w:jc w:val="right"/>
            </w:pPr>
            <w:r>
              <w:rPr>
                <w:b/>
                <w:color w:val="1C3A36"/>
                <w:sz w:val="15"/>
              </w:rPr>
              <w:t>25,574</w:t>
            </w:r>
          </w:p>
        </w:tc>
        <w:tc>
          <w:tcPr>
            <w:tcW w:type="dxa" w:w="950"/>
            <w:shd w:val="clear" w:color="auto" w:fill="F6F1E6"/>
          </w:tcPr>
          <w:p>
            <w:pPr>
              <w:spacing w:after="20"/>
              <w:jc w:val="right"/>
            </w:pPr>
            <w:r>
              <w:rPr>
                <w:b/>
                <w:color w:val="1C3A36"/>
                <w:sz w:val="15"/>
              </w:rPr>
              <w:t>28,589</w:t>
            </w:r>
          </w:p>
        </w:tc>
        <w:tc>
          <w:tcPr>
            <w:tcW w:type="dxa" w:w="950"/>
            <w:shd w:val="clear" w:color="auto" w:fill="F6F1E6"/>
          </w:tcPr>
          <w:p>
            <w:pPr>
              <w:spacing w:after="20"/>
              <w:jc w:val="right"/>
            </w:pPr>
            <w:r>
              <w:rPr>
                <w:b/>
                <w:color w:val="1C3A36"/>
                <w:sz w:val="15"/>
              </w:rPr>
              <w:t>31,879</w:t>
            </w:r>
          </w:p>
        </w:tc>
        <w:tc>
          <w:tcPr>
            <w:tcW w:type="dxa" w:w="950"/>
            <w:shd w:val="clear" w:color="auto" w:fill="F6F1E6"/>
          </w:tcPr>
          <w:p>
            <w:pPr>
              <w:spacing w:after="20"/>
              <w:jc w:val="right"/>
            </w:pPr>
            <w:r>
              <w:rPr>
                <w:b/>
                <w:color w:val="1C3A36"/>
                <w:sz w:val="15"/>
              </w:rPr>
              <w:t>35,423</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10.60</w:t>
            </w:r>
          </w:p>
        </w:tc>
        <w:tc>
          <w:tcPr>
            <w:tcW w:type="dxa" w:w="950"/>
          </w:tcPr>
          <w:p>
            <w:pPr>
              <w:spacing w:after="20"/>
              <w:jc w:val="right"/>
            </w:pPr>
            <w:r>
              <w:rPr>
                <w:color w:val="1C3A36"/>
                <w:sz w:val="15"/>
              </w:rPr>
              <w:t>11.95</w:t>
            </w:r>
          </w:p>
        </w:tc>
        <w:tc>
          <w:tcPr>
            <w:tcW w:type="dxa" w:w="950"/>
          </w:tcPr>
          <w:p>
            <w:pPr>
              <w:spacing w:after="20"/>
              <w:jc w:val="right"/>
            </w:pPr>
            <w:r>
              <w:rPr>
                <w:color w:val="1C3A36"/>
                <w:sz w:val="15"/>
              </w:rPr>
              <w:t>13.35</w:t>
            </w:r>
          </w:p>
        </w:tc>
        <w:tc>
          <w:tcPr>
            <w:tcW w:type="dxa" w:w="950"/>
          </w:tcPr>
          <w:p>
            <w:pPr>
              <w:spacing w:after="20"/>
              <w:jc w:val="right"/>
            </w:pPr>
            <w:r>
              <w:rPr>
                <w:color w:val="1C3A36"/>
                <w:sz w:val="15"/>
              </w:rPr>
              <w:t>14.89</w:t>
            </w:r>
          </w:p>
        </w:tc>
        <w:tc>
          <w:tcPr>
            <w:tcW w:type="dxa" w:w="950"/>
          </w:tcPr>
          <w:p>
            <w:pPr>
              <w:spacing w:after="20"/>
              <w:jc w:val="right"/>
            </w:pPr>
            <w:r>
              <w:rPr>
                <w:color w:val="1C3A36"/>
                <w:sz w:val="15"/>
              </w:rPr>
              <w:t>16.55</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73,636</w:t>
            </w:r>
          </w:p>
        </w:tc>
        <w:tc>
          <w:tcPr>
            <w:tcW w:type="dxa" w:w="1426"/>
          </w:tcPr>
          <w:p>
            <w:pPr>
              <w:spacing w:after="20"/>
              <w:jc w:val="right"/>
            </w:pPr>
            <w:r>
              <w:rPr>
                <w:color w:val="1C3A36"/>
                <w:sz w:val="16"/>
              </w:rPr>
              <w:t>84,083</w:t>
            </w:r>
          </w:p>
        </w:tc>
        <w:tc>
          <w:tcPr>
            <w:tcW w:type="dxa" w:w="1426"/>
          </w:tcPr>
          <w:p>
            <w:pPr>
              <w:spacing w:after="20"/>
              <w:jc w:val="right"/>
            </w:pPr>
            <w:r>
              <w:rPr>
                <w:color w:val="1C3A36"/>
                <w:sz w:val="16"/>
              </w:rPr>
              <w:t>92,857</w:t>
            </w:r>
          </w:p>
        </w:tc>
        <w:tc>
          <w:tcPr>
            <w:tcW w:type="dxa" w:w="1426"/>
          </w:tcPr>
          <w:p>
            <w:pPr>
              <w:spacing w:after="20"/>
              <w:jc w:val="right"/>
            </w:pPr>
            <w:r>
              <w:rPr>
                <w:color w:val="1C3A36"/>
                <w:sz w:val="16"/>
              </w:rPr>
              <w:t>101,578</w:t>
            </w:r>
          </w:p>
        </w:tc>
        <w:tc>
          <w:tcPr>
            <w:tcW w:type="dxa" w:w="1426"/>
          </w:tcPr>
          <w:p>
            <w:pPr>
              <w:spacing w:after="20"/>
              <w:jc w:val="right"/>
            </w:pPr>
            <w:r>
              <w:rPr>
                <w:color w:val="1C3A36"/>
                <w:sz w:val="16"/>
              </w:rPr>
              <w:t>110,490</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47,617</w:t>
            </w:r>
          </w:p>
        </w:tc>
        <w:tc>
          <w:tcPr>
            <w:tcW w:type="dxa" w:w="1426"/>
          </w:tcPr>
          <w:p>
            <w:pPr>
              <w:spacing w:after="20"/>
              <w:jc w:val="right"/>
            </w:pPr>
            <w:r>
              <w:rPr>
                <w:color w:val="1C3A36"/>
                <w:sz w:val="16"/>
              </w:rPr>
              <w:t>59,237</w:t>
            </w:r>
          </w:p>
        </w:tc>
        <w:tc>
          <w:tcPr>
            <w:tcW w:type="dxa" w:w="1426"/>
          </w:tcPr>
          <w:p>
            <w:pPr>
              <w:spacing w:after="20"/>
              <w:jc w:val="right"/>
            </w:pPr>
            <w:r>
              <w:rPr>
                <w:color w:val="1C3A36"/>
                <w:sz w:val="16"/>
              </w:rPr>
              <w:t>70,202</w:t>
            </w:r>
          </w:p>
        </w:tc>
        <w:tc>
          <w:tcPr>
            <w:tcW w:type="dxa" w:w="1426"/>
          </w:tcPr>
          <w:p>
            <w:pPr>
              <w:spacing w:after="20"/>
              <w:jc w:val="right"/>
            </w:pPr>
            <w:r>
              <w:rPr>
                <w:color w:val="1C3A36"/>
                <w:sz w:val="16"/>
              </w:rPr>
              <w:t>80,666</w:t>
            </w:r>
          </w:p>
        </w:tc>
        <w:tc>
          <w:tcPr>
            <w:tcW w:type="dxa" w:w="1426"/>
          </w:tcPr>
          <w:p>
            <w:pPr>
              <w:spacing w:after="20"/>
              <w:jc w:val="right"/>
            </w:pPr>
            <w:r>
              <w:rPr>
                <w:color w:val="1C3A36"/>
                <w:sz w:val="16"/>
              </w:rPr>
              <w:t>90,938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123,002</w:t>
            </w:r>
          </w:p>
        </w:tc>
        <w:tc>
          <w:tcPr>
            <w:tcW w:type="dxa" w:w="1426"/>
          </w:tcPr>
          <w:p>
            <w:pPr>
              <w:spacing w:after="20"/>
              <w:jc w:val="right"/>
            </w:pPr>
            <w:r>
              <w:rPr>
                <w:color w:val="1C3A36"/>
                <w:sz w:val="16"/>
              </w:rPr>
              <w:t>145,069</w:t>
            </w:r>
          </w:p>
        </w:tc>
        <w:tc>
          <w:tcPr>
            <w:tcW w:type="dxa" w:w="1426"/>
          </w:tcPr>
          <w:p>
            <w:pPr>
              <w:spacing w:after="20"/>
              <w:jc w:val="right"/>
            </w:pPr>
            <w:r>
              <w:rPr>
                <w:color w:val="1C3A36"/>
                <w:sz w:val="16"/>
              </w:rPr>
              <w:t>164,808</w:t>
            </w:r>
          </w:p>
        </w:tc>
        <w:tc>
          <w:tcPr>
            <w:tcW w:type="dxa" w:w="1426"/>
          </w:tcPr>
          <w:p>
            <w:pPr>
              <w:spacing w:after="20"/>
              <w:jc w:val="right"/>
            </w:pPr>
            <w:r>
              <w:rPr>
                <w:color w:val="1C3A36"/>
                <w:sz w:val="16"/>
              </w:rPr>
              <w:t>183,992</w:t>
            </w:r>
          </w:p>
        </w:tc>
        <w:tc>
          <w:tcPr>
            <w:tcW w:type="dxa" w:w="1426"/>
          </w:tcPr>
          <w:p>
            <w:pPr>
              <w:spacing w:after="20"/>
              <w:jc w:val="right"/>
            </w:pPr>
            <w:r>
              <w:rPr>
                <w:color w:val="1C3A36"/>
                <w:sz w:val="16"/>
              </w:rPr>
              <w:t>203,176</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(16,281)</w:t>
            </w:r>
          </w:p>
        </w:tc>
        <w:tc>
          <w:tcPr>
            <w:tcW w:type="dxa" w:w="1426"/>
          </w:tcPr>
          <w:p>
            <w:pPr>
              <w:spacing w:after="20"/>
              <w:jc w:val="right"/>
            </w:pPr>
            <w:r>
              <w:rPr>
                <w:color w:val="1C3A36"/>
                <w:sz w:val="16"/>
              </w:rPr>
              <w:t>(16,901)</w:t>
            </w:r>
          </w:p>
        </w:tc>
        <w:tc>
          <w:tcPr>
            <w:tcW w:type="dxa" w:w="1426"/>
          </w:tcPr>
          <w:p>
            <w:pPr>
              <w:spacing w:after="20"/>
              <w:jc w:val="right"/>
            </w:pPr>
            <w:r>
              <w:rPr>
                <w:color w:val="1C3A36"/>
                <w:sz w:val="16"/>
              </w:rPr>
              <w:t>(16,798)</w:t>
            </w:r>
          </w:p>
        </w:tc>
        <w:tc>
          <w:tcPr>
            <w:tcW w:type="dxa" w:w="1426"/>
          </w:tcPr>
          <w:p>
            <w:pPr>
              <w:spacing w:after="20"/>
              <w:jc w:val="right"/>
            </w:pPr>
            <w:r>
              <w:rPr>
                <w:color w:val="1C3A36"/>
                <w:sz w:val="16"/>
              </w:rPr>
              <w:t>(16,845)</w:t>
            </w:r>
          </w:p>
        </w:tc>
        <w:tc>
          <w:tcPr>
            <w:tcW w:type="dxa" w:w="1426"/>
          </w:tcPr>
          <w:p>
            <w:pPr>
              <w:spacing w:after="20"/>
              <w:jc w:val="right"/>
            </w:pPr>
            <w:r>
              <w:rPr>
                <w:color w:val="1C3A36"/>
                <w:sz w:val="16"/>
              </w:rPr>
              <w:t>(17,212)</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(17,783)</w:t>
            </w:r>
          </w:p>
        </w:tc>
        <w:tc>
          <w:tcPr>
            <w:tcW w:type="dxa" w:w="1426"/>
            <w:shd w:val="clear" w:color="auto" w:fill="F6F1E6"/>
          </w:tcPr>
          <w:p>
            <w:pPr>
              <w:spacing w:after="20"/>
              <w:jc w:val="right"/>
            </w:pPr>
            <w:r>
              <w:rPr>
                <w:b/>
                <w:color w:val="1C3A36"/>
                <w:sz w:val="16"/>
              </w:rPr>
              <w:t>(10,447)</w:t>
            </w:r>
          </w:p>
        </w:tc>
        <w:tc>
          <w:tcPr>
            <w:tcW w:type="dxa" w:w="1426"/>
            <w:shd w:val="clear" w:color="auto" w:fill="F6F1E6"/>
          </w:tcPr>
          <w:p>
            <w:pPr>
              <w:spacing w:after="20"/>
              <w:jc w:val="right"/>
            </w:pPr>
            <w:r>
              <w:rPr>
                <w:b/>
                <w:color w:val="1C3A36"/>
                <w:sz w:val="16"/>
              </w:rPr>
              <w:t>(8,774)</w:t>
            </w:r>
          </w:p>
        </w:tc>
        <w:tc>
          <w:tcPr>
            <w:tcW w:type="dxa" w:w="1426"/>
            <w:shd w:val="clear" w:color="auto" w:fill="F6F1E6"/>
          </w:tcPr>
          <w:p>
            <w:pPr>
              <w:spacing w:after="20"/>
              <w:jc w:val="right"/>
            </w:pPr>
            <w:r>
              <w:rPr>
                <w:b/>
                <w:color w:val="1C3A36"/>
                <w:sz w:val="16"/>
              </w:rPr>
              <w:t>(8,720)</w:t>
            </w:r>
          </w:p>
        </w:tc>
        <w:tc>
          <w:tcPr>
            <w:tcW w:type="dxa" w:w="1426"/>
            <w:shd w:val="clear" w:color="auto" w:fill="F6F1E6"/>
          </w:tcPr>
          <w:p>
            <w:pPr>
              <w:spacing w:after="20"/>
              <w:jc w:val="right"/>
            </w:pPr>
            <w:r>
              <w:rPr>
                <w:b/>
                <w:color w:val="1C3A36"/>
                <w:sz w:val="16"/>
              </w:rPr>
              <w:t>(8,912)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-4,268</w:t>
            </w:r>
          </w:p>
        </w:tc>
        <w:tc>
          <w:tcPr>
            <w:tcW w:type="dxa" w:w="1426"/>
          </w:tcPr>
          <w:p>
            <w:pPr>
              <w:spacing w:after="20"/>
              <w:jc w:val="right"/>
            </w:pPr>
            <w:r>
              <w:rPr>
                <w:color w:val="1C3A36"/>
                <w:sz w:val="16"/>
              </w:rPr>
              <w:t>6,748</w:t>
            </w:r>
          </w:p>
        </w:tc>
        <w:tc>
          <w:tcPr>
            <w:tcW w:type="dxa" w:w="1426"/>
          </w:tcPr>
          <w:p>
            <w:pPr>
              <w:spacing w:after="20"/>
              <w:jc w:val="right"/>
            </w:pPr>
            <w:r>
              <w:rPr>
                <w:color w:val="1C3A36"/>
                <w:sz w:val="16"/>
              </w:rPr>
              <w:t>12,182</w:t>
            </w:r>
          </w:p>
        </w:tc>
        <w:tc>
          <w:tcPr>
            <w:tcW w:type="dxa" w:w="1426"/>
          </w:tcPr>
          <w:p>
            <w:pPr>
              <w:spacing w:after="20"/>
              <w:jc w:val="right"/>
            </w:pPr>
            <w:r>
              <w:rPr>
                <w:color w:val="1C3A36"/>
                <w:sz w:val="16"/>
              </w:rPr>
              <w:t>15,825</w:t>
            </w:r>
          </w:p>
        </w:tc>
        <w:tc>
          <w:tcPr>
            <w:tcW w:type="dxa" w:w="1426"/>
          </w:tcPr>
          <w:p>
            <w:pPr>
              <w:spacing w:after="20"/>
              <w:jc w:val="right"/>
            </w:pPr>
            <w:r>
              <w:rPr>
                <w:color w:val="1C3A36"/>
                <w:sz w:val="16"/>
              </w:rPr>
              <w:t>18,986</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83,898</w:t>
            </w:r>
          </w:p>
        </w:tc>
        <w:tc>
          <w:tcPr>
            <w:tcW w:type="dxa" w:w="1426"/>
          </w:tcPr>
          <w:p>
            <w:pPr>
              <w:spacing w:after="20"/>
              <w:jc w:val="right"/>
            </w:pPr>
            <w:r>
              <w:rPr>
                <w:color w:val="1C3A36"/>
                <w:sz w:val="16"/>
              </w:rPr>
              <w:t>103,078</w:t>
            </w:r>
          </w:p>
        </w:tc>
        <w:tc>
          <w:tcPr>
            <w:tcW w:type="dxa" w:w="1426"/>
          </w:tcPr>
          <w:p>
            <w:pPr>
              <w:spacing w:after="20"/>
              <w:jc w:val="right"/>
            </w:pPr>
            <w:r>
              <w:rPr>
                <w:color w:val="1C3A36"/>
                <w:sz w:val="16"/>
              </w:rPr>
              <w:t>124,520</w:t>
            </w:r>
          </w:p>
        </w:tc>
        <w:tc>
          <w:tcPr>
            <w:tcW w:type="dxa" w:w="1426"/>
          </w:tcPr>
          <w:p>
            <w:pPr>
              <w:spacing w:after="20"/>
              <w:jc w:val="right"/>
            </w:pPr>
            <w:r>
              <w:rPr>
                <w:color w:val="1C3A36"/>
                <w:sz w:val="16"/>
              </w:rPr>
              <w:t>148,429</w:t>
            </w:r>
          </w:p>
        </w:tc>
        <w:tc>
          <w:tcPr>
            <w:tcW w:type="dxa" w:w="1426"/>
          </w:tcPr>
          <w:p>
            <w:pPr>
              <w:spacing w:after="20"/>
              <w:jc w:val="right"/>
            </w:pPr>
            <w:r>
              <w:rPr>
                <w:color w:val="1C3A36"/>
                <w:sz w:val="16"/>
              </w:rPr>
              <w:t>174,997</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31,820</w:t>
            </w:r>
          </w:p>
        </w:tc>
        <w:tc>
          <w:tcPr>
            <w:tcW w:type="dxa" w:w="1426"/>
          </w:tcPr>
          <w:p>
            <w:pPr>
              <w:spacing w:after="20"/>
              <w:jc w:val="right"/>
            </w:pPr>
            <w:r>
              <w:rPr>
                <w:color w:val="1C3A36"/>
                <w:sz w:val="16"/>
              </w:rPr>
              <w:t>33,349</w:t>
            </w:r>
          </w:p>
        </w:tc>
        <w:tc>
          <w:tcPr>
            <w:tcW w:type="dxa" w:w="1426"/>
          </w:tcPr>
          <w:p>
            <w:pPr>
              <w:spacing w:after="20"/>
              <w:jc w:val="right"/>
            </w:pPr>
            <w:r>
              <w:rPr>
                <w:color w:val="1C3A36"/>
                <w:sz w:val="16"/>
              </w:rPr>
              <w:t>30,076</w:t>
            </w:r>
          </w:p>
        </w:tc>
        <w:tc>
          <w:tcPr>
            <w:tcW w:type="dxa" w:w="1426"/>
          </w:tcPr>
          <w:p>
            <w:pPr>
              <w:spacing w:after="20"/>
              <w:jc w:val="right"/>
            </w:pPr>
            <w:r>
              <w:rPr>
                <w:color w:val="1C3A36"/>
                <w:sz w:val="16"/>
              </w:rPr>
              <w:t>23,548</w:t>
            </w:r>
          </w:p>
        </w:tc>
        <w:tc>
          <w:tcPr>
            <w:tcW w:type="dxa" w:w="1426"/>
          </w:tcPr>
          <w:p>
            <w:pPr>
              <w:spacing w:after="20"/>
              <w:jc w:val="right"/>
            </w:pPr>
            <w:r>
              <w:rPr>
                <w:color w:val="1C3A36"/>
                <w:sz w:val="16"/>
              </w:rPr>
              <w:t>14,111</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16.50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41.11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15.01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47.92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20.44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148.41 and 109.52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466,619</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10.3%</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42,280</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13.63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148.41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108.87 – 187.95</w:t>
            </w:r>
          </w:p>
        </w:tc>
      </w:tr>
    </w:tbl>
    <w:p>
      <w:pPr>
        <w:spacing w:after="40"/>
      </w:pPr>
    </w:p>
    <w:p>
      <w:pPr>
        <w:spacing w:after="120" w:before="0"/>
      </w:pPr>
      <w:r>
        <w:rPr>
          <w:b w:val="0"/>
          <w:i w:val="0"/>
          <w:color w:val="1C3A36"/>
          <w:sz w:val="21"/>
        </w:rPr>
        <w:t>Named sensitivity: each one-turn change in the multiple is worth EGP 13.63 per share, and each percentage point of mid-cycle EBITDA margin is worth roughly EGP 1.30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15,664</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(1,457)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13,599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(17.6%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72.81</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36.14 – 65.72</w:t>
            </w:r>
          </w:p>
        </w:tc>
      </w:tr>
    </w:tbl>
    <w:p>
      <w:pPr>
        <w:spacing w:after="40"/>
      </w:pPr>
    </w:p>
    <w:p>
      <w:pPr>
        <w:spacing w:after="120" w:before="0"/>
      </w:pPr>
      <w:r>
        <w:rPr>
          <w:b w:val="0"/>
          <w:i w:val="0"/>
          <w:color w:val="1C3A36"/>
          <w:sz w:val="21"/>
        </w:rPr>
        <w:t>This is the harshest of the three readings, at EGP 72.81,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8,074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27,174</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128,811</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54.45</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46.88 – 69.58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26.6%</w:t>
            </w:r>
          </w:p>
        </w:tc>
        <w:tc>
          <w:tcPr>
            <w:tcW w:type="dxa" w:w="1426"/>
          </w:tcPr>
          <w:p>
            <w:pPr>
              <w:spacing w:after="20"/>
              <w:jc w:val="right"/>
            </w:pPr>
            <w:r>
              <w:rPr>
                <w:color w:val="1C3A36"/>
                <w:sz w:val="16"/>
              </w:rPr>
              <w:t>23.1%</w:t>
            </w:r>
          </w:p>
        </w:tc>
        <w:tc>
          <w:tcPr>
            <w:tcW w:type="dxa" w:w="1426"/>
          </w:tcPr>
          <w:p>
            <w:pPr>
              <w:spacing w:after="20"/>
              <w:jc w:val="right"/>
            </w:pPr>
            <w:r>
              <w:rPr>
                <w:color w:val="1C3A36"/>
                <w:sz w:val="16"/>
              </w:rPr>
              <w:t>20.1%</w:t>
            </w:r>
          </w:p>
        </w:tc>
        <w:tc>
          <w:tcPr>
            <w:tcW w:type="dxa" w:w="1426"/>
          </w:tcPr>
          <w:p>
            <w:pPr>
              <w:spacing w:after="20"/>
              <w:jc w:val="right"/>
            </w:pPr>
            <w:r>
              <w:rPr>
                <w:color w:val="1C3A36"/>
                <w:sz w:val="16"/>
              </w:rPr>
              <w:t>17.7%</w:t>
            </w:r>
          </w:p>
        </w:tc>
        <w:tc>
          <w:tcPr>
            <w:tcW w:type="dxa" w:w="1426"/>
          </w:tcPr>
          <w:p>
            <w:pPr>
              <w:spacing w:after="20"/>
              <w:jc w:val="right"/>
            </w:pPr>
            <w:r>
              <w:rPr>
                <w:color w:val="1C3A36"/>
                <w:sz w:val="16"/>
              </w:rPr>
              <w:t>15.9%</w:t>
            </w:r>
          </w:p>
        </w:tc>
      </w:tr>
      <w:tr>
        <w:tc>
          <w:tcPr>
            <w:tcW w:type="dxa" w:w="2952"/>
          </w:tcPr>
          <w:p>
            <w:pPr>
              <w:spacing w:after="20"/>
            </w:pPr>
            <w:r>
              <w:rPr>
                <w:color w:val="1C3A36"/>
                <w:sz w:val="16"/>
              </w:rPr>
              <w:t>Spread</w:t>
            </w:r>
          </w:p>
        </w:tc>
        <w:tc>
          <w:tcPr>
            <w:tcW w:type="dxa" w:w="1426"/>
          </w:tcPr>
          <w:p>
            <w:pPr>
              <w:spacing w:after="20"/>
              <w:jc w:val="right"/>
            </w:pPr>
            <w:r>
              <w:rPr>
                <w:color w:val="1C3A36"/>
                <w:sz w:val="16"/>
              </w:rPr>
              <w:t>-6.2pp</w:t>
            </w:r>
          </w:p>
        </w:tc>
        <w:tc>
          <w:tcPr>
            <w:tcW w:type="dxa" w:w="1426"/>
          </w:tcPr>
          <w:p>
            <w:pPr>
              <w:spacing w:after="20"/>
              <w:jc w:val="right"/>
            </w:pPr>
            <w:r>
              <w:rPr>
                <w:color w:val="1C3A36"/>
                <w:sz w:val="16"/>
              </w:rPr>
              <w:t>-3.2pp</w:t>
            </w:r>
          </w:p>
        </w:tc>
        <w:tc>
          <w:tcPr>
            <w:tcW w:type="dxa" w:w="1426"/>
          </w:tcPr>
          <w:p>
            <w:pPr>
              <w:spacing w:after="20"/>
              <w:jc w:val="right"/>
            </w:pPr>
            <w:r>
              <w:rPr>
                <w:color w:val="1C3A36"/>
                <w:sz w:val="16"/>
              </w:rPr>
              <w:t>-0.7pp</w:t>
            </w:r>
          </w:p>
        </w:tc>
        <w:tc>
          <w:tcPr>
            <w:tcW w:type="dxa" w:w="1426"/>
          </w:tcPr>
          <w:p>
            <w:pPr>
              <w:spacing w:after="20"/>
              <w:jc w:val="right"/>
            </w:pPr>
            <w:r>
              <w:rPr>
                <w:color w:val="1C3A36"/>
                <w:sz w:val="16"/>
              </w:rPr>
              <w:t>+1.3pp</w:t>
            </w:r>
          </w:p>
        </w:tc>
        <w:tc>
          <w:tcPr>
            <w:tcW w:type="dxa" w:w="1426"/>
          </w:tcPr>
          <w:p>
            <w:pPr>
              <w:spacing w:after="20"/>
              <w:jc w:val="right"/>
            </w:pPr>
            <w:r>
              <w:rPr>
                <w:color w:val="1C3A36"/>
                <w:sz w:val="16"/>
              </w:rPr>
              <w:t>+2.9pp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257</w:t>
            </w:r>
          </w:p>
        </w:tc>
        <w:tc>
          <w:tcPr>
            <w:tcW w:type="dxa" w:w="1426"/>
            <w:shd w:val="clear" w:color="auto" w:fill="F6F1E6"/>
          </w:tcPr>
          <w:p>
            <w:pPr>
              <w:spacing w:after="20"/>
              <w:jc w:val="right"/>
            </w:pPr>
            <w:r>
              <w:rPr>
                <w:b/>
                <w:color w:val="1C3A36"/>
                <w:sz w:val="16"/>
              </w:rPr>
              <w:t>446</w:t>
            </w:r>
          </w:p>
        </w:tc>
        <w:tc>
          <w:tcPr>
            <w:tcW w:type="dxa" w:w="1426"/>
            <w:shd w:val="clear" w:color="auto" w:fill="F6F1E6"/>
          </w:tcPr>
          <w:p>
            <w:pPr>
              <w:spacing w:after="20"/>
              <w:jc w:val="right"/>
            </w:pPr>
            <w:r>
              <w:rPr>
                <w:b/>
                <w:color w:val="1C3A36"/>
                <w:sz w:val="16"/>
              </w:rPr>
              <w:t>2,773</w:t>
            </w:r>
          </w:p>
        </w:tc>
        <w:tc>
          <w:tcPr>
            <w:tcW w:type="dxa" w:w="1426"/>
            <w:shd w:val="clear" w:color="auto" w:fill="F6F1E6"/>
          </w:tcPr>
          <w:p>
            <w:pPr>
              <w:spacing w:after="20"/>
              <w:jc w:val="right"/>
            </w:pPr>
            <w:r>
              <w:rPr>
                <w:b/>
                <w:color w:val="1C3A36"/>
                <w:sz w:val="16"/>
              </w:rPr>
              <w:t>5,811</w:t>
            </w:r>
          </w:p>
        </w:tc>
        <w:tc>
          <w:tcPr>
            <w:tcW w:type="dxa" w:w="1426"/>
            <w:shd w:val="clear" w:color="auto" w:fill="F6F1E6"/>
          </w:tcPr>
          <w:p>
            <w:pPr>
              <w:spacing w:after="20"/>
              <w:jc w:val="right"/>
            </w:pPr>
            <w:r>
              <w:rPr>
                <w:b/>
                <w:color w:val="1C3A36"/>
                <w:sz w:val="16"/>
              </w:rPr>
              <w:t>8,852</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(128,811) and the DCF's (147,178) differ by 18,368: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20%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72.81; the vertical line is the market price of 105.20.</w:t>
      </w:r>
    </w:p>
    <w:p>
      <w:pPr>
        <w:spacing w:after="120" w:before="0"/>
      </w:pPr>
      <w:r>
        <w:rPr>
          <w:b w:val="0"/>
          <w:i w:val="0"/>
          <w:color w:val="1C3A36"/>
          <w:sz w:val="21"/>
        </w:rPr>
        <w:t>The panel spans EGP 54.45 to 148.41 — a factor of 2.7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72.81 sits -31% against the market price and +31% against the study's own central of 55.48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85%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