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 the cash-flow lens, not an average </w:t>
      </w:r>
      <w:r>
        <w:rPr>
          <w:b/>
          <w:i w:val="0"/>
          <w:color w:val="896F36"/>
          <w:sz w:val="26"/>
        </w:rPr>
        <w:t>SAR 128 per share</w:t>
      </w:r>
      <w:r>
        <w:rPr>
          <w:b w:val="0"/>
          <w:i w:val="0"/>
          <w:color w:val="1C3A36"/>
          <w:sz w:val="22"/>
        </w:rPr>
        <w:t xml:space="preserve">   ·   full span SAR 81–198   ·   spot SAR 104.80 (22%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86 and SAR 128 per share; weighting them gives a central of SAR 128, about 22% above the SAR 104.80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The company is lightly geared — net financial debt of about SAR 385mn is a fraction of its SAR 15.7bn market value — earns a return on equity near 37% and a return on invested capital of about 31% in 2025 (normalising toward the mid-20s in the forecast), and pays out a little over half its earnings.</w:t>
      </w:r>
    </w:p>
    <w:p>
      <w:pPr>
        <w:spacing w:after="120" w:before="0"/>
      </w:pPr>
      <w:r>
        <w:rPr>
          <w:b w:val="0"/>
          <w:i w:val="0"/>
          <w:color w:val="1C3A36"/>
          <w:sz w:val="21"/>
        </w:rPr>
        <w:t>Our central fair-value estimate is SAR 128 per share, about 22% above the SAR 104.80 price. The intrinsic discounted-cash-flow lens is the most positive at SAR 128; a cautious exit-multiple reading is the least, at SAR 86; the earnings-power and book-value lenses sit in between at SAR 102 and SAR 95. The single most important assumption is the sustained gross margin: at the recent half-year’s 15.3% the cash-flow lens is worth SAR 128; if the 2025 full-year 16.0% holds it is worth SAR 140; if it compresses to 14.5% it is worth SAR 116.</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Role</w:t>
            </w:r>
          </w:p>
        </w:tc>
        <w:tc>
          <w:tcPr>
            <w:tcW w:type="dxa" w:w="1368"/>
            <w:shd w:val="clear" w:color="auto" w:fill="EAF0EE"/>
          </w:tcPr>
          <w:p>
            <w:pPr>
              <w:spacing w:after="20"/>
            </w:pPr>
            <w:r>
              <w:rPr>
                <w:b/>
                <w:color w:val="1C3A36"/>
                <w:sz w:val="18"/>
              </w:rPr>
              <w:t>vs price</w:t>
            </w:r>
          </w:p>
        </w:tc>
      </w:tr>
      <w:tr>
        <w:tc>
          <w:tcPr>
            <w:tcW w:type="dxa" w:w="2736"/>
          </w:tcPr>
          <w:p>
            <w:pPr>
              <w:spacing w:after="20"/>
            </w:pPr>
            <w:r>
              <w:rPr>
                <w:color w:val="1C3A36"/>
                <w:sz w:val="18"/>
              </w:rPr>
              <w:t>Discounted cash flow (the answer)</w:t>
            </w:r>
          </w:p>
        </w:tc>
        <w:tc>
          <w:tcPr>
            <w:tcW w:type="dxa" w:w="1224"/>
          </w:tcPr>
          <w:p>
            <w:pPr>
              <w:spacing w:after="20"/>
              <w:jc w:val="right"/>
            </w:pPr>
            <w:r>
              <w:rPr>
                <w:color w:val="1C3A36"/>
                <w:sz w:val="18"/>
              </w:rPr>
              <w:t>81</w:t>
            </w:r>
          </w:p>
        </w:tc>
        <w:tc>
          <w:tcPr>
            <w:tcW w:type="dxa" w:w="1224"/>
          </w:tcPr>
          <w:p>
            <w:pPr>
              <w:spacing w:after="20"/>
              <w:jc w:val="right"/>
            </w:pPr>
            <w:r>
              <w:rPr>
                <w:color w:val="1C3A36"/>
                <w:sz w:val="18"/>
              </w:rPr>
              <w:t>128</w:t>
            </w:r>
          </w:p>
        </w:tc>
        <w:tc>
          <w:tcPr>
            <w:tcW w:type="dxa" w:w="1224"/>
          </w:tcPr>
          <w:p>
            <w:pPr>
              <w:spacing w:after="20"/>
              <w:jc w:val="right"/>
            </w:pPr>
            <w:r>
              <w:rPr>
                <w:color w:val="1C3A36"/>
                <w:sz w:val="18"/>
              </w:rPr>
              <w:t>198</w:t>
            </w:r>
          </w:p>
        </w:tc>
        <w:tc>
          <w:tcPr>
            <w:tcW w:type="dxa" w:w="1152"/>
          </w:tcPr>
          <w:p>
            <w:pPr>
              <w:spacing w:after="20"/>
              <w:jc w:val="right"/>
            </w:pPr>
            <w:r>
              <w:rPr>
                <w:color w:val="1C3A36"/>
                <w:sz w:val="18"/>
              </w:rPr>
              <w:t>THE ANSWER</w:t>
            </w:r>
          </w:p>
        </w:tc>
        <w:tc>
          <w:tcPr>
            <w:tcW w:type="dxa" w:w="1368"/>
          </w:tcPr>
          <w:p>
            <w:pPr>
              <w:spacing w:after="20"/>
              <w:jc w:val="right"/>
            </w:pPr>
            <w:r>
              <w:rPr>
                <w:color w:val="1C3A36"/>
                <w:sz w:val="18"/>
              </w:rPr>
              <w:t>22%</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69</w:t>
            </w:r>
          </w:p>
        </w:tc>
        <w:tc>
          <w:tcPr>
            <w:tcW w:type="dxa" w:w="1224"/>
          </w:tcPr>
          <w:p>
            <w:pPr>
              <w:spacing w:after="20"/>
              <w:jc w:val="right"/>
            </w:pPr>
            <w:r>
              <w:rPr>
                <w:color w:val="1C3A36"/>
                <w:sz w:val="18"/>
              </w:rPr>
              <w:t>86</w:t>
            </w:r>
          </w:p>
        </w:tc>
        <w:tc>
          <w:tcPr>
            <w:tcW w:type="dxa" w:w="1224"/>
          </w:tcPr>
          <w:p>
            <w:pPr>
              <w:spacing w:after="20"/>
              <w:jc w:val="right"/>
            </w:pPr>
            <w:r>
              <w:rPr>
                <w:color w:val="1C3A36"/>
                <w:sz w:val="18"/>
              </w:rPr>
              <w:t>99</w:t>
            </w:r>
          </w:p>
        </w:tc>
        <w:tc>
          <w:tcPr>
            <w:tcW w:type="dxa" w:w="1152"/>
          </w:tcPr>
          <w:p>
            <w:pPr>
              <w:spacing w:after="20"/>
              <w:jc w:val="right"/>
            </w:pPr>
            <w:r>
              <w:rPr>
                <w:color w:val="1C3A36"/>
                <w:sz w:val="18"/>
              </w:rPr>
              <w:t>cross-check</w:t>
            </w:r>
          </w:p>
        </w:tc>
        <w:tc>
          <w:tcPr>
            <w:tcW w:type="dxa" w:w="1368"/>
          </w:tcPr>
          <w:p>
            <w:pPr>
              <w:spacing w:after="20"/>
              <w:jc w:val="right"/>
            </w:pPr>
            <w:r>
              <w:rPr>
                <w:color w:val="1C3A36"/>
                <w:sz w:val="18"/>
              </w:rPr>
              <w:t>-18%</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not published for this class</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64</w:t>
            </w:r>
          </w:p>
        </w:tc>
        <w:tc>
          <w:tcPr>
            <w:tcW w:type="dxa" w:w="1224"/>
          </w:tcPr>
          <w:p>
            <w:pPr>
              <w:spacing w:after="20"/>
              <w:jc w:val="right"/>
            </w:pPr>
            <w:r>
              <w:rPr>
                <w:color w:val="1C3A36"/>
                <w:sz w:val="18"/>
              </w:rPr>
              <w:t>95</w:t>
            </w:r>
          </w:p>
        </w:tc>
        <w:tc>
          <w:tcPr>
            <w:tcW w:type="dxa" w:w="1224"/>
          </w:tcPr>
          <w:p>
            <w:pPr>
              <w:spacing w:after="20"/>
              <w:jc w:val="right"/>
            </w:pPr>
            <w:r>
              <w:rPr>
                <w:color w:val="1C3A36"/>
                <w:sz w:val="18"/>
              </w:rPr>
              <w:t>107</w:t>
            </w:r>
          </w:p>
        </w:tc>
        <w:tc>
          <w:tcPr>
            <w:tcW w:type="dxa" w:w="1152"/>
          </w:tcPr>
          <w:p>
            <w:pPr>
              <w:spacing w:after="20"/>
              <w:jc w:val="right"/>
            </w:pPr>
            <w:r>
              <w:rPr>
                <w:color w:val="1C3A36"/>
                <w:sz w:val="18"/>
              </w:rPr>
              <w:t>a floor, never weighted</w:t>
            </w:r>
          </w:p>
        </w:tc>
        <w:tc>
          <w:tcPr>
            <w:tcW w:type="dxa" w:w="1368"/>
          </w:tcPr>
          <w:p>
            <w:pPr>
              <w:spacing w:after="20"/>
              <w:jc w:val="right"/>
            </w:pPr>
            <w:r>
              <w:rPr>
                <w:color w:val="1C3A36"/>
                <w:sz w:val="18"/>
              </w:rPr>
              <w:t>-10%</w:t>
            </w:r>
          </w:p>
        </w:tc>
      </w:tr>
      <w:tr>
        <w:tc>
          <w:tcPr>
            <w:tcW w:type="dxa" w:w="2736"/>
            <w:shd w:val="clear" w:color="auto" w:fill="F6F1E6"/>
          </w:tcPr>
          <w:p>
            <w:pPr>
              <w:spacing w:after="20"/>
            </w:pPr>
            <w:r>
              <w:rPr>
                <w:b/>
                <w:color w:val="1C3A36"/>
                <w:sz w:val="18"/>
              </w:rPr>
              <w:t>THE CENTRAL — the cash-flow lens, not an average</w:t>
            </w:r>
          </w:p>
        </w:tc>
        <w:tc>
          <w:tcPr>
            <w:tcW w:type="dxa" w:w="1224"/>
            <w:shd w:val="clear" w:color="auto" w:fill="F6F1E6"/>
          </w:tcPr>
          <w:p>
            <w:pPr>
              <w:spacing w:after="20"/>
              <w:jc w:val="right"/>
            </w:pPr>
            <w:r>
              <w:rPr>
                <w:b/>
                <w:color w:val="1C3A36"/>
                <w:sz w:val="18"/>
              </w:rPr>
              <w:t>81</w:t>
            </w:r>
          </w:p>
        </w:tc>
        <w:tc>
          <w:tcPr>
            <w:tcW w:type="dxa" w:w="1224"/>
            <w:shd w:val="clear" w:color="auto" w:fill="F6F1E6"/>
          </w:tcPr>
          <w:p>
            <w:pPr>
              <w:spacing w:after="20"/>
              <w:jc w:val="right"/>
            </w:pPr>
            <w:r>
              <w:rPr>
                <w:b/>
                <w:color w:val="1C3A36"/>
                <w:sz w:val="18"/>
              </w:rPr>
              <w:t>128</w:t>
            </w:r>
          </w:p>
        </w:tc>
        <w:tc>
          <w:tcPr>
            <w:tcW w:type="dxa" w:w="1224"/>
            <w:shd w:val="clear" w:color="auto" w:fill="F6F1E6"/>
          </w:tcPr>
          <w:p>
            <w:pPr>
              <w:spacing w:after="20"/>
              <w:jc w:val="right"/>
            </w:pPr>
            <w:r>
              <w:rPr>
                <w:b/>
                <w:color w:val="1C3A36"/>
                <w:sz w:val="18"/>
              </w:rPr>
              <w:t>198</w:t>
            </w:r>
          </w:p>
        </w:tc>
        <w:tc>
          <w:tcPr>
            <w:tcW w:type="dxa" w:w="1152"/>
            <w:shd w:val="clear" w:color="auto" w:fill="F6F1E6"/>
          </w:tcPr>
          <w:p>
            <w:pPr>
              <w:spacing w:after="20"/>
              <w:jc w:val="right"/>
            </w:pPr>
            <w:r>
              <w:rPr>
                <w:b/>
                <w:color w:val="1C3A36"/>
                <w:sz w:val="18"/>
              </w:rPr>
              <w:t>the class primary</w:t>
            </w:r>
          </w:p>
        </w:tc>
        <w:tc>
          <w:tcPr>
            <w:tcW w:type="dxa" w:w="1368"/>
            <w:shd w:val="clear" w:color="auto" w:fill="F6F1E6"/>
          </w:tcPr>
          <w:p>
            <w:pPr>
              <w:spacing w:after="20"/>
              <w:jc w:val="right"/>
            </w:pPr>
            <w:r>
              <w:rPr>
                <w:b/>
                <w:color w:val="1C3A36"/>
                <w:sz w:val="18"/>
              </w:rPr>
              <w:t>22%</w:t>
            </w:r>
          </w:p>
        </w:tc>
      </w:tr>
      <w:tr>
        <w:tc>
          <w:tcPr>
            <w:tcW w:type="dxa" w:w="2736"/>
          </w:tcPr>
          <w:p>
            <w:pPr>
              <w:spacing w:after="20"/>
            </w:pPr>
            <w:r>
              <w:rPr>
                <w:color w:val="1C3A36"/>
                <w:sz w:val="18"/>
              </w:rPr>
              <w:t>NOT AVERAGED — the retired blend, published unused</w:t>
            </w:r>
          </w:p>
        </w:tc>
        <w:tc>
          <w:tcPr>
            <w:tcW w:type="dxa" w:w="1224"/>
          </w:tcPr>
          <w:p>
            <w:pPr>
              <w:spacing w:after="20"/>
              <w:jc w:val="right"/>
            </w:pPr>
            <w:r>
              <w:rPr>
                <w:color w:val="1C3A36"/>
                <w:sz w:val="18"/>
              </w:rPr>
            </w:r>
          </w:p>
        </w:tc>
        <w:tc>
          <w:tcPr>
            <w:tcW w:type="dxa" w:w="1224"/>
          </w:tcPr>
          <w:p>
            <w:pPr>
              <w:spacing w:after="20"/>
              <w:jc w:val="right"/>
            </w:pPr>
            <w:r>
              <w:rPr>
                <w:color w:val="1C3A36"/>
                <w:sz w:val="18"/>
              </w:rPr>
              <w:t>109</w:t>
            </w:r>
          </w:p>
        </w:tc>
        <w:tc>
          <w:tcPr>
            <w:tcW w:type="dxa" w:w="1224"/>
          </w:tcPr>
          <w:p>
            <w:pPr>
              <w:spacing w:after="20"/>
              <w:jc w:val="right"/>
            </w:pPr>
            <w:r>
              <w:rPr>
                <w:color w:val="1C3A36"/>
                <w:sz w:val="18"/>
              </w:rPr>
            </w:r>
          </w:p>
        </w:tc>
        <w:tc>
          <w:tcPr>
            <w:tcW w:type="dxa" w:w="1152"/>
          </w:tcPr>
          <w:p>
            <w:pPr>
              <w:spacing w:after="20"/>
              <w:jc w:val="right"/>
            </w:pPr>
            <w:r>
              <w:rPr>
                <w:color w:val="1C3A36"/>
                <w:sz w:val="18"/>
              </w:rPr>
              <w:t>retired</w:t>
            </w:r>
          </w:p>
        </w:tc>
        <w:tc>
          <w:tcPr>
            <w:tcW w:type="dxa" w:w="1368"/>
          </w:tcPr>
          <w:p>
            <w:pPr>
              <w:spacing w:after="20"/>
              <w:jc w:val="right"/>
            </w:pPr>
            <w:r>
              <w:rPr>
                <w:color w:val="1C3A36"/>
                <w:sz w:val="18"/>
              </w:rPr>
              <w:t>4%</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126</w:t>
            </w:r>
          </w:p>
        </w:tc>
        <w:tc>
          <w:tcPr>
            <w:tcW w:type="dxa" w:w="1224"/>
          </w:tcPr>
          <w:p>
            <w:pPr>
              <w:spacing w:after="20"/>
              <w:jc w:val="right"/>
            </w:pPr>
            <w:r>
              <w:rPr>
                <w:color w:val="1C3A36"/>
                <w:sz w:val="18"/>
              </w:rPr>
            </w:r>
          </w:p>
        </w:tc>
        <w:tc>
          <w:tcPr>
            <w:tcW w:type="dxa" w:w="1152"/>
          </w:tcPr>
          <w:p>
            <w:pPr>
              <w:spacing w:after="20"/>
              <w:jc w:val="right"/>
            </w:pPr>
            <w:r>
              <w:rPr>
                <w:color w:val="1C3A36"/>
                <w:sz w:val="18"/>
              </w:rPr>
              <w:t>cross-read</w:t>
            </w:r>
          </w:p>
        </w:tc>
        <w:tc>
          <w:tcPr>
            <w:tcW w:type="dxa" w:w="1368"/>
          </w:tcPr>
          <w:p>
            <w:pPr>
              <w:spacing w:after="20"/>
              <w:jc w:val="right"/>
            </w:pPr>
            <w:r>
              <w:rPr>
                <w:color w:val="1C3A36"/>
                <w:sz w:val="18"/>
              </w:rPr>
              <w:t>20%</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104.80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81%</w:t>
      </w:r>
      <w:r>
        <w:rPr>
          <w:b w:val="0"/>
          <w:i w:val="0"/>
          <w:color w:val="1C3A36"/>
          <w:sz w:val="19"/>
        </w:rPr>
        <w:t xml:space="preserve">.  Enterprise value / EBITDA (on FY2025 EBITDA) </w:t>
      </w:r>
      <w:r>
        <w:rPr>
          <w:b/>
          <w:i w:val="0"/>
          <w:color w:val="1C3A36"/>
          <w:sz w:val="19"/>
        </w:rPr>
        <w:t>11.9x</w:t>
      </w:r>
      <w:r>
        <w:rPr>
          <w:b w:val="0"/>
          <w:i w:val="0"/>
          <w:color w:val="1C3A36"/>
          <w:sz w:val="19"/>
        </w:rPr>
        <w:t>; price / FY2025 earnings 14.5x. Cost of capital 10.5% today, easing to 9.5%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128/share. On the 2025 full-year 16.0%: SAR 140. On a further compression to 14.5%: SAR 116.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Two 2025 acquisitions reshaped the group’s perimeter and explain the balance-sheet step-ups. In April 2025 it bought the remaining 50% of Qatar Cables, taking that subsidiary to full ownership; and with a control date of 28 November 2025 it acquired 51% of Artikul Aziya Kabel in Uzbekistan for SAR 147.7mn. The Uzbek deal added goodwill (group intangibles and goodwill rose from SAR 57mn to SAR 138mn) and brought in the SAR 63mn non-controlling interest now on the balance sheet — both deducted in the valuation bridge.</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a forward zakat-and-tax rate of 9.5% — just above the 9.0% the group actually paid in 2025, allowing for a rising foreign-profit share — depreciation is added back, and capital expenditure and the investment in working capital are subtracted, to give free cash flow to the firm. Each year is discounted at its own cost of capital (at year-end), gliding from 10.5% to 9.5%.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11,499</w:t>
            </w:r>
          </w:p>
        </w:tc>
        <w:tc>
          <w:tcPr>
            <w:tcW w:type="dxa" w:w="1411"/>
          </w:tcPr>
          <w:p>
            <w:pPr>
              <w:spacing w:after="20"/>
              <w:jc w:val="right"/>
            </w:pPr>
            <w:r>
              <w:rPr>
                <w:color w:val="1C3A36"/>
                <w:sz w:val="17"/>
              </w:rPr>
              <w:t>12,392</w:t>
            </w:r>
          </w:p>
        </w:tc>
        <w:tc>
          <w:tcPr>
            <w:tcW w:type="dxa" w:w="1411"/>
          </w:tcPr>
          <w:p>
            <w:pPr>
              <w:spacing w:after="20"/>
              <w:jc w:val="right"/>
            </w:pPr>
            <w:r>
              <w:rPr>
                <w:color w:val="1C3A36"/>
                <w:sz w:val="17"/>
              </w:rPr>
              <w:t>13,340</w:t>
            </w:r>
          </w:p>
        </w:tc>
        <w:tc>
          <w:tcPr>
            <w:tcW w:type="dxa" w:w="1411"/>
          </w:tcPr>
          <w:p>
            <w:pPr>
              <w:spacing w:after="20"/>
              <w:jc w:val="right"/>
            </w:pPr>
            <w:r>
              <w:rPr>
                <w:color w:val="1C3A36"/>
                <w:sz w:val="17"/>
              </w:rPr>
              <w:t>14,235</w:t>
            </w:r>
          </w:p>
        </w:tc>
        <w:tc>
          <w:tcPr>
            <w:tcW w:type="dxa" w:w="1411"/>
          </w:tcPr>
          <w:p>
            <w:pPr>
              <w:spacing w:after="20"/>
              <w:jc w:val="right"/>
            </w:pPr>
            <w:r>
              <w:rPr>
                <w:color w:val="1C3A36"/>
                <w:sz w:val="17"/>
              </w:rPr>
              <w:t>15,111</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1,354</w:t>
            </w:r>
          </w:p>
        </w:tc>
        <w:tc>
          <w:tcPr>
            <w:tcW w:type="dxa" w:w="1411"/>
          </w:tcPr>
          <w:p>
            <w:pPr>
              <w:spacing w:after="20"/>
              <w:jc w:val="right"/>
            </w:pPr>
            <w:r>
              <w:rPr>
                <w:color w:val="1C3A36"/>
                <w:sz w:val="17"/>
              </w:rPr>
              <w:t>1,471</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1,710</w:t>
            </w:r>
          </w:p>
        </w:tc>
        <w:tc>
          <w:tcPr>
            <w:tcW w:type="dxa" w:w="1411"/>
          </w:tcPr>
          <w:p>
            <w:pPr>
              <w:spacing w:after="20"/>
              <w:jc w:val="right"/>
            </w:pPr>
            <w:r>
              <w:rPr>
                <w:color w:val="1C3A36"/>
                <w:sz w:val="17"/>
              </w:rPr>
              <w:t>1,814</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12.0%</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EBIT</w:t>
            </w:r>
          </w:p>
        </w:tc>
        <w:tc>
          <w:tcPr>
            <w:tcW w:type="dxa" w:w="1411"/>
          </w:tcPr>
          <w:p>
            <w:pPr>
              <w:spacing w:after="20"/>
              <w:jc w:val="right"/>
            </w:pPr>
            <w:r>
              <w:rPr>
                <w:color w:val="1C3A36"/>
                <w:sz w:val="17"/>
              </w:rPr>
              <w:t>1,256</w:t>
            </w:r>
          </w:p>
        </w:tc>
        <w:tc>
          <w:tcPr>
            <w:tcW w:type="dxa" w:w="1411"/>
          </w:tcPr>
          <w:p>
            <w:pPr>
              <w:spacing w:after="20"/>
              <w:jc w:val="right"/>
            </w:pPr>
            <w:r>
              <w:rPr>
                <w:color w:val="1C3A36"/>
                <w:sz w:val="17"/>
              </w:rPr>
              <w:t>1,365</w:t>
            </w:r>
          </w:p>
        </w:tc>
        <w:tc>
          <w:tcPr>
            <w:tcW w:type="dxa" w:w="1411"/>
          </w:tcPr>
          <w:p>
            <w:pPr>
              <w:spacing w:after="20"/>
              <w:jc w:val="right"/>
            </w:pPr>
            <w:r>
              <w:rPr>
                <w:color w:val="1C3A36"/>
                <w:sz w:val="17"/>
              </w:rPr>
              <w:t>1,476</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1,686</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1,137</w:t>
            </w:r>
          </w:p>
        </w:tc>
        <w:tc>
          <w:tcPr>
            <w:tcW w:type="dxa" w:w="1411"/>
          </w:tcPr>
          <w:p>
            <w:pPr>
              <w:spacing w:after="20"/>
              <w:jc w:val="right"/>
            </w:pPr>
            <w:r>
              <w:rPr>
                <w:color w:val="1C3A36"/>
                <w:sz w:val="17"/>
              </w:rPr>
              <w:t>1,236</w:t>
            </w:r>
          </w:p>
        </w:tc>
        <w:tc>
          <w:tcPr>
            <w:tcW w:type="dxa" w:w="1411"/>
          </w:tcPr>
          <w:p>
            <w:pPr>
              <w:spacing w:after="20"/>
              <w:jc w:val="right"/>
            </w:pPr>
            <w:r>
              <w:rPr>
                <w:color w:val="1C3A36"/>
                <w:sz w:val="17"/>
              </w:rPr>
              <w:t>1,336</w:t>
            </w:r>
          </w:p>
        </w:tc>
        <w:tc>
          <w:tcPr>
            <w:tcW w:type="dxa" w:w="1411"/>
          </w:tcPr>
          <w:p>
            <w:pPr>
              <w:spacing w:after="20"/>
              <w:jc w:val="right"/>
            </w:pPr>
            <w:r>
              <w:rPr>
                <w:color w:val="1C3A36"/>
                <w:sz w:val="17"/>
              </w:rPr>
              <w:t>1,438</w:t>
            </w:r>
          </w:p>
        </w:tc>
        <w:tc>
          <w:tcPr>
            <w:tcW w:type="dxa" w:w="1411"/>
          </w:tcPr>
          <w:p>
            <w:pPr>
              <w:spacing w:after="20"/>
              <w:jc w:val="right"/>
            </w:pPr>
            <w:r>
              <w:rPr>
                <w:color w:val="1C3A36"/>
                <w:sz w:val="17"/>
              </w:rPr>
              <w:t>1,526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218</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227</w:t>
            </w:r>
          </w:p>
        </w:tc>
        <w:tc>
          <w:tcPr>
            <w:tcW w:type="dxa" w:w="1411"/>
          </w:tcPr>
          <w:p>
            <w:pPr>
              <w:spacing w:after="20"/>
              <w:jc w:val="right"/>
            </w:pPr>
            <w:r>
              <w:rPr>
                <w:color w:val="1C3A36"/>
                <w:sz w:val="17"/>
              </w:rPr>
              <w:t>228</w:t>
            </w:r>
          </w:p>
        </w:tc>
        <w:tc>
          <w:tcPr>
            <w:tcW w:type="dxa" w:w="1411"/>
          </w:tcPr>
          <w:p>
            <w:pPr>
              <w:spacing w:after="20"/>
              <w:jc w:val="right"/>
            </w:pPr>
            <w:r>
              <w:rPr>
                <w:color w:val="1C3A36"/>
                <w:sz w:val="17"/>
              </w:rPr>
              <w:t>242</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286</w:t>
            </w:r>
          </w:p>
        </w:tc>
        <w:tc>
          <w:tcPr>
            <w:tcW w:type="dxa" w:w="1411"/>
          </w:tcPr>
          <w:p>
            <w:pPr>
              <w:spacing w:after="20"/>
              <w:jc w:val="right"/>
            </w:pPr>
            <w:r>
              <w:rPr>
                <w:color w:val="1C3A36"/>
                <w:sz w:val="17"/>
              </w:rPr>
              <w:t>250</w:t>
            </w:r>
          </w:p>
        </w:tc>
        <w:tc>
          <w:tcPr>
            <w:tcW w:type="dxa" w:w="1411"/>
          </w:tcPr>
          <w:p>
            <w:pPr>
              <w:spacing w:after="20"/>
              <w:jc w:val="right"/>
            </w:pPr>
            <w:r>
              <w:rPr>
                <w:color w:val="1C3A36"/>
                <w:sz w:val="17"/>
              </w:rPr>
              <w:t>266</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245</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730</w:t>
            </w:r>
          </w:p>
        </w:tc>
        <w:tc>
          <w:tcPr>
            <w:tcW w:type="dxa" w:w="1411"/>
          </w:tcPr>
          <w:p>
            <w:pPr>
              <w:spacing w:after="20"/>
              <w:jc w:val="right"/>
            </w:pPr>
            <w:r>
              <w:rPr>
                <w:color w:val="1C3A36"/>
                <w:sz w:val="17"/>
              </w:rPr>
              <w:t>868</w:t>
            </w:r>
          </w:p>
        </w:tc>
        <w:tc>
          <w:tcPr>
            <w:tcW w:type="dxa" w:w="1411"/>
          </w:tcPr>
          <w:p>
            <w:pPr>
              <w:spacing w:after="20"/>
              <w:jc w:val="right"/>
            </w:pPr>
            <w:r>
              <w:rPr>
                <w:color w:val="1C3A36"/>
                <w:sz w:val="17"/>
              </w:rPr>
              <w:t>957</w:t>
            </w:r>
          </w:p>
        </w:tc>
        <w:tc>
          <w:tcPr>
            <w:tcW w:type="dxa" w:w="1411"/>
          </w:tcPr>
          <w:p>
            <w:pPr>
              <w:spacing w:after="20"/>
              <w:jc w:val="right"/>
            </w:pPr>
            <w:r>
              <w:rPr>
                <w:color w:val="1C3A36"/>
                <w:sz w:val="17"/>
              </w:rPr>
              <w:t>1,080</w:t>
            </w:r>
          </w:p>
        </w:tc>
        <w:tc>
          <w:tcPr>
            <w:tcW w:type="dxa" w:w="1411"/>
          </w:tcPr>
          <w:p>
            <w:pPr>
              <w:spacing w:after="20"/>
              <w:jc w:val="right"/>
            </w:pPr>
            <w:r>
              <w:rPr>
                <w:color w:val="1C3A36"/>
                <w:sz w:val="17"/>
              </w:rPr>
              <w:t>1,167</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0.9052</w:t>
            </w:r>
          </w:p>
        </w:tc>
        <w:tc>
          <w:tcPr>
            <w:tcW w:type="dxa" w:w="1411"/>
          </w:tcPr>
          <w:p>
            <w:pPr>
              <w:spacing w:after="20"/>
              <w:jc w:val="right"/>
            </w:pPr>
            <w:r>
              <w:rPr>
                <w:color w:val="1C3A36"/>
                <w:sz w:val="17"/>
              </w:rPr>
              <w:t>0.8212</w:t>
            </w:r>
          </w:p>
        </w:tc>
        <w:tc>
          <w:tcPr>
            <w:tcW w:type="dxa" w:w="1411"/>
          </w:tcPr>
          <w:p>
            <w:pPr>
              <w:spacing w:after="20"/>
              <w:jc w:val="right"/>
            </w:pPr>
            <w:r>
              <w:rPr>
                <w:color w:val="1C3A36"/>
                <w:sz w:val="17"/>
              </w:rPr>
              <w:t>0.7467</w:t>
            </w:r>
          </w:p>
        </w:tc>
        <w:tc>
          <w:tcPr>
            <w:tcW w:type="dxa" w:w="1411"/>
          </w:tcPr>
          <w:p>
            <w:pPr>
              <w:spacing w:after="20"/>
              <w:jc w:val="right"/>
            </w:pPr>
            <w:r>
              <w:rPr>
                <w:color w:val="1C3A36"/>
                <w:sz w:val="17"/>
              </w:rPr>
              <w:t>0.6805</w:t>
            </w:r>
          </w:p>
        </w:tc>
        <w:tc>
          <w:tcPr>
            <w:tcW w:type="dxa" w:w="1411"/>
          </w:tcPr>
          <w:p>
            <w:pPr>
              <w:spacing w:after="20"/>
              <w:jc w:val="right"/>
            </w:pPr>
            <w:r>
              <w:rPr>
                <w:color w:val="1C3A36"/>
                <w:sz w:val="17"/>
              </w:rPr>
              <w:t>0.6216</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660</w:t>
            </w:r>
          </w:p>
        </w:tc>
        <w:tc>
          <w:tcPr>
            <w:tcW w:type="dxa" w:w="1411"/>
          </w:tcPr>
          <w:p>
            <w:pPr>
              <w:spacing w:after="20"/>
              <w:jc w:val="right"/>
            </w:pPr>
            <w:r>
              <w:rPr>
                <w:color w:val="1C3A36"/>
                <w:sz w:val="17"/>
              </w:rPr>
              <w:t>713</w:t>
            </w:r>
          </w:p>
        </w:tc>
        <w:tc>
          <w:tcPr>
            <w:tcW w:type="dxa" w:w="1411"/>
          </w:tcPr>
          <w:p>
            <w:pPr>
              <w:spacing w:after="20"/>
              <w:jc w:val="right"/>
            </w:pPr>
            <w:r>
              <w:rPr>
                <w:color w:val="1C3A36"/>
                <w:sz w:val="17"/>
              </w:rPr>
              <w:t>714</w:t>
            </w:r>
          </w:p>
        </w:tc>
        <w:tc>
          <w:tcPr>
            <w:tcW w:type="dxa" w:w="1411"/>
          </w:tcPr>
          <w:p>
            <w:pPr>
              <w:spacing w:after="20"/>
              <w:jc w:val="right"/>
            </w:pPr>
            <w:r>
              <w:rPr>
                <w:color w:val="1C3A36"/>
                <w:sz w:val="17"/>
              </w:rPr>
              <w:t>735</w:t>
            </w:r>
          </w:p>
        </w:tc>
        <w:tc>
          <w:tcPr>
            <w:tcW w:type="dxa" w:w="1411"/>
          </w:tcPr>
          <w:p>
            <w:pPr>
              <w:spacing w:after="20"/>
              <w:jc w:val="right"/>
            </w:pPr>
            <w:r>
              <w:rPr>
                <w:color w:val="1C3A36"/>
                <w:sz w:val="17"/>
              </w:rPr>
              <w:t>726</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3,548mn</w:t>
      </w:r>
      <w:r>
        <w:rPr>
          <w:b w:val="0"/>
          <w:i w:val="0"/>
          <w:color w:val="1C3A36"/>
          <w:sz w:val="19"/>
        </w:rPr>
        <w:t xml:space="preserve">; the present value of the terminal value is SAR </w:t>
      </w:r>
      <w:r>
        <w:rPr>
          <w:b/>
          <w:i w:val="0"/>
          <w:color w:val="1C3A36"/>
          <w:sz w:val="19"/>
        </w:rPr>
        <w:t>15,136mn</w:t>
      </w:r>
      <w:r>
        <w:rPr>
          <w:b w:val="0"/>
          <w:i w:val="0"/>
          <w:color w:val="1C3A36"/>
          <w:sz w:val="19"/>
        </w:rPr>
        <w:t xml:space="preserve"> (81% of enterprise value); together the enterprise value is SAR </w:t>
      </w:r>
      <w:r>
        <w:rPr>
          <w:b/>
          <w:i w:val="0"/>
          <w:color w:val="896F36"/>
          <w:sz w:val="19"/>
        </w:rPr>
        <w:t>18,684mn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18,684</w:t>
            </w:r>
          </w:p>
        </w:tc>
      </w:tr>
      <w:tr>
        <w:tc>
          <w:tcPr>
            <w:tcW w:type="dxa" w:w="6624"/>
          </w:tcPr>
          <w:p>
            <w:pPr>
              <w:spacing w:after="20"/>
            </w:pPr>
            <w:r>
              <w:rPr>
                <w:color w:val="1C3A36"/>
                <w:sz w:val="18"/>
              </w:rPr>
              <w:t xml:space="preserve">   of which terminal value (81% of EV)</w:t>
            </w:r>
          </w:p>
        </w:tc>
        <w:tc>
          <w:tcPr>
            <w:tcW w:type="dxa" w:w="2016"/>
          </w:tcPr>
          <w:p>
            <w:pPr>
              <w:spacing w:after="20"/>
              <w:jc w:val="right"/>
            </w:pPr>
            <w:r>
              <w:rPr>
                <w:color w:val="1C3A36"/>
                <w:sz w:val="18"/>
              </w:rPr>
              <w:t>15,136</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18,288</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122.15</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127.91</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9.7% and 4% growth, that supports a justified price-to-book of 4.2x and a value of SAR 95 per share.</w:t>
      </w:r>
    </w:p>
    <w:p>
      <w:pPr>
        <w:spacing w:after="80" w:before="200"/>
      </w:pPr>
      <w:r>
        <w:rPr>
          <w:b/>
          <w:i w:val="0"/>
          <w:color w:val="1C3A36"/>
          <w:sz w:val="24"/>
        </w:rPr>
        <w:t>1.3  Relative multiples</w:t>
      </w:r>
    </w:p>
    <w:p>
      <w:pPr>
        <w:spacing w:after="120" w:before="0"/>
      </w:pPr>
      <w:r>
        <w:rPr>
          <w:b w:val="0"/>
          <w:i w:val="0"/>
          <w:color w:val="1C3A36"/>
          <w:sz w:val="21"/>
        </w:rPr>
        <w:t>Riyadh Cables trades at about 11.9x enterprise value to FY2025 EBITDA and 14.5x FY2025 earnings. Developed-market cable majors (Prysmian, Nexans) trade around 7–9x forward EBITDA; fast-growing emerging-market peers (Polycab, KEI in India) carry a large growth premium at 20–30x. Applying a 9.5x multiple — with the developed majors, a deliberate discount to Riyadh Cables’ own trailing multiple — to 2027 EBITDA of SAR 1,471mn, discounting it, and adding the interim cash flows, gives SAR 86 per share — the most cautious lens, reflecting a single-country base and a market that already prices in quality.</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11.9% on current-scale revenue of SAR 11,499mn, after depreciation, financing and tax, yields normalised earnings of about SAR 7.50 per share. At a through-cycle 13x — appropriate for a high-return, low-leverage regional leader with a roughly 11% cost of equity — that is SAR 102 per share.</w:t>
      </w:r>
    </w:p>
    <w:p>
      <w:pPr>
        <w:spacing w:after="80" w:before="200"/>
      </w:pPr>
      <w:r>
        <w:rPr>
          <w:b/>
          <w:i w:val="0"/>
          <w:color w:val="1C3A36"/>
          <w:sz w:val="24"/>
        </w:rPr>
        <w:t>1.5  Synthesis — four lenses, one field</w:t>
      </w:r>
    </w:p>
    <w:p>
      <w:pPr>
        <w:spacing w:after="120" w:before="0"/>
      </w:pPr>
      <w:r>
        <w:rPr>
          <w:b w:val="0"/>
          <w:i w:val="0"/>
          <w:color w:val="1C3A36"/>
          <w:sz w:val="21"/>
        </w:rPr>
        <w:t>The four lenses span SAR 86 to SAR 128. We weight the discounted cash flow most (45%) because the company’s cash flows are directly modelled from a disclosed cost structure; the relative and earnings-power lenses each 20%; and book value least (15%), because book understates a business earning a return on equity near 37%. The central is SAR 128.</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and it is not grown as one business. The model is built on the three disclosed reporting segments, each on its own driver, and summed. Cables and wires — 98% of revenue — is the metal converter: a cable-tonnage index priced as metal content (on its own copper-and-aluminium path) plus a conversion cost (on domestic inflation) plus a conversion spread, with volume growing 10.0% in 2026 tapering to 5.0%, anchored on the reviewed half-year statement that 2026 revenue rose 9.5% "due to the increase in the volume of quantities sold." High-voltage turnkey projects — a lumpy project business — grow on their own path at their disclosed 8% segment margin, and the small Other leg likewise. Metal prices are held broadly flat. The group gross margin is then the blended OUTPUT of the three legs — 15.2% in 2026 rising gently to 15.4%, never back to the 2024–25 peak. Along that expected metal path the cable leg’s conversion spread is set to earn the target margin, so the reported margin holds; an unexpected metal move — the one the sensitivity prices — is not repriced in the spread and therefore dilutes the margin, exactly as the first half of 2026 showed. (The cost-by-nature split is disclosed only at group level, so the group metal is carried in the cable leg and the two small legs carry their disclosed segment margins — immaterial at 2.4% of revenue.)</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 margin fell to 15.3%, and within the half it was still easing: the second quarter’s 15.0% sat below the first quarter’s 15.6%. That is the metal pass-through working in reverse: volume-led growth at a normalising per-tonne spread. We anchor the forecast on that reviewed half-year (15.3%), not the higher full-year 2025 print, and we show the value both ways.</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components. Saudi Arabia is rated Aa3; its adjusted sovereign default spread is 0.48% and its equity risk premium 4.94% (a 4.20% mature-market base plus a 0.74% country premium). We take the ten-year Saudi sukuk yield at 5.50% — re-derived this edition from the published SAR government-sukuk curve after an earlier estimate sat below it — subtract the sovereign’s own default spread to avoid charging country risk twice, and add beta times the premium. Beta is 1.129, from Riyadh Cables’ own weekly returns against the Tadawul All Share Index over its 185-week listed history; it is a noisy estimate (R-squared about 0.15, standard error 0.31, a 90% confidence interval of roughly 0.6 to 1.6), which the sensitivity carries. That gives a cost of equity of 10.6%. Debt is marginal — Islamic Murabaha at about 5.9%, above the sovereign as a same-currency corporate must be — and its weight is struck on NET financial debt (borrowings less cash); with an almost all-equity balance sheet the weighted cost is 10.5%, easing to 9.5% in perpetuity as the country premium narrows and beta reverts toward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5.02%</w:t>
            </w:r>
          </w:p>
        </w:tc>
        <w:tc>
          <w:tcPr>
            <w:tcW w:type="dxa" w:w="1944"/>
          </w:tcPr>
          <w:p>
            <w:pPr>
              <w:spacing w:after="20"/>
              <w:jc w:val="right"/>
            </w:pPr>
            <w:r>
              <w:rPr>
                <w:color w:val="1C3A36"/>
                <w:sz w:val="18"/>
              </w:rPr>
              <w:t>5.02%</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4.94%</w:t>
            </w:r>
          </w:p>
        </w:tc>
        <w:tc>
          <w:tcPr>
            <w:tcW w:type="dxa" w:w="1944"/>
          </w:tcPr>
          <w:p>
            <w:pPr>
              <w:spacing w:after="20"/>
              <w:jc w:val="right"/>
            </w:pPr>
            <w:r>
              <w:rPr>
                <w:color w:val="1C3A36"/>
                <w:sz w:val="18"/>
              </w:rPr>
              <w:t>4.70%</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10.60%</w:t>
            </w:r>
          </w:p>
        </w:tc>
        <w:tc>
          <w:tcPr>
            <w:tcW w:type="dxa" w:w="1944"/>
            <w:shd w:val="clear" w:color="auto" w:fill="F6F1E6"/>
          </w:tcPr>
          <w:p>
            <w:pPr>
              <w:spacing w:after="20"/>
              <w:jc w:val="right"/>
            </w:pPr>
            <w:r>
              <w:rPr>
                <w:b/>
                <w:color w:val="1C3A36"/>
                <w:sz w:val="18"/>
              </w:rPr>
              <w:t>9.72%</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5%</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10.47%</w:t>
            </w:r>
          </w:p>
        </w:tc>
        <w:tc>
          <w:tcPr>
            <w:tcW w:type="dxa" w:w="1944"/>
            <w:shd w:val="clear" w:color="auto" w:fill="F6F1E6"/>
          </w:tcPr>
          <w:p>
            <w:pPr>
              <w:spacing w:after="20"/>
              <w:jc w:val="right"/>
            </w:pPr>
            <w:r>
              <w:rPr>
                <w:b/>
                <w:color w:val="1C3A36"/>
                <w:sz w:val="18"/>
              </w:rPr>
              <w:t>9.48%</w:t>
            </w:r>
          </w:p>
        </w:tc>
      </w:tr>
    </w:tbl>
    <w:p>
      <w:pPr>
        <w:spacing w:after="40"/>
      </w:pPr>
    </w:p>
    <w:p>
      <w:pPr>
        <w:spacing w:after="120" w:before="0"/>
      </w:pPr>
      <w:r>
        <w:rPr>
          <w:b w:val="0"/>
          <w:i w:val="0"/>
          <w:color w:val="6E7B77"/>
          <w:sz w:val="18"/>
        </w:rPr>
        <w:t>Two terminal conventions are worth flagging. The terminal structure carries a 5% net-debt weight, modestly above today’s 2.4%, to acknowledge the structural working-capital leverage a cable maker runs — a small lever, not a geared structure the company has ever operated. And the terminal risk-free rate is held flat at its normalised current level rather than marked down, so the terminal cost of equity falls only as beta reverts to one and the country premium compresses, never by cutting the risk-free to lift value.</w:t>
      </w:r>
    </w:p>
    <w:p>
      <w:pPr>
        <w:spacing w:after="80" w:before="200"/>
      </w:pPr>
      <w:r>
        <w:rPr>
          <w:b/>
          <w:i w:val="0"/>
          <w:color w:val="1C3A36"/>
          <w:sz w:val="24"/>
        </w:rPr>
        <w:t>1.9  Sensitivity</w:t>
      </w:r>
    </w:p>
    <w:p>
      <w:pPr>
        <w:spacing w:after="120" w:before="0"/>
      </w:pPr>
      <w:r>
        <w:rPr>
          <w:b w:val="0"/>
          <w:i w:val="0"/>
          <w:color w:val="1C3A36"/>
          <w:sz w:val="21"/>
        </w:rPr>
        <w:t>Fair value is most sensitive to the terminal growth rate and the terminal cost of capital, then to the sustained margin, beta and working-capital intensity. The grid below revalues the cash-flow lens across the terminal cost of capital and terminal growth; the companion workbook carries the full set.</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104.80, near the low of their 52-week range (about SAR 100 to SAR 143) and below all four of their moving averages — roughly 1% under the 20-session average, 8% under the 50-session and 14% under the 200-session — after retracing much of the multi-year advance that followed the December 2022 listing. The moving-average stack below places the current price in that context.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126.2</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112.6</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104.8</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97.6</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87.2</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51%</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The cone is well-calibrated in its outer bands and conservative in its inner one. Tested across the stock’s full trading history, its 80% and 90% bands contained 80% and 90% of actual outcomes — on target — while the 50% band contained 70%, wider than its label, so the inner band overstates the likely dispersion rather than understating it. The model’s implied ranks were close to uniform (a mean of 0.49 against an ideal of 0.50). On scored accuracy the cone was statistically indistinguishable from simply assuming the price follows a random walk over the roughly three and a half years the shares have been listed; it neither reliably beat that nor lagged it, which for a liquid large-cap is the honest result. Because the company only listed in December 2022, the calibration rests on that shorter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128) is the highest: it rewards a high return on capital, durable mid-single-digit growth and a low Saudi cost of capital, and it is terminal-heavy (81% of value beyond year five). The relative lens (SAR 86) is the most cautious: it holds the company to a mid-range exit multiple below where it trades today. Earnings power (SAR 102) and book value (SAR 95) sit between. Read together, the market price sits below the cash-flow lens and above the earnings-power, book and exit-multiple lenses; the reading depends entirely on how much weight one puts on the intrinsic economics versus the exit multiple. The central of SAR 128 is 22% above the market price.</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(the FY2025 final was SAR 2.25/share), the small treasury holding of 282,500 bought-back shares, and any change in payout or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128)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116.</w:t>
      </w:r>
    </w:p>
    <w:p>
      <w:pPr>
        <w:pStyle w:val="ListBullet"/>
        <w:spacing w:after="60"/>
      </w:pPr>
      <w:r>
        <w:rPr>
          <w:b/>
          <w:color w:val="1C3A36"/>
          <w:sz w:val="21"/>
        </w:rPr>
        <w:t>Terminal reliance —</w:t>
      </w:r>
      <w:r>
        <w:rPr>
          <w:color w:val="1C3A36"/>
          <w:sz w:val="21"/>
        </w:rPr>
        <w:t xml:space="preserve"> the value is terminal-heavy (81%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11,499</w:t>
            </w:r>
          </w:p>
        </w:tc>
        <w:tc>
          <w:tcPr>
            <w:tcW w:type="dxa" w:w="1152"/>
          </w:tcPr>
          <w:p>
            <w:pPr>
              <w:spacing w:after="20"/>
              <w:jc w:val="right"/>
            </w:pPr>
            <w:r>
              <w:rPr>
                <w:color w:val="1C3A36"/>
                <w:sz w:val="16"/>
              </w:rPr>
              <w:t>12,392</w:t>
            </w:r>
          </w:p>
        </w:tc>
        <w:tc>
          <w:tcPr>
            <w:tcW w:type="dxa" w:w="1152"/>
          </w:tcPr>
          <w:p>
            <w:pPr>
              <w:spacing w:after="20"/>
              <w:jc w:val="right"/>
            </w:pPr>
            <w:r>
              <w:rPr>
                <w:color w:val="1C3A36"/>
                <w:sz w:val="16"/>
              </w:rPr>
              <w:t>13,340</w:t>
            </w:r>
          </w:p>
        </w:tc>
        <w:tc>
          <w:tcPr>
            <w:tcW w:type="dxa" w:w="1152"/>
          </w:tcPr>
          <w:p>
            <w:pPr>
              <w:spacing w:after="20"/>
              <w:jc w:val="right"/>
            </w:pPr>
            <w:r>
              <w:rPr>
                <w:color w:val="1C3A36"/>
                <w:sz w:val="16"/>
              </w:rPr>
              <w:t>14,235</w:t>
            </w:r>
          </w:p>
        </w:tc>
        <w:tc>
          <w:tcPr>
            <w:tcW w:type="dxa" w:w="1152"/>
          </w:tcPr>
          <w:p>
            <w:pPr>
              <w:spacing w:after="20"/>
              <w:jc w:val="right"/>
            </w:pPr>
            <w:r>
              <w:rPr>
                <w:color w:val="1C3A36"/>
                <w:sz w:val="16"/>
              </w:rPr>
              <w:t>15,111</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1,750</w:t>
            </w:r>
          </w:p>
        </w:tc>
        <w:tc>
          <w:tcPr>
            <w:tcW w:type="dxa" w:w="1152"/>
          </w:tcPr>
          <w:p>
            <w:pPr>
              <w:spacing w:after="20"/>
              <w:jc w:val="right"/>
            </w:pPr>
            <w:r>
              <w:rPr>
                <w:color w:val="1C3A36"/>
                <w:sz w:val="16"/>
              </w:rPr>
              <w:t>1,898</w:t>
            </w:r>
          </w:p>
        </w:tc>
        <w:tc>
          <w:tcPr>
            <w:tcW w:type="dxa" w:w="1152"/>
          </w:tcPr>
          <w:p>
            <w:pPr>
              <w:spacing w:after="20"/>
              <w:jc w:val="right"/>
            </w:pPr>
            <w:r>
              <w:rPr>
                <w:color w:val="1C3A36"/>
                <w:sz w:val="16"/>
              </w:rPr>
              <w:t>2,043</w:t>
            </w:r>
          </w:p>
        </w:tc>
        <w:tc>
          <w:tcPr>
            <w:tcW w:type="dxa" w:w="1152"/>
          </w:tcPr>
          <w:p>
            <w:pPr>
              <w:spacing w:after="20"/>
              <w:jc w:val="right"/>
            </w:pPr>
            <w:r>
              <w:rPr>
                <w:color w:val="1C3A36"/>
                <w:sz w:val="16"/>
              </w:rPr>
              <w:t>2,187</w:t>
            </w:r>
          </w:p>
        </w:tc>
        <w:tc>
          <w:tcPr>
            <w:tcW w:type="dxa" w:w="1152"/>
          </w:tcPr>
          <w:p>
            <w:pPr>
              <w:spacing w:after="20"/>
              <w:jc w:val="right"/>
            </w:pPr>
            <w:r>
              <w:rPr>
                <w:color w:val="1C3A36"/>
                <w:sz w:val="16"/>
              </w:rPr>
              <w:t>2,321</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714</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1,354</w:t>
            </w:r>
          </w:p>
        </w:tc>
        <w:tc>
          <w:tcPr>
            <w:tcW w:type="dxa" w:w="1152"/>
          </w:tcPr>
          <w:p>
            <w:pPr>
              <w:spacing w:after="20"/>
              <w:jc w:val="right"/>
            </w:pPr>
            <w:r>
              <w:rPr>
                <w:color w:val="1C3A36"/>
                <w:sz w:val="16"/>
              </w:rPr>
              <w:t>1,471</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1,710</w:t>
            </w:r>
          </w:p>
        </w:tc>
        <w:tc>
          <w:tcPr>
            <w:tcW w:type="dxa" w:w="1152"/>
          </w:tcPr>
          <w:p>
            <w:pPr>
              <w:spacing w:after="20"/>
              <w:jc w:val="right"/>
            </w:pPr>
            <w:r>
              <w:rPr>
                <w:color w:val="1C3A36"/>
                <w:sz w:val="16"/>
              </w:rPr>
              <w:t>1,814</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1,256</w:t>
            </w:r>
          </w:p>
        </w:tc>
        <w:tc>
          <w:tcPr>
            <w:tcW w:type="dxa" w:w="1152"/>
          </w:tcPr>
          <w:p>
            <w:pPr>
              <w:spacing w:after="20"/>
              <w:jc w:val="right"/>
            </w:pPr>
            <w:r>
              <w:rPr>
                <w:color w:val="1C3A36"/>
                <w:sz w:val="16"/>
              </w:rPr>
              <w:t>1,365</w:t>
            </w:r>
          </w:p>
        </w:tc>
        <w:tc>
          <w:tcPr>
            <w:tcW w:type="dxa" w:w="1152"/>
          </w:tcPr>
          <w:p>
            <w:pPr>
              <w:spacing w:after="20"/>
              <w:jc w:val="right"/>
            </w:pPr>
            <w:r>
              <w:rPr>
                <w:color w:val="1C3A36"/>
                <w:sz w:val="16"/>
              </w:rPr>
              <w:t>1,476</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1,686</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-5</w:t>
            </w:r>
          </w:p>
        </w:tc>
        <w:tc>
          <w:tcPr>
            <w:tcW w:type="dxa" w:w="1152"/>
          </w:tcPr>
          <w:p>
            <w:pPr>
              <w:spacing w:after="20"/>
              <w:jc w:val="right"/>
            </w:pPr>
            <w:r>
              <w:rPr>
                <w:color w:val="1C3A36"/>
                <w:sz w:val="16"/>
              </w:rPr>
              <w:t>7</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1,229</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1,461</w:t>
            </w:r>
          </w:p>
        </w:tc>
        <w:tc>
          <w:tcPr>
            <w:tcW w:type="dxa" w:w="1152"/>
          </w:tcPr>
          <w:p>
            <w:pPr>
              <w:spacing w:after="20"/>
              <w:jc w:val="right"/>
            </w:pPr>
            <w:r>
              <w:rPr>
                <w:color w:val="1C3A36"/>
                <w:sz w:val="16"/>
              </w:rPr>
              <w:t>1,583</w:t>
            </w:r>
          </w:p>
        </w:tc>
        <w:tc>
          <w:tcPr>
            <w:tcW w:type="dxa" w:w="1152"/>
          </w:tcPr>
          <w:p>
            <w:pPr>
              <w:spacing w:after="20"/>
              <w:jc w:val="right"/>
            </w:pPr>
            <w:r>
              <w:rPr>
                <w:color w:val="1C3A36"/>
                <w:sz w:val="16"/>
              </w:rPr>
              <w:t>1,693</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1,112</w:t>
            </w:r>
          </w:p>
        </w:tc>
        <w:tc>
          <w:tcPr>
            <w:tcW w:type="dxa" w:w="1152"/>
          </w:tcPr>
          <w:p>
            <w:pPr>
              <w:spacing w:after="20"/>
              <w:jc w:val="right"/>
            </w:pPr>
            <w:r>
              <w:rPr>
                <w:color w:val="1C3A36"/>
                <w:sz w:val="16"/>
              </w:rPr>
              <w:t>1,215</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1,433</w:t>
            </w:r>
          </w:p>
        </w:tc>
        <w:tc>
          <w:tcPr>
            <w:tcW w:type="dxa" w:w="1152"/>
          </w:tcPr>
          <w:p>
            <w:pPr>
              <w:spacing w:after="20"/>
              <w:jc w:val="right"/>
            </w:pPr>
            <w:r>
              <w:rPr>
                <w:color w:val="1C3A36"/>
                <w:sz w:val="16"/>
              </w:rPr>
              <w:t>1,532</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Other assets, not broken out in this table (residual)</w:t>
            </w:r>
          </w:p>
        </w:tc>
        <w:tc>
          <w:tcPr>
            <w:tcW w:type="dxa" w:w="1656"/>
          </w:tcPr>
          <w:p>
            <w:pPr>
              <w:spacing w:after="20"/>
              <w:jc w:val="right"/>
            </w:pPr>
            <w:r>
              <w:rPr>
                <w:color w:val="1C3A36"/>
                <w:sz w:val="17"/>
              </w:rPr>
              <w:t>146</w:t>
            </w:r>
          </w:p>
        </w:tc>
        <w:tc>
          <w:tcPr>
            <w:tcW w:type="dxa" w:w="1656"/>
          </w:tcPr>
          <w:p>
            <w:pPr>
              <w:spacing w:after="20"/>
              <w:jc w:val="right"/>
            </w:pPr>
            <w:r>
              <w:rPr>
                <w:color w:val="1C3A36"/>
                <w:sz w:val="17"/>
              </w:rPr>
              <w:t>147</w:t>
            </w:r>
          </w:p>
        </w:tc>
        <w:tc>
          <w:tcPr>
            <w:tcW w:type="dxa" w:w="1656"/>
          </w:tcPr>
          <w:p>
            <w:pPr>
              <w:spacing w:after="20"/>
              <w:jc w:val="right"/>
            </w:pPr>
            <w:r>
              <w:rPr>
                <w:color w:val="1C3A36"/>
                <w:sz w:val="17"/>
              </w:rPr>
              <w:t>430</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2,247</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200" w:before="0"/>
      </w:pPr>
      <w:r>
        <w:rPr>
          <w:b w:val="0"/>
          <w:i/>
          <w:color w:val="6E7B77"/>
          <w:sz w:val="17"/>
        </w:rPr>
        <w:t>Table A2 — The balance sheet as reported, and it foots on the page. This study holds the disclosed total and the four asset lines broken out above; everything else the company reports as an asset is the residual row, which runs SAR 146mn, 147mn and 430mn. IT IS NOT NAMED BECAUSE THIS STUDY DOES NOT HOLD ITS COMPONENTS, and naming them would be an invention rather than a disclosure. The step up in 2025 is real and is the one thing a reader should take from the row: something outside these four lines grew by SAR 283mn in a single year, which this table cannot explain and which the next edition should.</w:t>
      </w: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3,220</w:t>
            </w:r>
          </w:p>
        </w:tc>
        <w:tc>
          <w:tcPr>
            <w:tcW w:type="dxa" w:w="1411"/>
          </w:tcPr>
          <w:p>
            <w:pPr>
              <w:spacing w:after="20"/>
              <w:jc w:val="right"/>
            </w:pPr>
            <w:r>
              <w:rPr>
                <w:color w:val="1C3A36"/>
                <w:sz w:val="16"/>
              </w:rPr>
              <w:t>3,470</w:t>
            </w:r>
          </w:p>
        </w:tc>
        <w:tc>
          <w:tcPr>
            <w:tcW w:type="dxa" w:w="1411"/>
          </w:tcPr>
          <w:p>
            <w:pPr>
              <w:spacing w:after="20"/>
              <w:jc w:val="right"/>
            </w:pPr>
            <w:r>
              <w:rPr>
                <w:color w:val="1C3A36"/>
                <w:sz w:val="16"/>
              </w:rPr>
              <w:t>3,735</w:t>
            </w:r>
          </w:p>
        </w:tc>
        <w:tc>
          <w:tcPr>
            <w:tcW w:type="dxa" w:w="1411"/>
          </w:tcPr>
          <w:p>
            <w:pPr>
              <w:spacing w:after="20"/>
              <w:jc w:val="right"/>
            </w:pPr>
            <w:r>
              <w:rPr>
                <w:color w:val="1C3A36"/>
                <w:sz w:val="16"/>
              </w:rPr>
              <w:t>3,986</w:t>
            </w:r>
          </w:p>
        </w:tc>
        <w:tc>
          <w:tcPr>
            <w:tcW w:type="dxa" w:w="1411"/>
          </w:tcPr>
          <w:p>
            <w:pPr>
              <w:spacing w:after="20"/>
              <w:jc w:val="right"/>
            </w:pPr>
            <w:r>
              <w:rPr>
                <w:color w:val="1C3A36"/>
                <w:sz w:val="16"/>
              </w:rPr>
              <w:t>4,231</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289</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-111</w:t>
            </w:r>
          </w:p>
        </w:tc>
        <w:tc>
          <w:tcPr>
            <w:tcW w:type="dxa" w:w="1411"/>
          </w:tcPr>
          <w:p>
            <w:pPr>
              <w:spacing w:after="20"/>
              <w:jc w:val="right"/>
            </w:pPr>
            <w:r>
              <w:rPr>
                <w:color w:val="1C3A36"/>
                <w:sz w:val="16"/>
              </w:rPr>
              <w:t>-402</w:t>
            </w:r>
          </w:p>
        </w:tc>
        <w:tc>
          <w:tcPr>
            <w:tcW w:type="dxa" w:w="1411"/>
          </w:tcPr>
          <w:p>
            <w:pPr>
              <w:spacing w:after="20"/>
              <w:jc w:val="right"/>
            </w:pPr>
            <w:r>
              <w:rPr>
                <w:color w:val="1C3A36"/>
                <w:sz w:val="16"/>
              </w:rPr>
              <w:t>-736</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218</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227</w:t>
            </w:r>
          </w:p>
        </w:tc>
        <w:tc>
          <w:tcPr>
            <w:tcW w:type="dxa" w:w="1411"/>
          </w:tcPr>
          <w:p>
            <w:pPr>
              <w:spacing w:after="20"/>
              <w:jc w:val="right"/>
            </w:pPr>
            <w:r>
              <w:rPr>
                <w:color w:val="1C3A36"/>
                <w:sz w:val="16"/>
              </w:rPr>
              <w:t>228</w:t>
            </w:r>
          </w:p>
        </w:tc>
        <w:tc>
          <w:tcPr>
            <w:tcW w:type="dxa" w:w="1411"/>
          </w:tcPr>
          <w:p>
            <w:pPr>
              <w:spacing w:after="20"/>
              <w:jc w:val="right"/>
            </w:pPr>
            <w:r>
              <w:rPr>
                <w:color w:val="1C3A36"/>
                <w:sz w:val="16"/>
              </w:rPr>
              <w:t>242</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730</w:t>
            </w:r>
          </w:p>
        </w:tc>
        <w:tc>
          <w:tcPr>
            <w:tcW w:type="dxa" w:w="1411"/>
          </w:tcPr>
          <w:p>
            <w:pPr>
              <w:spacing w:after="20"/>
              <w:jc w:val="right"/>
            </w:pPr>
            <w:r>
              <w:rPr>
                <w:color w:val="1C3A36"/>
                <w:sz w:val="16"/>
              </w:rPr>
              <w:t>868</w:t>
            </w:r>
          </w:p>
        </w:tc>
        <w:tc>
          <w:tcPr>
            <w:tcW w:type="dxa" w:w="1411"/>
          </w:tcPr>
          <w:p>
            <w:pPr>
              <w:spacing w:after="20"/>
              <w:jc w:val="right"/>
            </w:pPr>
            <w:r>
              <w:rPr>
                <w:color w:val="1C3A36"/>
                <w:sz w:val="16"/>
              </w:rPr>
              <w:t>957</w:t>
            </w:r>
          </w:p>
        </w:tc>
        <w:tc>
          <w:tcPr>
            <w:tcW w:type="dxa" w:w="1411"/>
          </w:tcPr>
          <w:p>
            <w:pPr>
              <w:spacing w:after="20"/>
              <w:jc w:val="right"/>
            </w:pPr>
            <w:r>
              <w:rPr>
                <w:color w:val="1C3A36"/>
                <w:sz w:val="16"/>
              </w:rPr>
              <w:t>1,080</w:t>
            </w:r>
          </w:p>
        </w:tc>
        <w:tc>
          <w:tcPr>
            <w:tcW w:type="dxa" w:w="1411"/>
          </w:tcPr>
          <w:p>
            <w:pPr>
              <w:spacing w:after="20"/>
              <w:jc w:val="right"/>
            </w:pPr>
            <w:r>
              <w:rPr>
                <w:color w:val="1C3A36"/>
                <w:sz w:val="16"/>
              </w:rPr>
              <w:t>1,167</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609</w:t>
            </w:r>
          </w:p>
        </w:tc>
        <w:tc>
          <w:tcPr>
            <w:tcW w:type="dxa" w:w="1411"/>
          </w:tcPr>
          <w:p>
            <w:pPr>
              <w:spacing w:after="20"/>
              <w:jc w:val="right"/>
            </w:pPr>
            <w:r>
              <w:rPr>
                <w:color w:val="1C3A36"/>
                <w:sz w:val="16"/>
              </w:rPr>
              <w:t>665</w:t>
            </w:r>
          </w:p>
        </w:tc>
        <w:tc>
          <w:tcPr>
            <w:tcW w:type="dxa" w:w="1411"/>
          </w:tcPr>
          <w:p>
            <w:pPr>
              <w:spacing w:after="20"/>
              <w:jc w:val="right"/>
            </w:pPr>
            <w:r>
              <w:rPr>
                <w:color w:val="1C3A36"/>
                <w:sz w:val="16"/>
              </w:rPr>
              <w:t>724</w:t>
            </w:r>
          </w:p>
        </w:tc>
        <w:tc>
          <w:tcPr>
            <w:tcW w:type="dxa" w:w="1411"/>
          </w:tcPr>
          <w:p>
            <w:pPr>
              <w:spacing w:after="20"/>
              <w:jc w:val="right"/>
            </w:pPr>
            <w:r>
              <w:rPr>
                <w:color w:val="1C3A36"/>
                <w:sz w:val="16"/>
              </w:rPr>
              <w:t>785</w:t>
            </w:r>
          </w:p>
        </w:tc>
        <w:tc>
          <w:tcPr>
            <w:tcW w:type="dxa" w:w="1411"/>
          </w:tcPr>
          <w:p>
            <w:pPr>
              <w:spacing w:after="20"/>
              <w:jc w:val="right"/>
            </w:pPr>
            <w:r>
              <w:rPr>
                <w:color w:val="1C3A36"/>
                <w:sz w:val="16"/>
              </w:rPr>
              <w:t>839</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1,107</w:t>
            </w:r>
          </w:p>
        </w:tc>
        <w:tc>
          <w:tcPr>
            <w:tcW w:type="dxa" w:w="1411"/>
          </w:tcPr>
          <w:p>
            <w:pPr>
              <w:spacing w:after="20"/>
              <w:jc w:val="right"/>
            </w:pPr>
            <w:r>
              <w:rPr>
                <w:color w:val="1C3A36"/>
                <w:sz w:val="16"/>
              </w:rPr>
              <w:t>1,210</w:t>
            </w:r>
          </w:p>
        </w:tc>
        <w:tc>
          <w:tcPr>
            <w:tcW w:type="dxa" w:w="1411"/>
          </w:tcPr>
          <w:p>
            <w:pPr>
              <w:spacing w:after="20"/>
              <w:jc w:val="right"/>
            </w:pPr>
            <w:r>
              <w:rPr>
                <w:color w:val="1C3A36"/>
                <w:sz w:val="16"/>
              </w:rPr>
              <w:t>1,317</w:t>
            </w:r>
          </w:p>
        </w:tc>
        <w:tc>
          <w:tcPr>
            <w:tcW w:type="dxa" w:w="1411"/>
          </w:tcPr>
          <w:p>
            <w:pPr>
              <w:spacing w:after="20"/>
              <w:jc w:val="right"/>
            </w:pPr>
            <w:r>
              <w:rPr>
                <w:color w:val="1C3A36"/>
                <w:sz w:val="16"/>
              </w:rPr>
              <w:t>1,427</w:t>
            </w:r>
          </w:p>
        </w:tc>
        <w:tc>
          <w:tcPr>
            <w:tcW w:type="dxa" w:w="1411"/>
          </w:tcPr>
          <w:p>
            <w:pPr>
              <w:spacing w:after="20"/>
              <w:jc w:val="right"/>
            </w:pPr>
            <w:r>
              <w:rPr>
                <w:color w:val="1C3A36"/>
                <w:sz w:val="16"/>
              </w:rPr>
              <w:t>1,526</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944"/>
        <w:gridCol w:w="2736"/>
      </w:tblGrid>
      <w:tr>
        <w:tc>
          <w:tcPr>
            <w:tcW w:type="dxa" w:w="2736"/>
            <w:shd w:val="clear" w:color="auto" w:fill="EAF0EE"/>
          </w:tcPr>
          <w:p>
            <w:pPr>
              <w:spacing w:after="20"/>
            </w:pPr>
            <w:r>
              <w:rPr>
                <w:b/>
                <w:color w:val="1C3A36"/>
                <w:sz w:val="17"/>
              </w:rPr>
              <w:t>Peer</w:t>
            </w:r>
          </w:p>
        </w:tc>
        <w:tc>
          <w:tcPr>
            <w:tcW w:type="dxa" w:w="1656"/>
            <w:shd w:val="clear" w:color="auto" w:fill="EAF0EE"/>
          </w:tcPr>
          <w:p>
            <w:pPr>
              <w:spacing w:after="20"/>
            </w:pPr>
            <w:r>
              <w:rPr>
                <w:b/>
                <w:color w:val="1C3A36"/>
                <w:sz w:val="17"/>
              </w:rPr>
              <w:t>Market</w:t>
            </w:r>
          </w:p>
        </w:tc>
        <w:tc>
          <w:tcPr>
            <w:tcW w:type="dxa" w:w="1944"/>
            <w:shd w:val="clear" w:color="auto" w:fill="EAF0EE"/>
          </w:tcPr>
          <w:p>
            <w:pPr>
              <w:spacing w:after="20"/>
            </w:pPr>
            <w:r>
              <w:rPr>
                <w:b/>
                <w:color w:val="1C3A36"/>
                <w:sz w:val="17"/>
              </w:rPr>
              <w:t>Fwd EV/EBITDA</w:t>
            </w:r>
          </w:p>
        </w:tc>
        <w:tc>
          <w:tcPr>
            <w:tcW w:type="dxa" w:w="2736"/>
            <w:shd w:val="clear" w:color="auto" w:fill="EAF0EE"/>
          </w:tcPr>
          <w:p>
            <w:pPr>
              <w:spacing w:after="20"/>
            </w:pPr>
            <w:r>
              <w:rPr>
                <w:b/>
                <w:color w:val="1C3A36"/>
                <w:sz w:val="17"/>
              </w:rPr>
              <w:t>Note</w:t>
            </w:r>
          </w:p>
        </w:tc>
      </w:tr>
      <w:tr>
        <w:tc>
          <w:tcPr>
            <w:tcW w:type="dxa" w:w="2736"/>
          </w:tcPr>
          <w:p>
            <w:pPr>
              <w:spacing w:after="20"/>
            </w:pPr>
            <w:r>
              <w:rPr>
                <w:color w:val="1C3A36"/>
                <w:sz w:val="17"/>
              </w:rPr>
              <w:t>Riyadh Cables (subject)</w:t>
            </w:r>
          </w:p>
        </w:tc>
        <w:tc>
          <w:tcPr>
            <w:tcW w:type="dxa" w:w="1656"/>
          </w:tcPr>
          <w:p>
            <w:pPr>
              <w:spacing w:after="20"/>
              <w:jc w:val="right"/>
            </w:pPr>
            <w:r>
              <w:rPr>
                <w:color w:val="1C3A36"/>
                <w:sz w:val="17"/>
              </w:rPr>
              <w:t>Tadawul</w:t>
            </w:r>
          </w:p>
        </w:tc>
        <w:tc>
          <w:tcPr>
            <w:tcW w:type="dxa" w:w="1944"/>
          </w:tcPr>
          <w:p>
            <w:pPr>
              <w:spacing w:after="20"/>
              <w:jc w:val="right"/>
            </w:pPr>
            <w:r>
              <w:rPr>
                <w:color w:val="1C3A36"/>
                <w:sz w:val="17"/>
              </w:rPr>
              <w:t>11.9x (trailing)</w:t>
            </w:r>
          </w:p>
        </w:tc>
        <w:tc>
          <w:tcPr>
            <w:tcW w:type="dxa" w:w="2736"/>
          </w:tcPr>
          <w:p>
            <w:pPr>
              <w:spacing w:after="20"/>
              <w:jc w:val="right"/>
            </w:pPr>
            <w:r>
              <w:rPr>
                <w:color w:val="1C3A36"/>
                <w:sz w:val="17"/>
              </w:rPr>
              <w:t>high-return Gulf leader</w:t>
            </w:r>
          </w:p>
        </w:tc>
      </w:tr>
      <w:tr>
        <w:tc>
          <w:tcPr>
            <w:tcW w:type="dxa" w:w="2736"/>
          </w:tcPr>
          <w:p>
            <w:pPr>
              <w:spacing w:after="20"/>
            </w:pPr>
            <w:r>
              <w:rPr>
                <w:color w:val="1C3A36"/>
                <w:sz w:val="17"/>
              </w:rPr>
              <w:t>Prysmian</w:t>
            </w:r>
          </w:p>
        </w:tc>
        <w:tc>
          <w:tcPr>
            <w:tcW w:type="dxa" w:w="1656"/>
          </w:tcPr>
          <w:p>
            <w:pPr>
              <w:spacing w:after="20"/>
              <w:jc w:val="right"/>
            </w:pPr>
            <w:r>
              <w:rPr>
                <w:color w:val="1C3A36"/>
                <w:sz w:val="17"/>
              </w:rPr>
              <w:t>Milan</w:t>
            </w:r>
          </w:p>
        </w:tc>
        <w:tc>
          <w:tcPr>
            <w:tcW w:type="dxa" w:w="1944"/>
          </w:tcPr>
          <w:p>
            <w:pPr>
              <w:spacing w:after="20"/>
              <w:jc w:val="right"/>
            </w:pPr>
            <w:r>
              <w:rPr>
                <w:color w:val="1C3A36"/>
                <w:sz w:val="17"/>
              </w:rPr>
              <w:t>~8.5x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Nexans</w:t>
            </w:r>
          </w:p>
        </w:tc>
        <w:tc>
          <w:tcPr>
            <w:tcW w:type="dxa" w:w="1656"/>
          </w:tcPr>
          <w:p>
            <w:pPr>
              <w:spacing w:after="20"/>
              <w:jc w:val="right"/>
            </w:pPr>
            <w:r>
              <w:rPr>
                <w:color w:val="1C3A36"/>
                <w:sz w:val="17"/>
              </w:rPr>
              <w:t>Paris</w:t>
            </w:r>
          </w:p>
        </w:tc>
        <w:tc>
          <w:tcPr>
            <w:tcW w:type="dxa" w:w="1944"/>
          </w:tcPr>
          <w:p>
            <w:pPr>
              <w:spacing w:after="20"/>
              <w:jc w:val="right"/>
            </w:pPr>
            <w:r>
              <w:rPr>
                <w:color w:val="1C3A36"/>
                <w:sz w:val="17"/>
              </w:rPr>
              <w:t>~7.5x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Polycab India</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~26x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KEI Industries</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~24x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Ducab</w:t>
            </w:r>
          </w:p>
        </w:tc>
        <w:tc>
          <w:tcPr>
            <w:tcW w:type="dxa" w:w="1656"/>
          </w:tcPr>
          <w:p>
            <w:pPr>
              <w:spacing w:after="20"/>
              <w:jc w:val="right"/>
            </w:pPr>
            <w:r>
              <w:rPr>
                <w:color w:val="1C3A36"/>
                <w:sz w:val="17"/>
              </w:rPr>
              <w:t>UAE (private)</w:t>
            </w:r>
          </w:p>
        </w:tc>
        <w:tc>
          <w:tcPr>
            <w:tcW w:type="dxa" w:w="1944"/>
          </w:tcPr>
          <w:p>
            <w:pPr>
              <w:spacing w:after="20"/>
              <w:jc w:val="right"/>
            </w:pPr>
            <w:r>
              <w:rPr>
                <w:color w:val="1C3A36"/>
                <w:sz w:val="17"/>
              </w:rPr>
              <w:t>—</w:t>
            </w:r>
          </w:p>
        </w:tc>
        <w:tc>
          <w:tcPr>
            <w:tcW w:type="dxa" w:w="2736"/>
          </w:tcPr>
          <w:p>
            <w:pPr>
              <w:spacing w:after="20"/>
              <w:jc w:val="right"/>
            </w:pPr>
            <w:r>
              <w:rPr>
                <w:color w:val="1C3A36"/>
                <w:sz w:val="17"/>
              </w:rPr>
              <w:t>regional peer, unlisted</w:t>
            </w:r>
          </w:p>
        </w:tc>
      </w:tr>
    </w:tbl>
    <w:p>
      <w:pPr>
        <w:spacing w:after="40"/>
      </w:pP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independent valuation methods, each worked in full, each with a condition that would prove it wrong. They are labelled Expert 1, 2 and 3 and cast by method.</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11.9% on revenue of SAR 13,340mn gives EBIT of SAR 1,476mn; after net interest of SAR 15mn, tax and minorities, earnings are SAR 8.80 per share; at 13.0x that is SAR 120 (range SAR 91–148).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of SAR 1,068mn, less after-tax interest, is owner cash of about SAR 1,059mn; grown at 4% and capitalised at 9.7% gives SAR 135 (range SAR 92–165).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13,988mn) gives SAR 126 per share (range SAR 92–145).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capex has run at under 2% of revenue with the plant largely built,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low-30s% return on capital will fade, which is why the terminal return on capital is struck near 25% and terminal growth at 4%.</w:t>
      </w:r>
    </w:p>
    <w:p>
      <w:pPr>
        <w:spacing w:after="80" w:before="200"/>
      </w:pPr>
      <w:r>
        <w:rPr>
          <w:b/>
          <w:i w:val="0"/>
          <w:color w:val="1C3A36"/>
          <w:sz w:val="24"/>
        </w:rPr>
        <w:t>C.5  The three in one room</w:t>
      </w:r>
    </w:p>
    <w:p>
      <w:pPr>
        <w:spacing w:after="120" w:before="0"/>
      </w:pPr>
      <w:r>
        <w:rPr>
          <w:b w:val="0"/>
          <w:i w:val="0"/>
          <w:color w:val="1C3A36"/>
          <w:sz w:val="21"/>
        </w:rPr>
        <w:t>The three methods land at SAR 120, SAR 135 and SAR 126, a median of SAR 126 — close to the discounted-cash-flow lens and above the market.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