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05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222</w:t>
            </w:r>
          </w:p>
        </w:tc>
      </w:tr>
      <w:tr>
        <w:tc>
          <w:tcPr>
            <w:tcW w:type="dxa" w:w="6236"/>
          </w:tcPr>
          <w:p>
            <w:r/>
            <w:r>
              <w:rPr>
                <w:color w:val="1A1D21"/>
                <w:sz w:val="18"/>
              </w:rPr>
              <w:t>Bind on a class of company (CLASS)</w:t>
            </w:r>
          </w:p>
        </w:tc>
        <w:tc>
          <w:tcPr>
            <w:tcW w:type="dxa" w:w="2721"/>
          </w:tcPr>
          <w:p>
            <w:r/>
            <w:r>
              <w:rPr>
                <w:color w:val="1A1D21"/>
                <w:sz w:val="18"/>
              </w:rPr>
              <w:t>25</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254</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21</w:t>
            </w:r>
          </w:p>
        </w:tc>
      </w:tr>
      <w:tr>
        <w:tc>
          <w:tcPr>
            <w:tcW w:type="dxa" w:w="6236"/>
          </w:tcPr>
          <w:p>
            <w:r/>
            <w:r>
              <w:rPr>
                <w:color w:val="1A1D21"/>
                <w:sz w:val="18"/>
              </w:rPr>
              <w:t>Found while building</w:t>
            </w:r>
          </w:p>
        </w:tc>
        <w:tc>
          <w:tcPr>
            <w:tcW w:type="dxa" w:w="2721"/>
          </w:tcPr>
          <w:p>
            <w:r/>
            <w:r>
              <w:rPr>
                <w:color w:val="1A1D21"/>
                <w:sz w:val="18"/>
              </w:rPr>
              <w:t>178</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pPr>
        <w:keepNext/>
        <w:spacing w:before="240" w:after="60"/>
      </w:pPr>
      <w:r>
        <w:rPr>
          <w:b/>
          <w:color w:val="1A1D21"/>
          <w:sz w:val="22"/>
        </w:rPr>
        <w:t>L-294  A VALUATION ENDS BY DIVIDING BY A SHARE COUNT, AND NOTHING WAS CHECKING WHETHER THE NUMBER BEING DIVIDED IS WHAT SHAREHOLDERS ACTUALLY RECEIVE. Every gate examines how the equity value was BUILT; the last arithmetic step had none.</w:t>
      </w:r>
    </w:p>
    <w:p>
      <w:pPr>
        <w:keepNext/>
        <w:spacing w:after="100"/>
      </w:pPr>
      <w:r>
        <w:rPr>
          <w:b/>
          <w:color w:val="1D6FA3"/>
          <w:sz w:val="16"/>
        </w:rPr>
        <w:t>EVERY STUDY</w:t>
      </w:r>
      <w:r>
        <w:rPr>
          <w:color w:val="5B6570"/>
          <w:sz w:val="16"/>
        </w:rPr>
        <w:t xml:space="preserve">   applies to every study   ·   learned from a found while building, SWDY, 04-Sep-2026</w:t>
      </w:r>
    </w:p>
    <w:p>
      <w:pPr>
        <w:spacing w:after="100"/>
      </w:pPr>
      <w:r>
        <w:rPr>
          <w:b w:val="0"/>
          <w:i w:val="0"/>
          <w:color w:val="1A1D21"/>
          <w:sz w:val="21"/>
        </w:rPr>
        <w:t>Egyptian company law gives employees a share of distributable profits. It is an APPROPRIATION of profit rather than an operating cost, so a company discloses it BELOW profit attributable to owners, in the earnings-per-share note — which means it appears in no line of the income statement and NO COST DRIVER CAN EVER CAPTURE IT, however carefully the cost stack is built from unit economics. The mechanism is not Egyptian and not unusual: anywhere the EPS numerator differs from attributable profit there is a claim ahead of ordinary shareholders — a statutory profit share, a preference dividend, a participating instrument, a perpetual coupon, an ESOP allocation.</w:t>
      </w:r>
    </w:p>
    <w:p>
      <w:pPr>
        <w:spacing w:after="60"/>
        <w:ind w:left="283"/>
      </w:pPr>
      <w:r>
        <w:rPr>
          <w:b w:val="0"/>
          <w:i w:val="0"/>
          <w:color w:val="5B6570"/>
          <w:sz w:val="19"/>
        </w:rPr>
        <w:t>How we know.  The study registered attributable profit of EGP 17,330.245mn AND the company's own reported EPS of 7.13, both correctly sourced to the audited statements, four fields each. 17,330.245 / 2,140.778 shares = 8.095. The 12.0% between them was the employees' share, disclosed in the EPS note and running 11.6%, 12.0% and 13.0% of attributable profit across FY2024, FY2025 and H1-2026. The word 'employee' occurred nowhere in the study's committed numbers, and the valuation divided the full parent equity value by the full share count. Measured across the book, TWENTY-ONE of twenty-four studies register no reported EPS at all, so nothing could have reconciled it even in principle — which is why the gate counts that state as UNREADABLE rather than clean. Closed by scripts/check_eps_reconciliation.py, which holds one identity and requires any gap to be NAMED, never explained away.</w:t>
      </w:r>
    </w:p>
    <w:p>
      <w:pPr>
        <w:spacing w:after="160"/>
        <w:ind w:left="283"/>
      </w:pPr>
      <w:r>
        <w:rPr>
          <w:b w:val="0"/>
          <w:i w:val="0"/>
          <w:color w:val="5B6570"/>
          <w:sz w:val="19"/>
        </w:rPr>
        <w:t>What would overturn it.  A company whose reported EPS numerator legitimately differs from attributable profit for a reason that is NOT a claim on shareholders — a weighted-average share count in a year of issuance is the obvious case. That is why the gate asks for the difference to be named rather than to be zero, and why a named difference valued at zero with a reason passes.</w:t>
      </w:r>
    </w:p>
    <w:p>
      <w:pPr>
        <w:keepNext/>
        <w:spacing w:before="240" w:after="60"/>
      </w:pPr>
      <w:r>
        <w:rPr>
          <w:b/>
          <w:color w:val="1A1D21"/>
          <w:sz w:val="22"/>
        </w:rPr>
        <w:t>L-297  A MUTATION-LANDED CHECK THAT ASSERTS A KEY IS PRESENT CANNOT TELL "I PUT IT THERE" FROM "IT WAS ALREADY THERE", so it reports landed while injecting nothing — which is the exact state [R-ENF-04] exists to catch, inside the instrument built to catch it.</w:t>
      </w:r>
    </w:p>
    <w:p>
      <w:pPr>
        <w:keepNext/>
        <w:spacing w:after="100"/>
      </w:pPr>
      <w:r>
        <w:rPr>
          <w:b/>
          <w:color w:val="1D6FA3"/>
          <w:sz w:val="16"/>
        </w:rPr>
        <w:t>EVERY STUDY</w:t>
      </w:r>
      <w:r>
        <w:rPr>
          <w:color w:val="5B6570"/>
          <w:sz w:val="16"/>
        </w:rPr>
        <w:t xml:space="preserve">   applies to every study   ·   learned from a found while building, check_eps_reconciliation_negative_control.py, 04-Sep-2026</w:t>
      </w:r>
    </w:p>
    <w:p>
      <w:pPr>
        <w:spacing w:after="100"/>
      </w:pPr>
      <w:r>
        <w:rPr>
          <w:b w:val="0"/>
          <w:i w:val="0"/>
          <w:color w:val="1A1D21"/>
          <w:sz w:val="21"/>
        </w:rPr>
        <w:t>A negative control reproducing a defect in a LIVE study is only injecting a condition while that study still carries it. Correct the study — which is the whole point of finding the defect — and the fixture goes on setting a key that is now already there, its landed-check passes, and the case tests the corrected study instead of the defect. The safe version of the same shape is one whose absence is GUARANTEED BY THE GREEN BASELINE: asserting a key was added is sound where the baseline could not be green if the key were present, and unsound where it could. So a fixture reproducing a live condition asserts THE CONDITION — is the quantity outside tolerance, is the record absent — never the key it wrote.</w:t>
      </w:r>
    </w:p>
    <w:p>
      <w:pPr>
        <w:spacing w:after="60"/>
        <w:ind w:left="283"/>
      </w:pPr>
      <w:r>
        <w:rPr>
          <w:b w:val="0"/>
          <w:i w:val="0"/>
          <w:color w:val="5B6570"/>
          <w:sz w:val="19"/>
        </w:rPr>
        <w:t>How we know.  Case 1 injected SWDY's unexplained EPS gap by writing the reported EPS. The SAME PULL REQUEST corrected SWDY, so its committed file already carried both that EPS and the reconciliation record naming the gap; the fixture wrote a key that was present, reported landed, and the gate correctly stayed green on a study with nothing wrong with it. Case 2, which must be GREEN, passed for the same reason and therefore proved nothing at all — a case that cannot fail is the more dangerous half, because it never announces itself. Re-pointed at the condition rather than widened [R-COC-01]: all ten conditions now assert the state the gate reads.</w:t>
      </w:r>
    </w:p>
    <w:p>
      <w:pPr>
        <w:spacing w:after="160"/>
        <w:ind w:left="283"/>
      </w:pPr>
      <w:r>
        <w:rPr>
          <w:b w:val="0"/>
          <w:i w:val="0"/>
          <w:color w:val="5B6570"/>
          <w:sz w:val="19"/>
        </w:rPr>
        <w:t>What would overturn it.  A landed-check asserting a key's presence whose absence the green baseline does genuinely guarantee — those are sound and this lesson does not touch them.</w:t>
      </w:r>
    </w:p>
    <w:p>
      <w:pPr>
        <w:keepNext/>
        <w:spacing w:before="240" w:after="60"/>
      </w:pPr>
      <w:r>
        <w:rPr>
          <w:b/>
          <w:color w:val="1A1D21"/>
          <w:sz w:val="22"/>
        </w:rPr>
        <w:t>L-298  A SOURCING CLAIM IS A CLAIM ABOUT THE WORLD AND IT ROTS LIKE ANY OTHER, but nothing re-tests it, because it reads as a fact about the study rather than a fact about a server.</w:t>
      </w:r>
    </w:p>
    <w:p>
      <w:pPr>
        <w:keepNext/>
        <w:spacing w:after="100"/>
      </w:pPr>
      <w:r>
        <w:rPr>
          <w:b/>
          <w:color w:val="1D6FA3"/>
          <w:sz w:val="16"/>
        </w:rPr>
        <w:t>EVERY STUDY</w:t>
      </w:r>
      <w:r>
        <w:rPr>
          <w:color w:val="5B6570"/>
          <w:sz w:val="16"/>
        </w:rPr>
        <w:t xml:space="preserve">   applies to every study   ·   learned from a found while building, ELEC, 04-Sep-2026</w:t>
      </w:r>
    </w:p>
    <w:p>
      <w:pPr>
        <w:spacing w:after="100"/>
      </w:pPr>
      <w:r>
        <w:rPr>
          <w:b w:val="0"/>
          <w:i w:val="0"/>
          <w:color w:val="1A1D21"/>
          <w:sz w:val="21"/>
        </w:rPr>
        <w:t>"The proxy blocked the company website" is true on the day it is written and becomes a standing justification for every figure sourced around it. Nobody re-runs it, because it looks like part of the study's history rather than a live condition. TWO OPPOSITE FAILURES LOOK IDENTICAL IN THE RECORD and separate only when the probe is run again: in one the documents were on the company's own site the whole time and nobody looked; in the other the site lists an archive it does not serve, so no amount of trying would ever have worked. The reason decides what happens next — one says try again, the other says stop trying and ask — so getting it wrong wastes the effort in the wrong direction.</w:t>
      </w:r>
    </w:p>
    <w:p>
      <w:pPr>
        <w:spacing w:after="60"/>
        <w:ind w:left="283"/>
      </w:pPr>
      <w:r>
        <w:rPr>
          <w:b w:val="0"/>
          <w:i w:val="0"/>
          <w:color w:val="5B6570"/>
          <w:sz w:val="19"/>
        </w:rPr>
        <w:t>How we know.  ELEC is the one study the source-integrity gate reports in plain breach, on 11 dated historicals from data vendors and press, justified by a recorded proxy block. Re-run a month later: the site returns 200 on every page, publishes an index of some sixty audited statements one click from the homepage — and serves none of them, every upload after August 2020 returning 404 while a 2020 asset in the same tree returns 200, with the legacy host that held the older ones no longer resolving in DNS. The documents are genuinely unobtainable and the recorded reason was still wrong. The mirror case is SCEM, where the statements sat on the company's own website while the study used Global Cement and an aggregator's carry of S&amp;P Global.</w:t>
      </w:r>
    </w:p>
    <w:p>
      <w:pPr>
        <w:spacing w:after="160"/>
        <w:ind w:left="283"/>
      </w:pPr>
      <w:r>
        <w:rPr>
          <w:b w:val="0"/>
          <w:i w:val="0"/>
          <w:color w:val="5B6570"/>
          <w:sz w:val="19"/>
        </w:rPr>
        <w:t>What would overturn it.  A sourcing failure that is re-tested and comes back identical — which is the point: the lesson asks for the re-test, not for a particular answer.</w:t>
      </w:r>
    </w:p>
    <w:p>
      <w:pPr>
        <w:keepNext/>
        <w:spacing w:before="240" w:after="60"/>
      </w:pPr>
      <w:r>
        <w:rPr>
          <w:b/>
          <w:color w:val="1A1D21"/>
          <w:sz w:val="22"/>
        </w:rPr>
        <w:t>L-299  THE UNREADABLE BUCKET IS NOT NEUTRAL — IT IS WHERE THE WORST CASES GO. [R-ENF-04] says an absent answer is not a clean one; this is the sharper half, that absence is CORRELATED WITH SEVERITY, so a census reporting "11 readable, 11 not" is not reporting a random half.</w:t>
      </w:r>
    </w:p>
    <w:p>
      <w:pPr>
        <w:keepNext/>
        <w:spacing w:after="100"/>
      </w:pPr>
      <w:r>
        <w:rPr>
          <w:b/>
          <w:color w:val="1D6FA3"/>
          <w:sz w:val="16"/>
        </w:rPr>
        <w:t>EVERY STUDY</w:t>
      </w:r>
      <w:r>
        <w:rPr>
          <w:color w:val="5B6570"/>
          <w:sz w:val="16"/>
        </w:rPr>
        <w:t xml:space="preserve">   applies to every study   ·   learned from a found while building, terminal_growth_census.py / ELEC, 04-Sep-2026</w:t>
      </w:r>
    </w:p>
    <w:p>
      <w:pPr>
        <w:spacing w:after="100"/>
      </w:pPr>
      <w:r>
        <w:rPr>
          <w:b w:val="0"/>
          <w:i w:val="0"/>
          <w:color w:val="1A1D21"/>
          <w:sz w:val="21"/>
        </w:rPr>
        <w:t>A study broken enough to be unreadable by one instrument is usually broken in the ways that instrument measures, because the same missing structure causes both. So the readable population is a FAVOURABLE sample of the book and every figure measured across it understates the problem — which is the opposite of how an unreadable list is normally read, as a coverage nuisance to be closed later.</w:t>
      </w:r>
    </w:p>
    <w:p>
      <w:pPr>
        <w:spacing w:after="60"/>
        <w:ind w:left="283"/>
      </w:pPr>
      <w:r>
        <w:rPr>
          <w:b w:val="0"/>
          <w:i w:val="0"/>
          <w:color w:val="5B6570"/>
          <w:sz w:val="19"/>
        </w:rPr>
        <w:t>How we know.  The terminal-growth census re-expressed every study's terminal growth as its real rate and found two names assuming a real rate away from zero without stating it, PHAR at -1.87% and RIYADHCABLE at +1.96%. ELEC assumes THE SAME -1.87% on a terminal that also carries the retired g x IC construction, a terminal return on capital 583bp below its own cost of capital, and an invested-capital base resting on a typed 0.05-of-revenue constant — and the census could not see any of it, because ELEC's numbers file carries no meta block at all, so its market resolved to nothing and it landed in the unreadable bucket. THE WORST INSTANCE OF THE THING BEING MEASURED WAS INVISIBLE TO THE INSTRUMENT MEASURING IT, and the reason it was invisible is a symptom of the same neglect.</w:t>
      </w:r>
    </w:p>
    <w:p>
      <w:pPr>
        <w:spacing w:after="160"/>
        <w:ind w:left="283"/>
      </w:pPr>
      <w:r>
        <w:rPr>
          <w:b w:val="0"/>
          <w:i w:val="0"/>
          <w:color w:val="5B6570"/>
          <w:sz w:val="19"/>
        </w:rPr>
        <w:t>What would overturn it.  A census whose unreadable entries, once opened, turn out no worse than its readable ones — which would make the bucket a coverage problem rather than a sampling one.</w:t>
      </w:r>
    </w:p>
    <w:p>
      <w:pPr>
        <w:keepNext/>
        <w:spacing w:before="240" w:after="60"/>
      </w:pPr>
      <w:r>
        <w:rPr>
          <w:b/>
          <w:color w:val="1A1D21"/>
          <w:sz w:val="22"/>
        </w:rPr>
        <w:t>L-300  A BUILDER THAT OTHER FILES READ BY CELL ADDRESS MUST PUBLISH WHERE ITS ROWS LANDED. Only the builder knows; every other file carries a guess that was true once.</w:t>
      </w:r>
    </w:p>
    <w:p>
      <w:pPr>
        <w:keepNext/>
        <w:spacing w:after="100"/>
      </w:pPr>
      <w:r>
        <w:rPr>
          <w:b/>
          <w:color w:val="1D6FA3"/>
          <w:sz w:val="16"/>
        </w:rPr>
        <w:t>EVERY STUDY</w:t>
      </w:r>
      <w:r>
        <w:rPr>
          <w:color w:val="5B6570"/>
          <w:sz w:val="16"/>
        </w:rPr>
        <w:t xml:space="preserve">   applies to every study   ·   learned from a found while building, AIRARABIA, 04-Sep-2026</w:t>
      </w:r>
    </w:p>
    <w:p>
      <w:pPr>
        <w:spacing w:after="100"/>
      </w:pPr>
      <w:r>
        <w:rPr>
          <w:b w:val="0"/>
          <w:i w:val="0"/>
          <w:color w:val="1A1D21"/>
          <w:sz w:val="21"/>
        </w:rPr>
        <w:t>Insert a row into a workbook and every check naming a cell below it goes on reading confidently from the wrong one. Nothing errors — the cells exist and hold numbers — so the failure arrives as a CONFIDENT WRONG ANSWER rather than a crash, and it arrives dressed as a finding about the model. The fix is not care: it is that the builder writes its row map beside the workbook and the checks resolve through it, so the map has one author and moving a row moves everything that reads it.</w:t>
      </w:r>
    </w:p>
    <w:p>
      <w:pPr>
        <w:spacing w:after="60"/>
        <w:ind w:left="283"/>
      </w:pPr>
      <w:r>
        <w:rPr>
          <w:b w:val="0"/>
          <w:i w:val="0"/>
          <w:color w:val="5B6570"/>
          <w:sz w:val="19"/>
        </w:rPr>
        <w:t>How we know.  Rebuilding a terminal block on the sanctioned construction inserted five rows. Five other sheets referenced the discounting sheet by address, and so did both study-local checks: the recalculation gate reported 25 formula cells disagreeing with the model, every one of them the CHECK looking one row too high, while the workbook itself was correct and had asserted all 663 of its own formulas against recorded expectations. It is [L-067] for the third time in one session — a check that names a cell by address moves with the re-issue — and the first two fixes were both re-pointings of the individual reference.</w:t>
      </w:r>
    </w:p>
    <w:p>
      <w:pPr>
        <w:spacing w:after="160"/>
        <w:ind w:left="283"/>
      </w:pPr>
      <w:r>
        <w:rPr>
          <w:b w:val="0"/>
          <w:i w:val="0"/>
          <w:color w:val="5B6570"/>
          <w:sz w:val="19"/>
        </w:rPr>
        <w:t>What would overturn it.  A workbook nothing else reads by address, where the map is a cost with no benefit. The moment a second file names a cell, it applies.</w:t>
      </w:r>
    </w:p>
    <w:p>
      <w:pPr>
        <w:keepNext/>
        <w:spacing w:before="240" w:after="60"/>
      </w:pPr>
      <w:r>
        <w:rPr>
          <w:b/>
          <w:color w:val="1A1D21"/>
          <w:sz w:val="22"/>
        </w:rPr>
        <w:t>L-301  A CHECK THAT READS A FIELD NAME CAN ACCUSE AS EASILY AS IT CAN MISS, AND A FALSE ACCUSATION IS THE MORE EXPENSIVE ERROR, because the author fixes something that was not broken.</w:t>
      </w:r>
    </w:p>
    <w:p>
      <w:pPr>
        <w:keepNext/>
        <w:spacing w:after="100"/>
      </w:pPr>
      <w:r>
        <w:rPr>
          <w:b/>
          <w:color w:val="1D6FA3"/>
          <w:sz w:val="16"/>
        </w:rPr>
        <w:t>EVERY STUDY</w:t>
      </w:r>
      <w:r>
        <w:rPr>
          <w:color w:val="5B6570"/>
          <w:sz w:val="16"/>
        </w:rPr>
        <w:t xml:space="preserve">   applies to every study   ·   learned from a found while building, terminal_growth_census.py and AIRARABIA, 04-Sep-2026</w:t>
      </w:r>
    </w:p>
    <w:p>
      <w:pPr>
        <w:spacing w:after="100"/>
      </w:pPr>
      <w:r>
        <w:rPr>
          <w:b w:val="0"/>
          <w:i w:val="0"/>
          <w:color w:val="1A1D21"/>
          <w:sz w:val="21"/>
        </w:rPr>
        <w:t>[R-MACRO-01 AMENDED] records this from one side: a check reading what a process DECLARES is not checking what it DOES, so work hides where the check does not reach. The other side is that the same check can fire on a study doing exactly the right thing and SAYING SO — and the natural remedy, deleting the honest sentence, makes the record worse while turning the check green. Where a check reads prose, its MESSAGE must distinguish the two failures it can produce; where it reads a key, the key must be named for what it holds.</w:t>
      </w:r>
    </w:p>
    <w:p>
      <w:pPr>
        <w:spacing w:after="60"/>
        <w:ind w:left="283"/>
      </w:pPr>
      <w:r>
        <w:rPr>
          <w:b w:val="0"/>
          <w:i w:val="0"/>
          <w:color w:val="5B6570"/>
          <w:sz w:val="19"/>
        </w:rPr>
        <w:t>How we know.  Three instances in one afternoon. A terminal-growth census asked only whether a REAL-GROWTH INPUT KEY existed and printed 'not stated' for every study without one — false of a study whose own justification said 'about 0.5pp real' in as many words; re-pointed to three states, because a SILENT study owes a disclosure and a PROSE-ONLY one owes the arithmetic moved into its register. A lens-design gate matched macro dials against a driver field that named them only to say they were HELD; a regex cutting the text at a holding word was tried and BACKED OUT (the dial usually precedes the verb), and what shipped instead was a sharper message naming the field the sentence belongs in. And an artefact-currency gate refused a row map because a field called 'central' held the integer 8 — correct on the name it was given, and a naming defect before it was a gate problem.</w:t>
      </w:r>
    </w:p>
    <w:p>
      <w:pPr>
        <w:spacing w:after="160"/>
        <w:ind w:left="283"/>
      </w:pPr>
      <w:r>
        <w:rPr>
          <w:b w:val="0"/>
          <w:i w:val="0"/>
          <w:color w:val="5B6570"/>
          <w:sz w:val="19"/>
        </w:rPr>
        <w:t>What would overturn it.  A check whose false positives are as cheap to resolve as its true positives — where firing on correct work costs only a glance, the message matters less.</w:t>
      </w:r>
    </w:p>
    <w:p>
      <w:pPr>
        <w:keepNext/>
        <w:spacing w:before="240" w:after="60"/>
      </w:pPr>
      <w:r>
        <w:rPr>
          <w:b/>
          <w:color w:val="1A1D21"/>
          <w:sz w:val="22"/>
        </w:rPr>
        <w:t>L-303  CONFORMING A STUDY TO A RULE MADE IT INVISIBLE TO THE INSTRUMENT THAT MEASURES THAT RULE, because the instrument read the shape the DEFECT takes and the correction changes the shape.</w:t>
      </w:r>
    </w:p>
    <w:p>
      <w:pPr>
        <w:keepNext/>
        <w:spacing w:after="100"/>
      </w:pPr>
      <w:r>
        <w:rPr>
          <w:b/>
          <w:color w:val="1D6FA3"/>
          <w:sz w:val="16"/>
        </w:rPr>
        <w:t>EVERY STUDY</w:t>
      </w:r>
      <w:r>
        <w:rPr>
          <w:color w:val="5B6570"/>
          <w:sz w:val="16"/>
        </w:rPr>
        <w:t xml:space="preserve">   applies to every study   ·   learned from a found while building, terminal_growth_census.py, 04-Sep-2026</w:t>
      </w:r>
    </w:p>
    <w:p>
      <w:pPr>
        <w:spacing w:after="100"/>
      </w:pPr>
      <w:r>
        <w:rPr>
          <w:b w:val="0"/>
          <w:i w:val="0"/>
          <w:color w:val="1A1D21"/>
          <w:sz w:val="21"/>
        </w:rPr>
        <w:t>A census looks for a quantity where studies keep it, and studies keep it there BECAUSE THEY HAVE NOT BEEN CORRECTED YET. Fix one and the quantity moves — into a derived block, into a record, under a frame — and the census reports the conforming study as UNREADABLE. The direction of the error is the dangerous part: the instrument's readable population drifts toward the names still carrying the defect, so the measured rate looks WORSE than the book while the unreadable bucket quietly fills with the successes. It is [L-299] inverted — there the bucket collected the worst cases, here it collects the best — and both say the same thing, that an unreadable bucket is never a random sample.</w:t>
      </w:r>
    </w:p>
    <w:p>
      <w:pPr>
        <w:spacing w:after="60"/>
        <w:ind w:left="283"/>
      </w:pPr>
      <w:r>
        <w:rPr>
          <w:b w:val="0"/>
          <w:i w:val="0"/>
          <w:color w:val="5B6570"/>
          <w:sz w:val="19"/>
        </w:rPr>
        <w:t>How we know.  The census read a study's terminal growth from `dcf.g` or from a `g_term` input. A study that does the RIGHT thing under the house macro path stores a REAL rate and DERIVES the nominal, so it carries no `g_term` at all — and the first study corrected that way promptly vanished from the census that had found the defect. Re-pointed to read four places in order, including a two-sided study's frames, the readable population went from 10 of 24 to 15, and NINE of those turned out to be already conforming at exactly zero real growth. THE BOOK WAS IN BETTER SHAPE THAN THE INSTRUMENT SAID, which is the less common direction and no more comfortable. A second re-pointing in the same pass: a market written as 'AE (Dubai Financial Market)' resolved ambiguously because 'IN' is a substring of 'FINANCIAL' — refusing ambiguity was right and two-letter codes matching inside words is not ambiguity, it is a bad matcher.</w:t>
      </w:r>
    </w:p>
    <w:p>
      <w:pPr>
        <w:spacing w:after="160"/>
        <w:ind w:left="283"/>
      </w:pPr>
      <w:r>
        <w:rPr>
          <w:b w:val="0"/>
          <w:i w:val="0"/>
          <w:color w:val="5B6570"/>
          <w:sz w:val="19"/>
        </w:rPr>
        <w:t>What would overturn it.  A census whose readable population does not change when a study is corrected — which is what a measurement keyed on a quantity rather than on its storage looks like, and is what this one now aims at.</w:t>
      </w:r>
    </w:p>
    <w:p>
      <w:pPr>
        <w:keepNext/>
        <w:spacing w:before="240" w:after="60"/>
      </w:pPr>
      <w:r>
        <w:rPr>
          <w:b/>
          <w:color w:val="1A1D21"/>
          <w:sz w:val="22"/>
        </w:rPr>
        <w:t>L-304  Where no single disclosed figure applies, take the most conservative disclosed one and publish the range — never invent a weighted figure and never leave the correction unmade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 needed a disclosed asset life and the company discloses EIGHT, from two years to fifty, in a note whose own columns combine land with buildings (73% of gross cost, land not depreciated) and plant at forty years with machinery at three to four. No weighted life can be derived from it, and the charge-implied route is closed by AED 832mn of assets acquired through business combinations in the year. An earlier pass recorded the correction as BLOCKED on that basis and left the name on the ratchet, which was honest and was not the only honest option. The route taken instead has three parts and each is necessary: take the disclosed extreme that is most conservative for the calculation in hand (here the LONGEST life, because on this basis it charges the MOST maintenance and gives the LOWEST terminal); publish the WHOLE disclosed range beside it; and state what the range does to the decision. Every life from two to fifty years put the terminal between 15.6% and 23.9% above the one it replaced and above the no-growth marker, so the DIRECTION of the correction was certain across the entire disclosure and only its size was not.</w:t>
      </w:r>
    </w:p>
    <w:p>
      <w:pPr>
        <w:spacing w:after="60"/>
        <w:ind w:left="283"/>
      </w:pPr>
      <w:r>
        <w:rPr>
          <w:b w:val="0"/>
          <w:i w:val="0"/>
          <w:color w:val="5B6570"/>
          <w:sz w:val="19"/>
        </w:rPr>
        <w:t>How we know.  FY2025 property, plant and equipment accounting policy: plant 40 years, buildings 2 to 50, machinery and equipment 3 to 4, vehicles 3 to 5, office and computer equipment 2 to 5, furniture and fixtures 2 to 5, leasehold improvements the lower of the lease term or 10, other assets 5. Terminal value at each life: 2y 77,743 · 5y 77,487 · 20y 76,085 · 50y 72,573, against a published 62,758 and a no-growth marker of 69,916 — nine points measured, every one above both.</w:t>
      </w:r>
    </w:p>
    <w:p>
      <w:pPr>
        <w:spacing w:after="160"/>
        <w:ind w:left="283"/>
      </w:pPr>
      <w:r>
        <w:rPr>
          <w:b w:val="0"/>
          <w:i w:val="0"/>
          <w:color w:val="5B6570"/>
          <w:sz w:val="19"/>
        </w:rPr>
        <w:t>What would overturn it.  A case where the disclosed range STRADDLES the decision — the correction points one way at one end of the disclosure and the other way at the other. There this route gives no answer at all and the honest move is to stop and say so, exactly as the blocked pass did.</w:t>
      </w:r>
    </w:p>
    <w:p>
      <w:pPr>
        <w:keepNext/>
        <w:spacing w:before="240" w:after="60"/>
      </w:pPr>
      <w:r>
        <w:rPr>
          <w:b/>
          <w:color w:val="1A1D21"/>
          <w:sz w:val="22"/>
        </w:rPr>
        <w:t>L-305  A model in which LESS growth is worth MORE is charging for growth at a price nobody set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Storing Modon's terminal growth as a real rate on the house path cut it from a typed 2.5% to a derived 2.0% — and RAISED the value by 1.6%, which no reader would predict and which is the sharpest evidence available that the construction underneath was wrong rather than merely cautious. The reason is arithmetic: the retired reinvestment identity charges growth at g times invested capital, and where the terminal return sits below the terminal cost of capital (8.5% against 11.92% here) every unit of growth is bought at a destroying spread. A negative growth gradient CAN be legitimate — a company contractually committed to reinvesting below its cost of capital really is worth less for growing — so the sign alone is not the finding. The finding is that when the gradient is negative, the first question is whether the growth CHARGE is a forecast anybody made or a by-product of the formula, because g times invested capital is nobody's estimate of what growth costs.</w:t>
      </w:r>
    </w:p>
    <w:p>
      <w:pPr>
        <w:spacing w:after="60"/>
        <w:ind w:left="283"/>
      </w:pPr>
      <w:r>
        <w:rPr>
          <w:b w:val="0"/>
          <w:i w:val="0"/>
          <w:color w:val="5B6570"/>
          <w:sz w:val="19"/>
        </w:rPr>
        <w:t>How we know.  Lever 1 (growth stored as real): 3.5423 to 3.5983, +1.6%, with the retired terminal construction unchanged. Lever 2 (terminal through the sanctioned module): 3.5983 to 3.9119, +8.7%. After the rebuild the sensitivity gradient turns the right way up — half a point of extra terminal growth is worth +0.15 a share instead of subtracting value — and the delivered figure caption asserting the opposite was withdrawn in the same pass.</w:t>
      </w:r>
    </w:p>
    <w:p>
      <w:pPr>
        <w:spacing w:after="160"/>
        <w:ind w:left="283"/>
      </w:pPr>
      <w:r>
        <w:rPr>
          <w:b w:val="0"/>
          <w:i w:val="0"/>
          <w:color w:val="5B6570"/>
          <w:sz w:val="19"/>
        </w:rPr>
        <w:t>What would overturn it.  A terminal whose negative growth gradient survives being rebuilt on a maintenance charge taken from disclosure — i.e. the company genuinely destroys value by growing, on a charge somebody actually forecast rather than one the identity manufactured.</w:t>
      </w:r>
    </w:p>
    <w:p>
      <w:pPr>
        <w:keepNext/>
        <w:spacing w:before="240" w:after="60"/>
      </w:pPr>
      <w:r>
        <w:rPr>
          <w:b/>
          <w:color w:val="1A1D21"/>
          <w:sz w:val="22"/>
        </w:rPr>
        <w:t>L-306  A sensitivity grid with typed rungs drifts off its own centre the moment the base moves, and the caption keeps calling the middle column the base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terminal-growth sensitivity was a typed ladder of five rates centred on 2.5%. The rebuild moved the base to 2.0%, the assertion that the grid reproduces the base at its unshifted point still passed — because that assertion re-runs the model at the BASE parameters rather than reading the middle cell — and the grid's centre column silently became a different scenario from the answer, under a caption calling it the base. Nothing in the study was wrong except that one number moved and another did not. Build a grid's rungs FROM the base it is centred on, so the two cannot separate; and note that the assertion which looked like it covered this did not, because it tested the engine rather than the table.</w:t>
      </w:r>
    </w:p>
    <w:p>
      <w:pPr>
        <w:spacing w:after="60"/>
        <w:ind w:left="283"/>
      </w:pPr>
      <w:r>
        <w:rPr>
          <w:b w:val="0"/>
          <w:i w:val="0"/>
          <w:color w:val="5B6570"/>
          <w:sz w:val="19"/>
        </w:rPr>
        <w:t>How we know.  g_grid was [1.5, 2.0, 2.5, 3.0, 3.5]% against a base that had become 2.0%; the base sat in column two while Figure 2's caption described column three. Rebuilt as base plus or minus one and two half-points, the centre cell is 3.91 and equals the published central exactly.</w:t>
      </w:r>
    </w:p>
    <w:p>
      <w:pPr>
        <w:spacing w:after="160"/>
        <w:ind w:left="283"/>
      </w:pPr>
      <w:r>
        <w:rPr>
          <w:b w:val="0"/>
          <w:i w:val="0"/>
          <w:color w:val="5B6570"/>
          <w:sz w:val="19"/>
        </w:rPr>
        <w:t>What would overturn it.  A grid deliberately anchored on external reference points — a peer set's rates, a regulator's bands — where the centre is not meant to be the base and the caption says which it is.</w:t>
      </w:r>
    </w:p>
    <w:p>
      <w:pPr>
        <w:keepNext/>
        <w:spacing w:before="240" w:after="60"/>
      </w:pPr>
      <w:r>
        <w:rPr>
          <w:b/>
          <w:color w:val="1A1D21"/>
          <w:sz w:val="22"/>
        </w:rPr>
        <w:t>L-307  A one-at-a-time dead-input sweep cannot see a jointly live pair, and declaring the pair dead-by-design is an exemption on the wrong object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capital a unit of real growth consumes is in Modon's live formula chain and moved nothing when bumped, because it multiplies a stated real growth of zero. A sweep that bumps one driver at a time reported it dead — which is true of the base point and false of the model. Declaring it dead-by-design would have been an exemption written about the wrong thing, the shape that hides work where a check cannot reach it. It is MEASURED instead: bumped alongside a non-zero real growth, where it must bite, and it does. The general form is that a driver inert at the base is not a dead driver, and the cheap way to tell them apart is a joint probe rather than a note.</w:t>
      </w:r>
    </w:p>
    <w:p>
      <w:pPr>
        <w:spacing w:after="60"/>
        <w:ind w:left="283"/>
      </w:pPr>
      <w:r>
        <w:rPr>
          <w:b w:val="0"/>
          <w:i w:val="0"/>
          <w:color w:val="5B6570"/>
          <w:sz w:val="19"/>
        </w:rPr>
        <w:t>How we know.  Joint probe: at a real growth of +0.5pp, doubling the capital- per-unit-of-growth driver moves the terminal -0.89% (76,634 to 75,953). Bumped alone at the base it moves nothing, because the stated real growth is zero.</w:t>
      </w:r>
    </w:p>
    <w:p>
      <w:pPr>
        <w:spacing w:after="160"/>
        <w:ind w:left="283"/>
      </w:pPr>
      <w:r>
        <w:rPr>
          <w:b w:val="0"/>
          <w:i w:val="0"/>
          <w:color w:val="5B6570"/>
          <w:sz w:val="19"/>
        </w:rPr>
        <w:t>What would overturn it.  A jointly live pair for which no joint probe can be constructed — where the second driver cannot be given a non- zero value inside any state the model admits. There the honest record is the declaration, with that impossibility stated.</w:t>
      </w:r>
    </w:p>
    <w:p>
      <w:pPr>
        <w:keepNext/>
        <w:spacing w:before="240" w:after="60"/>
      </w:pPr>
      <w:r>
        <w:rPr>
          <w:b/>
          <w:color w:val="1A1D21"/>
          <w:sz w:val="22"/>
        </w:rPr>
        <w:t>L-308  A hyphen between two percentages is a range separator, and a figure mis-signed by a tokeniser will find a coincidental match and hold it for weeks</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shared prose-figure instrument read the disclosed tax range '9%-23.5%' as nine per cent and MINUS 23.5 per cent, then hunted that negative against several thousand committed numbers until it landed on one — and it did, so the study read clean. It went red the day the figure it had coincidentally matched stopped existing, which is a month after the defect entered and in a pass that had nothing to do with tax. The instrument was fixed rather than the study: a sign is refused where it sits immediately after a percent sign. The general lesson is the one this house keeps relearning from the other direction — with a large pool of committed numbers, a spurious match is not unlikely, it is expected, so a tokeniser that can produce a figure the document does not contain will eventually certify one.</w:t>
      </w:r>
    </w:p>
    <w:p>
      <w:pPr>
        <w:spacing w:after="60"/>
        <w:ind w:left="283"/>
      </w:pPr>
      <w:r>
        <w:rPr>
          <w:b w:val="0"/>
          <w:i w:val="0"/>
          <w:color w:val="5B6570"/>
          <w:sz w:val="19"/>
        </w:rPr>
        <w:t>How we know.  engine/prose_figures.py NUM regex, three lookbehinds added. Book-wide advisory unchanged at 8,868 figures and 343 unmatched, so no other study was relying on a mis-signed range; MODON goes from one unmatched to zero across 369 figures, and the count is unchanged because the range now tokenises as two positive figures rather than one positive and one negative.</w:t>
      </w:r>
    </w:p>
    <w:p>
      <w:pPr>
        <w:spacing w:after="160"/>
        <w:ind w:left="283"/>
      </w:pPr>
      <w:r>
        <w:rPr>
          <w:b w:val="0"/>
          <w:i w:val="0"/>
          <w:color w:val="5B6570"/>
          <w:sz w:val="19"/>
        </w:rPr>
        <w:t>What would overturn it.  A house document convention in which a leading hyphen immediately after a percent sign genuinely denotes a negative figure, which would make the lookbehind drop a real number.</w:t>
      </w:r>
    </w:p>
    <w:p>
      <w:pPr>
        <w:keepNext/>
        <w:spacing w:before="240" w:after="60"/>
      </w:pPr>
      <w:r>
        <w:rPr>
          <w:b/>
          <w:color w:val="1A1D21"/>
          <w:sz w:val="22"/>
        </w:rPr>
        <w:t>L-309  A depreciation note's own two columns give a weighted asset life by identity, and an identity is not an assumption</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L-304 said that where no single disclosed figure applies, take the most conservative disclosed one and publish the range. SAVOLA is the case its own falsifier named: the policy note gives five class RANGES (buildings 5 to 50, plant 3 to 40, furniture 1 to 10) and the terminal at a 50-year reading falls 40% while at a 5-year reading it rises 8%, so the range STRADDLES the decision and the conservative-extreme route gives no answer at all. What resolves it is a route that name did not have: note 6 discloses gross cost AND the year's depreciation charge BY CLASS, and gross cost over charge IS the weighted life, by identity. It reads 18.03 years, and the prior year's own columns give 17.05 on the same identity. The same protocol already permits capex to be DERIVED by the identity capex = change in property, plant and equipment plus depreciation, and LABELLED as derived; this is that permission applied to a life. LOOK FOR THE IDENTITY BEFORE ACCEPTING THAT A FIGURE IS NOT DISCLOSED — a note that gives ranges may still give the answer in another column.</w:t>
      </w:r>
    </w:p>
    <w:p>
      <w:pPr>
        <w:spacing w:after="60"/>
        <w:ind w:left="283"/>
      </w:pPr>
      <w:r>
        <w:rPr>
          <w:b w:val="0"/>
          <w:i w:val="0"/>
          <w:color w:val="5B6570"/>
          <w:sz w:val="19"/>
        </w:rPr>
        <w:t>How we know.  FY2025 note 6: depreciable gross cost 10,980,554 (land and construction in progress excluded, neither depreciated) over depreciation for the year 608,933 = 18.03 years; FY2024's own columns give 10,413,988 over 610,659 = 17.05. Terminal value across the disclosed range spans 8,916 at 50 years to 15,991 at 5, against a published 14,811 — the direction reverses inside the disclosure, which is why the extreme-value route fails here.</w:t>
      </w:r>
    </w:p>
    <w:p>
      <w:pPr>
        <w:spacing w:after="160"/>
        <w:ind w:left="283"/>
      </w:pPr>
      <w:r>
        <w:rPr>
          <w:b w:val="0"/>
          <w:i w:val="0"/>
          <w:color w:val="5B6570"/>
          <w:sz w:val="19"/>
        </w:rPr>
        <w:t>What would overturn it.  A charge contaminated within the year — assets acquired through business combinations, a large mid-year disposal, or an impairment inside the accumulated column — which breaks the identity. MODON's own note is the worked case: AED 832mn of business-combination additions closed this route there, which is why that name took the conservative-extreme route instead.</w:t>
      </w:r>
    </w:p>
    <w:p>
      <w:pPr>
        <w:keepNext/>
        <w:spacing w:before="240" w:after="60"/>
      </w:pPr>
      <w:r>
        <w:rPr>
          <w:b/>
          <w:color w:val="1A1D21"/>
          <w:sz w:val="22"/>
        </w:rPr>
        <w:t>L-310  Two corrections that point opposite ways can leave the answer where they found it, and the rebuild is still worth doing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terminal construction changed completely — the reinvestment identity out, capital maintenance at replacement cost in — and the terminal value moved 0.9%. Storing growth on the house inflation path RAISED the rate and the value; charging maintenance at what replacement costs LOWERED it by slightly more. Neither could have been read off the other, and the near-cancellation is not evidence that either lever was unnecessary: the retired construction happened to land near the right answer for the wrong reasons on this name, which is a fact about the name and not about the correction. A REBUILD THAT ENDS WHERE IT STARTED IS EVIDENCE, NOT A WASTED PASS. The corollary for the register that tracks these: a ledger recording the cumulative move alone would say nothing happened here, which is why it records each lever's own before and after.</w:t>
      </w:r>
    </w:p>
    <w:p>
      <w:pPr>
        <w:spacing w:after="60"/>
        <w:ind w:left="283"/>
      </w:pPr>
      <w:r>
        <w:rPr>
          <w:b w:val="0"/>
          <w:i w:val="0"/>
          <w:color w:val="5B6570"/>
          <w:sz w:val="19"/>
        </w:rPr>
        <w:t>How we know.  growth stored 27.2426 to 27.4379 (+0.7%); terminal rebuilt 27.4379 to 27.2811 (-0.6%); re-struck on the latest price 27.2811 to 27.1153 (-0.6%); cumulative -0.5% on a terminal carrying 79.2% of enterprise value.</w:t>
      </w:r>
    </w:p>
    <w:p>
      <w:pPr>
        <w:spacing w:after="160"/>
        <w:ind w:left="283"/>
      </w:pPr>
      <w:r>
        <w:rPr>
          <w:b w:val="0"/>
          <w:i w:val="0"/>
          <w:color w:val="5B6570"/>
          <w:sz w:val="19"/>
        </w:rPr>
        <w:t>What would overturn it.  A case where two levers cancel and the CONSTRUCTION also turns out to be indifferent — i.e. the same near-zero move recurs across many names, which would say the terminal rebuild is not doing work rather than that it happened to net out here.</w:t>
      </w:r>
    </w:p>
    <w:p>
      <w:pPr>
        <w:keepNext/>
        <w:spacing w:before="240" w:after="60"/>
      </w:pPr>
      <w:r>
        <w:rPr>
          <w:b/>
          <w:color w:val="1A1D21"/>
          <w:sz w:val="22"/>
        </w:rPr>
        <w:t>L-311  Fixing a tokeniser exposes the gaps its wrong answers were masking, and the count going UP is the instrument working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Correcting the prose-figure tokeniser to read a hyphen between two numbers as a range rather than a minus took SAVOLA from four unmatched figures to eight. Nothing in the document had changed. The four new ones were figures the old tokeniser had SIGNED WRONG, and each wrong sign had then found a coincidental match among several thousand committed numbers and read as clean. A RISING FAILURE COUNT AFTER AN INSTRUMENT IS SHARPENED IS NOT A REGRESSION, and treating it as one is how a sharpening gets reverted. All eight were then closed properly: the yield-curve endpoints the document quotes as source context were registered as four-field inputs, and the superseded first-edition deltas — which this model cannot compute because a different model produced them — were registered and the prose that quoted them made computed rather than typed.</w:t>
      </w:r>
    </w:p>
    <w:p>
      <w:pPr>
        <w:spacing w:after="60"/>
        <w:ind w:left="283"/>
      </w:pPr>
      <w:r>
        <w:rPr>
          <w:b w:val="0"/>
          <w:i w:val="0"/>
          <w:color w:val="5B6570"/>
          <w:sz w:val="19"/>
        </w:rPr>
        <w:t>How we know.  unmatched 4 -&gt; 8 on the same documents after the tokeniser fix, then 8 -&gt; 0 after registering the curve endpoints (5.22%, 5.48%, 5.83%), the superseded risk-free proxy (5.53%) and the three critique deltas. Book-wide the generic advisory fell from 343 to 339 unmatched across 8,868 figures, so no other study depended on a mis-signed range.</w:t>
      </w:r>
    </w:p>
    <w:p>
      <w:pPr>
        <w:spacing w:after="160"/>
        <w:ind w:left="283"/>
      </w:pPr>
      <w:r>
        <w:rPr>
          <w:b w:val="0"/>
          <w:i w:val="0"/>
          <w:color w:val="5B6570"/>
          <w:sz w:val="19"/>
        </w:rPr>
        <w:t>What would overturn it.  A sharpening whose new failures turn out on inspection to be false positives rather than exposed gaps, which would say the instrument was widened rather than sharpened.</w:t>
      </w:r>
    </w:p>
    <w:p>
      <w:pPr>
        <w:keepNext/>
        <w:spacing w:before="240" w:after="60"/>
      </w:pPr>
      <w:r>
        <w:rPr>
          <w:b/>
          <w:color w:val="1A1D21"/>
          <w:sz w:val="22"/>
        </w:rPr>
        <w:t>L-312  A study-local gate holding its own copy of a house standard goes red the day the standard moves, and stays red</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own gate script asserted the reference set equals a hard-coded three names. ADNOCLS displaced one of them on 19 August 2026 under the one-in-one-out rule, so that gate had been failing every day since on a fact about the house standard rather than about the study — and nothing noticed, because a gate that is always red is one nobody reads. What the assertion exists to prove is that the set is CLOSED at three, which the shared module already asserts at import; restating the members locally only guaranteed a second copy to go stale. ASSERT THE PROPERTY, IMPORT THE MEMBERS.</w:t>
      </w:r>
    </w:p>
    <w:p>
      <w:pPr>
        <w:spacing w:after="60"/>
        <w:ind w:left="283"/>
      </w:pPr>
      <w:r>
        <w:rPr>
          <w:b w:val="0"/>
          <w:i w:val="0"/>
          <w:color w:val="5B6570"/>
          <w:sz w:val="19"/>
        </w:rPr>
        <w:t>How we know.  gate_check.py line asserting set(REFERENCE_SET) == {three names typed out}; red from 19-Aug-2026 to 4-Sep-2026, seventeen days, through a delivered edition and a full critique response.</w:t>
      </w:r>
    </w:p>
    <w:p>
      <w:pPr>
        <w:spacing w:after="160"/>
        <w:ind w:left="283"/>
      </w:pPr>
      <w:r>
        <w:rPr>
          <w:b w:val="0"/>
          <w:i w:val="0"/>
          <w:color w:val="5B6570"/>
          <w:sz w:val="19"/>
        </w:rPr>
        <w:t>What would overturn it.  A case where the local copy is the POINT — a gate whose job is to detect that the shared module changed, written deliberately with its own copy and a stated review date.</w:t>
      </w:r>
    </w:p>
    <w:p>
      <w:pPr>
        <w:keepNext/>
        <w:spacing w:before="240" w:after="60"/>
      </w:pPr>
      <w:r>
        <w:rPr>
          <w:b/>
          <w:color w:val="1A1D21"/>
          <w:sz w:val="22"/>
        </w:rPr>
        <w:t>L-313  An estimate of a construction is not the construction, and it can be wrong in SIGN</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This study's own gap review, written hours before the rebuild, priced the terminal correction at +5.6% on the terminal and +4.8% on the fair value, and drew from that the general conclusion that nobody may predict which way a rebuild moves a value before running it. The conclusion was right and the estimate was wrong in sign: built, the terminal came out 2.6% LOWER. The estimate was careful, its arithmetic sound, and it valued a terminal nobody had yet built — what changed the sign was a line that only appears once you build it, the perpetual LEASE renewal the retired construction had been supplying as a side effect. AN ESTIMATE MADE TO DECIDE WHETHER A REBUILD IS WORTH DOING IS NOT EVIDENCE ABOUT WHAT THE REBUILD WILL FIND, and quoting it as though it were is how a study ships a number nobody computed. This is L-289 one level up: there the cheap PROXY for a calculation pointed the wrong way, here the cheap ESTIMATE of a calculation did.</w:t>
      </w:r>
    </w:p>
    <w:p>
      <w:pPr>
        <w:spacing w:after="60"/>
        <w:ind w:left="283"/>
      </w:pPr>
      <w:r>
        <w:rPr>
          <w:b w:val="0"/>
          <w:i w:val="0"/>
          <w:color w:val="5B6570"/>
          <w:sz w:val="19"/>
        </w:rPr>
        <w:t>How we know.  GAP_REVIEW_04-09-2026.md first edition: terminal 96,247.7 -&gt; 101,639.2 (+5.6%), fair value 18.89 -&gt; 19.80. Built at the same growth rate the estimate used, the sanctioned terminal is 94,588.9 against a retired 96,247.7 (-1.7%); at the corrected growth rate, 83,691.4 against 85,963.6 (-2.6%).</w:t>
      </w:r>
    </w:p>
    <w:p>
      <w:pPr>
        <w:spacing w:after="160"/>
        <w:ind w:left="283"/>
      </w:pPr>
      <w:r>
        <w:rPr>
          <w:b w:val="0"/>
          <w:i w:val="0"/>
          <w:color w:val="5B6570"/>
          <w:sz w:val="19"/>
        </w:rPr>
        <w:t>What would overturn it.  A house practice of building the correction before estimating it, which would make the estimate redundant rather than wrong — the lesson is about quoting an unbuilt estimate, not about making one.</w:t>
      </w:r>
    </w:p>
    <w:p>
      <w:pPr>
        <w:keepNext/>
        <w:spacing w:before="240" w:after="60"/>
      </w:pPr>
      <w:r>
        <w:rPr>
          <w:b/>
          <w:color w:val="1A1D21"/>
          <w:sz w:val="22"/>
        </w:rPr>
        <w:t>L-314  Retiring a construction removes whatever it was silently paying for, and the bill has to be put back explicitly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DU had deliberately removed its explicit-window lease- replacement charge, on the stated reasoning that the terminal's reinvestment rate maintained the lease estate instead. That reasoning was recorded in a comment in the model and it was true of the construction then in place. Retiring that construction removed the payment along with it, and nothing in the rule that retired it said so — a terminal that simply drops g x invested capital gives this company a store, office and technical-site estate rent-free for ever. WHEN A CONSTRUCTION IS RETIRED, SEARCH THE MODEL FOR WHAT WAS JUSTIFIED BY IT, not only for where it was computed: a side effect somebody relied on is invisible at the site of the change and lives wherever the relying comment was written.</w:t>
      </w:r>
    </w:p>
    <w:p>
      <w:pPr>
        <w:spacing w:after="60"/>
        <w:ind w:left="283"/>
      </w:pPr>
      <w:r>
        <w:rPr>
          <w:b w:val="0"/>
          <w:i w:val="0"/>
          <w:color w:val="5B6570"/>
          <w:sz w:val="19"/>
        </w:rPr>
        <w:t>How we know.  compute.py's own comment: 'Perpetual renewal IS charged in the terminal: terminal invested capital includes the right-of-use asset and terminal reinvestment (g/ROIC) maintains it.' That renewal ran on a 1/g cycle of fifty years against a lease term note 7 discloses at 10.1 years. Putting it back — the right- of-use book entering the blended life at its own derived 10.24 years — is what turned the estimated +5.6% into a measured -2.6%.</w:t>
      </w:r>
    </w:p>
    <w:p>
      <w:pPr>
        <w:spacing w:after="160"/>
        <w:ind w:left="283"/>
      </w:pPr>
      <w:r>
        <w:rPr>
          <w:b w:val="0"/>
          <w:i w:val="0"/>
          <w:color w:val="5B6570"/>
          <w:sz w:val="19"/>
        </w:rPr>
        <w:t>What would overturn it.  A retirement where the side effect is itself the defect, so removing it is the correction rather than a debt to be repaid.</w:t>
      </w:r>
    </w:p>
    <w:p>
      <w:pPr>
        <w:keepNext/>
        <w:spacing w:before="240" w:after="60"/>
      </w:pPr>
      <w:r>
        <w:rPr>
          <w:b/>
          <w:color w:val="1A1D21"/>
          <w:sz w:val="22"/>
        </w:rPr>
        <w:t>L-315  A derived quantity that reproduces a directly disclosed one is the strongest evidence a derivation can carry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The asset life for DU's terminal is derived by identity from three notes' own cost and charge columns, because the policy note gives class ranges and no weighting. The derivation could have been asserted and left there. Instead one of its three components lands on a figure the company states outright: the right-of-use line derives 10.24 years against the 10.1-year average lease term note 7 discloses in a sentence, 1.4% apart. That agreement is not a check on the lease line alone — it is evidence that gross cost over the year's charge MEASURES WHAT IT IS BEING ASKED TO MEASURE, which is the assumption the other two components rest on and which no amount of internal consistency could establish. WHERE A DERIVATION HAS A COMPONENT THE FILINGS ALSO STATE DIRECTLY, COMPUTE IT ANYWAY AND PUBLISH THE COMPARISON.</w:t>
      </w:r>
    </w:p>
    <w:p>
      <w:pPr>
        <w:spacing w:after="60"/>
        <w:ind w:left="283"/>
      </w:pPr>
      <w:r>
        <w:rPr>
          <w:b w:val="0"/>
          <w:i w:val="0"/>
          <w:color w:val="5B6570"/>
          <w:sz w:val="19"/>
        </w:rPr>
        <w:t>How we know.  notes 6, 7 and 8: property 28,616,356 over 1,542,393 = 18.55 years; intangibles 3,500,287 over 239,907 = 14.59; right-of- use 3,726,888 over 364,063 = 10.24 against a disclosed 10.1; blended 16.70, cross-checked at 15.96 on FY2024's own columns.</w:t>
      </w:r>
    </w:p>
    <w:p>
      <w:pPr>
        <w:spacing w:after="160"/>
        <w:ind w:left="283"/>
      </w:pPr>
      <w:r>
        <w:rPr>
          <w:b w:val="0"/>
          <w:i w:val="0"/>
          <w:color w:val="5B6570"/>
          <w:sz w:val="19"/>
        </w:rPr>
        <w:t>What would overturn it.  A component whose derived and disclosed readings diverge materially, which would say the identity measures something other than what the disclosure means — and would be a finding rather than a failure of this practice.</w:t>
      </w:r>
    </w:p>
    <w:p>
      <w:pPr>
        <w:keepNext/>
        <w:spacing w:before="240" w:after="60"/>
      </w:pPr>
      <w:r>
        <w:rPr>
          <w:b/>
          <w:color w:val="1A1D21"/>
          <w:sz w:val="22"/>
        </w:rPr>
        <w:t>L-316  The sign of the growth-storage lever is set by the spread between the terminal return and the terminal cost of capital, and it runs both ways in one book</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Storing terminal growth as a real rate on the house path cut MODON's growth from 2.5% to 2.0% and RAISED its value by 1.6%; the identical lever on DU cut the same 2.5% to the same 2.0% and LOWERED its value by 9.2%. The mechanism is exact rather than mysterious: under the retired reinvestment identity the growth charge is g x invested capital, so removing growth is worth whatever the growth was worth, and that is decided by the spread between the terminal return on capital and the terminal cost of capital. MODON's terminal return (8.5%) sat BELOW its cost of capital (11.9%), so growth destroyed value and less of it was worth more; DU's (27.4%) sits far ABOVE its cost of capital (6.2%), so growth was highly accretive and taking half a point out cost a great deal. A HOUSE-WIDE CORRECTION WHOSE SIGN VARIES BY NAME CANNOT BE READ AS A DIRECTION, and reporting the book-wide average of such a lever would describe neither name.</w:t>
      </w:r>
    </w:p>
    <w:p>
      <w:pPr>
        <w:spacing w:after="60"/>
        <w:ind w:left="283"/>
      </w:pPr>
      <w:r>
        <w:rPr>
          <w:b w:val="0"/>
          <w:i w:val="0"/>
          <w:color w:val="5B6570"/>
          <w:sz w:val="19"/>
        </w:rPr>
        <w:t>How we know.  MODON 3.5423 -&gt; 3.5983 (+1.6%) at a terminal return of 8.50% against a terminal cost of capital of 11.92%; DU 18.8909 -&gt; 17.1542 (-9.2%) at 27.42% against 6.17%. Same lever, same rate change, opposite sign.</w:t>
      </w:r>
    </w:p>
    <w:p>
      <w:pPr>
        <w:spacing w:after="160"/>
        <w:ind w:left="283"/>
      </w:pPr>
      <w:r>
        <w:rPr>
          <w:b w:val="0"/>
          <w:i w:val="0"/>
          <w:color w:val="5B6570"/>
          <w:sz w:val="19"/>
        </w:rPr>
        <w:t>What would overturn it.  A name where the sign does not follow that spread, which would say something other than the reinvestment identity is driving the growth charge.</w:t>
      </w:r>
    </w:p>
    <w:p>
      <w:pPr>
        <w:keepNext/>
        <w:spacing w:before="240" w:after="60"/>
      </w:pPr>
      <w:r>
        <w:rPr>
          <w:b/>
          <w:color w:val="1A1D21"/>
          <w:sz w:val="22"/>
        </w:rPr>
        <w:t>L-317  A study whose answer no instrument can parse is not a study nothing is wrong with — it is a study nothing has looked at</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EMPOWER publishes four named branches and no single central, which is the honest shape for an answer turning on two undecided questions. It published them under keys its own builder invented, so every instrument looking for a central found none and filed the study as UNREADABLE — and an unreadable study is skipped by the one check in this repository that examines the ANSWER rather than the process that made it. The consequence is exact and was measured rather than feared: a fair value seventeen per cent above the traded price sat unexamined for as long as the study has existed, and the moment the branches were republished in the SHARED form the gate demanded an eight-heading review within the same minute. THE FIX WAS TWO LINES AND THE COST OF NOT HAVING MADE IT WAS EVERY CHECK THAT INSTRUMENT WOULD HAVE RUN. Where a study has a legitimate reason to publish something unusual, publish it in the shared vocabulary anyway: the alternative is not a study that is checked differently, it is a study that is not checked.</w:t>
      </w:r>
    </w:p>
    <w:p>
      <w:pPr>
        <w:spacing w:after="60"/>
        <w:ind w:left="283"/>
      </w:pPr>
      <w:r>
        <w:rPr>
          <w:b w:val="0"/>
          <w:i w:val="0"/>
          <w:color w:val="5B6570"/>
          <w:sz w:val="19"/>
        </w:rPr>
        <w:t>How we know.  before: 'EMPOWER — no central in the committed numbers', skipped by the valuation-gap gate. After the two-sided block was published in the shared form: '+15.3%, no review' and an immediate failure demanding one, with two of four branches beyond the trigger. Nothing about the valuation changed.</w:t>
      </w:r>
    </w:p>
    <w:p>
      <w:pPr>
        <w:spacing w:after="160"/>
        <w:ind w:left="283"/>
      </w:pPr>
      <w:r>
        <w:rPr>
          <w:b w:val="0"/>
          <w:i w:val="0"/>
          <w:color w:val="5B6570"/>
          <w:sz w:val="19"/>
        </w:rPr>
        <w:t>What would overturn it.  A shared form that genuinely cannot express a study's answer, where publishing in it would misstate the result — there the honest move is to extend the form rather than to file the study as unreadable.</w:t>
      </w:r>
    </w:p>
    <w:p>
      <w:pPr>
        <w:keepNext/>
        <w:spacing w:before="240" w:after="60"/>
      </w:pPr>
      <w:r>
        <w:rPr>
          <w:b/>
          <w:color w:val="1A1D21"/>
          <w:sz w:val="22"/>
        </w:rPr>
        <w:t>L-318  A derivation that works on four names can be economically wrong on the fifth, and a negative answer is where it announces itself</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capital a unit of real growth consumes has been taken across this programme as the marginal invested capital per unit of revenue across the explicit window. On EMPOWER that computes to about MINUS 388: over its five forecast years the plant is written down faster than capex replaces it and the working capital is negative and growing more so. Passed through unexamined it would CREDIT the company for growing — a chilled-water network that adds a customer would be paid for it. The arithmetic is not wrong; the QUANTITY is. A five-year window measures where a company is in its capital cycle, not what another unit of demand costs. The defensible figure is the intensity the business already runs at: one per cent of real growth costs one per cent of the invested capital it operates on. A DERIVATION REUSED ACROSS NAMES IS A HYPOTHESIS ON EACH NEW ONE, and a sign nobody expected is the cheapest signal that it has stopped measuring what it was chosen to measure.</w:t>
      </w:r>
    </w:p>
    <w:p>
      <w:pPr>
        <w:spacing w:after="60"/>
        <w:ind w:left="283"/>
      </w:pPr>
      <w:r>
        <w:rPr>
          <w:b w:val="0"/>
          <w:i w:val="0"/>
          <w:color w:val="5B6570"/>
          <w:sz w:val="19"/>
        </w:rPr>
        <w:t>How we know.  marginal invested capital per unit of revenue at terminal revenue: -387.8 on EMPOWER, against +12,501 on MODON, +11,453 on SAVOLA and +10,430 on DU where the same derivation is sound. Terminal invested capital, the replacement, is 5,526.</w:t>
      </w:r>
    </w:p>
    <w:p>
      <w:pPr>
        <w:spacing w:after="160"/>
        <w:ind w:left="283"/>
      </w:pPr>
      <w:r>
        <w:rPr>
          <w:b w:val="0"/>
          <w:i w:val="0"/>
          <w:color w:val="5B6570"/>
          <w:sz w:val="19"/>
        </w:rPr>
        <w:t>What would overturn it.  A company genuinely able to release capital as it grows — an asset-light business shedding working capital with scale — where a negative requirement is the right answer rather than an artefact of the window.</w:t>
      </w:r>
    </w:p>
    <w:p>
      <w:pPr>
        <w:keepNext/>
        <w:spacing w:before="240" w:after="60"/>
      </w:pPr>
      <w:r>
        <w:rPr>
          <w:b/>
          <w:color w:val="1A1D21"/>
          <w:sz w:val="22"/>
        </w:rPr>
        <w:t>L-319  Where prices are frozen by regulation, a typed nominal growth rate IS a real assumption, and storing it properly changes nothing except what a reader can see</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storage rule has moved answers on every name it has touched, because a typed nominal rate usually hides a real component nobody chose. EMPOWER is the case where it does not. This company's tariff is regulated and NOT indexed, so nominal revenue growth is volume growth, and its typed 2.5% and 1.5% reproduce exactly as +0.49% and -0.49% real on the house inflation path. THE RULE WOULD MOVE NO NUMBER HERE. What it would still do is make visible that the second stage assumes the business shrinks in real terms for ever — which the study describes in the words 'about zero real tariff growth' without ever naming the rate. A RULE THAT CHANGES NO NUMBER IS NOT A RULE THAT DID NOTHING: what it buys on this name is a reader who can see the assumption instead of computing it.</w:t>
      </w:r>
    </w:p>
    <w:p>
      <w:pPr>
        <w:spacing w:after="60"/>
        <w:ind w:left="283"/>
      </w:pPr>
      <w:r>
        <w:rPr>
          <w:b w:val="0"/>
          <w:i w:val="0"/>
          <w:color w:val="5B6570"/>
          <w:sz w:val="19"/>
        </w:rPr>
        <w:t>How we know.  stage one 2.5% nominal on 2.0% house inflation = +0.4902% real; stage two 1.5% = -0.4902% real; both reproduce their nominal to the basis point. Against MODON (+1.6% on the answer), DU (-9.2%) and SAVOLA (+0.7%) where the same storage moved the value.</w:t>
      </w:r>
    </w:p>
    <w:p>
      <w:pPr>
        <w:spacing w:after="160"/>
        <w:ind w:left="283"/>
      </w:pPr>
      <w:r>
        <w:rPr>
          <w:b w:val="0"/>
          <w:i w:val="0"/>
          <w:color w:val="5B6570"/>
          <w:sz w:val="19"/>
        </w:rPr>
        <w:t>What would overturn it.  A regulated tariff that turns out to carry an indexation clause, which would make nominal growth something other than volume growth and put the real component back in doubt.</w:t>
      </w:r>
    </w:p>
    <w:p>
      <w:pPr>
        <w:keepNext/>
        <w:spacing w:before="240" w:after="60"/>
      </w:pPr>
      <w:r>
        <w:rPr>
          <w:b/>
          <w:color w:val="1A1D21"/>
          <w:sz w:val="22"/>
        </w:rPr>
        <w:t>L-320  An obstacle assessed from the SHAPE of a change is not the same as an obstacle measured, and the assessment is the cheaper thing to get wrong</w:t>
      </w:r>
    </w:p>
    <w:p>
      <w:pPr>
        <w:keepNext/>
        <w:spacing w:after="100"/>
      </w:pPr>
      <w:r>
        <w:rPr>
          <w:b/>
          <w:color w:val="1D6FA3"/>
          <w:sz w:val="16"/>
        </w:rPr>
        <w:t>EVERY STUDY</w:t>
      </w:r>
      <w:r>
        <w:rPr>
          <w:color w:val="5B6570"/>
          <w:sz w:val="16"/>
        </w:rPr>
        <w:t xml:space="preserve">   applies to every study   ·   learned from a found while building, EMPOWER re-strike, readability and terminal pass, 4 September 2026</w:t>
      </w:r>
    </w:p>
    <w:p>
      <w:pPr>
        <w:spacing w:after="100"/>
      </w:pPr>
      <w:r>
        <w:rPr>
          <w:b w:val="0"/>
          <w:i w:val="0"/>
          <w:color w:val="1A1D21"/>
          <w:sz w:val="21"/>
        </w:rPr>
        <w:t>EMPOWER's terminal rebuild was built, run and priced in the model in under an hour — about +1.5% on the terminal and +0.5% on the answer — and was then DECLARED BLOCKED by the delivered workbook, which publishes four parallel live models on one sheet, each rebuilding the terminal in live formulas on a fixed row map built from chained range() allocations. The reasoning was that the sanctioned construction needs six more rows per block, and that inserting them moves addresses a dozen formulas on four other sheets name directly, which is the defect that broke five sheets on an earlier name [L-300]. EVERY ONE OF THOSE FACTS WAS TRUE AND THE CONCLUSION WAS WRONG. The full waterfall a reader is asked to follow has to appear ONCE — a parallel re-run owes the reader its RESULT, not a second copy of the derivation — so the four blocks each needed two figures rather than eleven rows, and every one of them already carried two rows the retired construction had left dead. The change was made the same day with no row inserted anywhere and no address moved. WHAT WENT WRONG WAS NOT THE CARE BUT THE ORDER: the cost was estimated from the structure of the builder instead of from the smallest change that would actually satisfy the rule, and an estimate of a construction is not the construction — the same error, in the same fortnight, that made DU's own review predict +5.6% where the built answer came out -2.6%. Where a rebuild looks blocked, the thing to measure is the MINIMUM change the rule demands, and it is almost always smaller than a faithful re-run of what is already there.</w:t>
      </w:r>
    </w:p>
    <w:p>
      <w:pPr>
        <w:spacing w:after="60"/>
        <w:ind w:left="283"/>
      </w:pPr>
      <w:r>
        <w:rPr>
          <w:b w:val="0"/>
          <w:i w:val="0"/>
          <w:color w:val="5B6570"/>
          <w:sz w:val="19"/>
        </w:rPr>
        <w:t>How we know.  compute.py routed through the sanctioned module: terminal 24,650 -&gt; 25,030 (+1.5%), central 1.8388 -&gt; 1.8523 (+0.7%), asset life 28.0984 years derived from the FY2025 property, plant and equipment note. build_xlsx_empower.py: the waterfall built once at DCF rows 92-111 in columns C and G; the crux, 15%, bear and upside blocks each re-run through _sanctioned_fcff() into two rows the retired construction had vacated. Row map S_PVEX..S_PS = range(40,51) unchanged, xlsx_expected.json re-asserted, recalc and driver_test clean. The superseded assessment is kept, marked as superseded, in engine/empower_study/TERMINAL_EVIDENCE_04-09-2026.md.</w:t>
      </w:r>
    </w:p>
    <w:p>
      <w:pPr>
        <w:spacing w:after="160"/>
        <w:ind w:left="283"/>
      </w:pPr>
      <w:r>
        <w:rPr>
          <w:b w:val="0"/>
          <w:i w:val="0"/>
          <w:color w:val="5B6570"/>
          <w:sz w:val="19"/>
        </w:rPr>
        <w:t>What would overturn it.  A rebuild where the minimum change genuinely does require the rows — a builder whose parallel blocks are themselves what a reader is asked to follow, so the derivation cannot be shown once and referenced.</w:t>
      </w:r>
    </w:p>
    <w:p>
      <w:pPr>
        <w:keepNext/>
        <w:spacing w:before="240" w:after="60"/>
      </w:pPr>
      <w:r>
        <w:rPr>
          <w:b/>
          <w:color w:val="1A1D21"/>
          <w:sz w:val="22"/>
        </w:rPr>
        <w:t>L-321  A review that declares a correction impossible is making a claim, and it gets measured like every other claim</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RIYADHCABLE's own gap review, written that morning, examined the terminal, found it on the retired reinvestment identity, and concluded that the correction could not be made honestly. It gave two reasons, argued carefully, both TRUE, and NEITHER CONCLUSION FOLLOWED. First, that the asset life could not be derived: the identity returns 61.9 years for a plant line the company depreciates over 20 to 30, so 'the derivation is not usable on this issuer'. The observation is exact and the inference is wrong — the identity does not return the ACCOUNTING life and is not trying to; it returns the ECONOMIC replacement cycle, and it runs longer for a reason disclosed in the same note, that SAR 841.7mn of cost, 29% of the depreciable base, is fully depreciated AND STILL IN USE. Second, that the growth correction was coupled to the construction one, because zeroing the terminal real growth would leave the last explicit year growing 6.2% against a 2.0% terminal. True of ZEROING it — and the rule requires a stated real growth to be WRITTEN DOWN, not zeroed, so storing the existing 4% nominal as +1.96% real reproduces it to the basis point and moves nothing. Both corrections shipped the same day, worth +2.0%. THE PATTERN IS THE SECOND ONE IN A SINGLE DAY [L-320] AND IT IS THE MORE DANGEROUS OF THE TWO SHAPES: a 'registered, priced, deliberately not applied' finding reads as the method at its most disciplined — it names the defect, prices it, and declines to fit — which is exactly why nobody re-opens it.</w:t>
      </w:r>
    </w:p>
    <w:p>
      <w:pPr>
        <w:spacing w:after="60"/>
        <w:ind w:left="283"/>
      </w:pPr>
      <w:r>
        <w:rPr>
          <w:b w:val="0"/>
          <w:i w:val="0"/>
          <w:color w:val="5B6570"/>
          <w:sz w:val="19"/>
        </w:rPr>
        <w:t>How we know.  The prior GAP_REVIEW_04-09-2026.md priced the correction at -16.2% and did not apply it; the built correction came out +1.97%, opposite in sign and a fifth of the size, because it had been priced as 'zero the growth' rather than as 'store the growth and rebuild the terminal'. Central 127.9054 -&gt; 130.4249. The derivation validates on the one leg this issuer discloses a single life for: software at 14.43 years derived against a stated 15, 3.8% apart.</w:t>
      </w:r>
    </w:p>
    <w:p>
      <w:pPr>
        <w:spacing w:after="160"/>
        <w:ind w:left="283"/>
      </w:pPr>
      <w:r>
        <w:rPr>
          <w:b w:val="0"/>
          <w:i w:val="0"/>
          <w:color w:val="5B6570"/>
          <w:sz w:val="19"/>
        </w:rPr>
        <w:t>What would overturn it.  A review that declines a correction, is re-tested, and turns out to have been right — which would make the discipline of re-testing cheap rather than necessary.</w:t>
      </w:r>
    </w:p>
    <w:p>
      <w:pPr>
        <w:keepNext/>
        <w:spacing w:before="240" w:after="60"/>
      </w:pPr>
      <w:r>
        <w:rPr>
          <w:b/>
          <w:color w:val="1A1D21"/>
          <w:sz w:val="22"/>
        </w:rPr>
        <w:t>L-322  Gross cost over the year's charge returns the ECONOMIC replacement cycle, not the accounting life, and the gap between them is itself disclosed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identity used to derive a weighted asset life keeps coming out LONGER than the lives the accounting-policies note discloses, and that has twice been read as the identity failing. It is not: under a stable base, assets older than their accounting life are still in the gross cost and charge nothing, so the ratio recovers the life over which the base actually turns over. That is the quantity a maintenance charge needs — how much must be spent each year to keep the plant intact — and using the accounting life instead would charge for replacing plant that is demonstrably still running. THE COMPANIES SAY SO THEMSELVES: the disclosure 'assets with a cost of X, fully depreciated but still in use' is the direct evidence, and it is a standard note. Two independent cross-checks make the derivation auditable rather than merely arguable: run the identity on a leg where a SINGLE life is disclosed and see whether it reproduces it, and compare the prior year's columns. Where a company discloses only RANGES, the identity is not a way around the disclosure — it is the weighting the disclosure does not give, and it is labelled derived.</w:t>
      </w:r>
    </w:p>
    <w:p>
      <w:pPr>
        <w:spacing w:after="60"/>
        <w:ind w:left="283"/>
      </w:pPr>
      <w:r>
        <w:rPr>
          <w:b w:val="0"/>
          <w:i w:val="0"/>
          <w:color w:val="5B6570"/>
          <w:sz w:val="19"/>
        </w:rPr>
        <w:t>How we know.  Note 9 gross cost less land and assets under construction 2,903,588,021 over a charge of 76,616,111 = 37.90 years, against disclosed ranges of 20-30 for plant; note 9 also discloses SAR 841.7mn of cost, 29.0% of the depreciable base, fully depreciated and still in use. Software: 80,879,539 over 5,603,548 = 14.43 years against a DISCLOSED 15. Blended across notes 9, 10 and 13: 35.7565 years, the three charges summing to 85,395,637, which is exactly the depreciation and amortisation the model carries.</w:t>
      </w:r>
    </w:p>
    <w:p>
      <w:pPr>
        <w:spacing w:after="160"/>
        <w:ind w:left="283"/>
      </w:pPr>
      <w:r>
        <w:rPr>
          <w:b w:val="0"/>
          <w:i w:val="0"/>
          <w:color w:val="5B6570"/>
          <w:sz w:val="19"/>
        </w:rPr>
        <w:t>What would overturn it.  A company with no fully-depreciated-still-in-use disclosure and a young base, where the identity should return something at or below the disclosed life and a longer answer would mean the reasoning here is wrong.</w:t>
      </w:r>
    </w:p>
    <w:p>
      <w:pPr>
        <w:keepNext/>
        <w:spacing w:before="240" w:after="60"/>
      </w:pPr>
      <w:r>
        <w:rPr>
          <w:b/>
          <w:color w:val="1A1D21"/>
          <w:sz w:val="22"/>
        </w:rPr>
        <w:t>L-323  Under the sanctioned terminal, book depreciation stops being only an add-back and becomes the BASE of the replacement charge, so its sign in the model reverses</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Every DCF in this house has treated depreciation as a non-cash add-back: more of it raises free cash flow, and the driver test asserted that direction. Under the sanctioned terminal on a book-depreciation-escalated maintenance basis that is no longer the whole story — a unit more of book depreciation adds a unit to terminal cash flow AND charges (1+inflation)^(life/2) units of maintenance at current cost, which on a long-lived base is more than one. Where the terminal carries most of the value the net is NEGATIVE: a business that depreciates its plant harder is one whose plant costs more to keep intact, which is the correct reading and one the retired construction could not express at all, because its terminal ignored depreciation entirely. THE DRIVER TEST IS WHERE THIS SURFACES, and the discipline is to re-derive the expected sign rather than to flip it: an assertion whose direction was re-pointed without a reason recorded is an assertion that has been switched off.</w:t>
      </w:r>
    </w:p>
    <w:p>
      <w:pPr>
        <w:spacing w:after="60"/>
        <w:ind w:left="283"/>
      </w:pPr>
      <w:r>
        <w:rPr>
          <w:b w:val="0"/>
          <w:i w:val="0"/>
          <w:color w:val="5B6570"/>
          <w:sz w:val="19"/>
        </w:rPr>
        <w:t>How we know.  Depreciation and amortisation over revenue +0.5pp moved the cash-flow lens -0.47 SAR/share where it previously raised it; the maintenance escalator is 1.4248 on a derived 35.76-year life and the terminal is 81.4% of enterprise value. The same pass re-derived the asset-life driver's sign for the same reason: the life enters as the AGE of the base, not as a divisor, so lengthening it while holding the charge fixed says the plant is older and costs more to replace.</w:t>
      </w:r>
    </w:p>
    <w:p>
      <w:pPr>
        <w:spacing w:after="160"/>
        <w:ind w:left="283"/>
      </w:pPr>
      <w:r>
        <w:rPr>
          <w:b w:val="0"/>
          <w:i w:val="0"/>
          <w:color w:val="5B6570"/>
          <w:sz w:val="19"/>
        </w:rPr>
        <w:t>What would overturn it.  A maintenance basis of replacement cost divided by the life, where the life IS a divisor and both signs run the other way — which is why the basis a study adopts is recorded rather than assumed.</w:t>
      </w:r>
    </w:p>
    <w:p>
      <w:pPr>
        <w:keepNext/>
        <w:spacing w:before="240" w:after="60"/>
      </w:pPr>
      <w:r>
        <w:rPr>
          <w:b/>
          <w:color w:val="1A1D21"/>
          <w:sz w:val="22"/>
        </w:rPr>
        <w:t>L-324  Where a base is older than half its own life, the sanctioned maintenance charge is the LIGHTER of two defensible readings, and the direction is disclosed rather than corrected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construction escalates book depreciation over HALF the useful life, as a proxy for the age of the average asset. That proxy is exact only on a base with uniform vintages, and the actual age is measurable from the same note: accumulated depreciation over the year's charge. Where the two disagree the disagreement is information about which way the terminal errs, and it is not symmetric across the book — on one name the base came out YOUNGER than uniform, making the sanctioned charge the conservative one, and on the next it came out OLDER, making it the generous one. NEITHER IS FIXED INSIDE THE STUDY: replacing the shared construction's own proxy one name at a time is a rule change made in the wrong place, and a study that quietly used a different escalator would be outside the sanctioned construction while appearing to be inside it. What a study owes is the MEASUREMENT and the PRICE of the alternative, so a reader can see that the conservatism is a property of the construction rather than a choice anyone made.</w:t>
      </w:r>
    </w:p>
    <w:p>
      <w:pPr>
        <w:spacing w:after="60"/>
        <w:ind w:left="283"/>
      </w:pPr>
      <w:r>
        <w:rPr>
          <w:b w:val="0"/>
          <w:i w:val="0"/>
          <w:color w:val="5B6570"/>
          <w:sz w:val="19"/>
        </w:rPr>
        <w:t>How we know.  Accumulated depreciation 1,775,547,325 over a charge of 76,616,111 = 23.17 years of average age, against the 17.88 that half a 35.76-year life implies — the base is 5.30 years older than uniform, which is the same fact as the fully-depreciated-and-still-in-use disclosure seen from the other side. On the measured age the escalator is 1.5824 rather than 1.4248, maintenance +11.0%, and the answer falls 1.33% to 128.69. Recorded in the gap review, not applied.</w:t>
      </w:r>
    </w:p>
    <w:p>
      <w:pPr>
        <w:spacing w:after="160"/>
        <w:ind w:left="283"/>
      </w:pPr>
      <w:r>
        <w:rPr>
          <w:b w:val="0"/>
          <w:i w:val="0"/>
          <w:color w:val="5B6570"/>
          <w:sz w:val="19"/>
        </w:rPr>
        <w:t>What would overturn it.  A measurement showing the half-life proxy is unbiased across a book of names rather than name-specific, which would make the disclosure unnecessary — or enough names running one way to justify amending the shared construction, which is the honest route to changing it.</w:t>
      </w:r>
    </w:p>
    <w:p>
      <w:pPr>
        <w:keepNext/>
        <w:spacing w:before="240" w:after="60"/>
      </w:pPr>
      <w:r>
        <w:rPr>
          <w:b/>
          <w:color w:val="1A1D21"/>
          <w:sz w:val="22"/>
        </w:rPr>
        <w:t>L-325  The row map existed and three checks in the same study read past it — a published address is only worth what reads it</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A workbook builder here already wrote the rows it had put the headline figures on into its own expected-values file. Three checks in the same directory — the recalculation gate, the driver test and the QC gate — each hard-coded those addresses instead, and all three silently pointed at the wrong rows the moment the terminal gained a waterfall. The recalculation gate reported an enterprise value of -88 and a terminal share of 1,313.75, which is loud; the DRIVER TEST reported a base of -62.74 and then declared FOURTEEN drivers dead, which reads exactly like a broken model rather than a broken address; and the QC GATE printed a PASS with a cell reference that no longer meant anything, which is the dangerous one. THE LESSON IS NOT 'publish the row map' — it WAS published, in the same directory, by the same build. It is that publishing an address does nothing until something reads it, and that the check most likely to keep hard-coding is the one that only PRINTS, because nothing it says has to reconcile with anything.</w:t>
      </w:r>
    </w:p>
    <w:p>
      <w:pPr>
        <w:spacing w:after="60"/>
        <w:ind w:left="283"/>
      </w:pPr>
      <w:r>
        <w:rPr>
          <w:b w:val="0"/>
          <w:i w:val="0"/>
          <w:color w:val="5B6570"/>
          <w:sz w:val="19"/>
        </w:rPr>
        <w:t>How we know.  xlsx_expected.json already carried anchors for ev, tv_share and dcf_ps; recalc.py named DCF!C41/C42/C51, driver_test.py named DCF!C51 and qc_gate.py named DCF!C42, all three beside it. The same QC gate typed '555 of 555 formula cells' against an actual 551 and '18 drivers' against 20, and named SWDY as the pattern this study follows three weeks after SWDY was removed from the reference set outright. All repointed to read what the build publishes, and the gate now asserts the reference set no longer contains the name it was quoting.</w:t>
      </w:r>
    </w:p>
    <w:p>
      <w:pPr>
        <w:spacing w:after="160"/>
        <w:ind w:left="283"/>
      </w:pPr>
      <w:r>
        <w:rPr>
          <w:b w:val="0"/>
          <w:i w:val="0"/>
          <w:color w:val="5B6570"/>
          <w:sz w:val="19"/>
        </w:rPr>
        <w:t>What would overturn it.  A study whose builder does NOT publish a row map, where the honest fix is to make it publish one rather than to read a map that is not there.</w:t>
      </w:r>
    </w:p>
    <w:p>
      <w:pPr>
        <w:keepNext/>
        <w:spacing w:before="240" w:after="60"/>
      </w:pPr>
      <w:r>
        <w:rPr>
          <w:b/>
          <w:color w:val="1A1D21"/>
          <w:sz w:val="22"/>
        </w:rPr>
        <w:t>L-326  Half the useful life is an ASSUMPTION about the age of an asset base, and where the accounts give the age it should be read rather than assumed</w:t>
      </w:r>
    </w:p>
    <w:p>
      <w:pPr>
        <w:keepNext/>
        <w:spacing w:after="100"/>
      </w:pPr>
      <w:r>
        <w:rPr>
          <w:b/>
          <w:color w:val="1D6FA3"/>
          <w:sz w:val="16"/>
        </w:rPr>
        <w:t>EVERY STUDY</w:t>
      </w:r>
      <w:r>
        <w:rPr>
          <w:color w:val="5B6570"/>
          <w:sz w:val="16"/>
        </w:rPr>
        <w:t xml:space="preserve">   applies to every study   ·   learned from a found while building, EGCH terminal evidence and the terminal_value re-pointing, 4 September 2026</w:t>
      </w:r>
    </w:p>
    <w:p>
      <w:pPr>
        <w:spacing w:after="100"/>
      </w:pPr>
      <w:r>
        <w:rPr>
          <w:b w:val="0"/>
          <w:i w:val="0"/>
          <w:color w:val="1A1D21"/>
          <w:sz w:val="21"/>
        </w:rPr>
        <w:t>The sanctioned terminal charges capital maintenance as book depreciation escalated to current cost over HALF the useful life. That is the right identity under UNIFORM VINTAGES — book depreciation sits on historical cost, replacement costs (1+inflation)^age more, and on a base in steady state the average asset is half its life old. On a base that is not in steady state the proxy is simply wrong, AND THE ERROR SCALES WITH INFLATION, so it is nearly invisible in a pegged market and severe in a high-inflation one. The age is an IDENTITY the accounts already give: accumulated depreciation over the year's own charge is, under straight-line, exactly the charge-weighted average age — not an estimate, and slightly OVERSTATED where assets sit fully depreciated and still in use, which errs toward charging more. THE DIRECTION IS NOT UNIVERSAL, which is the whole reason it had to be measured rather than corrected: of three bases measured, one came out younger than uniform, one older, and one far younger. A single-signed correction applied to a book that splits both ways makes half of it worse.</w:t>
      </w:r>
    </w:p>
    <w:p>
      <w:pPr>
        <w:spacing w:after="60"/>
        <w:ind w:left="283"/>
      </w:pPr>
      <w:r>
        <w:rPr>
          <w:b w:val="0"/>
          <w:i w:val="0"/>
          <w:color w:val="5B6570"/>
          <w:sz w:val="19"/>
        </w:rPr>
        <w:t>How we know.  EGCH: depreciable gross cost EGP 17,020,830,289 over a charge of 771,213,489 implies a 22.07-year life, while accumulated depreciation of 3,435,299,807 over the same charge puts the average age at 4.45 YEARS against the 11.04 half the life assumes, with only 1.3% of the base fully depreciated. At Egypt's 7% terminal the escalators are 1.352 and 2.110 — the proxy over-charges by 56%, charges 144% of terminal profit and drives the equity negative on a company that has just built a new plant. RIYADHCABLE measures 23.17 against 17.88 (older); EMPOWER 10.11 against 14.05 (younger). engine/terminal_value.py now takes a MEASURED age where it is supplied and sourced, and the record says which of the two it used.</w:t>
      </w:r>
    </w:p>
    <w:p>
      <w:pPr>
        <w:spacing w:after="160"/>
        <w:ind w:left="283"/>
      </w:pPr>
      <w:r>
        <w:rPr>
          <w:b w:val="0"/>
          <w:i w:val="0"/>
          <w:color w:val="5B6570"/>
          <w:sz w:val="19"/>
        </w:rPr>
        <w:t>What would overturn it.  A measurement across enough names showing the half-life proxy is unbiased in aggregate — which would make the measured age a refinement rather than a correction, though it would still be the better number on any single name.</w:t>
      </w:r>
    </w:p>
    <w:p>
      <w:pPr>
        <w:keepNext/>
        <w:spacing w:before="240" w:after="60"/>
      </w:pPr>
      <w:r>
        <w:rPr>
          <w:b/>
          <w:color w:val="1A1D21"/>
          <w:sz w:val="22"/>
        </w:rPr>
        <w:t>L-327  A module that refuses at build time is never seen by any gate, so its refusals need their own negative control</w:t>
      </w:r>
    </w:p>
    <w:p>
      <w:pPr>
        <w:keepNext/>
        <w:spacing w:after="100"/>
      </w:pPr>
      <w:r>
        <w:rPr>
          <w:b/>
          <w:color w:val="1D6FA3"/>
          <w:sz w:val="16"/>
        </w:rPr>
        <w:t>EVERY STUDY</w:t>
      </w:r>
      <w:r>
        <w:rPr>
          <w:color w:val="5B6570"/>
          <w:sz w:val="16"/>
        </w:rPr>
        <w:t xml:space="preserve">   applies to every study   ·   learned from a found while building, engine/terminal_value.py re-pointing, 4 September 2026</w:t>
      </w:r>
    </w:p>
    <w:p>
      <w:pPr>
        <w:spacing w:after="100"/>
      </w:pPr>
      <w:r>
        <w:rPr>
          <w:b w:val="0"/>
          <w:i w:val="0"/>
          <w:color w:val="1A1D21"/>
          <w:sz w:val="21"/>
        </w:rPr>
        <w:t>Every ratcheted gate in this repository is negative-controlled, and the reasoning is standing: a check nobody has watched fail is not evidence. The shared terminal construction enforces itself differently — it RAISES, inside a study, before a number is committed — so the study it stops never reaches a gate and the gate's own negative control, which plants mutations in study directories, cannot reach it either. Nine refusal conditions had therefore never been watched to fire. The same argument applies to any shared module whose contract is enforced by an exception rather than by a build failure, and the clean cases matter as much as the refusals, because a module that refused everything would pass a control that only tested refusals.</w:t>
      </w:r>
    </w:p>
    <w:p>
      <w:pPr>
        <w:spacing w:after="60"/>
        <w:ind w:left="283"/>
      </w:pPr>
      <w:r>
        <w:rPr>
          <w:b w:val="0"/>
          <w:i w:val="0"/>
          <w:color w:val="5B6570"/>
          <w:sz w:val="19"/>
        </w:rPr>
        <w:t>How we know.  scripts/check_terminal_module_negative_control.py: 12 refusal conditions and 6 clean cases, plus an assertion that the half-of-life fallback still reproduces the pre-amendment charge exactly, so the re-pointing moves no committed answer. ITS OWN FIRST RUN CAUGHT A CASE WHOSE MUTATION DID NOT LAND: 'a terminal distributing more than it earns' was written as a huge book charge on a one-year life, and on that basis maintenance is the charge ESCALATED, so free cash flow can never rise above profit — the condition is only reachable where maintenance is supplied directly and is small against the add-back.</w:t>
      </w:r>
    </w:p>
    <w:p>
      <w:pPr>
        <w:spacing w:after="160"/>
        <w:ind w:left="283"/>
      </w:pPr>
      <w:r>
        <w:rPr>
          <w:b w:val="0"/>
          <w:i w:val="0"/>
          <w:color w:val="5B6570"/>
          <w:sz w:val="19"/>
        </w:rPr>
        <w:t>What would overturn it.  A shared module whose every refusal is already reachable from a gate's own sandbox, where a separate control would be duplication rather than coverage.</w:t>
      </w:r>
    </w:p>
    <w:p>
      <w:pPr>
        <w:keepNext/>
        <w:spacing w:before="240" w:after="60"/>
      </w:pPr>
      <w:r>
        <w:rPr>
          <w:b/>
          <w:color w:val="1A1D21"/>
          <w:sz w:val="22"/>
        </w:rPr>
        <w:t>L-328  Accumulated depreciation over the charge is the average age only where the charge is cost over life, and two DISCLOSED conditions break that</w:t>
      </w:r>
    </w:p>
    <w:p>
      <w:pPr>
        <w:keepNext/>
        <w:spacing w:after="100"/>
      </w:pPr>
      <w:r>
        <w:rPr>
          <w:b/>
          <w:color w:val="1D6FA3"/>
          <w:sz w:val="16"/>
        </w:rPr>
        <w:t>EVERY STUDY</w:t>
      </w:r>
      <w:r>
        <w:rPr>
          <w:color w:val="5B6570"/>
          <w:sz w:val="16"/>
        </w:rPr>
        <w:t xml:space="preserve">   applies to every study   ·   learned from a found while building, AIRARABIA, the third name the measured age was tried on, 4 September 2026</w:t>
      </w:r>
    </w:p>
    <w:p>
      <w:pPr>
        <w:spacing w:after="100"/>
      </w:pPr>
      <w:r>
        <w:rPr>
          <w:b w:val="0"/>
          <w:i w:val="0"/>
          <w:color w:val="1A1D21"/>
          <w:sz w:val="21"/>
        </w:rPr>
        <w:t>The identity holds because accumulated equals age times charge, which needs the annual charge to be cost divided by life AND the accumulated column to be this group's own depreciation history. THREE DISCLOSED CONDITIONS BREAK THAT. Where assets are depreciated to a RESIDUAL VALUE the charge is (cost less residual) over life, so the same accumulated balance buys more years and the ratio OVERSTATES the age. Where a useful life has been REASSESSED mid-life the charge is not level and the identity is broken outright rather than merely biased. And where the base was ASSEMBLED BY BUSINESS COMBINATION the accumulated column carries an acquiree's history against a charge that only ever reflects the period since acquisition, and the ratio is not a number about anything. All three are disclosed, so all three are checkable before the number is used. AND THE DISAGREEMENT ANNOUNCES ITSELF BEFORE THE NOTE DOES: compare the identity's implied life — depreciable gross cost over the charge — with the life the disclosed class rates weight to, and a large gap IS the accounts saying the charge is not cost over life. THE CHECK IS CIRCULAR WHERE A STUDY DERIVED ITS LIFE BY THE SAME IDENTITY, which is most of them, and saying so is part of running it — what does the work there is separate evidence that the charge is cost over life: a policy note writing off cost with no residual mentioned, a leg whose single disclosed life the identity reproduces, an implied life inside the disclosed range rather than outside it. AND THE ARITHMETIC IS NOT THE TEST, WHICH TOOK TWO MORE NAMES TO LEARN: SAVOLA's cross-check passes at 0.0% — it derived its life by the same identity — while its policy note says outright that the depreciable amount is cost LESS ITS RESIDUAL VALUE, and EMPOWER's age was APPLIED for part of a day before its own note was read and said the same thing. FIVE OF THE SEVEN NAMES TRIED FAIL THIS CONDITION and two pass, so a measured age is the exception rather than the rule — and residual-value depreciation is the ORDINARY IFRS presentation, which is why. The two added 5 September 2026 could hardly be less alike and fail identically: ADNOCLS, an ocean fleet whose scrap steel is a real residual and whose salvage value is reassessed every year; and ADNOCDIST, a fuel-retail network whose residual is a piece of accounting policy and which QUANTIFIED its own break — a life revision on assets carrying AED 5.35bn that cut the year's charge by AED 90.9mn, 15.3% of it, applied prospectively, so the charge is not the one that produced the accumulated balance above it and the same column gives 10.47 years on the old basis against 12.07 on the new. THAT NAME IS ALSO THE WARNING AGAINST TRUSTING THE ARITHMETIC: its naive age sits within three per cent of half its implied life in both years, the textbook signature of a base in steady state, and the agreement is worth nothing because both figures rest on the same broken charge. Read the note first; the arithmetic corroborates and only sometimes. And a safe error direction is not a reason to keep a number the accounts say is not measuring what it claims — EMPOWER's overstated age overstated maintenance and understated the value, and it was withdrawn anyway.</w:t>
      </w:r>
    </w:p>
    <w:p>
      <w:pPr>
        <w:spacing w:after="60"/>
        <w:ind w:left="283"/>
      </w:pPr>
      <w:r>
        <w:rPr>
          <w:b w:val="0"/>
          <w:i w:val="0"/>
          <w:color w:val="5B6570"/>
          <w:sz w:val="19"/>
        </w:rPr>
        <w:t>How we know.  AIRARABIA's identity-implied life came to 26.42 years against the 17.84 its own disclosed class lives weight to — 48% apart, which no rounding explains. Its policy note then says both things outright: depreciation writes off cost 'less their estimated residual values', and the group 'changed the estimated useful life applied to certain assets' during the year. The measured age of 14.32 years is therefore not that fleet's age, and applying it would have moved the study -9.7% on a terminal carrying 95% of enterprise value. Built, run, and NOT APPLIED. The three names that do carry the measured age all reproduce their adopted life to 0.0%, and that agreement proves nothing because they derived it the same way. MODON is the third condition and it is not close: AED 6,643,801 thousand of accumulated depreciation arrived through a 2024 business combination against that year's entire charge of 193,207 — THIRTY-FOUR TIMES IT — and the two acquisitions are 97% of the closing column. Its naive age reads 15.45 years against 0.46 net of the acquired history. The arithmetic cross-check DOES catch that one, at about -34%, as it catches AIRARABIA at +48%: it works where the adopted and implied lives came from different routes and fails where they did not.</w:t>
      </w:r>
    </w:p>
    <w:p>
      <w:pPr>
        <w:spacing w:after="160"/>
        <w:ind w:left="283"/>
      </w:pPr>
      <w:r>
        <w:rPr>
          <w:b w:val="0"/>
          <w:i w:val="0"/>
          <w:color w:val="5B6570"/>
          <w:sz w:val="19"/>
        </w:rPr>
        <w:t>What would overturn it.  A residual small enough to be immaterial, or a reassessment old enough that the base has turned over since — in which case the identity is usable again, though the POLICY NOTE and not the cross-check is what would say so.</w:t>
      </w:r>
    </w:p>
    <w:p>
      <w:pPr>
        <w:keepNext/>
        <w:spacing w:before="240" w:after="60"/>
      </w:pPr>
      <w:r>
        <w:rPr>
          <w:b/>
          <w:color w:val="1A1D21"/>
          <w:sz w:val="22"/>
        </w:rPr>
        <w:t>L-329  A SHARED MODULE'S CONVENTION ABOUT WHICH YEAR ITS INPUTS BELONG TO IS INVISIBLE AT THE CALL SITE, AND SIX OF EIGHT CALLERS GOT IT WRONG</w:t>
      </w:r>
    </w:p>
    <w:p>
      <w:pPr>
        <w:keepNext/>
        <w:spacing w:after="100"/>
      </w:pPr>
      <w:r>
        <w:rPr>
          <w:b/>
          <w:color w:val="1D6FA3"/>
          <w:sz w:val="16"/>
        </w:rPr>
        <w:t>EVERY STUDY</w:t>
      </w:r>
      <w:r>
        <w:rPr>
          <w:color w:val="5B6570"/>
          <w:sz w:val="16"/>
        </w:rPr>
        <w:t xml:space="preserve">   applies to every study   ·   learned from a found while building, The whole terminal rebuild programme, 4-5 September 2026</w:t>
      </w:r>
    </w:p>
    <w:p>
      <w:pPr>
        <w:spacing w:after="100"/>
      </w:pPr>
      <w:r>
        <w:rPr>
          <w:b w:val="0"/>
          <w:i w:val="0"/>
          <w:color w:val="1A1D21"/>
          <w:sz w:val="21"/>
        </w:rPr>
        <w:t>terminal_value.build() computes tv = fcff x (1+g) / (w - g), so the first perpetuity year sits in the NUMERATOR and the terminal is valued at the END of the last explicit year — which is where every caller discounts it. Its inputs must therefore be the LAST EXPLICIT YEAR's profit, book depreciation and working capital. Six of the eight studies using it handed over the year AFTER, already grown, and the module grew them again: every one of those terminals was overstated by exactly (1+g), from 2.0% in the pegged markets to 7.0% in Egypt. NOTHING COULD SEE IT. The module cannot — a number is a number and no signature distinguishes this year's profit from next year's. The recalculation gates cannot — the workbook reproduced the model to the cell, because the workbook was built from the same wrong inputs. The prose-figure gate cannot — every figure was computed. The terminal floor gate cannot — a terminal that is 7% too big still clears a floor that is 7% too big. WHAT FOUND IT WAS A COMMENT: one study's own code recorded that three independent critiques had found the identical defect in its hand-rolled terminal, and reading that comment is what prompted asking the same question of the shared module. THE RULE: where a function takes a QUANTITY THAT CARRIES A DATE, the date is part of the contract and belongs in the field name, the docstring and the field comment — not in the author's head. And a module whose arithmetic already applies the growth must SAY SO where the caller looks, because the caller is reading its own model, not the module's.</w:t>
      </w:r>
    </w:p>
    <w:p>
      <w:pPr>
        <w:spacing w:after="60"/>
        <w:ind w:left="283"/>
      </w:pPr>
      <w:r>
        <w:rPr>
          <w:b w:val="0"/>
          <w:i w:val="0"/>
          <w:color w:val="5B6570"/>
          <w:sz w:val="19"/>
        </w:rPr>
        <w:t>How we know.  Six of eight callers — RIYADHCABLE, SAVOLA, AIRARABIA, EMPOWER, DU, MODON — plus the unspent EGCH pricing. Every correction was DOWNWARD and every one was the same size: exactly (1+g) off the terminal, which on MODON took the central from 3.9119 to 3.8583 and on EGCH's unshipped pricing took the terminal from 25,524 to 23,854. Two of the eight were right, and both were right because their authors had been forced to think about the year explicitly for another reason. On MODON the defect survived a first pass: the base call site was corrected and the SENSITIVITY engine was not, so the grid was centred on a point the study does not publish, and the only thing that caught it was that study's own assertion that the grid must reproduce the base at the unshifted point.</w:t>
      </w:r>
    </w:p>
    <w:p>
      <w:pPr>
        <w:spacing w:after="160"/>
        <w:ind w:left="283"/>
      </w:pPr>
      <w:r>
        <w:rPr>
          <w:b w:val="0"/>
          <w:i w:val="0"/>
          <w:color w:val="5B6570"/>
          <w:sz w:val="19"/>
        </w:rPr>
        <w:t>What would overturn it.  A caller that legitimately strikes its terminal one year later and discounts it at that later factor — the convention is a pair, and only mixing the halves is wrong.</w:t>
      </w:r>
    </w:p>
    <w:p>
      <w:pPr>
        <w:keepNext/>
        <w:spacing w:before="240" w:after="60"/>
      </w:pPr>
      <w:r>
        <w:rPr>
          <w:b/>
          <w:color w:val="1A1D21"/>
          <w:sz w:val="22"/>
        </w:rPr>
        <w:t>L-330  A DEFECT CAN MANUFACTURE AGREEMENT AS EASILY AS DISAGREEMENT, AND AGREEMENT IS THE ONE NOBODY RE-CHECKS</w:t>
      </w:r>
    </w:p>
    <w:p>
      <w:pPr>
        <w:keepNext/>
        <w:spacing w:after="100"/>
      </w:pPr>
      <w:r>
        <w:rPr>
          <w:b/>
          <w:color w:val="1D6FA3"/>
          <w:sz w:val="16"/>
        </w:rPr>
        <w:t>EVERY STUDY</w:t>
      </w:r>
      <w:r>
        <w:rPr>
          <w:color w:val="5B6570"/>
          <w:sz w:val="16"/>
        </w:rPr>
        <w:t xml:space="preserve">   applies to every study   ·   learned from a found while building, EGCH's terminal evidence, restated 5 September 2026</w:t>
      </w:r>
    </w:p>
    <w:p>
      <w:pPr>
        <w:spacing w:after="100"/>
      </w:pPr>
      <w:r>
        <w:rPr>
          <w:b w:val="0"/>
          <w:i w:val="0"/>
          <w:color w:val="1A1D21"/>
          <w:sz w:val="21"/>
        </w:rPr>
        <w:t>Two independent routes landing on the same answer is the strongest corroboration this method has, and it is treated as such — which is exactly why it needs auditing at least as hard as a surprise does. A disagreement provokes investigation by itself; an agreement closes the question. So an error that happens to move one of the two numbers ONTO the other is not merely undetected, it is actively protected, and it gets written up as evidence. THE PRACTICAL FORM: when two routes agree closely, ask what would have to be true for them to agree, and check that it is — a shared input, a shared convention, or a coincidence in the size of the errors. Where they agree BECAUSE they share the thing under test, the agreement is a tautology wearing a corroboration's clothes.</w:t>
      </w:r>
    </w:p>
    <w:p>
      <w:pPr>
        <w:spacing w:after="60"/>
        <w:ind w:left="283"/>
      </w:pPr>
      <w:r>
        <w:rPr>
          <w:b w:val="0"/>
          <w:i w:val="0"/>
          <w:color w:val="5B6570"/>
          <w:sz w:val="19"/>
        </w:rPr>
        <w:t>How we know.  The evidence file reported the sanctioned terminal construction landing at 3.2905 against the study's own separately-priced alternative of 3.2396 — 1.6% apart, built months apart by different routes — and called it 'the strongest corroboration available and it was not looked for'. It was an artefact: the sanctioned figure carried the (1+g) growth-basis defect of L-329, and correcting it moved that number to 2.9877 while the study's own alternative, built inside the study's own correct convention, did not move at all. The two now differ by 8.4%. The corroboration survives in direction and not in force, and the reason it looked remarkable was an error running one way by 7%.</w:t>
      </w:r>
    </w:p>
    <w:p>
      <w:pPr>
        <w:spacing w:after="160"/>
        <w:ind w:left="283"/>
      </w:pPr>
      <w:r>
        <w:rPr>
          <w:b w:val="0"/>
          <w:i w:val="0"/>
          <w:color w:val="5B6570"/>
          <w:sz w:val="19"/>
        </w:rPr>
        <w:t>What would overturn it.  An agreement that holds after every shared input and shared convention between the two routes has been named and varied — which is the test that should have been run in the first place.</w:t>
      </w:r>
    </w:p>
    <w:p>
      <w:pPr>
        <w:keepNext/>
        <w:spacing w:before="240" w:after="60"/>
      </w:pPr>
      <w:r>
        <w:rPr>
          <w:b/>
          <w:color w:val="1A1D21"/>
          <w:sz w:val="22"/>
        </w:rPr>
        <w:t>L-331  A CORRECTION THAT MAKES A QUANTITY LOAD-BEARING MAKES EVERY ERROR IN THAT QUANTITY VISIBLE</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Under the retired terminal, book depreciation entered only through profit: overstate it and the value falls a little. Under the sanctioned one it is added back AND is the base of the replacement charge, so an overstated figure takes value out twice and the second bite is larger than the first. A defect that had sat in a delivered study through four editions and several rounds of outside critique became findable within an hour of the construction changing — not because anyone looked harder, but because the quantity started carrying weight. THE PRACTICAL FORM: when a rebuild promotes a number from a bit-part to a driver, re-derive that number from its own definition before trusting the rebuild. The question that finds it is the one the old construction never had to ask — here, 'what exactly should the depreciation add-back be?', which a model that never adds depreciation back has no occasion to pose.</w:t>
      </w:r>
    </w:p>
    <w:p>
      <w:pPr>
        <w:spacing w:after="60"/>
        <w:ind w:left="283"/>
      </w:pPr>
      <w:r>
        <w:rPr>
          <w:b w:val="0"/>
          <w:i w:val="0"/>
          <w:color w:val="5B6570"/>
          <w:sz w:val="19"/>
        </w:rPr>
        <w:t>How we know.  The explicit window depreciated a plant under construction as it was spent, so the last explicit year carried EGP 482mn of charge on the part in service; the terminal then charged the whole plant on top. Worth 30.4% of the equity — larger than the sanctioned terminal correction itself, which was 29.3% — and it survived the editions in which depreciation only depressed profit.</w:t>
      </w:r>
    </w:p>
    <w:p>
      <w:pPr>
        <w:spacing w:after="160"/>
        <w:ind w:left="283"/>
      </w:pPr>
      <w:r>
        <w:rPr>
          <w:b w:val="0"/>
          <w:i w:val="0"/>
          <w:color w:val="5B6570"/>
          <w:sz w:val="19"/>
        </w:rPr>
        <w:t>What would overturn it.  A rebuild that promotes a quantity and finds no error in it. That is the ordinary case and it is worth recording when it happens, because this lesson otherwise only ever gets confirming evidence.</w:t>
      </w:r>
    </w:p>
    <w:p>
      <w:pPr>
        <w:keepNext/>
        <w:spacing w:before="240" w:after="60"/>
      </w:pPr>
      <w:r>
        <w:rPr>
          <w:b/>
          <w:color w:val="1A1D21"/>
          <w:sz w:val="22"/>
        </w:rPr>
        <w:t>L-332  WHERE TWO BRANCHES OF ONE MODEL DO THE SAME STEP DIFFERENTLY, THE DISCREPANCY IS THE FINDING</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A study publishing two scenarios should differ between them in exactly the thing the scenarios are about, and in nothing else. So a step that one branch performs and the other does not is either a real economic difference — which must be stated — or a defect in one of them, and the branch that does MORE work is usually the right one, because somebody had to think about that branch to write it. THE CHEAP TEST: put the two branches' formulas for the shared steps side by side and require them to be IDENTICAL. Anything that is not identical is either named as the scenario's own difference or is a bug, and there is no third case.</w:t>
      </w:r>
    </w:p>
    <w:p>
      <w:pPr>
        <w:spacing w:after="60"/>
        <w:ind w:left="283"/>
      </w:pPr>
      <w:r>
        <w:rPr>
          <w:b w:val="0"/>
          <w:i w:val="0"/>
          <w:color w:val="5B6570"/>
          <w:sz w:val="19"/>
        </w:rPr>
        <w:t>How we know.  The programme-stopped branch stripped the project's in-service depreciation before grossing the last explicit year; the carried-through branch did not, and charged that depreciation twice. The stopped branch had been written later and more carefully, and it was right. Corrected, both branches carry the IDENTICAL year-five formula and differ only in the project's own revenue, profit and depreciation — which is what the difference between them is supposed to be, and the identity of the two formulas is now itself the check.</w:t>
      </w:r>
    </w:p>
    <w:p>
      <w:pPr>
        <w:spacing w:after="160"/>
        <w:ind w:left="283"/>
      </w:pPr>
      <w:r>
        <w:rPr>
          <w:b w:val="0"/>
          <w:i w:val="0"/>
          <w:color w:val="5B6570"/>
          <w:sz w:val="19"/>
        </w:rPr>
        <w:t>What would overturn it.  A pair of branches whose shared steps legitimately differ — which happens where a scenario changes the accounting rather than the economics — in which case the difference is stated in the record and this test is run against the statement instead of against identity.</w:t>
      </w:r>
    </w:p>
    <w:p>
      <w:pPr>
        <w:keepNext/>
        <w:spacing w:before="240" w:after="60"/>
      </w:pPr>
      <w:r>
        <w:rPr>
          <w:b/>
          <w:color w:val="1A1D21"/>
          <w:sz w:val="22"/>
        </w:rPr>
        <w:t>L-333  A FIGURE REMEMBERED THROUGH A RATIO IN PROSE IS NOT A FIGURE YOU HOLD, AND WRITING IT DOWN AGAIN IS FABRICATION</w:t>
      </w:r>
    </w:p>
    <w:p>
      <w:pPr>
        <w:keepNext/>
        <w:spacing w:after="100"/>
      </w:pPr>
      <w:r>
        <w:rPr>
          <w:b/>
          <w:color w:val="1D6FA3"/>
          <w:sz w:val="16"/>
        </w:rPr>
        <w:t>EVERY STUDY</w:t>
      </w:r>
      <w:r>
        <w:rPr>
          <w:color w:val="5B6570"/>
          <w:sz w:val="16"/>
        </w:rPr>
        <w:t xml:space="preserve">   applies to every study   ·   learned from a self-audit, the EGCH terminal rebuild, caught in its own commit, 5 September 2026</w:t>
      </w:r>
    </w:p>
    <w:p>
      <w:pPr>
        <w:spacing w:after="100"/>
      </w:pPr>
      <w:r>
        <w:rPr>
          <w:b w:val="0"/>
          <w:i w:val="0"/>
          <w:color w:val="1A1D21"/>
          <w:sz w:val="21"/>
        </w:rPr>
        <w:t>An internal evidence note recorded a corroboration as a computed ratio — 'the prior year's column says the same thing, life 26.14 and age 4.14'. Registering that corroboration in the study's own input register needs the two FIGURES behind the ratio, and they were not in the note; only the ratio was. Reconstructing them from the ratio would produce numbers that look exactly like read figures, foot against each other perfectly, and carry a source field naming a filing nobody re-opened. SIGCM clause 1 forbids it and the reason is not pedantry: the fabricated cell is invisible afterwards precisely BECAUSE it was derived from something true. The rule: a prose record proves that a reading happened, never what was read. To register a figure, re-read it or leave it out and shorten the claim.</w:t>
      </w:r>
    </w:p>
    <w:p>
      <w:pPr>
        <w:spacing w:after="60"/>
        <w:ind w:left="283"/>
      </w:pPr>
      <w:r>
        <w:rPr>
          <w:b w:val="0"/>
          <w:i w:val="0"/>
          <w:color w:val="5B6570"/>
          <w:sz w:val="19"/>
        </w:rPr>
        <w:t>How we know.  A prior-year accumulated-depreciation figure was typed into the input register to carry a cross-check the evidence file had recorded as a ratio. It was removed in the same session before it was committed, and the cross-check now lives only in the internal evidence file where it was actually measured. The study's claim is one year shorter and true.</w:t>
      </w:r>
    </w:p>
    <w:p>
      <w:pPr>
        <w:spacing w:after="160"/>
        <w:ind w:left="283"/>
      </w:pPr>
      <w:r>
        <w:rPr>
          <w:b w:val="0"/>
          <w:i w:val="0"/>
          <w:color w:val="5B6570"/>
          <w:sz w:val="19"/>
        </w:rPr>
        <w:t>What would overturn it.  Nothing overturns it; what LIMITS it is that a prose record written with the figures in it is a perfectly good source for them — which is the argument for writing evidence notes with the numbers rather than with the conclusions.</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Pharmaceutical manufacturer, generic and branded</w:t>
      </w:r>
    </w:p>
    <w:p>
      <w:pPr>
        <w:keepNext/>
        <w:spacing w:before="240" w:after="60"/>
      </w:pPr>
      <w:r>
        <w:rPr>
          <w:b/>
          <w:color w:val="1A1D21"/>
          <w:sz w:val="22"/>
        </w:rPr>
        <w:t>L-302  A GENERIC MANUFACTURER THAT EXPORTS CAN STILL BE NET SHORT HARD CURRENCY, and the export line is what hides it: a weaker local currency reads as a tailwind on the revenue page while the active-ingredient bill it also raises is larger.</w:t>
      </w:r>
    </w:p>
    <w:p>
      <w:pPr>
        <w:keepNext/>
        <w:spacing w:after="100"/>
      </w:pPr>
      <w:r>
        <w:rPr>
          <w:b/>
          <w:color w:val="7E4A94"/>
          <w:sz w:val="16"/>
        </w:rPr>
        <w:t>A CLASS OF COMPANY</w:t>
      </w:r>
      <w:r>
        <w:rPr>
          <w:color w:val="5B6570"/>
          <w:sz w:val="16"/>
        </w:rPr>
        <w:t xml:space="preserve">   applies to every pharmaceutical manufacturer, generic and branded   ·   learned from a found while building, PHAR (EIPICO), 04-Sep-2026</w:t>
      </w:r>
    </w:p>
    <w:p>
      <w:pPr>
        <w:spacing w:after="100"/>
      </w:pPr>
      <w:r>
        <w:rPr>
          <w:b w:val="0"/>
          <w:i w:val="0"/>
          <w:color w:val="1A1D21"/>
          <w:sz w:val="21"/>
        </w:rPr>
        <w:t>Active pharmaceutical ingredients are imported and priced in dollars almost everywhere outside the few countries that make them, so the DOLLAR-LINKED COST reaches deep into cost of sales while the dollar-linked REVENUE is only the export book. Compare the two directly before assuming a devaluation helps: hard-currency revenue as a share of total against the imported share of cost of sales times the cost ratio. Where the second is larger the currency path is a first-order value driver running the OPPOSITE way to the intuition, and a study that understates depreciation flatters the value rather than depressing it.</w:t>
      </w:r>
    </w:p>
    <w:p>
      <w:pPr>
        <w:spacing w:after="60"/>
        <w:ind w:left="283"/>
      </w:pPr>
      <w:r>
        <w:rPr>
          <w:b w:val="0"/>
          <w:i w:val="0"/>
          <w:color w:val="5B6570"/>
          <w:sz w:val="19"/>
        </w:rPr>
        <w:t>How we know.  Exports are 33% of forecast revenue and the company's own description of its inputs is that raw materials are predominantly imported active ingredients, against cost of sales at 61% of revenue. Conforming the currency path to the house purchasing-power derivation — 21% weaker by FY2030 than the edition it replaced — took roughly a quarter off the valuation, in the direction an exporter is not expected to move. The previous edition escalated domestic costs at Egyptian inflation while depreciating the pound at about a third of the differential, which flattered the value twice over.</w:t>
      </w:r>
    </w:p>
    <w:p>
      <w:pPr>
        <w:spacing w:after="160"/>
        <w:ind w:left="283"/>
      </w:pPr>
      <w:r>
        <w:rPr>
          <w:b w:val="0"/>
          <w:i w:val="0"/>
          <w:color w:val="5B6570"/>
          <w:sz w:val="19"/>
        </w:rPr>
        <w:t>What would overturn it.  A manufacturer of this class whose imported-input share of cost of sales, times its cost ratio, is SMALLER than its hard-currency revenue share — where it is, the ordinary exporter intuition holds and this lesson does not apply.</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pPr>
        <w:pStyle w:val="Heading2"/>
      </w:pPr>
      <w:r>
        <w:t>Diversified industrial with a contracting arm</w:t>
      </w:r>
    </w:p>
    <w:p>
      <w:pPr>
        <w:keepNext/>
        <w:spacing w:before="240" w:after="60"/>
      </w:pPr>
      <w:r>
        <w:rPr>
          <w:b/>
          <w:color w:val="1A1D21"/>
          <w:sz w:val="22"/>
        </w:rPr>
        <w:t>L-295  A GROUP WHOSE LEGS SIT ON DIFFERENT CONTRACT STRUCTURES CANNOT BE FORECAST ON ONE MARGIN PATH — the legs move in opposite directions at the same time, so a blended path describes neither of them.</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A cable is manufactured and sold into a market at a price the market sets, so its margin moves with the input commodity and with capacity. A turnkey project is a multi-year contract whose revenue is recognised as work completes and whose margin is an accident of which phases reach profitability in which period. They are not the same business under one roof, and a group margin built by blending them hides both. Build each leg on its own driver and re-anchor each on the latest reviewed period SEPARATELY.</w:t>
      </w:r>
    </w:p>
    <w:p>
      <w:pPr>
        <w:spacing w:after="60"/>
        <w:ind w:left="283"/>
      </w:pPr>
      <w:r>
        <w:rPr>
          <w:b w:val="0"/>
          <w:i w:val="0"/>
          <w:color w:val="5B6570"/>
          <w:sz w:val="19"/>
        </w:rPr>
        <w:t>How we know.  Measured on the issuer's own comparable halves, the two legs moved in OPPOSITE directions at once: cables 14.54% to 12.49% while contracting went 9.06% to 11.59%, with electrical products up 23.46% to 24.91%. The group margin barely moved — 14.14% to 13.92% — so a group-level reading would have reported nothing happening while the two legs it is made of diverged by nearly five points between them. The first edition forecast a uniform partial recovery in all three, which was above what cables had just delivered and well below what contracting had.</w:t>
      </w:r>
    </w:p>
    <w:p>
      <w:pPr>
        <w:spacing w:after="160"/>
        <w:ind w:left="283"/>
      </w:pPr>
      <w:r>
        <w:rPr>
          <w:b w:val="0"/>
          <w:i w:val="0"/>
          <w:color w:val="5B6570"/>
          <w:sz w:val="19"/>
        </w:rPr>
        <w:t>What would overturn it.  A group whose legs are found to co-move closely enough that one path describes both — which would be evidence the legs are not on different contract structures after all, and therefore that this is not a separate class.</w:t>
      </w:r>
    </w:p>
    <w:p>
      <w:pPr>
        <w:keepNext/>
        <w:spacing w:before="240" w:after="60"/>
      </w:pPr>
      <w:r>
        <w:rPr>
          <w:b/>
          <w:color w:val="1A1D21"/>
          <w:sz w:val="22"/>
        </w:rPr>
        <w:t>L-296  NORMALISED EARNINGS POWER IS NOT A LENS FOR A GROUP WITH A CONTRACTING ARM, for the reason it is not one for a developer: the earnings being normalised are an accident of completion timing.</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Normalising earnings assumes there is a mid-cycle level to normalise TO. Where a quarter of revenue comes from multi-year contracts recognised as work completes, the reported earnings of any given year say more about which projects finished than about what the business earns through a cycle, so normalising them normalises noise and calls it a mid-cycle.</w:t>
      </w:r>
    </w:p>
    <w:p>
      <w:pPr>
        <w:spacing w:after="60"/>
        <w:ind w:left="283"/>
      </w:pPr>
      <w:r>
        <w:rPr>
          <w:b w:val="0"/>
          <w:i w:val="0"/>
          <w:color w:val="5B6570"/>
          <w:sz w:val="19"/>
        </w:rPr>
        <w:t>How we know.  The lens read EGP 109.52 against a cash-flow lens of 55.48 — nearly double — and carried a fifth of a typed blend, which is what pulled the published central to 71.20 and showed a reader about two thirds of the disagreement this study holds. It is the same lens, at the same weight, in the same class of defect as the case that retired the blend on a developer.</w:t>
      </w:r>
    </w:p>
    <w:p>
      <w:pPr>
        <w:spacing w:after="160"/>
        <w:ind w:left="283"/>
      </w:pPr>
      <w:r>
        <w:rPr>
          <w:b w:val="0"/>
          <w:i w:val="0"/>
          <w:color w:val="5B6570"/>
          <w:sz w:val="19"/>
        </w:rPr>
        <w:t>What would overturn it.  A contracting group whose reported earnings are shown to be stable enough through a cycle that a normalised figure means something — which the disclosure would have to support with a completion profile no issuer in this book currently publishes.</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