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Egyptian International Pharmaceutical Industries Company (EIPICO)</w:t>
      </w:r>
    </w:p>
    <w:p>
      <w:pPr>
        <w:spacing w:after="40" w:before="0"/>
      </w:pPr>
      <w:r>
        <w:rPr>
          <w:b w:val="0"/>
          <w:i w:val="0"/>
          <w:color w:val="6E7B77"/>
          <w:sz w:val="23"/>
        </w:rPr>
        <w:t>Independent valuation study · The Egyptian Exchange · ticker PHAR · Egyptian pounds</w:t>
      </w:r>
    </w:p>
    <w:p>
      <w:pPr>
        <w:spacing w:after="240" w:before="0"/>
      </w:pPr>
      <w:r>
        <w:rPr>
          <w:b w:val="0"/>
          <w:i w:val="0"/>
          <w:color w:val="6E7B77"/>
          <w:sz w:val="20"/>
        </w:rPr>
        <w:t>Prepared 9 August 2026 · share price EGP 130.05 at the close of 6 August 2026 · 168.756 million shares in issue</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a listed Egyptian pharmaceutical manufacturer, built from the company's own audited financial statements. It contains no rating, no recommendation and no price target. It expresses value as a RANGE and, separately, as a probability distribution.</w:t>
            </w:r>
          </w:p>
          <w:p>
            <w:pPr>
              <w:spacing w:after="100"/>
            </w:pPr>
            <w:r>
              <w:rPr>
                <w:b/>
                <w:color w:val="1C3A36"/>
                <w:sz w:val="19"/>
              </w:rPr>
              <w:t xml:space="preserve">What it is built on. </w:t>
            </w:r>
            <w:r>
              <w:rPr>
                <w:color w:val="1C3A36"/>
                <w:sz w:val="19"/>
              </w:rPr>
              <w:t>Four consecutive years of audited consolidated financial statements — FY2022 through FY2025 — with the auditor's report and full notes, together with the board of directors' own operating statistics and the company's investor presentation. Every historical figure in this study traces to one of those documents. No data vendor, broker note or press report is used to build any number about the company itself.</w:t>
            </w:r>
          </w:p>
          <w:p>
            <w:pPr>
              <w:spacing w:after="100"/>
            </w:pPr>
            <w:r>
              <w:rPr>
                <w:b/>
                <w:color w:val="1C3A36"/>
                <w:sz w:val="19"/>
              </w:rPr>
              <w:t xml:space="preserve">The one number to hold on to. </w:t>
            </w:r>
            <w:r>
              <w:rPr>
                <w:color w:val="1C3A36"/>
                <w:sz w:val="19"/>
              </w:rPr>
              <w:t>Five independent lenses put fair value between EGP 56 and EGP 99 a share, weighted centre EGP 80. The market price is EGP 130.05. That gap is the study, and section 1.7 states exactly what would have to be true for the market to be right.</w:t>
            </w:r>
          </w:p>
          <w:p>
            <w:pPr>
              <w:spacing w:after="100"/>
            </w:pPr>
            <w:r>
              <w:rPr>
                <w:b/>
                <w:color w:val="1C3A36"/>
                <w:sz w:val="19"/>
              </w:rPr>
              <w:t xml:space="preserve">What this study deliberately does NOT do. </w:t>
            </w:r>
            <w:r>
              <w:rPr>
                <w:color w:val="1C3A36"/>
                <w:sz w:val="19"/>
              </w:rPr>
              <w:t>It does not put a revenue line on the company's new biologicals plant, because the company has published no volume, price or utilisation guidance for it. It charges the plant's depreciation and its interest, because both follow mechanically from the licence the company obtained in December 2025. Section 1.7 then solves for how much the plant must sell to justify the market price and states that in observable units.</w:t>
            </w:r>
          </w:p>
          <w:p>
            <w:pPr>
              <w:spacing w:after="100"/>
            </w:pPr>
            <w:r>
              <w:rPr>
                <w:b/>
                <w:color w:val="1C3A36"/>
                <w:sz w:val="19"/>
              </w:rPr>
              <w:t xml:space="preserve">The contested judgement is carried both ways. </w:t>
            </w:r>
            <w:r>
              <w:rPr>
                <w:color w:val="1C3A36"/>
                <w:sz w:val="19"/>
              </w:rPr>
              <w:t>The credit-loss and provision charge is the study's single most consequential contested judgement. It is computed on two frames and both are published side by side, in the summary table, in the body, in the workbook and in an expert's range. They are never averaged into one number.</w:t>
            </w:r>
          </w:p>
        </w:tc>
      </w:tr>
    </w:tbl>
    <w:p>
      <w:pPr>
        <w:spacing w:after="40"/>
      </w:pPr>
    </w:p>
    <w:p>
      <w:pPr>
        <w:spacing w:after="120" w:before="280"/>
      </w:pPr>
      <w:r>
        <w:rPr>
          <w:b/>
          <w:i w:val="0"/>
          <w:color w:val="1C3A36"/>
          <w:sz w:val="30"/>
        </w:rPr>
        <w:t>Headline</w:t>
      </w:r>
    </w:p>
    <w:p>
      <w:pPr>
        <w:spacing w:after="120" w:before="0"/>
      </w:pPr>
      <w:r>
        <w:rPr>
          <w:b w:val="0"/>
          <w:i w:val="0"/>
          <w:color w:val="1C3A36"/>
          <w:sz w:val="21"/>
        </w:rPr>
        <w:t>EIPICO is Egypt's largest pharmaceutical manufacturer by units and its largest pharmaceutical exporter, and it has just finished building something big. Revenue grew 24.4% in FY2025 to EGP 9,441 million, attributable profit rose 31.6% to EGP 1,442 million, and the shares have roughly doubled this year. The question this study asks is not whether the business is good. It is whether EGP 130.05 a share already pays for a plant that has not yet sold anything.</w:t>
      </w:r>
    </w:p>
    <w:p>
      <w:pPr>
        <w:spacing w:after="120" w:before="0"/>
      </w:pPr>
      <w:r>
        <w:rPr>
          <w:b w:val="0"/>
          <w:i w:val="0"/>
          <w:color w:val="1C3A36"/>
          <w:sz w:val="21"/>
        </w:rPr>
        <w:t>The company spent the last three years building EIPICO 3, a biologicals and biosimilars facility it describes as the first in Egypt to manufacture from cell culture through to finished product, at a stated cost of USD 100 million. At 31 December 2025 the construction balance stood at EGP 4,901 million — larger than the entire depreciated property base of EGP 3,070 million. The Egyptian Drug Authority licensed it in December 2025. From FY2026 that balance starts depreciating, and the interest that was being capitalised into it starts hitting the income statement. Those two mechanical changes take roughly EGP 700 million a year out of reported profit before the plant contributes a pound of revenue.</w:t>
      </w:r>
    </w:p>
    <w:p>
      <w:pPr>
        <w:spacing w:after="120" w:before="0"/>
      </w:pPr>
      <w:r>
        <w:rPr>
          <w:b w:val="0"/>
          <w:i w:val="0"/>
          <w:color w:val="1C3A36"/>
          <w:sz w:val="21"/>
        </w:rPr>
        <w:t>Against that, four lenses that do not depend on the new plant at all — discounted cash flow on two framings of the provision charge, book value against sustainable return, triangulated multiples, and normalised earnings power — cluster between EGP 56 and EGP 99. The market is above all of them.</w:t>
      </w:r>
    </w:p>
    <w:p>
      <w:pPr>
        <w:spacing w:after="40"/>
        <w:jc w:val="center"/>
      </w:pPr>
      <w:r>
        <w:drawing>
          <wp:inline xmlns:a="http://schemas.openxmlformats.org/drawingml/2006/main" xmlns:pic="http://schemas.openxmlformats.org/drawingml/2006/picture">
            <wp:extent cx="6309360" cy="276419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764191"/>
                    </a:xfrm>
                    <a:prstGeom prst="rect"/>
                  </pic:spPr>
                </pic:pic>
              </a:graphicData>
            </a:graphic>
          </wp:inline>
        </w:drawing>
      </w:r>
    </w:p>
    <w:p>
      <w:pPr>
        <w:spacing w:after="200" w:before="0"/>
      </w:pPr>
      <w:r>
        <w:rPr>
          <w:b w:val="0"/>
          <w:i/>
          <w:color w:val="6E7B77"/>
          <w:sz w:val="17"/>
        </w:rPr>
        <w:t>Figure 1 — five independent routes to a value per share, against the market price.</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c>
          <w:tcPr>
            <w:tcW w:type="dxa" w:w="3384"/>
            <w:shd w:val="clear" w:color="auto" w:fill="EAF0EE"/>
          </w:tcPr>
          <w:p>
            <w:pPr>
              <w:spacing w:after="20"/>
            </w:pPr>
            <w:r>
              <w:rPr>
                <w:b/>
                <w:color w:val="1C3A36"/>
                <w:sz w:val="18"/>
              </w:rPr>
              <w:t>Lens</w:t>
            </w:r>
          </w:p>
        </w:tc>
        <w:tc>
          <w:tcPr>
            <w:tcW w:type="dxa" w:w="1512"/>
            <w:shd w:val="clear" w:color="auto" w:fill="EAF0EE"/>
          </w:tcPr>
          <w:p>
            <w:pPr>
              <w:spacing w:after="20"/>
            </w:pPr>
            <w:r>
              <w:rPr>
                <w:b/>
                <w:color w:val="1C3A36"/>
                <w:sz w:val="18"/>
              </w:rPr>
              <w:t>EGP / share</w:t>
            </w:r>
          </w:p>
        </w:tc>
        <w:tc>
          <w:tcPr>
            <w:tcW w:type="dxa" w:w="1224"/>
            <w:shd w:val="clear" w:color="auto" w:fill="EAF0EE"/>
          </w:tcPr>
          <w:p>
            <w:pPr>
              <w:spacing w:after="20"/>
            </w:pPr>
            <w:r>
              <w:rPr>
                <w:b/>
                <w:color w:val="1C3A36"/>
                <w:sz w:val="18"/>
              </w:rPr>
              <w:t>vs market</w:t>
            </w:r>
          </w:p>
        </w:tc>
        <w:tc>
          <w:tcPr>
            <w:tcW w:type="dxa" w:w="3960"/>
            <w:shd w:val="clear" w:color="auto" w:fill="EAF0EE"/>
          </w:tcPr>
          <w:p>
            <w:pPr>
              <w:spacing w:after="20"/>
            </w:pPr>
            <w:r>
              <w:rPr>
                <w:b/>
                <w:color w:val="1C3A36"/>
                <w:sz w:val="18"/>
              </w:rPr>
              <w:t>Note</w:t>
            </w:r>
          </w:p>
        </w:tc>
      </w:tr>
      <w:tr>
        <w:tc>
          <w:tcPr>
            <w:tcW w:type="dxa" w:w="3384"/>
          </w:tcPr>
          <w:p>
            <w:pPr>
              <w:spacing w:after="20"/>
            </w:pPr>
            <w:r>
              <w:rPr>
                <w:color w:val="1C3A36"/>
                <w:sz w:val="18"/>
              </w:rPr>
              <w:t>Discounted cash flow — Frame A</w:t>
            </w:r>
          </w:p>
        </w:tc>
        <w:tc>
          <w:tcPr>
            <w:tcW w:type="dxa" w:w="1512"/>
          </w:tcPr>
          <w:p>
            <w:pPr>
              <w:spacing w:after="20"/>
              <w:jc w:val="right"/>
            </w:pPr>
            <w:r>
              <w:rPr>
                <w:color w:val="1C3A36"/>
                <w:sz w:val="18"/>
              </w:rPr>
              <w:t>86.06</w:t>
            </w:r>
          </w:p>
        </w:tc>
        <w:tc>
          <w:tcPr>
            <w:tcW w:type="dxa" w:w="1224"/>
          </w:tcPr>
          <w:p>
            <w:pPr>
              <w:spacing w:after="20"/>
              <w:jc w:val="right"/>
            </w:pPr>
            <w:r>
              <w:rPr>
                <w:color w:val="1C3A36"/>
                <w:sz w:val="18"/>
              </w:rPr>
              <w:t>-34%</w:t>
            </w:r>
          </w:p>
        </w:tc>
        <w:tc>
          <w:tcPr>
            <w:tcW w:type="dxa" w:w="3960"/>
          </w:tcPr>
          <w:p>
            <w:pPr>
              <w:spacing w:after="20"/>
              <w:jc w:val="right"/>
            </w:pPr>
            <w:r>
              <w:rPr>
                <w:color w:val="1C3A36"/>
                <w:sz w:val="18"/>
              </w:rPr>
              <w:t>terminal value 74% of enterprise value</w:t>
            </w:r>
          </w:p>
        </w:tc>
      </w:tr>
      <w:tr>
        <w:tc>
          <w:tcPr>
            <w:tcW w:type="dxa" w:w="3384"/>
          </w:tcPr>
          <w:p>
            <w:pPr>
              <w:spacing w:after="20"/>
            </w:pPr>
            <w:r>
              <w:rPr>
                <w:color w:val="1C3A36"/>
                <w:sz w:val="18"/>
              </w:rPr>
              <w:t>Discounted cash flow — Frame B</w:t>
            </w:r>
          </w:p>
        </w:tc>
        <w:tc>
          <w:tcPr>
            <w:tcW w:type="dxa" w:w="1512"/>
          </w:tcPr>
          <w:p>
            <w:pPr>
              <w:spacing w:after="20"/>
              <w:jc w:val="right"/>
            </w:pPr>
            <w:r>
              <w:rPr>
                <w:color w:val="1C3A36"/>
                <w:sz w:val="18"/>
              </w:rPr>
              <w:t>99.07</w:t>
            </w:r>
          </w:p>
        </w:tc>
        <w:tc>
          <w:tcPr>
            <w:tcW w:type="dxa" w:w="1224"/>
          </w:tcPr>
          <w:p>
            <w:pPr>
              <w:spacing w:after="20"/>
              <w:jc w:val="right"/>
            </w:pPr>
            <w:r>
              <w:rPr>
                <w:color w:val="1C3A36"/>
                <w:sz w:val="18"/>
              </w:rPr>
              <w:t>-24%</w:t>
            </w:r>
          </w:p>
        </w:tc>
        <w:tc>
          <w:tcPr>
            <w:tcW w:type="dxa" w:w="3960"/>
          </w:tcPr>
          <w:p>
            <w:pPr>
              <w:spacing w:after="20"/>
              <w:jc w:val="right"/>
            </w:pPr>
            <w:r>
              <w:rPr>
                <w:color w:val="1C3A36"/>
                <w:sz w:val="18"/>
              </w:rPr>
              <w:t>terminal value 74% of enterprise value</w:t>
            </w:r>
          </w:p>
        </w:tc>
      </w:tr>
      <w:tr>
        <w:tc>
          <w:tcPr>
            <w:tcW w:type="dxa" w:w="3384"/>
          </w:tcPr>
          <w:p>
            <w:pPr>
              <w:spacing w:after="20"/>
            </w:pPr>
            <w:r>
              <w:rPr>
                <w:color w:val="1C3A36"/>
                <w:sz w:val="18"/>
              </w:rPr>
              <w:t>Book value and sustainable return</w:t>
            </w:r>
          </w:p>
        </w:tc>
        <w:tc>
          <w:tcPr>
            <w:tcW w:type="dxa" w:w="1512"/>
          </w:tcPr>
          <w:p>
            <w:pPr>
              <w:spacing w:after="20"/>
              <w:jc w:val="right"/>
            </w:pPr>
            <w:r>
              <w:rPr>
                <w:color w:val="1C3A36"/>
                <w:sz w:val="18"/>
              </w:rPr>
              <w:t>73.10</w:t>
            </w:r>
          </w:p>
        </w:tc>
        <w:tc>
          <w:tcPr>
            <w:tcW w:type="dxa" w:w="1224"/>
          </w:tcPr>
          <w:p>
            <w:pPr>
              <w:spacing w:after="20"/>
              <w:jc w:val="right"/>
            </w:pPr>
            <w:r>
              <w:rPr>
                <w:color w:val="1C3A36"/>
                <w:sz w:val="18"/>
              </w:rPr>
              <w:t>-44%</w:t>
            </w:r>
          </w:p>
        </w:tc>
        <w:tc>
          <w:tcPr>
            <w:tcW w:type="dxa" w:w="3960"/>
          </w:tcPr>
          <w:p>
            <w:pPr>
              <w:spacing w:after="20"/>
              <w:jc w:val="right"/>
            </w:pPr>
            <w:r>
              <w:rPr>
                <w:color w:val="1C3A36"/>
                <w:sz w:val="18"/>
              </w:rPr>
              <w:t>justified 1.98x book of EGP 37.00</w:t>
            </w:r>
          </w:p>
        </w:tc>
      </w:tr>
      <w:tr>
        <w:tc>
          <w:tcPr>
            <w:tcW w:type="dxa" w:w="3384"/>
          </w:tcPr>
          <w:p>
            <w:pPr>
              <w:spacing w:after="20"/>
            </w:pPr>
            <w:r>
              <w:rPr>
                <w:color w:val="1C3A36"/>
                <w:sz w:val="18"/>
              </w:rPr>
              <w:t>Relative multiples</w:t>
            </w:r>
          </w:p>
        </w:tc>
        <w:tc>
          <w:tcPr>
            <w:tcW w:type="dxa" w:w="1512"/>
          </w:tcPr>
          <w:p>
            <w:pPr>
              <w:spacing w:after="20"/>
              <w:jc w:val="right"/>
            </w:pPr>
            <w:r>
              <w:rPr>
                <w:color w:val="1C3A36"/>
                <w:sz w:val="18"/>
              </w:rPr>
              <w:t>55.58</w:t>
            </w:r>
          </w:p>
        </w:tc>
        <w:tc>
          <w:tcPr>
            <w:tcW w:type="dxa" w:w="1224"/>
          </w:tcPr>
          <w:p>
            <w:pPr>
              <w:spacing w:after="20"/>
              <w:jc w:val="right"/>
            </w:pPr>
            <w:r>
              <w:rPr>
                <w:color w:val="1C3A36"/>
                <w:sz w:val="18"/>
              </w:rPr>
              <w:t>-57%</w:t>
            </w:r>
          </w:p>
        </w:tc>
        <w:tc>
          <w:tcPr>
            <w:tcW w:type="dxa" w:w="3960"/>
          </w:tcPr>
          <w:p>
            <w:pPr>
              <w:spacing w:after="20"/>
              <w:jc w:val="right"/>
            </w:pPr>
            <w:r>
              <w:rPr>
                <w:color w:val="1C3A36"/>
                <w:sz w:val="18"/>
              </w:rPr>
              <w:t>three multiples averaged, not asserted</w:t>
            </w:r>
          </w:p>
        </w:tc>
      </w:tr>
      <w:tr>
        <w:tc>
          <w:tcPr>
            <w:tcW w:type="dxa" w:w="3384"/>
          </w:tcPr>
          <w:p>
            <w:pPr>
              <w:spacing w:after="20"/>
            </w:pPr>
            <w:r>
              <w:rPr>
                <w:color w:val="1C3A36"/>
                <w:sz w:val="18"/>
              </w:rPr>
              <w:t>Normalised earnings power</w:t>
            </w:r>
          </w:p>
        </w:tc>
        <w:tc>
          <w:tcPr>
            <w:tcW w:type="dxa" w:w="1512"/>
          </w:tcPr>
          <w:p>
            <w:pPr>
              <w:spacing w:after="20"/>
              <w:jc w:val="right"/>
            </w:pPr>
            <w:r>
              <w:rPr>
                <w:color w:val="1C3A36"/>
                <w:sz w:val="18"/>
              </w:rPr>
              <w:t>69.33</w:t>
            </w:r>
          </w:p>
        </w:tc>
        <w:tc>
          <w:tcPr>
            <w:tcW w:type="dxa" w:w="1224"/>
          </w:tcPr>
          <w:p>
            <w:pPr>
              <w:spacing w:after="20"/>
              <w:jc w:val="right"/>
            </w:pPr>
            <w:r>
              <w:rPr>
                <w:color w:val="1C3A36"/>
                <w:sz w:val="18"/>
              </w:rPr>
              <w:t>-47%</w:t>
            </w:r>
          </w:p>
        </w:tc>
        <w:tc>
          <w:tcPr>
            <w:tcW w:type="dxa" w:w="3960"/>
          </w:tcPr>
          <w:p>
            <w:pPr>
              <w:spacing w:after="20"/>
              <w:jc w:val="right"/>
            </w:pPr>
            <w:r>
              <w:rPr>
                <w:color w:val="1C3A36"/>
                <w:sz w:val="18"/>
              </w:rPr>
              <w:t>three-year average margin 22.9%</w:t>
            </w:r>
          </w:p>
        </w:tc>
      </w:tr>
      <w:tr>
        <w:tc>
          <w:tcPr>
            <w:tcW w:type="dxa" w:w="3384"/>
            <w:shd w:val="clear" w:color="auto" w:fill="F6F1E6"/>
          </w:tcPr>
          <w:p>
            <w:pPr>
              <w:spacing w:after="20"/>
            </w:pPr>
            <w:r>
              <w:rPr>
                <w:b/>
                <w:color w:val="1C3A36"/>
                <w:sz w:val="18"/>
              </w:rPr>
              <w:t>Weighted central fair value</w:t>
            </w:r>
          </w:p>
        </w:tc>
        <w:tc>
          <w:tcPr>
            <w:tcW w:type="dxa" w:w="1512"/>
            <w:shd w:val="clear" w:color="auto" w:fill="F6F1E6"/>
          </w:tcPr>
          <w:p>
            <w:pPr>
              <w:spacing w:after="20"/>
              <w:jc w:val="right"/>
            </w:pPr>
            <w:r>
              <w:rPr>
                <w:b/>
                <w:color w:val="1C3A36"/>
                <w:sz w:val="18"/>
              </w:rPr>
              <w:t>79.64</w:t>
            </w:r>
          </w:p>
        </w:tc>
        <w:tc>
          <w:tcPr>
            <w:tcW w:type="dxa" w:w="1224"/>
            <w:shd w:val="clear" w:color="auto" w:fill="F6F1E6"/>
          </w:tcPr>
          <w:p>
            <w:pPr>
              <w:spacing w:after="20"/>
              <w:jc w:val="right"/>
            </w:pPr>
            <w:r>
              <w:rPr>
                <w:b/>
                <w:color w:val="1C3A36"/>
                <w:sz w:val="18"/>
              </w:rPr>
              <w:t>-39%</w:t>
            </w:r>
          </w:p>
        </w:tc>
        <w:tc>
          <w:tcPr>
            <w:tcW w:type="dxa" w:w="3960"/>
            <w:shd w:val="clear" w:color="auto" w:fill="F6F1E6"/>
          </w:tcPr>
          <w:p>
            <w:pPr>
              <w:spacing w:after="20"/>
              <w:jc w:val="right"/>
            </w:pPr>
            <w:r>
              <w:rPr>
                <w:b/>
                <w:color w:val="1C3A36"/>
                <w:sz w:val="18"/>
              </w:rPr>
              <w:t>A range, not a target</w:t>
            </w:r>
          </w:p>
        </w:tc>
      </w:tr>
      <w:tr>
        <w:tc>
          <w:tcPr>
            <w:tcW w:type="dxa" w:w="3384"/>
          </w:tcPr>
          <w:p>
            <w:pPr>
              <w:spacing w:after="20"/>
            </w:pPr>
            <w:r>
              <w:rPr>
                <w:color w:val="1C3A36"/>
                <w:sz w:val="18"/>
              </w:rPr>
              <w:t>Field low to field high</w:t>
            </w:r>
          </w:p>
        </w:tc>
        <w:tc>
          <w:tcPr>
            <w:tcW w:type="dxa" w:w="1512"/>
          </w:tcPr>
          <w:p>
            <w:pPr>
              <w:spacing w:after="20"/>
              <w:jc w:val="right"/>
            </w:pPr>
            <w:r>
              <w:rPr>
                <w:color w:val="1C3A36"/>
                <w:sz w:val="18"/>
              </w:rPr>
              <w:t>55.58 – 99.07</w:t>
            </w:r>
          </w:p>
        </w:tc>
        <w:tc>
          <w:tcPr>
            <w:tcW w:type="dxa" w:w="1224"/>
          </w:tcPr>
          <w:p>
            <w:pPr>
              <w:spacing w:after="20"/>
              <w:jc w:val="right"/>
            </w:pPr>
            <w:r>
              <w:rPr>
                <w:color w:val="1C3A36"/>
                <w:sz w:val="18"/>
              </w:rPr>
            </w:r>
          </w:p>
        </w:tc>
        <w:tc>
          <w:tcPr>
            <w:tcW w:type="dxa" w:w="3960"/>
          </w:tcPr>
          <w:p>
            <w:pPr>
              <w:spacing w:after="20"/>
              <w:jc w:val="right"/>
            </w:pPr>
            <w:r>
              <w:rPr>
                <w:color w:val="1C3A36"/>
                <w:sz w:val="18"/>
              </w:rPr>
              <w:t>The spread between the lenses IS the uncertainty</w:t>
            </w:r>
          </w:p>
        </w:tc>
      </w:tr>
      <w:tr>
        <w:tc>
          <w:tcPr>
            <w:tcW w:type="dxa" w:w="3384"/>
            <w:shd w:val="clear" w:color="auto" w:fill="F6F1E6"/>
          </w:tcPr>
          <w:p>
            <w:pPr>
              <w:spacing w:after="20"/>
            </w:pPr>
            <w:r>
              <w:rPr>
                <w:b/>
                <w:color w:val="1C3A36"/>
                <w:sz w:val="18"/>
              </w:rPr>
              <w:t>Market price</w:t>
            </w:r>
          </w:p>
        </w:tc>
        <w:tc>
          <w:tcPr>
            <w:tcW w:type="dxa" w:w="1512"/>
            <w:shd w:val="clear" w:color="auto" w:fill="F6F1E6"/>
          </w:tcPr>
          <w:p>
            <w:pPr>
              <w:spacing w:after="20"/>
              <w:jc w:val="right"/>
            </w:pPr>
            <w:r>
              <w:rPr>
                <w:b/>
                <w:color w:val="1C3A36"/>
                <w:sz w:val="18"/>
              </w:rPr>
              <w:t>130.05</w:t>
            </w:r>
          </w:p>
        </w:tc>
        <w:tc>
          <w:tcPr>
            <w:tcW w:type="dxa" w:w="1224"/>
            <w:shd w:val="clear" w:color="auto" w:fill="F6F1E6"/>
          </w:tcPr>
          <w:p>
            <w:pPr>
              <w:spacing w:after="20"/>
              <w:jc w:val="right"/>
            </w:pPr>
            <w:r>
              <w:rPr>
                <w:b/>
                <w:color w:val="1C3A36"/>
                <w:sz w:val="18"/>
              </w:rPr>
            </w:r>
          </w:p>
        </w:tc>
        <w:tc>
          <w:tcPr>
            <w:tcW w:type="dxa" w:w="3960"/>
            <w:shd w:val="clear" w:color="auto" w:fill="F6F1E6"/>
          </w:tcPr>
          <w:p>
            <w:pPr>
              <w:spacing w:after="20"/>
              <w:jc w:val="right"/>
            </w:pPr>
            <w:r>
              <w:rPr>
                <w:b/>
                <w:color w:val="1C3A36"/>
                <w:sz w:val="18"/>
              </w:rPr>
              <w:t>Close of 6 August 2026</w:t>
            </w:r>
          </w:p>
        </w:tc>
      </w:tr>
    </w:tbl>
    <w:p>
      <w:pPr>
        <w:spacing w:after="40"/>
      </w:pPr>
    </w:p>
    <w:p>
      <w:pPr>
        <w:spacing w:after="200" w:before="0"/>
      </w:pPr>
      <w:r>
        <w:rPr>
          <w:b w:val="0"/>
          <w:i/>
          <w:color w:val="6E7B77"/>
          <w:sz w:val="17"/>
        </w:rPr>
        <w:t>Table 1 — the summary valuation table. Terminal value as a percentage of enterprise value is stated beside the cash-flow lens rather than left in the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c>
          <w:tcPr>
            <w:tcW w:type="dxa" w:w="3168"/>
          </w:tcPr>
          <w:p>
            <w:pPr>
              <w:spacing w:after="20"/>
            </w:pPr>
            <w:r>
              <w:rPr>
                <w:color w:val="1C3A36"/>
                <w:sz w:val="18"/>
              </w:rPr>
              <w:t>Market capitalisation</w:t>
            </w:r>
          </w:p>
        </w:tc>
        <w:tc>
          <w:tcPr>
            <w:tcW w:type="dxa" w:w="1872"/>
          </w:tcPr>
          <w:p>
            <w:pPr>
              <w:spacing w:after="20"/>
              <w:jc w:val="right"/>
            </w:pPr>
            <w:r>
              <w:rPr>
                <w:color w:val="1C3A36"/>
                <w:sz w:val="18"/>
              </w:rPr>
              <w:t>EGP 21,947m</w:t>
            </w:r>
          </w:p>
        </w:tc>
        <w:tc>
          <w:tcPr>
            <w:tcW w:type="dxa" w:w="3168"/>
          </w:tcPr>
          <w:p>
            <w:pPr>
              <w:spacing w:after="20"/>
              <w:jc w:val="right"/>
            </w:pPr>
            <w:r>
              <w:rPr>
                <w:color w:val="1C3A36"/>
                <w:sz w:val="18"/>
              </w:rPr>
              <w:t>Net debt</w:t>
            </w:r>
          </w:p>
        </w:tc>
        <w:tc>
          <w:tcPr>
            <w:tcW w:type="dxa" w:w="1872"/>
          </w:tcPr>
          <w:p>
            <w:pPr>
              <w:spacing w:after="20"/>
              <w:jc w:val="right"/>
            </w:pPr>
            <w:r>
              <w:rPr>
                <w:color w:val="1C3A36"/>
                <w:sz w:val="18"/>
              </w:rPr>
              <w:t>EGP 7,364m</w:t>
            </w:r>
          </w:p>
        </w:tc>
      </w:tr>
      <w:tr>
        <w:tc>
          <w:tcPr>
            <w:tcW w:type="dxa" w:w="3168"/>
          </w:tcPr>
          <w:p>
            <w:pPr>
              <w:spacing w:after="20"/>
            </w:pPr>
            <w:r>
              <w:rPr>
                <w:color w:val="1C3A36"/>
                <w:sz w:val="18"/>
              </w:rPr>
              <w:t>Enterprise value</w:t>
            </w:r>
          </w:p>
        </w:tc>
        <w:tc>
          <w:tcPr>
            <w:tcW w:type="dxa" w:w="1872"/>
          </w:tcPr>
          <w:p>
            <w:pPr>
              <w:spacing w:after="20"/>
              <w:jc w:val="right"/>
            </w:pPr>
            <w:r>
              <w:rPr>
                <w:color w:val="1C3A36"/>
                <w:sz w:val="18"/>
              </w:rPr>
              <w:t>EGP 29,600m</w:t>
            </w:r>
          </w:p>
        </w:tc>
        <w:tc>
          <w:tcPr>
            <w:tcW w:type="dxa" w:w="3168"/>
          </w:tcPr>
          <w:p>
            <w:pPr>
              <w:spacing w:after="20"/>
              <w:jc w:val="right"/>
            </w:pPr>
            <w:r>
              <w:rPr>
                <w:color w:val="1C3A36"/>
                <w:sz w:val="18"/>
              </w:rPr>
              <w:t>FY2025 revenue</w:t>
            </w:r>
          </w:p>
        </w:tc>
        <w:tc>
          <w:tcPr>
            <w:tcW w:type="dxa" w:w="1872"/>
          </w:tcPr>
          <w:p>
            <w:pPr>
              <w:spacing w:after="20"/>
              <w:jc w:val="right"/>
            </w:pPr>
            <w:r>
              <w:rPr>
                <w:color w:val="1C3A36"/>
                <w:sz w:val="18"/>
              </w:rPr>
              <w:t>EGP 9,441m</w:t>
            </w:r>
          </w:p>
        </w:tc>
      </w:tr>
      <w:tr>
        <w:tc>
          <w:tcPr>
            <w:tcW w:type="dxa" w:w="3168"/>
          </w:tcPr>
          <w:p>
            <w:pPr>
              <w:spacing w:after="20"/>
            </w:pPr>
            <w:r>
              <w:rPr>
                <w:color w:val="1C3A36"/>
                <w:sz w:val="18"/>
              </w:rPr>
              <w:t>FY2025 EBITDA</w:t>
            </w:r>
          </w:p>
        </w:tc>
        <w:tc>
          <w:tcPr>
            <w:tcW w:type="dxa" w:w="1872"/>
          </w:tcPr>
          <w:p>
            <w:pPr>
              <w:spacing w:after="20"/>
              <w:jc w:val="right"/>
            </w:pPr>
            <w:r>
              <w:rPr>
                <w:color w:val="1C3A36"/>
                <w:sz w:val="18"/>
              </w:rPr>
              <w:t>EGP 2,484m</w:t>
            </w:r>
          </w:p>
        </w:tc>
        <w:tc>
          <w:tcPr>
            <w:tcW w:type="dxa" w:w="3168"/>
          </w:tcPr>
          <w:p>
            <w:pPr>
              <w:spacing w:after="20"/>
              <w:jc w:val="right"/>
            </w:pPr>
            <w:r>
              <w:rPr>
                <w:color w:val="1C3A36"/>
                <w:sz w:val="18"/>
              </w:rPr>
              <w:t>FY2025 attributable profit</w:t>
            </w:r>
          </w:p>
        </w:tc>
        <w:tc>
          <w:tcPr>
            <w:tcW w:type="dxa" w:w="1872"/>
          </w:tcPr>
          <w:p>
            <w:pPr>
              <w:spacing w:after="20"/>
              <w:jc w:val="right"/>
            </w:pPr>
            <w:r>
              <w:rPr>
                <w:color w:val="1C3A36"/>
                <w:sz w:val="18"/>
              </w:rPr>
              <w:t>EGP 1,442m</w:t>
            </w:r>
          </w:p>
        </w:tc>
      </w:tr>
      <w:tr>
        <w:tc>
          <w:tcPr>
            <w:tcW w:type="dxa" w:w="3168"/>
          </w:tcPr>
          <w:p>
            <w:pPr>
              <w:spacing w:after="20"/>
            </w:pPr>
            <w:r>
              <w:rPr>
                <w:color w:val="1C3A36"/>
                <w:sz w:val="18"/>
              </w:rPr>
              <w:t>Trailing price / earnings</w:t>
            </w:r>
          </w:p>
        </w:tc>
        <w:tc>
          <w:tcPr>
            <w:tcW w:type="dxa" w:w="1872"/>
          </w:tcPr>
          <w:p>
            <w:pPr>
              <w:spacing w:after="20"/>
              <w:jc w:val="right"/>
            </w:pPr>
            <w:r>
              <w:rPr>
                <w:color w:val="1C3A36"/>
                <w:sz w:val="18"/>
              </w:rPr>
              <w:t>15.2x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11.9x</w:t>
            </w:r>
          </w:p>
        </w:tc>
      </w:tr>
      <w:tr>
        <w:tc>
          <w:tcPr>
            <w:tcW w:type="dxa" w:w="3168"/>
          </w:tcPr>
          <w:p>
            <w:pPr>
              <w:spacing w:after="20"/>
            </w:pPr>
            <w:r>
              <w:rPr>
                <w:color w:val="1C3A36"/>
                <w:sz w:val="18"/>
              </w:rPr>
              <w:t>Cost of equity</w:t>
            </w:r>
          </w:p>
        </w:tc>
        <w:tc>
          <w:tcPr>
            <w:tcW w:type="dxa" w:w="1872"/>
          </w:tcPr>
          <w:p>
            <w:pPr>
              <w:spacing w:after="20"/>
              <w:jc w:val="right"/>
            </w:pPr>
            <w:r>
              <w:rPr>
                <w:color w:val="1C3A36"/>
                <w:sz w:val="18"/>
              </w:rPr>
              <w:t>24.82%</w:t>
            </w:r>
          </w:p>
        </w:tc>
        <w:tc>
          <w:tcPr>
            <w:tcW w:type="dxa" w:w="3168"/>
          </w:tcPr>
          <w:p>
            <w:pPr>
              <w:spacing w:after="20"/>
              <w:jc w:val="right"/>
            </w:pPr>
            <w:r>
              <w:rPr>
                <w:color w:val="1C3A36"/>
                <w:sz w:val="18"/>
              </w:rPr>
              <w:t>Discount rate, first year</w:t>
            </w:r>
          </w:p>
        </w:tc>
        <w:tc>
          <w:tcPr>
            <w:tcW w:type="dxa" w:w="1872"/>
          </w:tcPr>
          <w:p>
            <w:pPr>
              <w:spacing w:after="20"/>
              <w:jc w:val="right"/>
            </w:pPr>
            <w:r>
              <w:rPr>
                <w:color w:val="1C3A36"/>
                <w:sz w:val="18"/>
              </w:rPr>
              <w:t>22.19%</w:t>
            </w:r>
          </w:p>
        </w:tc>
      </w:tr>
      <w:tr>
        <w:tc>
          <w:tcPr>
            <w:tcW w:type="dxa" w:w="3168"/>
          </w:tcPr>
          <w:p>
            <w:pPr>
              <w:spacing w:after="20"/>
            </w:pPr>
            <w:r>
              <w:rPr>
                <w:color w:val="1C3A36"/>
                <w:sz w:val="18"/>
              </w:rPr>
              <w:t>Discount rate, terminal</w:t>
            </w:r>
          </w:p>
        </w:tc>
        <w:tc>
          <w:tcPr>
            <w:tcW w:type="dxa" w:w="1872"/>
          </w:tcPr>
          <w:p>
            <w:pPr>
              <w:spacing w:after="20"/>
              <w:jc w:val="right"/>
            </w:pPr>
            <w:r>
              <w:rPr>
                <w:color w:val="1C3A36"/>
                <w:sz w:val="18"/>
              </w:rPr>
              <w:t>13.83%</w:t>
            </w:r>
          </w:p>
        </w:tc>
        <w:tc>
          <w:tcPr>
            <w:tcW w:type="dxa" w:w="3168"/>
          </w:tcPr>
          <w:p>
            <w:pPr>
              <w:spacing w:after="20"/>
              <w:jc w:val="right"/>
            </w:pPr>
            <w:r>
              <w:rPr>
                <w:color w:val="1C3A36"/>
                <w:sz w:val="18"/>
              </w:rPr>
              <w:t>Proposed dividend, FY2025</w:t>
            </w:r>
          </w:p>
        </w:tc>
        <w:tc>
          <w:tcPr>
            <w:tcW w:type="dxa" w:w="1872"/>
          </w:tcPr>
          <w:p>
            <w:pPr>
              <w:spacing w:after="20"/>
              <w:jc w:val="right"/>
            </w:pPr>
            <w:r>
              <w:rPr>
                <w:color w:val="1C3A36"/>
                <w:sz w:val="18"/>
              </w:rPr>
              <w:t>EGP 3.50 (2.7% yield)</w:t>
            </w:r>
          </w:p>
        </w:tc>
      </w:tr>
    </w:tbl>
    <w:p>
      <w:pPr>
        <w:spacing w:after="40"/>
      </w:pPr>
    </w:p>
    <w:p>
      <w:pPr>
        <w:spacing w:after="200" w:before="0"/>
      </w:pPr>
      <w:r>
        <w:rPr>
          <w:b w:val="0"/>
          <w:i/>
          <w:color w:val="6E7B77"/>
          <w:sz w:val="17"/>
        </w:rPr>
        <w:t>Table 2 — the figures a reader needs before anything else.</w:t>
      </w:r>
    </w:p>
    <w:p>
      <w:pPr>
        <w:spacing w:after="120" w:before="280"/>
      </w:pPr>
      <w:r>
        <w:rPr>
          <w:b/>
          <w:i w:val="0"/>
          <w:color w:val="1C3A36"/>
          <w:sz w:val="30"/>
        </w:rPr>
        <w:t>Company overview</w:t>
      </w:r>
    </w:p>
    <w:p>
      <w:pPr>
        <w:spacing w:after="120" w:before="0"/>
      </w:pPr>
      <w:r>
        <w:rPr>
          <w:b w:val="0"/>
          <w:i w:val="0"/>
          <w:color w:val="1C3A36"/>
          <w:sz w:val="21"/>
        </w:rPr>
        <w:t>EIPICO was founded in 1980 in Tenth of Ramadan City with capital of EGP 7 million and began producing in 1985. It is today the largest operating subsidiary of the Arab Company for Drug Industries and Medical Appliances, which holds 51.34% of its shares. The rest of the share list is dominated by medical-profession institutions — an investment company, the professions federation and its pension fund together hold a further 12.02% — with 36.64% in other hands.</w:t>
      </w:r>
    </w:p>
    <w:p>
      <w:pPr>
        <w:spacing w:after="120" w:before="0"/>
      </w:pPr>
      <w:r>
        <w:rPr>
          <w:b w:val="0"/>
          <w:i w:val="0"/>
          <w:color w:val="1C3A36"/>
          <w:sz w:val="21"/>
        </w:rPr>
        <w:t>The business is a vertically integrated generic and branded pharmaceutical manufacturer. It runs 54 production lines across three plants, produced 2,208 million units in FY2025 against 3,383 million of its own disclosed capacity, and sold 357.3 million packs of 414 registered preparations across 27 therapeutic groups. It employs about 4,981 people. It makes its own primary packaging through a wholly-owned ampoule and vial subsidiary and a plastics factory, which is why the packaging cost line is only partly exposed to imports.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800"/>
        <w:gridCol w:w="1800"/>
        <w:gridCol w:w="1224"/>
        <w:gridCol w:w="1728"/>
      </w:tblGrid>
      <w:tr>
        <w:tc>
          <w:tcPr>
            <w:tcW w:type="dxa" w:w="3096"/>
            <w:shd w:val="clear" w:color="auto" w:fill="EAF0EE"/>
          </w:tcPr>
          <w:p>
            <w:pPr>
              <w:spacing w:after="20"/>
            </w:pPr>
            <w:r>
              <w:rPr>
                <w:b/>
                <w:color w:val="1C3A36"/>
                <w:sz w:val="18"/>
              </w:rPr>
              <w:t>Revenue channel</w:t>
            </w:r>
          </w:p>
        </w:tc>
        <w:tc>
          <w:tcPr>
            <w:tcW w:type="dxa" w:w="1800"/>
            <w:shd w:val="clear" w:color="auto" w:fill="EAF0EE"/>
          </w:tcPr>
          <w:p>
            <w:pPr>
              <w:spacing w:after="20"/>
            </w:pPr>
            <w:r>
              <w:rPr>
                <w:b/>
                <w:color w:val="1C3A36"/>
                <w:sz w:val="18"/>
              </w:rPr>
              <w:t>FY2024 (EGP m)</w:t>
            </w:r>
          </w:p>
        </w:tc>
        <w:tc>
          <w:tcPr>
            <w:tcW w:type="dxa" w:w="1800"/>
            <w:shd w:val="clear" w:color="auto" w:fill="EAF0EE"/>
          </w:tcPr>
          <w:p>
            <w:pPr>
              <w:spacing w:after="20"/>
            </w:pPr>
            <w:r>
              <w:rPr>
                <w:b/>
                <w:color w:val="1C3A36"/>
                <w:sz w:val="18"/>
              </w:rPr>
              <w:t>FY2025 (EGP m)</w:t>
            </w:r>
          </w:p>
        </w:tc>
        <w:tc>
          <w:tcPr>
            <w:tcW w:type="dxa" w:w="1224"/>
            <w:shd w:val="clear" w:color="auto" w:fill="EAF0EE"/>
          </w:tcPr>
          <w:p>
            <w:pPr>
              <w:spacing w:after="20"/>
            </w:pPr>
            <w:r>
              <w:rPr>
                <w:b/>
                <w:color w:val="1C3A36"/>
                <w:sz w:val="18"/>
              </w:rPr>
              <w:t>Growth</w:t>
            </w:r>
          </w:p>
        </w:tc>
        <w:tc>
          <w:tcPr>
            <w:tcW w:type="dxa" w:w="1728"/>
            <w:shd w:val="clear" w:color="auto" w:fill="EAF0EE"/>
          </w:tcPr>
          <w:p>
            <w:pPr>
              <w:spacing w:after="20"/>
            </w:pPr>
            <w:r>
              <w:rPr>
                <w:b/>
                <w:color w:val="1C3A36"/>
                <w:sz w:val="18"/>
              </w:rPr>
              <w:t>Share of FY2025</w:t>
            </w:r>
          </w:p>
        </w:tc>
      </w:tr>
      <w:tr>
        <w:tc>
          <w:tcPr>
            <w:tcW w:type="dxa" w:w="3096"/>
          </w:tcPr>
          <w:p>
            <w:pPr>
              <w:spacing w:after="20"/>
            </w:pPr>
            <w:r>
              <w:rPr>
                <w:color w:val="1C3A36"/>
                <w:sz w:val="18"/>
              </w:rPr>
              <w:t>Direct domestic sales</w:t>
            </w:r>
          </w:p>
        </w:tc>
        <w:tc>
          <w:tcPr>
            <w:tcW w:type="dxa" w:w="1800"/>
          </w:tcPr>
          <w:p>
            <w:pPr>
              <w:spacing w:after="20"/>
              <w:jc w:val="right"/>
            </w:pPr>
            <w:r>
              <w:rPr>
                <w:color w:val="1C3A36"/>
                <w:sz w:val="18"/>
              </w:rPr>
              <w:t>1,530</w:t>
            </w:r>
          </w:p>
        </w:tc>
        <w:tc>
          <w:tcPr>
            <w:tcW w:type="dxa" w:w="1800"/>
          </w:tcPr>
          <w:p>
            <w:pPr>
              <w:spacing w:after="20"/>
              <w:jc w:val="right"/>
            </w:pPr>
            <w:r>
              <w:rPr>
                <w:color w:val="1C3A36"/>
                <w:sz w:val="18"/>
              </w:rPr>
              <w:t>1,943</w:t>
            </w:r>
          </w:p>
        </w:tc>
        <w:tc>
          <w:tcPr>
            <w:tcW w:type="dxa" w:w="1224"/>
          </w:tcPr>
          <w:p>
            <w:pPr>
              <w:spacing w:after="20"/>
              <w:jc w:val="right"/>
            </w:pPr>
            <w:r>
              <w:rPr>
                <w:color w:val="1C3A36"/>
                <w:sz w:val="18"/>
              </w:rPr>
              <w:t>27%</w:t>
            </w:r>
          </w:p>
        </w:tc>
        <w:tc>
          <w:tcPr>
            <w:tcW w:type="dxa" w:w="1728"/>
          </w:tcPr>
          <w:p>
            <w:pPr>
              <w:spacing w:after="20"/>
              <w:jc w:val="right"/>
            </w:pPr>
            <w:r>
              <w:rPr>
                <w:color w:val="1C3A36"/>
                <w:sz w:val="18"/>
              </w:rPr>
              <w:t>21%</w:t>
            </w:r>
          </w:p>
        </w:tc>
      </w:tr>
      <w:tr>
        <w:tc>
          <w:tcPr>
            <w:tcW w:type="dxa" w:w="3096"/>
          </w:tcPr>
          <w:p>
            <w:pPr>
              <w:spacing w:after="20"/>
            </w:pPr>
            <w:r>
              <w:rPr>
                <w:color w:val="1C3A36"/>
                <w:sz w:val="18"/>
              </w:rPr>
              <w:t>Domestic distributors</w:t>
            </w:r>
          </w:p>
        </w:tc>
        <w:tc>
          <w:tcPr>
            <w:tcW w:type="dxa" w:w="1800"/>
          </w:tcPr>
          <w:p>
            <w:pPr>
              <w:spacing w:after="20"/>
              <w:jc w:val="right"/>
            </w:pPr>
            <w:r>
              <w:rPr>
                <w:color w:val="1C3A36"/>
                <w:sz w:val="18"/>
              </w:rPr>
              <w:t>2,664</w:t>
            </w:r>
          </w:p>
        </w:tc>
        <w:tc>
          <w:tcPr>
            <w:tcW w:type="dxa" w:w="1800"/>
          </w:tcPr>
          <w:p>
            <w:pPr>
              <w:spacing w:after="20"/>
              <w:jc w:val="right"/>
            </w:pPr>
            <w:r>
              <w:rPr>
                <w:color w:val="1C3A36"/>
                <w:sz w:val="18"/>
              </w:rPr>
              <w:t>3,591</w:t>
            </w:r>
          </w:p>
        </w:tc>
        <w:tc>
          <w:tcPr>
            <w:tcW w:type="dxa" w:w="1224"/>
          </w:tcPr>
          <w:p>
            <w:pPr>
              <w:spacing w:after="20"/>
              <w:jc w:val="right"/>
            </w:pPr>
            <w:r>
              <w:rPr>
                <w:color w:val="1C3A36"/>
                <w:sz w:val="18"/>
              </w:rPr>
              <w:t>35%</w:t>
            </w:r>
          </w:p>
        </w:tc>
        <w:tc>
          <w:tcPr>
            <w:tcW w:type="dxa" w:w="1728"/>
          </w:tcPr>
          <w:p>
            <w:pPr>
              <w:spacing w:after="20"/>
              <w:jc w:val="right"/>
            </w:pPr>
            <w:r>
              <w:rPr>
                <w:color w:val="1C3A36"/>
                <w:sz w:val="18"/>
              </w:rPr>
              <w:t>39%</w:t>
            </w:r>
          </w:p>
        </w:tc>
      </w:tr>
      <w:tr>
        <w:tc>
          <w:tcPr>
            <w:tcW w:type="dxa" w:w="3096"/>
          </w:tcPr>
          <w:p>
            <w:pPr>
              <w:spacing w:after="20"/>
            </w:pPr>
            <w:r>
              <w:rPr>
                <w:color w:val="1C3A36"/>
                <w:sz w:val="18"/>
              </w:rPr>
              <w:t>Government tenders and supply</w:t>
            </w:r>
          </w:p>
        </w:tc>
        <w:tc>
          <w:tcPr>
            <w:tcW w:type="dxa" w:w="1800"/>
          </w:tcPr>
          <w:p>
            <w:pPr>
              <w:spacing w:after="20"/>
              <w:jc w:val="right"/>
            </w:pPr>
            <w:r>
              <w:rPr>
                <w:color w:val="1C3A36"/>
                <w:sz w:val="18"/>
              </w:rPr>
              <w:t>634</w:t>
            </w:r>
          </w:p>
        </w:tc>
        <w:tc>
          <w:tcPr>
            <w:tcW w:type="dxa" w:w="1800"/>
          </w:tcPr>
          <w:p>
            <w:pPr>
              <w:spacing w:after="20"/>
              <w:jc w:val="right"/>
            </w:pPr>
            <w:r>
              <w:rPr>
                <w:color w:val="1C3A36"/>
                <w:sz w:val="18"/>
              </w:rPr>
              <w:t>751</w:t>
            </w:r>
          </w:p>
        </w:tc>
        <w:tc>
          <w:tcPr>
            <w:tcW w:type="dxa" w:w="1224"/>
          </w:tcPr>
          <w:p>
            <w:pPr>
              <w:spacing w:after="20"/>
              <w:jc w:val="right"/>
            </w:pPr>
            <w:r>
              <w:rPr>
                <w:color w:val="1C3A36"/>
                <w:sz w:val="18"/>
              </w:rPr>
              <w:t>18%</w:t>
            </w:r>
          </w:p>
        </w:tc>
        <w:tc>
          <w:tcPr>
            <w:tcW w:type="dxa" w:w="1728"/>
          </w:tcPr>
          <w:p>
            <w:pPr>
              <w:spacing w:after="20"/>
              <w:jc w:val="right"/>
            </w:pPr>
            <w:r>
              <w:rPr>
                <w:color w:val="1C3A36"/>
                <w:sz w:val="18"/>
              </w:rPr>
              <w:t>8%</w:t>
            </w:r>
          </w:p>
        </w:tc>
      </w:tr>
      <w:tr>
        <w:tc>
          <w:tcPr>
            <w:tcW w:type="dxa" w:w="3096"/>
          </w:tcPr>
          <w:p>
            <w:pPr>
              <w:spacing w:after="20"/>
            </w:pPr>
            <w:r>
              <w:rPr>
                <w:color w:val="1C3A36"/>
                <w:sz w:val="18"/>
              </w:rPr>
              <w:t>Export</w:t>
            </w:r>
          </w:p>
        </w:tc>
        <w:tc>
          <w:tcPr>
            <w:tcW w:type="dxa" w:w="1800"/>
          </w:tcPr>
          <w:p>
            <w:pPr>
              <w:spacing w:after="20"/>
              <w:jc w:val="right"/>
            </w:pPr>
            <w:r>
              <w:rPr>
                <w:color w:val="1C3A36"/>
                <w:sz w:val="18"/>
              </w:rPr>
              <w:t>2,500</w:t>
            </w:r>
          </w:p>
        </w:tc>
        <w:tc>
          <w:tcPr>
            <w:tcW w:type="dxa" w:w="1800"/>
          </w:tcPr>
          <w:p>
            <w:pPr>
              <w:spacing w:after="20"/>
              <w:jc w:val="right"/>
            </w:pPr>
            <w:r>
              <w:rPr>
                <w:color w:val="1C3A36"/>
                <w:sz w:val="18"/>
              </w:rPr>
              <w:t>2,967</w:t>
            </w:r>
          </w:p>
        </w:tc>
        <w:tc>
          <w:tcPr>
            <w:tcW w:type="dxa" w:w="1224"/>
          </w:tcPr>
          <w:p>
            <w:pPr>
              <w:spacing w:after="20"/>
              <w:jc w:val="right"/>
            </w:pPr>
            <w:r>
              <w:rPr>
                <w:color w:val="1C3A36"/>
                <w:sz w:val="18"/>
              </w:rPr>
              <w:t>19%</w:t>
            </w:r>
          </w:p>
        </w:tc>
        <w:tc>
          <w:tcPr>
            <w:tcW w:type="dxa" w:w="1728"/>
          </w:tcPr>
          <w:p>
            <w:pPr>
              <w:spacing w:after="20"/>
              <w:jc w:val="right"/>
            </w:pPr>
            <w:r>
              <w:rPr>
                <w:color w:val="1C3A36"/>
                <w:sz w:val="18"/>
              </w:rPr>
              <w:t>32%</w:t>
            </w:r>
          </w:p>
        </w:tc>
      </w:tr>
      <w:tr>
        <w:tc>
          <w:tcPr>
            <w:tcW w:type="dxa" w:w="3096"/>
          </w:tcPr>
          <w:p>
            <w:pPr>
              <w:spacing w:after="20"/>
            </w:pPr>
            <w:r>
              <w:rPr>
                <w:color w:val="1C3A36"/>
                <w:sz w:val="18"/>
              </w:rPr>
              <w:t>Contract manufacturing</w:t>
            </w:r>
          </w:p>
        </w:tc>
        <w:tc>
          <w:tcPr>
            <w:tcW w:type="dxa" w:w="1800"/>
          </w:tcPr>
          <w:p>
            <w:pPr>
              <w:spacing w:after="20"/>
              <w:jc w:val="right"/>
            </w:pPr>
            <w:r>
              <w:rPr>
                <w:color w:val="1C3A36"/>
                <w:sz w:val="18"/>
              </w:rPr>
              <w:t>36</w:t>
            </w:r>
          </w:p>
        </w:tc>
        <w:tc>
          <w:tcPr>
            <w:tcW w:type="dxa" w:w="1800"/>
          </w:tcPr>
          <w:p>
            <w:pPr>
              <w:spacing w:after="20"/>
              <w:jc w:val="right"/>
            </w:pPr>
            <w:r>
              <w:rPr>
                <w:color w:val="1C3A36"/>
                <w:sz w:val="18"/>
              </w:rPr>
              <w:t>49</w:t>
            </w:r>
          </w:p>
        </w:tc>
        <w:tc>
          <w:tcPr>
            <w:tcW w:type="dxa" w:w="1224"/>
          </w:tcPr>
          <w:p>
            <w:pPr>
              <w:spacing w:after="20"/>
              <w:jc w:val="right"/>
            </w:pPr>
            <w:r>
              <w:rPr>
                <w:color w:val="1C3A36"/>
                <w:sz w:val="18"/>
              </w:rPr>
              <w:t>38%</w:t>
            </w:r>
          </w:p>
        </w:tc>
        <w:tc>
          <w:tcPr>
            <w:tcW w:type="dxa" w:w="1728"/>
          </w:tcPr>
          <w:p>
            <w:pPr>
              <w:spacing w:after="20"/>
              <w:jc w:val="right"/>
            </w:pPr>
            <w:r>
              <w:rPr>
                <w:color w:val="1C3A36"/>
                <w:sz w:val="18"/>
              </w:rPr>
              <w:t>1%</w:t>
            </w:r>
          </w:p>
        </w:tc>
      </w:tr>
      <w:tr>
        <w:tc>
          <w:tcPr>
            <w:tcW w:type="dxa" w:w="3096"/>
            <w:shd w:val="clear" w:color="auto" w:fill="F6F1E6"/>
          </w:tcPr>
          <w:p>
            <w:pPr>
              <w:spacing w:after="20"/>
            </w:pPr>
            <w:r>
              <w:rPr>
                <w:b/>
                <w:color w:val="1C3A36"/>
                <w:sz w:val="18"/>
              </w:rPr>
              <w:t>Total (company only)</w:t>
            </w:r>
          </w:p>
        </w:tc>
        <w:tc>
          <w:tcPr>
            <w:tcW w:type="dxa" w:w="1800"/>
            <w:shd w:val="clear" w:color="auto" w:fill="F6F1E6"/>
          </w:tcPr>
          <w:p>
            <w:pPr>
              <w:spacing w:after="20"/>
              <w:jc w:val="right"/>
            </w:pPr>
            <w:r>
              <w:rPr>
                <w:b/>
                <w:color w:val="1C3A36"/>
                <w:sz w:val="18"/>
              </w:rPr>
              <w:t>7,479</w:t>
            </w:r>
          </w:p>
        </w:tc>
        <w:tc>
          <w:tcPr>
            <w:tcW w:type="dxa" w:w="1800"/>
            <w:shd w:val="clear" w:color="auto" w:fill="F6F1E6"/>
          </w:tcPr>
          <w:p>
            <w:pPr>
              <w:spacing w:after="20"/>
              <w:jc w:val="right"/>
            </w:pPr>
            <w:r>
              <w:rPr>
                <w:b/>
                <w:color w:val="1C3A36"/>
                <w:sz w:val="18"/>
              </w:rPr>
              <w:t>9,302</w:t>
            </w:r>
          </w:p>
        </w:tc>
        <w:tc>
          <w:tcPr>
            <w:tcW w:type="dxa" w:w="1224"/>
            <w:shd w:val="clear" w:color="auto" w:fill="F6F1E6"/>
          </w:tcPr>
          <w:p>
            <w:pPr>
              <w:spacing w:after="20"/>
              <w:jc w:val="right"/>
            </w:pPr>
            <w:r>
              <w:rPr>
                <w:b/>
                <w:color w:val="1C3A36"/>
                <w:sz w:val="18"/>
              </w:rPr>
            </w:r>
          </w:p>
        </w:tc>
        <w:tc>
          <w:tcPr>
            <w:tcW w:type="dxa" w:w="1728"/>
            <w:shd w:val="clear" w:color="auto" w:fill="F6F1E6"/>
          </w:tcPr>
          <w:p>
            <w:pPr>
              <w:spacing w:after="20"/>
              <w:jc w:val="right"/>
            </w:pPr>
            <w:r>
              <w:rPr>
                <w:b/>
                <w:color w:val="1C3A36"/>
                <w:sz w:val="18"/>
              </w:rPr>
              <w:t>100%</w:t>
            </w:r>
          </w:p>
        </w:tc>
      </w:tr>
    </w:tbl>
    <w:p>
      <w:pPr>
        <w:spacing w:after="40"/>
      </w:pPr>
    </w:p>
    <w:p>
      <w:pPr>
        <w:spacing w:after="200" w:before="0"/>
      </w:pPr>
      <w:r>
        <w:rPr>
          <w:b w:val="0"/>
          <w:i/>
          <w:color w:val="6E7B77"/>
          <w:sz w:val="17"/>
        </w:rPr>
        <w:t>Table 3 — the disclosed revenue split. Exports are 32% of the book and are earned in hard currency; the domestic price is set administratively by the Egyptian Drug Authority.</w:t>
      </w:r>
    </w:p>
    <w:p>
      <w:pPr>
        <w:spacing w:after="120" w:before="0"/>
      </w:pPr>
      <w:r>
        <w:rPr>
          <w:b w:val="0"/>
          <w:i w:val="0"/>
          <w:color w:val="1C3A36"/>
          <w:sz w:val="21"/>
        </w:rPr>
        <w:t>Two things about this company are unusual enough to change how it must be valued. First, it is nearly currency-neutral on its balance sheet: the audited note shows a net monetary position of minus USD 0.5 million at the year end, against a company that earns USD 60 million of export revenue. It hedges by matching, not by contract. Second, its two equity-accounted associates contributed EGP 495 million in FY2025 — 34% of attributable profit — against a carrying value of only EGP 676 million. Carrying value is not a usable proxy for what that stake is worth, so this study values it on its earnings instead.</w:t>
      </w:r>
    </w:p>
    <w:p>
      <w:pPr>
        <w:spacing w:after="120" w:before="280"/>
      </w:pPr>
      <w:r>
        <w:rPr>
          <w:b/>
          <w:i w:val="0"/>
          <w:color w:val="1C3A36"/>
          <w:sz w:val="30"/>
        </w:rPr>
        <w:t>1. Fundamental valuation</w:t>
      </w:r>
    </w:p>
    <w:p>
      <w:pPr>
        <w:spacing w:after="80" w:before="200"/>
      </w:pPr>
      <w:r>
        <w:rPr>
          <w:b/>
          <w:i w:val="0"/>
          <w:color w:val="1C3A36"/>
          <w:sz w:val="24"/>
        </w:rPr>
        <w:t>1.1 The cash-flow model</w:t>
      </w:r>
    </w:p>
    <w:p>
      <w:pPr>
        <w:spacing w:after="120" w:before="0"/>
      </w:pPr>
      <w:r>
        <w:rPr>
          <w:b w:val="0"/>
          <w:i w:val="0"/>
          <w:color w:val="1C3A36"/>
          <w:sz w:val="21"/>
        </w:rPr>
        <w:t>The company is valued as an operating business: free cash flow to the firm over five explicit years, discounted on a rate that glides from today's cost of capital to a normalised one, plus a terminal value. Frame A of the contested provision judgement is shown here in full; Frame B differs only in that one line and is carried through to its own value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EGP million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Revenue</w:t>
            </w:r>
          </w:p>
        </w:tc>
        <w:tc>
          <w:tcPr>
            <w:tcW w:type="dxa" w:w="1325"/>
          </w:tcPr>
          <w:p>
            <w:pPr>
              <w:spacing w:after="20"/>
              <w:jc w:val="right"/>
            </w:pPr>
            <w:r>
              <w:rPr>
                <w:color w:val="1C3A36"/>
                <w:sz w:val="17"/>
              </w:rPr>
              <w:t>11,091</w:t>
            </w:r>
          </w:p>
        </w:tc>
        <w:tc>
          <w:tcPr>
            <w:tcW w:type="dxa" w:w="1325"/>
          </w:tcPr>
          <w:p>
            <w:pPr>
              <w:spacing w:after="20"/>
              <w:jc w:val="right"/>
            </w:pPr>
            <w:r>
              <w:rPr>
                <w:color w:val="1C3A36"/>
                <w:sz w:val="17"/>
              </w:rPr>
              <w:t>12,942</w:t>
            </w:r>
          </w:p>
        </w:tc>
        <w:tc>
          <w:tcPr>
            <w:tcW w:type="dxa" w:w="1325"/>
          </w:tcPr>
          <w:p>
            <w:pPr>
              <w:spacing w:after="20"/>
              <w:jc w:val="right"/>
            </w:pPr>
            <w:r>
              <w:rPr>
                <w:color w:val="1C3A36"/>
                <w:sz w:val="17"/>
              </w:rPr>
              <w:t>14,867</w:t>
            </w:r>
          </w:p>
        </w:tc>
        <w:tc>
          <w:tcPr>
            <w:tcW w:type="dxa" w:w="1325"/>
          </w:tcPr>
          <w:p>
            <w:pPr>
              <w:spacing w:after="20"/>
              <w:jc w:val="right"/>
            </w:pPr>
            <w:r>
              <w:rPr>
                <w:color w:val="1C3A36"/>
                <w:sz w:val="17"/>
              </w:rPr>
              <w:t>16,818</w:t>
            </w:r>
          </w:p>
        </w:tc>
        <w:tc>
          <w:tcPr>
            <w:tcW w:type="dxa" w:w="1325"/>
          </w:tcPr>
          <w:p>
            <w:pPr>
              <w:spacing w:after="20"/>
              <w:jc w:val="right"/>
            </w:pPr>
            <w:r>
              <w:rPr>
                <w:color w:val="1C3A36"/>
                <w:sz w:val="17"/>
              </w:rPr>
              <w:t>18,718</w:t>
            </w:r>
          </w:p>
        </w:tc>
      </w:tr>
      <w:tr>
        <w:tc>
          <w:tcPr>
            <w:tcW w:type="dxa" w:w="3384"/>
          </w:tcPr>
          <w:p>
            <w:pPr>
              <w:spacing w:after="20"/>
            </w:pPr>
            <w:r>
              <w:rPr>
                <w:color w:val="1C3A36"/>
                <w:sz w:val="17"/>
              </w:rPr>
              <w:t>EBITDA</w:t>
            </w:r>
          </w:p>
        </w:tc>
        <w:tc>
          <w:tcPr>
            <w:tcW w:type="dxa" w:w="1325"/>
          </w:tcPr>
          <w:p>
            <w:pPr>
              <w:spacing w:after="20"/>
              <w:jc w:val="right"/>
            </w:pPr>
            <w:r>
              <w:rPr>
                <w:color w:val="1C3A36"/>
                <w:sz w:val="17"/>
              </w:rPr>
              <w:t>2,908</w:t>
            </w:r>
          </w:p>
        </w:tc>
        <w:tc>
          <w:tcPr>
            <w:tcW w:type="dxa" w:w="1325"/>
          </w:tcPr>
          <w:p>
            <w:pPr>
              <w:spacing w:after="20"/>
              <w:jc w:val="right"/>
            </w:pPr>
            <w:r>
              <w:rPr>
                <w:color w:val="1C3A36"/>
                <w:sz w:val="17"/>
              </w:rPr>
              <w:t>3,405</w:t>
            </w:r>
          </w:p>
        </w:tc>
        <w:tc>
          <w:tcPr>
            <w:tcW w:type="dxa" w:w="1325"/>
          </w:tcPr>
          <w:p>
            <w:pPr>
              <w:spacing w:after="20"/>
              <w:jc w:val="right"/>
            </w:pPr>
            <w:r>
              <w:rPr>
                <w:color w:val="1C3A36"/>
                <w:sz w:val="17"/>
              </w:rPr>
              <w:t>3,942</w:t>
            </w:r>
          </w:p>
        </w:tc>
        <w:tc>
          <w:tcPr>
            <w:tcW w:type="dxa" w:w="1325"/>
          </w:tcPr>
          <w:p>
            <w:pPr>
              <w:spacing w:after="20"/>
              <w:jc w:val="right"/>
            </w:pPr>
            <w:r>
              <w:rPr>
                <w:color w:val="1C3A36"/>
                <w:sz w:val="17"/>
              </w:rPr>
              <w:t>4,467</w:t>
            </w:r>
          </w:p>
        </w:tc>
        <w:tc>
          <w:tcPr>
            <w:tcW w:type="dxa" w:w="1325"/>
          </w:tcPr>
          <w:p>
            <w:pPr>
              <w:spacing w:after="20"/>
              <w:jc w:val="right"/>
            </w:pPr>
            <w:r>
              <w:rPr>
                <w:color w:val="1C3A36"/>
                <w:sz w:val="17"/>
              </w:rPr>
              <w:t>4,960</w:t>
            </w:r>
          </w:p>
        </w:tc>
      </w:tr>
      <w:tr>
        <w:tc>
          <w:tcPr>
            <w:tcW w:type="dxa" w:w="3384"/>
          </w:tcPr>
          <w:p>
            <w:pPr>
              <w:spacing w:after="20"/>
            </w:pPr>
            <w:r>
              <w:rPr>
                <w:color w:val="1C3A36"/>
                <w:sz w:val="17"/>
              </w:rPr>
              <w:t>EBITDA margin</w:t>
            </w:r>
          </w:p>
        </w:tc>
        <w:tc>
          <w:tcPr>
            <w:tcW w:type="dxa" w:w="1325"/>
          </w:tcPr>
          <w:p>
            <w:pPr>
              <w:spacing w:after="20"/>
              <w:jc w:val="right"/>
            </w:pPr>
            <w:r>
              <w:rPr>
                <w:color w:val="1C3A36"/>
                <w:sz w:val="17"/>
              </w:rPr>
              <w:t>26.2%</w:t>
            </w:r>
          </w:p>
        </w:tc>
        <w:tc>
          <w:tcPr>
            <w:tcW w:type="dxa" w:w="1325"/>
          </w:tcPr>
          <w:p>
            <w:pPr>
              <w:spacing w:after="20"/>
              <w:jc w:val="right"/>
            </w:pPr>
            <w:r>
              <w:rPr>
                <w:color w:val="1C3A36"/>
                <w:sz w:val="17"/>
              </w:rPr>
              <w:t>26.3%</w:t>
            </w:r>
          </w:p>
        </w:tc>
        <w:tc>
          <w:tcPr>
            <w:tcW w:type="dxa" w:w="1325"/>
          </w:tcPr>
          <w:p>
            <w:pPr>
              <w:spacing w:after="20"/>
              <w:jc w:val="right"/>
            </w:pPr>
            <w:r>
              <w:rPr>
                <w:color w:val="1C3A36"/>
                <w:sz w:val="17"/>
              </w:rPr>
              <w:t>26.5%</w:t>
            </w:r>
          </w:p>
        </w:tc>
        <w:tc>
          <w:tcPr>
            <w:tcW w:type="dxa" w:w="1325"/>
          </w:tcPr>
          <w:p>
            <w:pPr>
              <w:spacing w:after="20"/>
              <w:jc w:val="right"/>
            </w:pPr>
            <w:r>
              <w:rPr>
                <w:color w:val="1C3A36"/>
                <w:sz w:val="17"/>
              </w:rPr>
              <w:t>26.6%</w:t>
            </w:r>
          </w:p>
        </w:tc>
        <w:tc>
          <w:tcPr>
            <w:tcW w:type="dxa" w:w="1325"/>
          </w:tcPr>
          <w:p>
            <w:pPr>
              <w:spacing w:after="20"/>
              <w:jc w:val="right"/>
            </w:pPr>
            <w:r>
              <w:rPr>
                <w:color w:val="1C3A36"/>
                <w:sz w:val="17"/>
              </w:rPr>
              <w:t>26.5%</w:t>
            </w:r>
          </w:p>
        </w:tc>
      </w:tr>
      <w:tr>
        <w:tc>
          <w:tcPr>
            <w:tcW w:type="dxa" w:w="3384"/>
            <w:shd w:val="clear" w:color="auto" w:fill="F6F1E6"/>
          </w:tcPr>
          <w:p>
            <w:pPr>
              <w:spacing w:after="20"/>
            </w:pPr>
            <w:r>
              <w:rPr>
                <w:b/>
                <w:color w:val="1C3A36"/>
                <w:sz w:val="17"/>
              </w:rPr>
              <w:t>Less depreciation and amortisation</w:t>
            </w:r>
          </w:p>
        </w:tc>
        <w:tc>
          <w:tcPr>
            <w:tcW w:type="dxa" w:w="1325"/>
            <w:shd w:val="clear" w:color="auto" w:fill="F6F1E6"/>
          </w:tcPr>
          <w:p>
            <w:pPr>
              <w:spacing w:after="20"/>
              <w:jc w:val="right"/>
            </w:pPr>
            <w:r>
              <w:rPr>
                <w:b/>
                <w:color w:val="1C3A36"/>
                <w:sz w:val="17"/>
              </w:rPr>
              <w:t>(298)</w:t>
            </w:r>
          </w:p>
        </w:tc>
        <w:tc>
          <w:tcPr>
            <w:tcW w:type="dxa" w:w="1325"/>
            <w:shd w:val="clear" w:color="auto" w:fill="F6F1E6"/>
          </w:tcPr>
          <w:p>
            <w:pPr>
              <w:spacing w:after="20"/>
              <w:jc w:val="right"/>
            </w:pPr>
            <w:r>
              <w:rPr>
                <w:b/>
                <w:color w:val="1C3A36"/>
                <w:sz w:val="17"/>
              </w:rPr>
              <w:t>(416)</w:t>
            </w:r>
          </w:p>
        </w:tc>
        <w:tc>
          <w:tcPr>
            <w:tcW w:type="dxa" w:w="1325"/>
            <w:shd w:val="clear" w:color="auto" w:fill="F6F1E6"/>
          </w:tcPr>
          <w:p>
            <w:pPr>
              <w:spacing w:after="20"/>
              <w:jc w:val="right"/>
            </w:pPr>
            <w:r>
              <w:rPr>
                <w:b/>
                <w:color w:val="1C3A36"/>
                <w:sz w:val="17"/>
              </w:rPr>
              <w:t>(441)</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(418)</w:t>
            </w:r>
          </w:p>
        </w:tc>
      </w:tr>
      <w:tr>
        <w:tc>
          <w:tcPr>
            <w:tcW w:type="dxa" w:w="3384"/>
          </w:tcPr>
          <w:p>
            <w:pPr>
              <w:spacing w:after="20"/>
            </w:pPr>
            <w:r>
              <w:rPr>
                <w:color w:val="1C3A36"/>
                <w:sz w:val="17"/>
              </w:rPr>
              <w:t>EBIT</w:t>
            </w:r>
          </w:p>
        </w:tc>
        <w:tc>
          <w:tcPr>
            <w:tcW w:type="dxa" w:w="1325"/>
          </w:tcPr>
          <w:p>
            <w:pPr>
              <w:spacing w:after="20"/>
              <w:jc w:val="right"/>
            </w:pPr>
            <w:r>
              <w:rPr>
                <w:color w:val="1C3A36"/>
                <w:sz w:val="17"/>
              </w:rPr>
              <w:t>2,610</w:t>
            </w:r>
          </w:p>
        </w:tc>
        <w:tc>
          <w:tcPr>
            <w:tcW w:type="dxa" w:w="1325"/>
          </w:tcPr>
          <w:p>
            <w:pPr>
              <w:spacing w:after="20"/>
              <w:jc w:val="right"/>
            </w:pPr>
            <w:r>
              <w:rPr>
                <w:color w:val="1C3A36"/>
                <w:sz w:val="17"/>
              </w:rPr>
              <w:t>2,989</w:t>
            </w:r>
          </w:p>
        </w:tc>
        <w:tc>
          <w:tcPr>
            <w:tcW w:type="dxa" w:w="1325"/>
          </w:tcPr>
          <w:p>
            <w:pPr>
              <w:spacing w:after="20"/>
              <w:jc w:val="right"/>
            </w:pPr>
            <w:r>
              <w:rPr>
                <w:color w:val="1C3A36"/>
                <w:sz w:val="17"/>
              </w:rPr>
              <w:t>3,501</w:t>
            </w:r>
          </w:p>
        </w:tc>
        <w:tc>
          <w:tcPr>
            <w:tcW w:type="dxa" w:w="1325"/>
          </w:tcPr>
          <w:p>
            <w:pPr>
              <w:spacing w:after="20"/>
              <w:jc w:val="right"/>
            </w:pPr>
            <w:r>
              <w:rPr>
                <w:color w:val="1C3A36"/>
                <w:sz w:val="17"/>
              </w:rPr>
              <w:t>4,034</w:t>
            </w:r>
          </w:p>
        </w:tc>
        <w:tc>
          <w:tcPr>
            <w:tcW w:type="dxa" w:w="1325"/>
          </w:tcPr>
          <w:p>
            <w:pPr>
              <w:spacing w:after="20"/>
              <w:jc w:val="right"/>
            </w:pPr>
            <w:r>
              <w:rPr>
                <w:color w:val="1C3A36"/>
                <w:sz w:val="17"/>
              </w:rPr>
              <w:t>4,542</w:t>
            </w:r>
          </w:p>
        </w:tc>
      </w:tr>
      <w:tr>
        <w:tc>
          <w:tcPr>
            <w:tcW w:type="dxa" w:w="3384"/>
          </w:tcPr>
          <w:p>
            <w:pPr>
              <w:spacing w:after="20"/>
            </w:pPr>
            <w:r>
              <w:rPr>
                <w:color w:val="1C3A36"/>
                <w:sz w:val="17"/>
              </w:rPr>
              <w:t>Tax rate</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22.5%</w:t>
            </w:r>
          </w:p>
        </w:tc>
      </w:tr>
      <w:tr>
        <w:tc>
          <w:tcPr>
            <w:tcW w:type="dxa" w:w="3384"/>
          </w:tcPr>
          <w:p>
            <w:pPr>
              <w:spacing w:after="20"/>
            </w:pPr>
            <w:r>
              <w:rPr>
                <w:color w:val="1C3A36"/>
                <w:sz w:val="17"/>
              </w:rPr>
              <w:t>NOPAT = EBIT x (1 − tax rate)</w:t>
            </w:r>
          </w:p>
        </w:tc>
        <w:tc>
          <w:tcPr>
            <w:tcW w:type="dxa" w:w="1325"/>
          </w:tcPr>
          <w:p>
            <w:pPr>
              <w:spacing w:after="20"/>
              <w:jc w:val="right"/>
            </w:pPr>
            <w:r>
              <w:rPr>
                <w:color w:val="1C3A36"/>
                <w:sz w:val="17"/>
              </w:rPr>
              <w:t>2,023</w:t>
            </w:r>
          </w:p>
        </w:tc>
        <w:tc>
          <w:tcPr>
            <w:tcW w:type="dxa" w:w="1325"/>
          </w:tcPr>
          <w:p>
            <w:pPr>
              <w:spacing w:after="20"/>
              <w:jc w:val="right"/>
            </w:pPr>
            <w:r>
              <w:rPr>
                <w:color w:val="1C3A36"/>
                <w:sz w:val="17"/>
              </w:rPr>
              <w:t>2,317</w:t>
            </w:r>
          </w:p>
        </w:tc>
        <w:tc>
          <w:tcPr>
            <w:tcW w:type="dxa" w:w="1325"/>
          </w:tcPr>
          <w:p>
            <w:pPr>
              <w:spacing w:after="20"/>
              <w:jc w:val="right"/>
            </w:pPr>
            <w:r>
              <w:rPr>
                <w:color w:val="1C3A36"/>
                <w:sz w:val="17"/>
              </w:rPr>
              <w:t>2,713</w:t>
            </w:r>
          </w:p>
        </w:tc>
        <w:tc>
          <w:tcPr>
            <w:tcW w:type="dxa" w:w="1325"/>
          </w:tcPr>
          <w:p>
            <w:pPr>
              <w:spacing w:after="20"/>
              <w:jc w:val="right"/>
            </w:pPr>
            <w:r>
              <w:rPr>
                <w:color w:val="1C3A36"/>
                <w:sz w:val="17"/>
              </w:rPr>
              <w:t>3,127</w:t>
            </w:r>
          </w:p>
        </w:tc>
        <w:tc>
          <w:tcPr>
            <w:tcW w:type="dxa" w:w="1325"/>
          </w:tcPr>
          <w:p>
            <w:pPr>
              <w:spacing w:after="20"/>
              <w:jc w:val="right"/>
            </w:pPr>
            <w:r>
              <w:rPr>
                <w:color w:val="1C3A36"/>
                <w:sz w:val="17"/>
              </w:rPr>
              <w:t>3,520</w:t>
            </w:r>
          </w:p>
        </w:tc>
      </w:tr>
      <w:tr>
        <w:tc>
          <w:tcPr>
            <w:tcW w:type="dxa" w:w="3384"/>
            <w:shd w:val="clear" w:color="auto" w:fill="F6F1E6"/>
          </w:tcPr>
          <w:p>
            <w:pPr>
              <w:spacing w:after="20"/>
            </w:pPr>
            <w:r>
              <w:rPr>
                <w:b/>
                <w:color w:val="1C3A36"/>
                <w:sz w:val="17"/>
              </w:rPr>
              <w:t>Add back depreciation and amortisation</w:t>
            </w:r>
          </w:p>
        </w:tc>
        <w:tc>
          <w:tcPr>
            <w:tcW w:type="dxa" w:w="1325"/>
            <w:shd w:val="clear" w:color="auto" w:fill="F6F1E6"/>
          </w:tcPr>
          <w:p>
            <w:pPr>
              <w:spacing w:after="20"/>
              <w:jc w:val="right"/>
            </w:pPr>
            <w:r>
              <w:rPr>
                <w:b/>
                <w:color w:val="1C3A36"/>
                <w:sz w:val="17"/>
              </w:rPr>
              <w:t>298</w:t>
            </w:r>
          </w:p>
        </w:tc>
        <w:tc>
          <w:tcPr>
            <w:tcW w:type="dxa" w:w="1325"/>
            <w:shd w:val="clear" w:color="auto" w:fill="F6F1E6"/>
          </w:tcPr>
          <w:p>
            <w:pPr>
              <w:spacing w:after="20"/>
              <w:jc w:val="right"/>
            </w:pPr>
            <w:r>
              <w:rPr>
                <w:b/>
                <w:color w:val="1C3A36"/>
                <w:sz w:val="17"/>
              </w:rPr>
              <w:t>416</w:t>
            </w:r>
          </w:p>
        </w:tc>
        <w:tc>
          <w:tcPr>
            <w:tcW w:type="dxa" w:w="1325"/>
            <w:shd w:val="clear" w:color="auto" w:fill="F6F1E6"/>
          </w:tcPr>
          <w:p>
            <w:pPr>
              <w:spacing w:after="20"/>
              <w:jc w:val="right"/>
            </w:pPr>
            <w:r>
              <w:rPr>
                <w:b/>
                <w:color w:val="1C3A36"/>
                <w:sz w:val="17"/>
              </w:rPr>
              <w:t>441</w:t>
            </w:r>
          </w:p>
        </w:tc>
        <w:tc>
          <w:tcPr>
            <w:tcW w:type="dxa" w:w="1325"/>
            <w:shd w:val="clear" w:color="auto" w:fill="F6F1E6"/>
          </w:tcPr>
          <w:p>
            <w:pPr>
              <w:spacing w:after="20"/>
              <w:jc w:val="right"/>
            </w:pPr>
            <w:r>
              <w:rPr>
                <w:b/>
                <w:color w:val="1C3A36"/>
                <w:sz w:val="17"/>
              </w:rPr>
              <w:t>432</w:t>
            </w:r>
          </w:p>
        </w:tc>
        <w:tc>
          <w:tcPr>
            <w:tcW w:type="dxa" w:w="1325"/>
            <w:shd w:val="clear" w:color="auto" w:fill="F6F1E6"/>
          </w:tcPr>
          <w:p>
            <w:pPr>
              <w:spacing w:after="20"/>
              <w:jc w:val="right"/>
            </w:pPr>
            <w:r>
              <w:rPr>
                <w:b/>
                <w:color w:val="1C3A36"/>
                <w:sz w:val="17"/>
              </w:rPr>
              <w:t>418</w:t>
            </w:r>
          </w:p>
        </w:tc>
      </w:tr>
      <w:tr>
        <w:tc>
          <w:tcPr>
            <w:tcW w:type="dxa" w:w="3384"/>
          </w:tcPr>
          <w:p>
            <w:pPr>
              <w:spacing w:after="20"/>
            </w:pPr>
            <w:r>
              <w:rPr>
                <w:color w:val="1C3A36"/>
                <w:sz w:val="17"/>
              </w:rPr>
              <w:t>Less capital expenditure</w:t>
            </w:r>
          </w:p>
        </w:tc>
        <w:tc>
          <w:tcPr>
            <w:tcW w:type="dxa" w:w="1325"/>
          </w:tcPr>
          <w:p>
            <w:pPr>
              <w:spacing w:after="20"/>
              <w:jc w:val="right"/>
            </w:pPr>
            <w:r>
              <w:rPr>
                <w:color w:val="1C3A36"/>
                <w:sz w:val="17"/>
              </w:rPr>
              <w:t>(832)</w:t>
            </w:r>
          </w:p>
        </w:tc>
        <w:tc>
          <w:tcPr>
            <w:tcW w:type="dxa" w:w="1325"/>
          </w:tcPr>
          <w:p>
            <w:pPr>
              <w:spacing w:after="20"/>
              <w:jc w:val="right"/>
            </w:pPr>
            <w:r>
              <w:rPr>
                <w:color w:val="1C3A36"/>
                <w:sz w:val="17"/>
              </w:rPr>
              <w:t>(582)</w:t>
            </w:r>
          </w:p>
        </w:tc>
        <w:tc>
          <w:tcPr>
            <w:tcW w:type="dxa" w:w="1325"/>
          </w:tcPr>
          <w:p>
            <w:pPr>
              <w:spacing w:after="20"/>
              <w:jc w:val="right"/>
            </w:pPr>
            <w:r>
              <w:rPr>
                <w:color w:val="1C3A36"/>
                <w:sz w:val="17"/>
              </w:rPr>
              <w:t>(520)</w:t>
            </w:r>
          </w:p>
        </w:tc>
        <w:tc>
          <w:tcPr>
            <w:tcW w:type="dxa" w:w="1325"/>
          </w:tcPr>
          <w:p>
            <w:pPr>
              <w:spacing w:after="20"/>
              <w:jc w:val="right"/>
            </w:pPr>
            <w:r>
              <w:rPr>
                <w:color w:val="1C3A36"/>
                <w:sz w:val="17"/>
              </w:rPr>
              <w:t>(538)</w:t>
            </w:r>
          </w:p>
        </w:tc>
        <w:tc>
          <w:tcPr>
            <w:tcW w:type="dxa" w:w="1325"/>
          </w:tcPr>
          <w:p>
            <w:pPr>
              <w:spacing w:after="20"/>
              <w:jc w:val="right"/>
            </w:pPr>
            <w:r>
              <w:rPr>
                <w:color w:val="1C3A36"/>
                <w:sz w:val="17"/>
              </w:rPr>
              <w:t>(562)</w:t>
            </w:r>
          </w:p>
        </w:tc>
      </w:tr>
      <w:t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(917)</w:t>
            </w:r>
          </w:p>
        </w:tc>
        <w:tc>
          <w:tcPr>
            <w:tcW w:type="dxa" w:w="1325"/>
          </w:tcPr>
          <w:p>
            <w:pPr>
              <w:spacing w:after="20"/>
              <w:jc w:val="right"/>
            </w:pPr>
            <w:r>
              <w:rPr>
                <w:color w:val="1C3A36"/>
                <w:sz w:val="17"/>
              </w:rPr>
              <w:t>(843)</w:t>
            </w:r>
          </w:p>
        </w:tc>
        <w:tc>
          <w:tcPr>
            <w:tcW w:type="dxa" w:w="1325"/>
          </w:tcPr>
          <w:p>
            <w:pPr>
              <w:spacing w:after="20"/>
              <w:jc w:val="right"/>
            </w:pPr>
            <w:r>
              <w:rPr>
                <w:color w:val="1C3A36"/>
                <w:sz w:val="17"/>
              </w:rPr>
              <w:t>(726)</w:t>
            </w:r>
          </w:p>
        </w:tc>
        <w:tc>
          <w:tcPr>
            <w:tcW w:type="dxa" w:w="1325"/>
          </w:tcPr>
          <w:p>
            <w:pPr>
              <w:spacing w:after="20"/>
              <w:jc w:val="right"/>
            </w:pPr>
            <w:r>
              <w:rPr>
                <w:color w:val="1C3A36"/>
                <w:sz w:val="17"/>
              </w:rPr>
              <w:t>(759)</w:t>
            </w:r>
          </w:p>
        </w:tc>
        <w:tc>
          <w:tcPr>
            <w:tcW w:type="dxa" w:w="1325"/>
          </w:tcPr>
          <w:p>
            <w:pPr>
              <w:spacing w:after="20"/>
              <w:jc w:val="right"/>
            </w:pPr>
            <w:r>
              <w:rPr>
                <w:color w:val="1C3A36"/>
                <w:sz w:val="17"/>
              </w:rPr>
              <w:t>(708)</w:t>
            </w:r>
          </w:p>
        </w:tc>
      </w:tr>
      <w:tr>
        <w:tc>
          <w:tcPr>
            <w:tcW w:type="dxa" w:w="3384"/>
          </w:tcPr>
          <w:p>
            <w:pPr>
              <w:spacing w:after="20"/>
            </w:pPr>
            <w:r>
              <w:rPr>
                <w:color w:val="1C3A36"/>
                <w:sz w:val="17"/>
              </w:rPr>
              <w:t>Free cash flow to the firm</w:t>
            </w:r>
          </w:p>
        </w:tc>
        <w:tc>
          <w:tcPr>
            <w:tcW w:type="dxa" w:w="1325"/>
          </w:tcPr>
          <w:p>
            <w:pPr>
              <w:spacing w:after="20"/>
              <w:jc w:val="right"/>
            </w:pPr>
            <w:r>
              <w:rPr>
                <w:color w:val="1C3A36"/>
                <w:sz w:val="17"/>
              </w:rPr>
              <w:t>572</w:t>
            </w:r>
          </w:p>
        </w:tc>
        <w:tc>
          <w:tcPr>
            <w:tcW w:type="dxa" w:w="1325"/>
          </w:tcPr>
          <w:p>
            <w:pPr>
              <w:spacing w:after="20"/>
              <w:jc w:val="right"/>
            </w:pPr>
            <w:r>
              <w:rPr>
                <w:color w:val="1C3A36"/>
                <w:sz w:val="17"/>
              </w:rPr>
              <w:t>1,308</w:t>
            </w:r>
          </w:p>
        </w:tc>
        <w:tc>
          <w:tcPr>
            <w:tcW w:type="dxa" w:w="1325"/>
          </w:tcPr>
          <w:p>
            <w:pPr>
              <w:spacing w:after="20"/>
              <w:jc w:val="right"/>
            </w:pPr>
            <w:r>
              <w:rPr>
                <w:color w:val="1C3A36"/>
                <w:sz w:val="17"/>
              </w:rPr>
              <w:t>1,907</w:t>
            </w:r>
          </w:p>
        </w:tc>
        <w:tc>
          <w:tcPr>
            <w:tcW w:type="dxa" w:w="1325"/>
          </w:tcPr>
          <w:p>
            <w:pPr>
              <w:spacing w:after="20"/>
              <w:jc w:val="right"/>
            </w:pPr>
            <w:r>
              <w:rPr>
                <w:color w:val="1C3A36"/>
                <w:sz w:val="17"/>
              </w:rPr>
              <w:t>2,262</w:t>
            </w:r>
          </w:p>
        </w:tc>
        <w:tc>
          <w:tcPr>
            <w:tcW w:type="dxa" w:w="1325"/>
          </w:tcPr>
          <w:p>
            <w:pPr>
              <w:spacing w:after="20"/>
              <w:jc w:val="right"/>
            </w:pPr>
            <w:r>
              <w:rPr>
                <w:color w:val="1C3A36"/>
                <w:sz w:val="17"/>
              </w:rPr>
              <w:t>2,669</w:t>
            </w:r>
          </w:p>
        </w:tc>
      </w:tr>
      <w:tr>
        <w:tc>
          <w:tcPr>
            <w:tcW w:type="dxa" w:w="3384"/>
            <w:shd w:val="clear" w:color="auto" w:fill="F6F1E6"/>
          </w:tcPr>
          <w:p>
            <w:pPr>
              <w:spacing w:after="20"/>
            </w:pPr>
            <w:r>
              <w:rPr>
                <w:b/>
                <w:color w:val="1C3A36"/>
                <w:sz w:val="17"/>
              </w:rPr>
              <w:t>Discount rate</w:t>
            </w:r>
          </w:p>
        </w:tc>
        <w:tc>
          <w:tcPr>
            <w:tcW w:type="dxa" w:w="1325"/>
            <w:shd w:val="clear" w:color="auto" w:fill="F6F1E6"/>
          </w:tcPr>
          <w:p>
            <w:pPr>
              <w:spacing w:after="20"/>
              <w:jc w:val="right"/>
            </w:pPr>
            <w:r>
              <w:rPr>
                <w:b/>
                <w:color w:val="1C3A36"/>
                <w:sz w:val="17"/>
              </w:rPr>
              <w:t>22.19%</w:t>
            </w:r>
          </w:p>
        </w:tc>
        <w:tc>
          <w:tcPr>
            <w:tcW w:type="dxa" w:w="1325"/>
            <w:shd w:val="clear" w:color="auto" w:fill="F6F1E6"/>
          </w:tcPr>
          <w:p>
            <w:pPr>
              <w:spacing w:after="20"/>
              <w:jc w:val="right"/>
            </w:pPr>
            <w:r>
              <w:rPr>
                <w:b/>
                <w:color w:val="1C3A36"/>
                <w:sz w:val="17"/>
              </w:rPr>
              <w:t>19.95%</w:t>
            </w:r>
          </w:p>
        </w:tc>
        <w:tc>
          <w:tcPr>
            <w:tcW w:type="dxa" w:w="1325"/>
            <w:shd w:val="clear" w:color="auto" w:fill="F6F1E6"/>
          </w:tcPr>
          <w:p>
            <w:pPr>
              <w:spacing w:after="20"/>
              <w:jc w:val="right"/>
            </w:pPr>
            <w:r>
              <w:rPr>
                <w:b/>
                <w:color w:val="1C3A36"/>
                <w:sz w:val="17"/>
              </w:rPr>
              <w:t>17.50%</w:t>
            </w:r>
          </w:p>
        </w:tc>
        <w:tc>
          <w:tcPr>
            <w:tcW w:type="dxa" w:w="1325"/>
            <w:shd w:val="clear" w:color="auto" w:fill="F6F1E6"/>
          </w:tcPr>
          <w:p>
            <w:pPr>
              <w:spacing w:after="20"/>
              <w:jc w:val="right"/>
            </w:pPr>
            <w:r>
              <w:rPr>
                <w:b/>
                <w:color w:val="1C3A36"/>
                <w:sz w:val="17"/>
              </w:rPr>
              <w:t>15.47%</w:t>
            </w:r>
          </w:p>
        </w:tc>
        <w:tc>
          <w:tcPr>
            <w:tcW w:type="dxa" w:w="1325"/>
            <w:shd w:val="clear" w:color="auto" w:fill="F6F1E6"/>
          </w:tcPr>
          <w:p>
            <w:pPr>
              <w:spacing w:after="20"/>
              <w:jc w:val="right"/>
            </w:pPr>
            <w:r>
              <w:rPr>
                <w:b/>
                <w:color w:val="1C3A36"/>
                <w:sz w:val="17"/>
              </w:rPr>
              <w:t>13.83%</w:t>
            </w:r>
          </w:p>
        </w:tc>
      </w:tr>
      <w:tr>
        <w:tc>
          <w:tcPr>
            <w:tcW w:type="dxa" w:w="3384"/>
          </w:tcPr>
          <w:p>
            <w:pPr>
              <w:spacing w:after="20"/>
            </w:pPr>
            <w:r>
              <w:rPr>
                <w:color w:val="1C3A36"/>
                <w:sz w:val="17"/>
              </w:rPr>
              <w:t>Discount factor</w:t>
            </w:r>
          </w:p>
        </w:tc>
        <w:tc>
          <w:tcPr>
            <w:tcW w:type="dxa" w:w="1325"/>
          </w:tcPr>
          <w:p>
            <w:pPr>
              <w:spacing w:after="20"/>
              <w:jc w:val="right"/>
            </w:pPr>
            <w:r>
              <w:rPr>
                <w:color w:val="1C3A36"/>
                <w:sz w:val="17"/>
              </w:rPr>
              <w:t>0.8184</w:t>
            </w:r>
          </w:p>
        </w:tc>
        <w:tc>
          <w:tcPr>
            <w:tcW w:type="dxa" w:w="1325"/>
          </w:tcPr>
          <w:p>
            <w:pPr>
              <w:spacing w:after="20"/>
              <w:jc w:val="right"/>
            </w:pPr>
            <w:r>
              <w:rPr>
                <w:color w:val="1C3A36"/>
                <w:sz w:val="17"/>
              </w:rPr>
              <w:t>0.6822</w:t>
            </w:r>
          </w:p>
        </w:tc>
        <w:tc>
          <w:tcPr>
            <w:tcW w:type="dxa" w:w="1325"/>
          </w:tcPr>
          <w:p>
            <w:pPr>
              <w:spacing w:after="20"/>
              <w:jc w:val="right"/>
            </w:pPr>
            <w:r>
              <w:rPr>
                <w:color w:val="1C3A36"/>
                <w:sz w:val="17"/>
              </w:rPr>
              <w:t>0.5806</w:t>
            </w:r>
          </w:p>
        </w:tc>
        <w:tc>
          <w:tcPr>
            <w:tcW w:type="dxa" w:w="1325"/>
          </w:tcPr>
          <w:p>
            <w:pPr>
              <w:spacing w:after="20"/>
              <w:jc w:val="right"/>
            </w:pPr>
            <w:r>
              <w:rPr>
                <w:color w:val="1C3A36"/>
                <w:sz w:val="17"/>
              </w:rPr>
              <w:t>0.5028</w:t>
            </w:r>
          </w:p>
        </w:tc>
        <w:tc>
          <w:tcPr>
            <w:tcW w:type="dxa" w:w="1325"/>
          </w:tcPr>
          <w:p>
            <w:pPr>
              <w:spacing w:after="20"/>
              <w:jc w:val="right"/>
            </w:pPr>
            <w:r>
              <w:rPr>
                <w:color w:val="1C3A36"/>
                <w:sz w:val="17"/>
              </w:rPr>
              <w:t>0.4417</w:t>
            </w:r>
          </w:p>
        </w:tc>
      </w:tr>
      <w:tr>
        <w:tc>
          <w:tcPr>
            <w:tcW w:type="dxa" w:w="3384"/>
          </w:tcPr>
          <w:p>
            <w:pPr>
              <w:spacing w:after="20"/>
            </w:pPr>
            <w:r>
              <w:rPr>
                <w:color w:val="1C3A36"/>
                <w:sz w:val="17"/>
              </w:rPr>
              <w:t>Present value of free cash flow</w:t>
            </w:r>
          </w:p>
        </w:tc>
        <w:tc>
          <w:tcPr>
            <w:tcW w:type="dxa" w:w="1325"/>
          </w:tcPr>
          <w:p>
            <w:pPr>
              <w:spacing w:after="20"/>
              <w:jc w:val="right"/>
            </w:pPr>
            <w:r>
              <w:rPr>
                <w:color w:val="1C3A36"/>
                <w:sz w:val="17"/>
              </w:rPr>
              <w:t>468</w:t>
            </w:r>
          </w:p>
        </w:tc>
        <w:tc>
          <w:tcPr>
            <w:tcW w:type="dxa" w:w="1325"/>
          </w:tcPr>
          <w:p>
            <w:pPr>
              <w:spacing w:after="20"/>
              <w:jc w:val="right"/>
            </w:pPr>
            <w:r>
              <w:rPr>
                <w:color w:val="1C3A36"/>
                <w:sz w:val="17"/>
              </w:rPr>
              <w:t>892</w:t>
            </w:r>
          </w:p>
        </w:tc>
        <w:tc>
          <w:tcPr>
            <w:tcW w:type="dxa" w:w="1325"/>
          </w:tcPr>
          <w:p>
            <w:pPr>
              <w:spacing w:after="20"/>
              <w:jc w:val="right"/>
            </w:pPr>
            <w:r>
              <w:rPr>
                <w:color w:val="1C3A36"/>
                <w:sz w:val="17"/>
              </w:rPr>
              <w:t>1,107</w:t>
            </w:r>
          </w:p>
        </w:tc>
        <w:tc>
          <w:tcPr>
            <w:tcW w:type="dxa" w:w="1325"/>
          </w:tcPr>
          <w:p>
            <w:pPr>
              <w:spacing w:after="20"/>
              <w:jc w:val="right"/>
            </w:pPr>
            <w:r>
              <w:rPr>
                <w:color w:val="1C3A36"/>
                <w:sz w:val="17"/>
              </w:rPr>
              <w:t>1,137</w:t>
            </w:r>
          </w:p>
        </w:tc>
        <w:tc>
          <w:tcPr>
            <w:tcW w:type="dxa" w:w="1325"/>
          </w:tcPr>
          <w:p>
            <w:pPr>
              <w:spacing w:after="20"/>
              <w:jc w:val="right"/>
            </w:pPr>
            <w:r>
              <w:rPr>
                <w:color w:val="1C3A36"/>
                <w:sz w:val="17"/>
              </w:rPr>
              <w:t>1,179</w:t>
            </w:r>
          </w:p>
        </w:tc>
      </w:tr>
    </w:tbl>
    <w:p>
      <w:pPr>
        <w:spacing w:after="40"/>
      </w:pPr>
    </w:p>
    <w:p>
      <w:pPr>
        <w:spacing w:after="200" w:before="0"/>
      </w:pPr>
      <w:r>
        <w:rPr>
          <w:b w:val="0"/>
          <w:i/>
          <w:color w:val="6E7B77"/>
          <w:sz w:val="17"/>
        </w:rPr>
        <w:t>Table 4 — the full free-cash-flow waterfall through to present value, Frame 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EGP million</w:t>
            </w:r>
          </w:p>
        </w:tc>
        <w:tc>
          <w:tcPr>
            <w:tcW w:type="dxa" w:w="2232"/>
            <w:shd w:val="clear" w:color="auto" w:fill="EAF0EE"/>
          </w:tcPr>
          <w:p>
            <w:pPr>
              <w:spacing w:after="20"/>
            </w:pPr>
            <w:r>
              <w:rPr>
                <w:b/>
                <w:color w:val="1C3A36"/>
                <w:sz w:val="18"/>
              </w:rPr>
              <w:t>EGP / share</w:t>
            </w:r>
          </w:p>
        </w:tc>
      </w:tr>
      <w:tr>
        <w:tc>
          <w:tcPr>
            <w:tcW w:type="dxa" w:w="5112"/>
          </w:tcPr>
          <w:p>
            <w:pPr>
              <w:spacing w:after="20"/>
            </w:pPr>
            <w:r>
              <w:rPr>
                <w:color w:val="1C3A36"/>
                <w:sz w:val="18"/>
              </w:rPr>
              <w:t>Present value of five years of free cash flow</w:t>
            </w:r>
          </w:p>
        </w:tc>
        <w:tc>
          <w:tcPr>
            <w:tcW w:type="dxa" w:w="2304"/>
          </w:tcPr>
          <w:p>
            <w:pPr>
              <w:spacing w:after="20"/>
              <w:jc w:val="right"/>
            </w:pPr>
            <w:r>
              <w:rPr>
                <w:color w:val="1C3A36"/>
                <w:sz w:val="18"/>
              </w:rPr>
              <w:t>4,784</w:t>
            </w:r>
          </w:p>
        </w:tc>
        <w:tc>
          <w:tcPr>
            <w:tcW w:type="dxa" w:w="2232"/>
          </w:tcPr>
          <w:p>
            <w:pPr>
              <w:spacing w:after="20"/>
              <w:jc w:val="right"/>
            </w:pPr>
            <w:r>
              <w:rPr>
                <w:color w:val="1C3A36"/>
                <w:sz w:val="18"/>
              </w:rPr>
              <w:t>28.35</w:t>
            </w:r>
          </w:p>
        </w:tc>
      </w:tr>
      <w:t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13,859</w:t>
            </w:r>
          </w:p>
        </w:tc>
        <w:tc>
          <w:tcPr>
            <w:tcW w:type="dxa" w:w="2232"/>
          </w:tcPr>
          <w:p>
            <w:pPr>
              <w:spacing w:after="20"/>
              <w:jc w:val="right"/>
            </w:pPr>
            <w:r>
              <w:rPr>
                <w:color w:val="1C3A36"/>
                <w:sz w:val="18"/>
              </w:rPr>
              <w:t>82.12</w:t>
            </w:r>
          </w:p>
        </w:tc>
      </w:tr>
      <w:tr>
        <w:tc>
          <w:tcPr>
            <w:tcW w:type="dxa" w:w="5112"/>
          </w:tcPr>
          <w:p>
            <w:pPr>
              <w:spacing w:after="20"/>
            </w:pPr>
            <w:r>
              <w:rPr>
                <w:color w:val="1C3A36"/>
                <w:sz w:val="18"/>
              </w:rPr>
              <w:t>Core enterprise value</w:t>
            </w:r>
          </w:p>
        </w:tc>
        <w:tc>
          <w:tcPr>
            <w:tcW w:type="dxa" w:w="2304"/>
          </w:tcPr>
          <w:p>
            <w:pPr>
              <w:spacing w:after="20"/>
              <w:jc w:val="right"/>
            </w:pPr>
            <w:r>
              <w:rPr>
                <w:color w:val="1C3A36"/>
                <w:sz w:val="18"/>
              </w:rPr>
              <w:t>18,643</w:t>
            </w:r>
          </w:p>
        </w:tc>
        <w:tc>
          <w:tcPr>
            <w:tcW w:type="dxa" w:w="2232"/>
          </w:tcPr>
          <w:p>
            <w:pPr>
              <w:spacing w:after="20"/>
              <w:jc w:val="right"/>
            </w:pPr>
            <w:r>
              <w:rPr>
                <w:color w:val="1C3A36"/>
                <w:sz w:val="18"/>
              </w:rPr>
              <w:t>110.47</w:t>
            </w:r>
          </w:p>
        </w:tc>
      </w:tr>
      <w:t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74%</w:t>
            </w:r>
          </w:p>
        </w:tc>
        <w:tc>
          <w:tcPr>
            <w:tcW w:type="dxa" w:w="2232"/>
            <w:shd w:val="clear" w:color="auto" w:fill="F6F1E6"/>
          </w:tcPr>
          <w:p>
            <w:pPr>
              <w:spacing w:after="20"/>
              <w:jc w:val="right"/>
            </w:pPr>
            <w:r>
              <w:rPr>
                <w:b/>
                <w:color w:val="1C3A36"/>
                <w:sz w:val="18"/>
              </w:rPr>
            </w:r>
          </w:p>
        </w:tc>
      </w:tr>
      <w:tr>
        <w:tc>
          <w:tcPr>
            <w:tcW w:type="dxa" w:w="5112"/>
          </w:tcPr>
          <w:p>
            <w:pPr>
              <w:spacing w:after="20"/>
            </w:pPr>
            <w:r>
              <w:rPr>
                <w:color w:val="1C3A36"/>
                <w:sz w:val="18"/>
              </w:rPr>
              <w:t>Add: equity-accounted associates on normalised earnings</w:t>
            </w:r>
          </w:p>
        </w:tc>
        <w:tc>
          <w:tcPr>
            <w:tcW w:type="dxa" w:w="2304"/>
          </w:tcPr>
          <w:p>
            <w:pPr>
              <w:spacing w:after="20"/>
              <w:jc w:val="right"/>
            </w:pPr>
            <w:r>
              <w:rPr>
                <w:color w:val="1C3A36"/>
                <w:sz w:val="18"/>
              </w:rPr>
              <w:t>3,520</w:t>
            </w:r>
          </w:p>
        </w:tc>
        <w:tc>
          <w:tcPr>
            <w:tcW w:type="dxa" w:w="2232"/>
          </w:tcPr>
          <w:p>
            <w:pPr>
              <w:spacing w:after="20"/>
              <w:jc w:val="right"/>
            </w:pPr>
            <w:r>
              <w:rPr>
                <w:color w:val="1C3A36"/>
                <w:sz w:val="18"/>
              </w:rPr>
              <w:t>20.86</w:t>
            </w:r>
          </w:p>
        </w:tc>
      </w:tr>
      <w:tr>
        <w:tc>
          <w:tcPr>
            <w:tcW w:type="dxa" w:w="5112"/>
          </w:tcPr>
          <w:p>
            <w:pPr>
              <w:spacing w:after="20"/>
            </w:pPr>
            <w:r>
              <w:rPr>
                <w:color w:val="1C3A36"/>
                <w:sz w:val="18"/>
              </w:rPr>
              <w:t>Add: assets held for sale</w:t>
            </w:r>
          </w:p>
        </w:tc>
        <w:tc>
          <w:tcPr>
            <w:tcW w:type="dxa" w:w="2304"/>
          </w:tcPr>
          <w:p>
            <w:pPr>
              <w:spacing w:after="20"/>
              <w:jc w:val="right"/>
            </w:pPr>
            <w:r>
              <w:rPr>
                <w:color w:val="1C3A36"/>
                <w:sz w:val="18"/>
              </w:rPr>
              <w:t>12</w:t>
            </w:r>
          </w:p>
        </w:tc>
        <w:tc>
          <w:tcPr>
            <w:tcW w:type="dxa" w:w="2232"/>
          </w:tcPr>
          <w:p>
            <w:pPr>
              <w:spacing w:after="20"/>
              <w:jc w:val="right"/>
            </w:pPr>
            <w:r>
              <w:rPr>
                <w:color w:val="1C3A36"/>
                <w:sz w:val="18"/>
              </w:rPr>
              <w:t>0.07</w:t>
            </w:r>
          </w:p>
        </w:tc>
      </w:tr>
      <w:tr>
        <w:tc>
          <w:tcPr>
            <w:tcW w:type="dxa" w:w="5112"/>
          </w:tcPr>
          <w:p>
            <w:pPr>
              <w:spacing w:after="20"/>
            </w:pPr>
            <w:r>
              <w:rPr>
                <w:color w:val="1C3A36"/>
                <w:sz w:val="18"/>
              </w:rPr>
              <w:t>Total enterprise value</w:t>
            </w:r>
          </w:p>
        </w:tc>
        <w:tc>
          <w:tcPr>
            <w:tcW w:type="dxa" w:w="2304"/>
          </w:tcPr>
          <w:p>
            <w:pPr>
              <w:spacing w:after="20"/>
              <w:jc w:val="right"/>
            </w:pPr>
            <w:r>
              <w:rPr>
                <w:color w:val="1C3A36"/>
                <w:sz w:val="18"/>
              </w:rPr>
              <w:t>22,175</w:t>
            </w:r>
          </w:p>
        </w:tc>
        <w:tc>
          <w:tcPr>
            <w:tcW w:type="dxa" w:w="2232"/>
          </w:tcPr>
          <w:p>
            <w:pPr>
              <w:spacing w:after="20"/>
              <w:jc w:val="right"/>
            </w:pPr>
            <w:r>
              <w:rPr>
                <w:color w:val="1C3A36"/>
                <w:sz w:val="18"/>
              </w:rPr>
              <w:t>131.41</w:t>
            </w:r>
          </w:p>
        </w:tc>
      </w:tr>
      <w:tr>
        <w:tc>
          <w:tcPr>
            <w:tcW w:type="dxa" w:w="5112"/>
            <w:shd w:val="clear" w:color="auto" w:fill="F6F1E6"/>
          </w:tcPr>
          <w:p>
            <w:pPr>
              <w:spacing w:after="20"/>
            </w:pPr>
            <w:r>
              <w:rPr>
                <w:b/>
                <w:color w:val="1C3A36"/>
                <w:sz w:val="18"/>
              </w:rPr>
              <w:t>Less: net debt</w:t>
            </w:r>
          </w:p>
        </w:tc>
        <w:tc>
          <w:tcPr>
            <w:tcW w:type="dxa" w:w="2304"/>
            <w:shd w:val="clear" w:color="auto" w:fill="F6F1E6"/>
          </w:tcPr>
          <w:p>
            <w:pPr>
              <w:spacing w:after="20"/>
              <w:jc w:val="right"/>
            </w:pPr>
            <w:r>
              <w:rPr>
                <w:b/>
                <w:color w:val="1C3A36"/>
                <w:sz w:val="18"/>
              </w:rPr>
              <w:t>(7,364)</w:t>
            </w:r>
          </w:p>
        </w:tc>
        <w:tc>
          <w:tcPr>
            <w:tcW w:type="dxa" w:w="2232"/>
            <w:shd w:val="clear" w:color="auto" w:fill="F6F1E6"/>
          </w:tcPr>
          <w:p>
            <w:pPr>
              <w:spacing w:after="20"/>
              <w:jc w:val="right"/>
            </w:pPr>
            <w:r>
              <w:rPr>
                <w:b/>
                <w:color w:val="1C3A36"/>
                <w:sz w:val="18"/>
              </w:rPr>
              <w:t>(43.64)</w:t>
            </w:r>
          </w:p>
        </w:tc>
      </w:tr>
      <w:t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(289)</w:t>
            </w:r>
          </w:p>
        </w:tc>
        <w:tc>
          <w:tcPr>
            <w:tcW w:type="dxa" w:w="2232"/>
          </w:tcPr>
          <w:p>
            <w:pPr>
              <w:spacing w:after="20"/>
              <w:jc w:val="right"/>
            </w:pPr>
            <w:r>
              <w:rPr>
                <w:color w:val="1C3A36"/>
                <w:sz w:val="18"/>
              </w:rPr>
              <w:t>(1.71)</w:t>
            </w:r>
          </w:p>
        </w:tc>
      </w:tr>
      <w:tr>
        <w:tc>
          <w:tcPr>
            <w:tcW w:type="dxa" w:w="5112"/>
          </w:tcPr>
          <w:p>
            <w:pPr>
              <w:spacing w:after="20"/>
            </w:pPr>
            <w:r>
              <w:rPr>
                <w:color w:val="1C3A36"/>
                <w:sz w:val="18"/>
              </w:rPr>
              <w:t>Equity value — Frame A</w:t>
            </w:r>
          </w:p>
        </w:tc>
        <w:tc>
          <w:tcPr>
            <w:tcW w:type="dxa" w:w="2304"/>
          </w:tcPr>
          <w:p>
            <w:pPr>
              <w:spacing w:after="20"/>
              <w:jc w:val="right"/>
            </w:pPr>
            <w:r>
              <w:rPr>
                <w:color w:val="1C3A36"/>
                <w:sz w:val="18"/>
              </w:rPr>
              <w:t>14,522</w:t>
            </w:r>
          </w:p>
        </w:tc>
        <w:tc>
          <w:tcPr>
            <w:tcW w:type="dxa" w:w="2232"/>
          </w:tcPr>
          <w:p>
            <w:pPr>
              <w:spacing w:after="20"/>
              <w:jc w:val="right"/>
            </w:pPr>
            <w:r>
              <w:rPr>
                <w:color w:val="1C3A36"/>
                <w:sz w:val="18"/>
              </w:rPr>
              <w:t>86.06</w:t>
            </w:r>
          </w:p>
        </w:tc>
      </w:tr>
      <w:t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16,719</w:t>
            </w:r>
          </w:p>
        </w:tc>
        <w:tc>
          <w:tcPr>
            <w:tcW w:type="dxa" w:w="2232"/>
            <w:shd w:val="clear" w:color="auto" w:fill="F6F1E6"/>
          </w:tcPr>
          <w:p>
            <w:pPr>
              <w:spacing w:after="20"/>
              <w:jc w:val="right"/>
            </w:pPr>
            <w:r>
              <w:rPr>
                <w:b/>
                <w:color w:val="1C3A36"/>
                <w:sz w:val="18"/>
              </w:rPr>
              <w:t>99.07</w:t>
            </w:r>
          </w:p>
        </w:tc>
      </w:tr>
    </w:tbl>
    <w:p>
      <w:pPr>
        <w:spacing w:after="40"/>
      </w:pPr>
    </w:p>
    <w:p>
      <w:pPr>
        <w:spacing w:after="200" w:before="0"/>
      </w:pPr>
      <w:r>
        <w:rPr>
          <w:b w:val="0"/>
          <w:i/>
          <w:color w:val="6E7B77"/>
          <w:sz w:val="17"/>
        </w:rPr>
        <w:t>Table 5 — the enterprise-to-equity bridge. Terminal value as a percentage of enterprise value is shown as a line of the bridge, not buried in a footnote.</w:t>
      </w:r>
    </w:p>
    <w:p>
      <w:pPr>
        <w:spacing w:after="80" w:before="200"/>
      </w:pPr>
      <w:r>
        <w:rPr>
          <w:b/>
          <w:i w:val="0"/>
          <w:color w:val="1C3A36"/>
          <w:sz w:val="24"/>
        </w:rPr>
        <w:t>1.2 Book value and sustainable return</w:t>
      </w:r>
    </w:p>
    <w:p>
      <w:pPr>
        <w:spacing w:after="120" w:before="0"/>
      </w:pPr>
      <w:r>
        <w:rPr>
          <w:b w:val="0"/>
          <w:i w:val="0"/>
          <w:color w:val="1C3A36"/>
          <w:sz w:val="21"/>
        </w:rPr>
        <w:t>Book value attributable to shareholders was EGP 6,243 million at the year end, EGP 37.00 a share. Return on average equity was 24.6% in FY2024 and 26.5% in FY2025; the forecast settles at 24.6%. A business earning 24.6% on equity while its perpetual cost of equity is 14.90% is worth more than its book: the multiple that relationship justifies is (return less growth) over (cost of equity less growth), or 1.98 times book — EGP 73.10 a share.</w:t>
      </w:r>
    </w:p>
    <w:p>
      <w:pPr>
        <w:spacing w:after="80" w:before="200"/>
      </w:pPr>
      <w:r>
        <w:rPr>
          <w:b/>
          <w:i w:val="0"/>
          <w:color w:val="1C3A36"/>
          <w:sz w:val="24"/>
        </w:rPr>
        <w:t>1.3 Relative multiples</w:t>
      </w:r>
    </w:p>
    <w:p>
      <w:pPr>
        <w:spacing w:after="120" w:before="0"/>
      </w:pPr>
      <w:r>
        <w:rPr>
          <w:b w:val="0"/>
          <w:i w:val="0"/>
          <w:color w:val="1C3A36"/>
          <w:sz w:val="21"/>
        </w:rPr>
        <w:t>The company's own traded history is the primary anchor here, because it is computable entirely from primary material: audited attributable profit against the year-end close. It traded on 4.7 times in 2022, 6.6 times in 2023, 6.2 times in 2024, 9.1 times in 2025 — a four-year mean of 6.7. At EGP 130.05 it trades on 15.2 times trailing attributable earnings and 11.9 times trailing EBITDA. The earnings multiple has more than doubled against its own four-year history. That is the single most important fact about this share price.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008"/>
        <w:gridCol w:w="1368"/>
        <w:gridCol w:w="4320"/>
      </w:tblGrid>
      <w:tr>
        <w:tc>
          <w:tcPr>
            <w:tcW w:type="dxa" w:w="2952"/>
            <w:shd w:val="clear" w:color="auto" w:fill="EAF0EE"/>
          </w:tcPr>
          <w:p>
            <w:pPr>
              <w:spacing w:after="20"/>
            </w:pPr>
            <w:r>
              <w:rPr>
                <w:b/>
                <w:color w:val="1C3A36"/>
                <w:sz w:val="17"/>
              </w:rPr>
              <w:t>Multiple</w:t>
            </w:r>
          </w:p>
        </w:tc>
        <w:tc>
          <w:tcPr>
            <w:tcW w:type="dxa" w:w="1008"/>
            <w:shd w:val="clear" w:color="auto" w:fill="EAF0EE"/>
          </w:tcPr>
          <w:p>
            <w:pPr>
              <w:spacing w:after="20"/>
            </w:pPr>
            <w:r>
              <w:rPr>
                <w:b/>
                <w:color w:val="1C3A36"/>
                <w:sz w:val="17"/>
              </w:rPr>
              <w:t>Times</w:t>
            </w:r>
          </w:p>
        </w:tc>
        <w:tc>
          <w:tcPr>
            <w:tcW w:type="dxa" w:w="1368"/>
            <w:shd w:val="clear" w:color="auto" w:fill="EAF0EE"/>
          </w:tcPr>
          <w:p>
            <w:pPr>
              <w:spacing w:after="20"/>
            </w:pPr>
            <w:r>
              <w:rPr>
                <w:b/>
                <w:color w:val="1C3A36"/>
                <w:sz w:val="17"/>
              </w:rPr>
              <w:t>EGP / share</w:t>
            </w:r>
          </w:p>
        </w:tc>
        <w:tc>
          <w:tcPr>
            <w:tcW w:type="dxa" w:w="4320"/>
            <w:shd w:val="clear" w:color="auto" w:fill="EAF0EE"/>
          </w:tcPr>
          <w:p>
            <w:pPr>
              <w:spacing w:after="20"/>
            </w:pPr>
            <w:r>
              <w:rPr>
                <w:b/>
                <w:color w:val="1C3A36"/>
                <w:sz w:val="17"/>
              </w:rPr>
              <w:t>Where it comes from</w:t>
            </w:r>
          </w:p>
        </w:tc>
      </w:tr>
      <w:tr>
        <w:tc>
          <w:tcPr>
            <w:tcW w:type="dxa" w:w="2952"/>
          </w:tcPr>
          <w:p>
            <w:pPr>
              <w:spacing w:after="20"/>
            </w:pPr>
            <w:r>
              <w:rPr>
                <w:color w:val="1C3A36"/>
                <w:sz w:val="17"/>
              </w:rPr>
              <w:t>Justified forward multiple from this model</w:t>
            </w:r>
          </w:p>
        </w:tc>
        <w:tc>
          <w:tcPr>
            <w:tcW w:type="dxa" w:w="1008"/>
          </w:tcPr>
          <w:p>
            <w:pPr>
              <w:spacing w:after="20"/>
              <w:jc w:val="right"/>
            </w:pPr>
            <w:r>
              <w:rPr>
                <w:color w:val="1C3A36"/>
                <w:sz w:val="17"/>
              </w:rPr>
              <w:t>8.0x</w:t>
            </w:r>
          </w:p>
        </w:tc>
        <w:tc>
          <w:tcPr>
            <w:tcW w:type="dxa" w:w="1368"/>
          </w:tcPr>
          <w:p>
            <w:pPr>
              <w:spacing w:after="20"/>
              <w:jc w:val="right"/>
            </w:pPr>
            <w:r>
              <w:rPr>
                <w:color w:val="1C3A36"/>
                <w:sz w:val="17"/>
              </w:rPr>
              <w:t>54.63</w:t>
            </w:r>
          </w:p>
        </w:tc>
        <w:tc>
          <w:tcPr>
            <w:tcW w:type="dxa" w:w="4320"/>
          </w:tcPr>
          <w:p>
            <w:pPr>
              <w:spacing w:after="20"/>
              <w:jc w:val="right"/>
            </w:pPr>
            <w:r>
              <w:rPr>
                <w:color w:val="1C3A36"/>
                <w:sz w:val="17"/>
              </w:rPr>
              <w:t>retention must equal growth 5% over sustainable return 24.6%, so payout is 80%</w:t>
            </w:r>
          </w:p>
        </w:tc>
      </w:tr>
      <w:tr>
        <w:tc>
          <w:tcPr>
            <w:tcW w:type="dxa" w:w="2952"/>
          </w:tcPr>
          <w:p>
            <w:pPr>
              <w:spacing w:after="20"/>
            </w:pPr>
            <w:r>
              <w:rPr>
                <w:color w:val="1C3A36"/>
                <w:sz w:val="17"/>
              </w:rPr>
              <w:t>The company's own four-year mean multiple</w:t>
            </w:r>
          </w:p>
        </w:tc>
        <w:tc>
          <w:tcPr>
            <w:tcW w:type="dxa" w:w="1008"/>
          </w:tcPr>
          <w:p>
            <w:pPr>
              <w:spacing w:after="20"/>
              <w:jc w:val="right"/>
            </w:pPr>
            <w:r>
              <w:rPr>
                <w:color w:val="1C3A36"/>
                <w:sz w:val="17"/>
              </w:rPr>
              <w:t>6.7x</w:t>
            </w:r>
          </w:p>
        </w:tc>
        <w:tc>
          <w:tcPr>
            <w:tcW w:type="dxa" w:w="1368"/>
          </w:tcPr>
          <w:p>
            <w:pPr>
              <w:spacing w:after="20"/>
              <w:jc w:val="right"/>
            </w:pPr>
            <w:r>
              <w:rPr>
                <w:color w:val="1C3A36"/>
                <w:sz w:val="17"/>
              </w:rPr>
              <w:t>45.25</w:t>
            </w:r>
          </w:p>
        </w:tc>
        <w:tc>
          <w:tcPr>
            <w:tcW w:type="dxa" w:w="4320"/>
          </w:tcPr>
          <w:p>
            <w:pPr>
              <w:spacing w:after="20"/>
              <w:jc w:val="right"/>
            </w:pPr>
            <w:r>
              <w:rPr>
                <w:color w:val="1C3A36"/>
                <w:sz w:val="17"/>
              </w:rPr>
              <w:t>year-end closes against audited attributable profit</w:t>
            </w:r>
          </w:p>
        </w:tc>
      </w:tr>
      <w:tr>
        <w:tc>
          <w:tcPr>
            <w:tcW w:type="dxa" w:w="2952"/>
          </w:tcPr>
          <w:p>
            <w:pPr>
              <w:spacing w:after="20"/>
            </w:pPr>
            <w:r>
              <w:rPr>
                <w:color w:val="1C3A36"/>
                <w:sz w:val="17"/>
              </w:rPr>
              <w:t>Regional peer median, cost-of-equity adjusted</w:t>
            </w:r>
          </w:p>
        </w:tc>
        <w:tc>
          <w:tcPr>
            <w:tcW w:type="dxa" w:w="1008"/>
          </w:tcPr>
          <w:p>
            <w:pPr>
              <w:spacing w:after="20"/>
              <w:jc w:val="right"/>
            </w:pPr>
            <w:r>
              <w:rPr>
                <w:color w:val="1C3A36"/>
                <w:sz w:val="17"/>
              </w:rPr>
              <w:t>9.8x</w:t>
            </w:r>
          </w:p>
        </w:tc>
        <w:tc>
          <w:tcPr>
            <w:tcW w:type="dxa" w:w="1368"/>
          </w:tcPr>
          <w:p>
            <w:pPr>
              <w:spacing w:after="20"/>
              <w:jc w:val="right"/>
            </w:pPr>
            <w:r>
              <w:rPr>
                <w:color w:val="1C3A36"/>
                <w:sz w:val="17"/>
              </w:rPr>
              <w:t>66.87</w:t>
            </w:r>
          </w:p>
        </w:tc>
        <w:tc>
          <w:tcPr>
            <w:tcW w:type="dxa" w:w="4320"/>
          </w:tcPr>
          <w:p>
            <w:pPr>
              <w:spacing w:after="20"/>
              <w:jc w:val="right"/>
            </w:pPr>
            <w:r>
              <w:rPr>
                <w:color w:val="1C3A36"/>
                <w:sz w:val="17"/>
              </w:rPr>
              <w:t>peers face a cost of equity near 10%, not 14.9%</w:t>
            </w:r>
          </w:p>
        </w:tc>
      </w:tr>
      <w:tr>
        <w:tc>
          <w:tcPr>
            <w:tcW w:type="dxa" w:w="2952"/>
            <w:shd w:val="clear" w:color="auto" w:fill="F6F1E6"/>
          </w:tcPr>
          <w:p>
            <w:pPr>
              <w:spacing w:after="20"/>
            </w:pPr>
            <w:r>
              <w:rPr>
                <w:b/>
                <w:color w:val="1C3A36"/>
                <w:sz w:val="17"/>
              </w:rPr>
              <w:t>Average of the three — the relative lens</w:t>
            </w:r>
          </w:p>
        </w:tc>
        <w:tc>
          <w:tcPr>
            <w:tcW w:type="dxa" w:w="1008"/>
            <w:shd w:val="clear" w:color="auto" w:fill="F6F1E6"/>
          </w:tcPr>
          <w:p>
            <w:pPr>
              <w:spacing w:after="20"/>
              <w:jc w:val="right"/>
            </w:pPr>
            <w:r>
              <w:rPr>
                <w:b/>
                <w:color w:val="1C3A36"/>
                <w:sz w:val="17"/>
              </w:rPr>
              <w:t>8.2x</w:t>
            </w:r>
          </w:p>
        </w:tc>
        <w:tc>
          <w:tcPr>
            <w:tcW w:type="dxa" w:w="1368"/>
            <w:shd w:val="clear" w:color="auto" w:fill="F6F1E6"/>
          </w:tcPr>
          <w:p>
            <w:pPr>
              <w:spacing w:after="20"/>
              <w:jc w:val="right"/>
            </w:pPr>
            <w:r>
              <w:rPr>
                <w:b/>
                <w:color w:val="1C3A36"/>
                <w:sz w:val="17"/>
              </w:rPr>
              <w:t>55.58</w:t>
            </w:r>
          </w:p>
        </w:tc>
        <w:tc>
          <w:tcPr>
            <w:tcW w:type="dxa" w:w="4320"/>
            <w:shd w:val="clear" w:color="auto" w:fill="F6F1E6"/>
          </w:tcPr>
          <w:p>
            <w:pPr>
              <w:spacing w:after="20"/>
              <w:jc w:val="right"/>
            </w:pPr>
            <w:r>
              <w:rPr>
                <w:b/>
                <w:color w:val="1C3A36"/>
                <w:sz w:val="17"/>
              </w:rPr>
              <w:t>Averaged on the sheet, not asserted</w:t>
            </w:r>
          </w:p>
        </w:tc>
      </w:tr>
    </w:tbl>
    <w:p>
      <w:pPr>
        <w:spacing w:after="40"/>
      </w:pPr>
    </w:p>
    <w:p>
      <w:pPr>
        <w:spacing w:after="200" w:before="0"/>
      </w:pPr>
      <w:r>
        <w:rPr>
          <w:b w:val="0"/>
          <w:i/>
          <w:color w:val="6E7B77"/>
          <w:sz w:val="17"/>
        </w:rPr>
        <w:t>Table 6 — three multiples triangulated. Left unadjusted for the cost-of-equity gap, the regional peer median alone would give EGP 132.45 a share; the size of that gap IS the country-risk discount, shown rather than hidden.</w:t>
      </w:r>
    </w:p>
    <w:p>
      <w:pPr>
        <w:spacing w:after="40"/>
        <w:jc w:val="center"/>
      </w:pPr>
      <w:r>
        <w:drawing>
          <wp:inline xmlns:a="http://schemas.openxmlformats.org/drawingml/2006/main" xmlns:pic="http://schemas.openxmlformats.org/drawingml/2006/picture">
            <wp:extent cx="6035040" cy="2553087"/>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53087"/>
                    </a:xfrm>
                    <a:prstGeom prst="rect"/>
                  </pic:spPr>
                </pic:pic>
              </a:graphicData>
            </a:graphic>
          </wp:inline>
        </w:drawing>
      </w:r>
    </w:p>
    <w:p>
      <w:pPr>
        <w:spacing w:after="200" w:before="0"/>
      </w:pPr>
      <w:r>
        <w:rPr>
          <w:b w:val="0"/>
          <w:i/>
          <w:color w:val="6E7B77"/>
          <w:sz w:val="17"/>
        </w:rPr>
        <w:t>Figure 2 — the traded multiple against its own history and against what the model justifies.</w:t>
      </w:r>
    </w:p>
    <w:p>
      <w:pPr>
        <w:spacing w:after="80" w:before="200"/>
      </w:pPr>
      <w:r>
        <w:rPr>
          <w:b/>
          <w:i w:val="0"/>
          <w:color w:val="1C3A36"/>
          <w:sz w:val="24"/>
        </w:rPr>
        <w:t>1.4 Normalised earnings power</w:t>
      </w:r>
    </w:p>
    <w:p>
      <w:pPr>
        <w:spacing w:after="120" w:before="0"/>
      </w:pPr>
      <w:r>
        <w:rPr>
          <w:b w:val="0"/>
          <w:i w:val="0"/>
          <w:color w:val="1C3A36"/>
          <w:sz w:val="21"/>
        </w:rPr>
        <w:t>FY2025 was the best operating year in the company's history: a 25.1% operating margin against 23.4% in FY2023 and 20.1% in FY2024. This lens deliberately gives part of that back. Applying the three-year average margin of 22.9% to FY2027 revenue, financing it at that year's cost of debt, taxing it at 23.5% and adding the normalised associate contribution gives EGP 8.62 a share of sustainable earnings. Capitalised at the PERPETUAL cost of equity of 14.90% less 5% growth, on the 80% payout that growth rate permits, that is EGP 69.33 a share. Using today's crisis-level cost of equity of 24.82% in a perpetuity would be a category error: a steady-state multiple takes a steady-state rate.</w:t>
      </w:r>
    </w:p>
    <w:p>
      <w:pPr>
        <w:spacing w:after="80" w:before="200"/>
      </w:pPr>
      <w:r>
        <w:rPr>
          <w:b/>
          <w:i w:val="0"/>
          <w:color w:val="1C3A36"/>
          <w:sz w:val="24"/>
        </w:rPr>
        <w:t>1.5 Synthesis — four methods, one field</w:t>
      </w:r>
    </w:p>
    <w:p>
      <w:pPr>
        <w:spacing w:after="120" w:before="0"/>
      </w:pPr>
      <w:r>
        <w:rPr>
          <w:b w:val="0"/>
          <w:i w:val="0"/>
          <w:color w:val="1C3A36"/>
          <w:sz w:val="21"/>
        </w:rPr>
        <w:t>The five values run from EGP 56 to EGP 99. That spread is not a failure of the methods; it is the honest measure of how much the answer depends on which question you ask. The cash-flow lenses, which see the new plant's costs but not its revenue, sit at the top of the field. The relative lens, which prices the company on what its own economics justify, sits at the bottom. The weighted centre is EGP 80, against a market price of EGP 130.05.</w:t>
      </w:r>
    </w:p>
    <w:p>
      <w:pPr>
        <w:spacing w:after="80" w:before="200"/>
      </w:pPr>
      <w:r>
        <w:rPr>
          <w:b/>
          <w:i w:val="0"/>
          <w:color w:val="1C3A36"/>
          <w:sz w:val="24"/>
        </w:rPr>
        <w:t>1.6 Drivers — every segment grown on its own driver</w:t>
      </w:r>
    </w:p>
    <w:p>
      <w:pPr>
        <w:spacing w:after="120" w:before="0"/>
      </w:pPr>
      <w:r>
        <w:rPr>
          <w:b w:val="0"/>
          <w:i w:val="0"/>
          <w:color w:val="1C3A36"/>
          <w:sz w:val="21"/>
        </w:rPr>
        <w:t>Revenue is not grown as a percentage. Each book is built from a volume and a price, both taken from disclosure. The company sold 351.8 million packs of its own preparations in FY2025; the investor presentation puts export volume at 60 million packs. The difference — 291.8 million packs — is the domestic book, carrying EGP 6,286 million of revenue, or EGP 21.54 a pack, against EGP 19.77 in FY2024. Exports realise USD 1.00 a pack. Margins are an OUTPUT of this build, never an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c>
          <w:tcPr>
            <w:tcW w:type="dxa" w:w="3384"/>
            <w:shd w:val="clear" w:color="auto" w:fill="EAF0EE"/>
          </w:tcPr>
          <w:p>
            <w:pPr>
              <w:spacing w:after="20"/>
            </w:pPr>
            <w:r>
              <w:rPr>
                <w:b/>
                <w:color w:val="1C3A36"/>
                <w:sz w:val="17"/>
              </w:rPr>
              <w:t>Driver</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384"/>
          </w:tcPr>
          <w:p>
            <w:pPr>
              <w:spacing w:after="20"/>
            </w:pPr>
            <w:r>
              <w:rPr>
                <w:color w:val="1C3A36"/>
                <w:sz w:val="17"/>
              </w:rPr>
              <w:t>Domestic packs (million)</w:t>
            </w:r>
          </w:p>
        </w:tc>
        <w:tc>
          <w:tcPr>
            <w:tcW w:type="dxa" w:w="1325"/>
          </w:tcPr>
          <w:p>
            <w:pPr>
              <w:spacing w:after="20"/>
              <w:jc w:val="right"/>
            </w:pPr>
            <w:r>
              <w:rPr>
                <w:color w:val="1C3A36"/>
                <w:sz w:val="17"/>
              </w:rPr>
              <w:t>321.0</w:t>
            </w:r>
          </w:p>
        </w:tc>
        <w:tc>
          <w:tcPr>
            <w:tcW w:type="dxa" w:w="1325"/>
          </w:tcPr>
          <w:p>
            <w:pPr>
              <w:spacing w:after="20"/>
              <w:jc w:val="right"/>
            </w:pPr>
            <w:r>
              <w:rPr>
                <w:color w:val="1C3A36"/>
                <w:sz w:val="17"/>
              </w:rPr>
              <w:t>348.3</w:t>
            </w:r>
          </w:p>
        </w:tc>
        <w:tc>
          <w:tcPr>
            <w:tcW w:type="dxa" w:w="1325"/>
          </w:tcPr>
          <w:p>
            <w:pPr>
              <w:spacing w:after="20"/>
              <w:jc w:val="right"/>
            </w:pPr>
            <w:r>
              <w:rPr>
                <w:color w:val="1C3A36"/>
                <w:sz w:val="17"/>
              </w:rPr>
              <w:t>374.4</w:t>
            </w:r>
          </w:p>
        </w:tc>
        <w:tc>
          <w:tcPr>
            <w:tcW w:type="dxa" w:w="1325"/>
          </w:tcPr>
          <w:p>
            <w:pPr>
              <w:spacing w:after="20"/>
              <w:jc w:val="right"/>
            </w:pPr>
            <w:r>
              <w:rPr>
                <w:color w:val="1C3A36"/>
                <w:sz w:val="17"/>
              </w:rPr>
              <w:t>398.7</w:t>
            </w:r>
          </w:p>
        </w:tc>
        <w:tc>
          <w:tcPr>
            <w:tcW w:type="dxa" w:w="1325"/>
          </w:tcPr>
          <w:p>
            <w:pPr>
              <w:spacing w:after="20"/>
              <w:jc w:val="right"/>
            </w:pPr>
            <w:r>
              <w:rPr>
                <w:color w:val="1C3A36"/>
                <w:sz w:val="17"/>
              </w:rPr>
              <w:t>420.7</w:t>
            </w:r>
          </w:p>
        </w:tc>
      </w:tr>
      <w:tr>
        <w:tc>
          <w:tcPr>
            <w:tcW w:type="dxa" w:w="3384"/>
          </w:tcPr>
          <w:p>
            <w:pPr>
              <w:spacing w:after="20"/>
            </w:pPr>
            <w:r>
              <w:rPr>
                <w:color w:val="1C3A36"/>
                <w:sz w:val="17"/>
              </w:rPr>
              <w:t>Domestic price per pack (EGP)</w:t>
            </w:r>
          </w:p>
        </w:tc>
        <w:tc>
          <w:tcPr>
            <w:tcW w:type="dxa" w:w="1325"/>
          </w:tcPr>
          <w:p>
            <w:pPr>
              <w:spacing w:after="20"/>
              <w:jc w:val="right"/>
            </w:pPr>
            <w:r>
              <w:rPr>
                <w:color w:val="1C3A36"/>
                <w:sz w:val="17"/>
              </w:rPr>
              <w:t>23.48</w:t>
            </w:r>
          </w:p>
        </w:tc>
        <w:tc>
          <w:tcPr>
            <w:tcW w:type="dxa" w:w="1325"/>
          </w:tcPr>
          <w:p>
            <w:pPr>
              <w:spacing w:after="20"/>
              <w:jc w:val="right"/>
            </w:pPr>
            <w:r>
              <w:rPr>
                <w:color w:val="1C3A36"/>
                <w:sz w:val="17"/>
              </w:rPr>
              <w:t>25.47</w:t>
            </w:r>
          </w:p>
        </w:tc>
        <w:tc>
          <w:tcPr>
            <w:tcW w:type="dxa" w:w="1325"/>
          </w:tcPr>
          <w:p>
            <w:pPr>
              <w:spacing w:after="20"/>
              <w:jc w:val="right"/>
            </w:pPr>
            <w:r>
              <w:rPr>
                <w:color w:val="1C3A36"/>
                <w:sz w:val="17"/>
              </w:rPr>
              <w:t>27.39</w:t>
            </w:r>
          </w:p>
        </w:tc>
        <w:tc>
          <w:tcPr>
            <w:tcW w:type="dxa" w:w="1325"/>
          </w:tcPr>
          <w:p>
            <w:pPr>
              <w:spacing w:after="20"/>
              <w:jc w:val="right"/>
            </w:pPr>
            <w:r>
              <w:rPr>
                <w:color w:val="1C3A36"/>
                <w:sz w:val="17"/>
              </w:rPr>
              <w:t>29.17</w:t>
            </w:r>
          </w:p>
        </w:tc>
        <w:tc>
          <w:tcPr>
            <w:tcW w:type="dxa" w:w="1325"/>
          </w:tcPr>
          <w:p>
            <w:pPr>
              <w:spacing w:after="20"/>
              <w:jc w:val="right"/>
            </w:pPr>
            <w:r>
              <w:rPr>
                <w:color w:val="1C3A36"/>
                <w:sz w:val="17"/>
              </w:rPr>
              <w:t>30.77</w:t>
            </w:r>
          </w:p>
        </w:tc>
      </w:tr>
      <w:tr>
        <w:tc>
          <w:tcPr>
            <w:tcW w:type="dxa" w:w="3384"/>
          </w:tcPr>
          <w:p>
            <w:pPr>
              <w:spacing w:after="20"/>
            </w:pPr>
            <w:r>
              <w:rPr>
                <w:color w:val="1C3A36"/>
                <w:sz w:val="17"/>
              </w:rPr>
              <w:t>Export packs (million)</w:t>
            </w:r>
          </w:p>
        </w:tc>
        <w:tc>
          <w:tcPr>
            <w:tcW w:type="dxa" w:w="1325"/>
          </w:tcPr>
          <w:p>
            <w:pPr>
              <w:spacing w:after="20"/>
              <w:jc w:val="right"/>
            </w:pPr>
            <w:r>
              <w:rPr>
                <w:color w:val="1C3A36"/>
                <w:sz w:val="17"/>
              </w:rPr>
              <w:t>65.4</w:t>
            </w:r>
          </w:p>
        </w:tc>
        <w:tc>
          <w:tcPr>
            <w:tcW w:type="dxa" w:w="1325"/>
          </w:tcPr>
          <w:p>
            <w:pPr>
              <w:spacing w:after="20"/>
              <w:jc w:val="right"/>
            </w:pPr>
            <w:r>
              <w:rPr>
                <w:color w:val="1C3A36"/>
                <w:sz w:val="17"/>
              </w:rPr>
              <w:t>71.3</w:t>
            </w:r>
          </w:p>
        </w:tc>
        <w:tc>
          <w:tcPr>
            <w:tcW w:type="dxa" w:w="1325"/>
          </w:tcPr>
          <w:p>
            <w:pPr>
              <w:spacing w:after="20"/>
              <w:jc w:val="right"/>
            </w:pPr>
            <w:r>
              <w:rPr>
                <w:color w:val="1C3A36"/>
                <w:sz w:val="17"/>
              </w:rPr>
              <w:t>77.3</w:t>
            </w:r>
          </w:p>
        </w:tc>
        <w:tc>
          <w:tcPr>
            <w:tcW w:type="dxa" w:w="1325"/>
          </w:tcPr>
          <w:p>
            <w:pPr>
              <w:spacing w:after="20"/>
              <w:jc w:val="right"/>
            </w:pPr>
            <w:r>
              <w:rPr>
                <w:color w:val="1C3A36"/>
                <w:sz w:val="17"/>
              </w:rPr>
              <w:t>83.5</w:t>
            </w:r>
          </w:p>
        </w:tc>
        <w:tc>
          <w:tcPr>
            <w:tcW w:type="dxa" w:w="1325"/>
          </w:tcPr>
          <w:p>
            <w:pPr>
              <w:spacing w:after="20"/>
              <w:jc w:val="right"/>
            </w:pPr>
            <w:r>
              <w:rPr>
                <w:color w:val="1C3A36"/>
                <w:sz w:val="17"/>
              </w:rPr>
              <w:t>89.4</w:t>
            </w:r>
          </w:p>
        </w:tc>
      </w:tr>
      <w:tr>
        <w:tc>
          <w:tcPr>
            <w:tcW w:type="dxa" w:w="3384"/>
          </w:tcPr>
          <w:p>
            <w:pPr>
              <w:spacing w:after="20"/>
            </w:pPr>
            <w:r>
              <w:rPr>
                <w:color w:val="1C3A36"/>
                <w:sz w:val="17"/>
              </w:rPr>
              <w:t>Export price per pack (USD)</w:t>
            </w:r>
          </w:p>
        </w:tc>
        <w:tc>
          <w:tcPr>
            <w:tcW w:type="dxa" w:w="1325"/>
          </w:tcPr>
          <w:p>
            <w:pPr>
              <w:spacing w:after="20"/>
              <w:jc w:val="right"/>
            </w:pPr>
            <w:r>
              <w:rPr>
                <w:color w:val="1C3A36"/>
                <w:sz w:val="17"/>
              </w:rPr>
              <w:t>1.01</w:t>
            </w:r>
          </w:p>
        </w:tc>
        <w:tc>
          <w:tcPr>
            <w:tcW w:type="dxa" w:w="1325"/>
          </w:tcPr>
          <w:p>
            <w:pPr>
              <w:spacing w:after="20"/>
              <w:jc w:val="right"/>
            </w:pPr>
            <w:r>
              <w:rPr>
                <w:color w:val="1C3A36"/>
                <w:sz w:val="17"/>
              </w:rPr>
              <w:t>1.02</w:t>
            </w:r>
          </w:p>
        </w:tc>
        <w:tc>
          <w:tcPr>
            <w:tcW w:type="dxa" w:w="1325"/>
          </w:tcPr>
          <w:p>
            <w:pPr>
              <w:spacing w:after="20"/>
              <w:jc w:val="right"/>
            </w:pPr>
            <w:r>
              <w:rPr>
                <w:color w:val="1C3A36"/>
                <w:sz w:val="17"/>
              </w:rPr>
              <w:t>1.03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1.05</w:t>
            </w:r>
          </w:p>
        </w:tc>
      </w:tr>
      <w:tr>
        <w:tc>
          <w:tcPr>
            <w:tcW w:type="dxa" w:w="3384"/>
          </w:tcPr>
          <w:p>
            <w:pPr>
              <w:spacing w:after="20"/>
            </w:pPr>
            <w:r>
              <w:rPr>
                <w:color w:val="1C3A36"/>
                <w:sz w:val="17"/>
              </w:rPr>
              <w:t>Exchange rate (EGP per USD)</w:t>
            </w:r>
          </w:p>
        </w:tc>
        <w:tc>
          <w:tcPr>
            <w:tcW w:type="dxa" w:w="1325"/>
          </w:tcPr>
          <w:p>
            <w:pPr>
              <w:spacing w:after="20"/>
              <w:jc w:val="right"/>
            </w:pPr>
            <w:r>
              <w:rPr>
                <w:color w:val="1C3A36"/>
                <w:sz w:val="17"/>
              </w:rPr>
              <w:t>50.5</w:t>
            </w:r>
          </w:p>
        </w:tc>
        <w:tc>
          <w:tcPr>
            <w:tcW w:type="dxa" w:w="1325"/>
          </w:tcPr>
          <w:p>
            <w:pPr>
              <w:spacing w:after="20"/>
              <w:jc w:val="right"/>
            </w:pPr>
            <w:r>
              <w:rPr>
                <w:color w:val="1C3A36"/>
                <w:sz w:val="17"/>
              </w:rPr>
              <w:t>52.5</w:t>
            </w:r>
          </w:p>
        </w:tc>
        <w:tc>
          <w:tcPr>
            <w:tcW w:type="dxa" w:w="1325"/>
          </w:tcPr>
          <w:p>
            <w:pPr>
              <w:spacing w:after="20"/>
              <w:jc w:val="right"/>
            </w:pPr>
            <w:r>
              <w:rPr>
                <w:color w:val="1C3A36"/>
                <w:sz w:val="17"/>
              </w:rPr>
              <w:t>54.3</w:t>
            </w:r>
          </w:p>
        </w:tc>
        <w:tc>
          <w:tcPr>
            <w:tcW w:type="dxa" w:w="1325"/>
          </w:tcPr>
          <w:p>
            <w:pPr>
              <w:spacing w:after="20"/>
              <w:jc w:val="right"/>
            </w:pPr>
            <w:r>
              <w:rPr>
                <w:color w:val="1C3A36"/>
                <w:sz w:val="17"/>
              </w:rPr>
              <w:t>56.0</w:t>
            </w:r>
          </w:p>
        </w:tc>
        <w:tc>
          <w:tcPr>
            <w:tcW w:type="dxa" w:w="1325"/>
          </w:tcPr>
          <w:p>
            <w:pPr>
              <w:spacing w:after="20"/>
              <w:jc w:val="right"/>
            </w:pPr>
            <w:r>
              <w:rPr>
                <w:color w:val="1C3A36"/>
                <w:sz w:val="17"/>
              </w:rPr>
              <w:t>57.7</w:t>
            </w:r>
          </w:p>
        </w:tc>
      </w:tr>
      <w:tr>
        <w:tc>
          <w:tcPr>
            <w:tcW w:type="dxa" w:w="3384"/>
          </w:tcPr>
          <w:p>
            <w:pPr>
              <w:spacing w:after="20"/>
            </w:pPr>
            <w:r>
              <w:rPr>
                <w:color w:val="1C3A36"/>
                <w:sz w:val="17"/>
              </w:rPr>
              <w:t>Revenue (EGP million)</w:t>
            </w:r>
          </w:p>
        </w:tc>
        <w:tc>
          <w:tcPr>
            <w:tcW w:type="dxa" w:w="1325"/>
          </w:tcPr>
          <w:p>
            <w:pPr>
              <w:spacing w:after="20"/>
              <w:jc w:val="right"/>
            </w:pPr>
            <w:r>
              <w:rPr>
                <w:color w:val="1C3A36"/>
                <w:sz w:val="17"/>
              </w:rPr>
              <w:t>11,091</w:t>
            </w:r>
          </w:p>
        </w:tc>
        <w:tc>
          <w:tcPr>
            <w:tcW w:type="dxa" w:w="1325"/>
          </w:tcPr>
          <w:p>
            <w:pPr>
              <w:spacing w:after="20"/>
              <w:jc w:val="right"/>
            </w:pPr>
            <w:r>
              <w:rPr>
                <w:color w:val="1C3A36"/>
                <w:sz w:val="17"/>
              </w:rPr>
              <w:t>12,942</w:t>
            </w:r>
          </w:p>
        </w:tc>
        <w:tc>
          <w:tcPr>
            <w:tcW w:type="dxa" w:w="1325"/>
          </w:tcPr>
          <w:p>
            <w:pPr>
              <w:spacing w:after="20"/>
              <w:jc w:val="right"/>
            </w:pPr>
            <w:r>
              <w:rPr>
                <w:color w:val="1C3A36"/>
                <w:sz w:val="17"/>
              </w:rPr>
              <w:t>14,867</w:t>
            </w:r>
          </w:p>
        </w:tc>
        <w:tc>
          <w:tcPr>
            <w:tcW w:type="dxa" w:w="1325"/>
          </w:tcPr>
          <w:p>
            <w:pPr>
              <w:spacing w:after="20"/>
              <w:jc w:val="right"/>
            </w:pPr>
            <w:r>
              <w:rPr>
                <w:color w:val="1C3A36"/>
                <w:sz w:val="17"/>
              </w:rPr>
              <w:t>16,818</w:t>
            </w:r>
          </w:p>
        </w:tc>
        <w:tc>
          <w:tcPr>
            <w:tcW w:type="dxa" w:w="1325"/>
          </w:tcPr>
          <w:p>
            <w:pPr>
              <w:spacing w:after="20"/>
              <w:jc w:val="right"/>
            </w:pPr>
            <w:r>
              <w:rPr>
                <w:color w:val="1C3A36"/>
                <w:sz w:val="17"/>
              </w:rPr>
              <w:t>18,718</w:t>
            </w:r>
          </w:p>
        </w:tc>
      </w:tr>
      <w:tr>
        <w:tc>
          <w:tcPr>
            <w:tcW w:type="dxa" w:w="3384"/>
            <w:shd w:val="clear" w:color="auto" w:fill="F6F1E6"/>
          </w:tcPr>
          <w:p>
            <w:pPr>
              <w:spacing w:after="20"/>
            </w:pPr>
            <w:r>
              <w:rPr>
                <w:b/>
                <w:color w:val="1C3A36"/>
                <w:sz w:val="17"/>
              </w:rPr>
              <w:t>Gross margin (an output)</w:t>
            </w:r>
          </w:p>
        </w:tc>
        <w:tc>
          <w:tcPr>
            <w:tcW w:type="dxa" w:w="1325"/>
            <w:shd w:val="clear" w:color="auto" w:fill="F6F1E6"/>
          </w:tcPr>
          <w:p>
            <w:pPr>
              <w:spacing w:after="20"/>
              <w:jc w:val="right"/>
            </w:pPr>
            <w:r>
              <w:rPr>
                <w:b/>
                <w:color w:val="1C3A36"/>
                <w:sz w:val="17"/>
              </w:rPr>
              <w:t>43.0%</w:t>
            </w:r>
          </w:p>
        </w:tc>
        <w:tc>
          <w:tcPr>
            <w:tcW w:type="dxa" w:w="1325"/>
            <w:shd w:val="clear" w:color="auto" w:fill="F6F1E6"/>
          </w:tcPr>
          <w:p>
            <w:pPr>
              <w:spacing w:after="20"/>
              <w:jc w:val="right"/>
            </w:pPr>
            <w:r>
              <w:rPr>
                <w:b/>
                <w:color w:val="1C3A36"/>
                <w:sz w:val="17"/>
              </w:rPr>
              <w:t>42.5%</w:t>
            </w:r>
          </w:p>
        </w:tc>
        <w:tc>
          <w:tcPr>
            <w:tcW w:type="dxa" w:w="1325"/>
            <w:shd w:val="clear" w:color="auto" w:fill="F6F1E6"/>
          </w:tcPr>
          <w:p>
            <w:pPr>
              <w:spacing w:after="20"/>
              <w:jc w:val="right"/>
            </w:pPr>
            <w:r>
              <w:rPr>
                <w:b/>
                <w:color w:val="1C3A36"/>
                <w:sz w:val="17"/>
              </w:rPr>
              <w:t>42.7%</w:t>
            </w:r>
          </w:p>
        </w:tc>
        <w:tc>
          <w:tcPr>
            <w:tcW w:type="dxa" w:w="1325"/>
            <w:shd w:val="clear" w:color="auto" w:fill="F6F1E6"/>
          </w:tcPr>
          <w:p>
            <w:pPr>
              <w:spacing w:after="20"/>
              <w:jc w:val="right"/>
            </w:pPr>
            <w:r>
              <w:rPr>
                <w:b/>
                <w:color w:val="1C3A36"/>
                <w:sz w:val="17"/>
              </w:rPr>
              <w:t>43.0%</w:t>
            </w:r>
          </w:p>
        </w:tc>
        <w:tc>
          <w:tcPr>
            <w:tcW w:type="dxa" w:w="1325"/>
            <w:shd w:val="clear" w:color="auto" w:fill="F6F1E6"/>
          </w:tcPr>
          <w:p>
            <w:pPr>
              <w:spacing w:after="20"/>
              <w:jc w:val="right"/>
            </w:pPr>
            <w:r>
              <w:rPr>
                <w:b/>
                <w:color w:val="1C3A36"/>
                <w:sz w:val="17"/>
              </w:rPr>
              <w:t>43.0%</w:t>
            </w:r>
          </w:p>
        </w:tc>
      </w:tr>
    </w:tbl>
    <w:p>
      <w:pPr>
        <w:spacing w:after="40"/>
      </w:pPr>
    </w:p>
    <w:p>
      <w:pPr>
        <w:spacing w:after="200" w:before="0"/>
      </w:pPr>
      <w:r>
        <w:rPr>
          <w:b w:val="0"/>
          <w:i/>
          <w:color w:val="6E7B77"/>
          <w:sz w:val="17"/>
        </w:rPr>
        <w:t>Table 7 — the forecast driver table. Volume and price move separately, in the currency each is actually earned in.</w:t>
      </w:r>
    </w:p>
    <w:p>
      <w:pPr>
        <w:spacing w:after="40"/>
        <w:jc w:val="center"/>
      </w:pPr>
      <w:r>
        <w:drawing>
          <wp:inline xmlns:a="http://schemas.openxmlformats.org/drawingml/2006/main" xmlns:pic="http://schemas.openxmlformats.org/drawingml/2006/picture">
            <wp:extent cx="6309360" cy="2373633"/>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373633"/>
                    </a:xfrm>
                    <a:prstGeom prst="rect"/>
                  </pic:spPr>
                </pic:pic>
              </a:graphicData>
            </a:graphic>
          </wp:inline>
        </w:drawing>
      </w:r>
    </w:p>
    <w:p>
      <w:pPr>
        <w:spacing w:after="200" w:before="0"/>
      </w:pPr>
      <w:r>
        <w:rPr>
          <w:b w:val="0"/>
          <w:i/>
          <w:color w:val="6E7B77"/>
          <w:sz w:val="17"/>
        </w:rPr>
        <w:t>Figure 3 — revenue by book, and the volumes and prices underneath it.</w:t>
      </w:r>
    </w:p>
    <w:p>
      <w:pPr>
        <w:spacing w:after="120" w:before="0"/>
      </w:pPr>
      <w:r>
        <w:rPr>
          <w:b w:val="0"/>
          <w:i w:val="0"/>
          <w:color w:val="1C3A36"/>
          <w:sz w:val="21"/>
        </w:rPr>
        <w:t>The cost side gets the same discipline, and this matters more than it sounds. The audited cost-of-sales note splits production cost into physically distinct lines, and each one is escalated on its OWN driver rather than on a single blended inflation index: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328"/>
      </w:tblGrid>
      <w:tr>
        <w:tc>
          <w:tcPr>
            <w:tcW w:type="dxa" w:w="2664"/>
            <w:shd w:val="clear" w:color="auto" w:fill="EAF0EE"/>
          </w:tcPr>
          <w:p>
            <w:pPr>
              <w:spacing w:after="20"/>
            </w:pPr>
            <w:r>
              <w:rPr>
                <w:b/>
                <w:color w:val="1C3A36"/>
                <w:sz w:val="17"/>
              </w:rPr>
              <w:t>Cost line</w:t>
            </w:r>
          </w:p>
        </w:tc>
        <w:tc>
          <w:tcPr>
            <w:tcW w:type="dxa" w:w="1656"/>
            <w:shd w:val="clear" w:color="auto" w:fill="EAF0EE"/>
          </w:tcPr>
          <w:p>
            <w:pPr>
              <w:spacing w:after="20"/>
            </w:pPr>
            <w:r>
              <w:rPr>
                <w:b/>
                <w:color w:val="1C3A36"/>
                <w:sz w:val="17"/>
              </w:rPr>
              <w:t>Share of production cost</w:t>
            </w:r>
          </w:p>
        </w:tc>
        <w:tc>
          <w:tcPr>
            <w:tcW w:type="dxa" w:w="5328"/>
            <w:shd w:val="clear" w:color="auto" w:fill="EAF0EE"/>
          </w:tcPr>
          <w:p>
            <w:pPr>
              <w:spacing w:after="20"/>
            </w:pPr>
            <w:r>
              <w:rPr>
                <w:b/>
                <w:color w:val="1C3A36"/>
                <w:sz w:val="17"/>
              </w:rPr>
              <w:t>Escalated on</w:t>
            </w:r>
          </w:p>
        </w:tc>
      </w:tr>
      <w:tr>
        <w:tc>
          <w:tcPr>
            <w:tcW w:type="dxa" w:w="2664"/>
          </w:tcPr>
          <w:p>
            <w:pPr>
              <w:spacing w:after="20"/>
            </w:pPr>
            <w:r>
              <w:rPr>
                <w:color w:val="1C3A36"/>
                <w:sz w:val="17"/>
              </w:rPr>
              <w:t>Imported active ingredients</w:t>
            </w:r>
          </w:p>
        </w:tc>
        <w:tc>
          <w:tcPr>
            <w:tcW w:type="dxa" w:w="1656"/>
          </w:tcPr>
          <w:p>
            <w:pPr>
              <w:spacing w:after="20"/>
              <w:jc w:val="right"/>
            </w:pPr>
            <w:r>
              <w:rPr>
                <w:color w:val="1C3A36"/>
                <w:sz w:val="17"/>
              </w:rPr>
              <w:t>54.9%</w:t>
            </w:r>
          </w:p>
        </w:tc>
        <w:tc>
          <w:tcPr>
            <w:tcW w:type="dxa" w:w="5328"/>
          </w:tcPr>
          <w:p>
            <w:pPr>
              <w:spacing w:after="20"/>
              <w:jc w:val="right"/>
            </w:pPr>
            <w:r>
              <w:rPr>
                <w:color w:val="1C3A36"/>
                <w:sz w:val="17"/>
              </w:rPr>
              <w:t>a hard-currency price path passed through the exchange-rate path</w:t>
            </w:r>
          </w:p>
        </w:tc>
      </w:tr>
      <w:tr>
        <w:tc>
          <w:tcPr>
            <w:tcW w:type="dxa" w:w="2664"/>
          </w:tcPr>
          <w:p>
            <w:pPr>
              <w:spacing w:after="20"/>
            </w:pPr>
            <w:r>
              <w:rPr>
                <w:color w:val="1C3A36"/>
                <w:sz w:val="17"/>
              </w:rPr>
              <w:t>Packaging materials</w:t>
            </w:r>
          </w:p>
        </w:tc>
        <w:tc>
          <w:tcPr>
            <w:tcW w:type="dxa" w:w="1656"/>
          </w:tcPr>
          <w:p>
            <w:pPr>
              <w:spacing w:after="20"/>
              <w:jc w:val="right"/>
            </w:pPr>
            <w:r>
              <w:rPr>
                <w:color w:val="1C3A36"/>
                <w:sz w:val="17"/>
              </w:rPr>
              <w:t>24.6%</w:t>
            </w:r>
          </w:p>
        </w:tc>
        <w:tc>
          <w:tcPr>
            <w:tcW w:type="dxa" w:w="5328"/>
          </w:tcPr>
          <w:p>
            <w:pPr>
              <w:spacing w:after="20"/>
              <w:jc w:val="right"/>
            </w:pPr>
            <w:r>
              <w:rPr>
                <w:color w:val="1C3A36"/>
                <w:sz w:val="17"/>
              </w:rPr>
              <w:t>55% on the hard-currency path, the balance domestic — the group makes its own primary packaging</w:t>
            </w:r>
          </w:p>
        </w:tc>
      </w:tr>
      <w:tr>
        <w:tc>
          <w:tcPr>
            <w:tcW w:type="dxa" w:w="2664"/>
          </w:tcPr>
          <w:p>
            <w:pPr>
              <w:spacing w:after="20"/>
            </w:pPr>
            <w:r>
              <w:rPr>
                <w:color w:val="1C3A36"/>
                <w:sz w:val="17"/>
              </w:rPr>
              <w:t>Labour</w:t>
            </w:r>
          </w:p>
        </w:tc>
        <w:tc>
          <w:tcPr>
            <w:tcW w:type="dxa" w:w="1656"/>
          </w:tcPr>
          <w:p>
            <w:pPr>
              <w:spacing w:after="20"/>
              <w:jc w:val="right"/>
            </w:pPr>
            <w:r>
              <w:rPr>
                <w:color w:val="1C3A36"/>
                <w:sz w:val="17"/>
              </w:rPr>
              <w:t>9.8%</w:t>
            </w:r>
          </w:p>
        </w:tc>
        <w:tc>
          <w:tcPr>
            <w:tcW w:type="dxa" w:w="5328"/>
          </w:tcPr>
          <w:p>
            <w:pPr>
              <w:spacing w:after="20"/>
              <w:jc w:val="right"/>
            </w:pPr>
            <w:r>
              <w:rPr>
                <w:color w:val="1C3A36"/>
                <w:sz w:val="17"/>
              </w:rPr>
              <w:t>Egyptian wage growth, which is running above consumer prices</w:t>
            </w:r>
          </w:p>
        </w:tc>
      </w:tr>
      <w:tr>
        <w:tc>
          <w:tcPr>
            <w:tcW w:type="dxa" w:w="2664"/>
          </w:tcPr>
          <w:p>
            <w:pPr>
              <w:spacing w:after="20"/>
            </w:pPr>
            <w:r>
              <w:rPr>
                <w:color w:val="1C3A36"/>
                <w:sz w:val="17"/>
              </w:rPr>
              <w:t>Energy and utilities</w:t>
            </w:r>
          </w:p>
        </w:tc>
        <w:tc>
          <w:tcPr>
            <w:tcW w:type="dxa" w:w="1656"/>
          </w:tcPr>
          <w:p>
            <w:pPr>
              <w:spacing w:after="20"/>
              <w:jc w:val="right"/>
            </w:pPr>
            <w:r>
              <w:rPr>
                <w:color w:val="1C3A36"/>
                <w:sz w:val="17"/>
              </w:rPr>
              <w:t>3.4%</w:t>
            </w:r>
          </w:p>
        </w:tc>
        <w:tc>
          <w:tcPr>
            <w:tcW w:type="dxa" w:w="5328"/>
          </w:tcPr>
          <w:p>
            <w:pPr>
              <w:spacing w:after="20"/>
              <w:jc w:val="right"/>
            </w:pPr>
            <w:r>
              <w:rPr>
                <w:color w:val="1C3A36"/>
                <w:sz w:val="17"/>
              </w:rPr>
              <w:t>the regulated tariff schedule, ABOVE consumer prices while subsidy reform runs</w:t>
            </w:r>
          </w:p>
        </w:tc>
      </w:tr>
      <w:tr>
        <w:tc>
          <w:tcPr>
            <w:tcW w:type="dxa" w:w="2664"/>
          </w:tcPr>
          <w:p>
            <w:pPr>
              <w:spacing w:after="20"/>
            </w:pPr>
            <w:r>
              <w:rPr>
                <w:color w:val="1C3A36"/>
                <w:sz w:val="17"/>
              </w:rPr>
              <w:t>Other consumables and services</w:t>
            </w:r>
          </w:p>
        </w:tc>
        <w:tc>
          <w:tcPr>
            <w:tcW w:type="dxa" w:w="1656"/>
          </w:tcPr>
          <w:p>
            <w:pPr>
              <w:spacing w:after="20"/>
              <w:jc w:val="right"/>
            </w:pPr>
            <w:r>
              <w:rPr>
                <w:color w:val="1C3A36"/>
                <w:sz w:val="17"/>
              </w:rPr>
              <w:t>5.7%</w:t>
            </w:r>
          </w:p>
        </w:tc>
        <w:tc>
          <w:tcPr>
            <w:tcW w:type="dxa" w:w="5328"/>
          </w:tcPr>
          <w:p>
            <w:pPr>
              <w:spacing w:after="20"/>
              <w:jc w:val="right"/>
            </w:pPr>
            <w:r>
              <w:rPr>
                <w:color w:val="1C3A36"/>
                <w:sz w:val="17"/>
              </w:rPr>
              <w:t>domestic consumer prices</w:t>
            </w:r>
          </w:p>
        </w:tc>
      </w:tr>
      <w:tr>
        <w:tc>
          <w:tcPr>
            <w:tcW w:type="dxa" w:w="2664"/>
          </w:tcPr>
          <w:p>
            <w:pPr>
              <w:spacing w:after="20"/>
            </w:pPr>
            <w:r>
              <w:rPr>
                <w:color w:val="1C3A36"/>
                <w:sz w:val="17"/>
              </w:rPr>
              <w:t>Depreciation</w:t>
            </w:r>
          </w:p>
        </w:tc>
        <w:tc>
          <w:tcPr>
            <w:tcW w:type="dxa" w:w="1656"/>
          </w:tcPr>
          <w:p>
            <w:pPr>
              <w:spacing w:after="20"/>
              <w:jc w:val="right"/>
            </w:pPr>
            <w:r>
              <w:rPr>
                <w:color w:val="1C3A36"/>
                <w:sz w:val="17"/>
              </w:rPr>
              <w:t>1.7%</w:t>
            </w:r>
          </w:p>
        </w:tc>
        <w:tc>
          <w:tcPr>
            <w:tcW w:type="dxa" w:w="5328"/>
          </w:tcPr>
          <w:p>
            <w:pPr>
              <w:spacing w:after="20"/>
              <w:jc w:val="right"/>
            </w:pPr>
            <w:r>
              <w:rPr>
                <w:color w:val="1C3A36"/>
                <w:sz w:val="17"/>
              </w:rPr>
              <w:t>nothing — it is excluded here and comes from the property roll-forward instead</w:t>
            </w:r>
          </w:p>
        </w:tc>
      </w:tr>
    </w:tbl>
    <w:p>
      <w:pPr>
        <w:spacing w:after="40"/>
      </w:pPr>
    </w:p>
    <w:p>
      <w:pPr>
        <w:spacing w:after="200" w:before="0"/>
      </w:pPr>
      <w:r>
        <w:rPr>
          <w:b w:val="0"/>
          <w:i/>
          <w:color w:val="6E7B77"/>
          <w:sz w:val="17"/>
        </w:rPr>
        <w:t>Table 8 — one escalator per driver class. A single blended index across these lines would make the forecast margin an artefact of the index rather than of the business.</w:t>
      </w:r>
    </w:p>
    <w:p>
      <w:pPr>
        <w:spacing w:after="80" w:before="200"/>
      </w:pPr>
      <w:r>
        <w:rPr>
          <w:b/>
          <w:i w:val="0"/>
          <w:color w:val="1C3A36"/>
          <w:sz w:val="24"/>
        </w:rPr>
        <w:t>1.7 The crux</w:t>
      </w:r>
    </w:p>
    <w:p>
      <w:pPr>
        <w:spacing w:after="120" w:before="0"/>
      </w:pPr>
      <w:r>
        <w:rPr>
          <w:b w:val="0"/>
          <w:i w:val="0"/>
          <w:color w:val="1C3A36"/>
          <w:sz w:val="21"/>
        </w:rPr>
        <w:t>The crux is the new plant, and it is worth being precise about what this study does and does not assume. It CHARGES the plant: EGP 4,901 million of construction balance transfers into depreciable assets on the company's own disclosed licensing timetable, taking the depreciation charge from EGP 118 million in FY2025 to EGP 298 million in FY2026 and EGP 441 million by FY2028. The interest that had been capitalised into the construction balance — EGP 551 million in FY2025 alone — stops being capitalised and starts being expensed. It does NOT credit the plant with any revenue, because the company has published none.</w:t>
      </w:r>
    </w:p>
    <w:p>
      <w:pPr>
        <w:spacing w:after="40"/>
        <w:jc w:val="center"/>
      </w:pPr>
      <w:r>
        <w:drawing>
          <wp:inline xmlns:a="http://schemas.openxmlformats.org/drawingml/2006/main" xmlns:pic="http://schemas.openxmlformats.org/drawingml/2006/picture">
            <wp:extent cx="6126480" cy="2753748"/>
            <wp:docPr id="4" name="Picture 4"/>
            <wp:cNvGraphicFramePr>
              <a:graphicFrameLocks noChangeAspect="1"/>
            </wp:cNvGraphicFramePr>
            <a:graphic>
              <a:graphicData uri="http://schemas.openxmlformats.org/drawingml/2006/picture">
                <pic:pic>
                  <pic:nvPicPr>
                    <pic:cNvPr id="0" name="fig3_depreciation.png"/>
                    <pic:cNvPicPr/>
                  </pic:nvPicPr>
                  <pic:blipFill>
                    <a:blip r:embed="rId12"/>
                    <a:stretch>
                      <a:fillRect/>
                    </a:stretch>
                  </pic:blipFill>
                  <pic:spPr>
                    <a:xfrm>
                      <a:off x="0" y="0"/>
                      <a:ext cx="6126480" cy="2753748"/>
                    </a:xfrm>
                    <a:prstGeom prst="rect"/>
                  </pic:spPr>
                </pic:pic>
              </a:graphicData>
            </a:graphic>
          </wp:inline>
        </w:drawing>
      </w:r>
    </w:p>
    <w:p>
      <w:pPr>
        <w:spacing w:after="200" w:before="0"/>
      </w:pPr>
      <w:r>
        <w:rPr>
          <w:b w:val="0"/>
          <w:i/>
          <w:color w:val="6E7B77"/>
          <w:sz w:val="17"/>
        </w:rPr>
        <w:t>Figure 4 — the depreciation step, and the construction balance that causes it.</w:t>
      </w:r>
    </w:p>
    <w:p>
      <w:pPr>
        <w:spacing w:after="120" w:before="0"/>
      </w:pPr>
      <w:r>
        <w:rPr>
          <w:b w:val="0"/>
          <w:i w:val="0"/>
          <w:color w:val="1C3A36"/>
          <w:sz w:val="21"/>
        </w:rPr>
        <w:t>So the honest question is not what the plant is worth. It is how much it must sell. Solving the same model for the market price: an additional EGP 4,651 million of revenue by FY2030 at a 45% contribution margin closes the gap from EGP 86.06 to EGP 130.05. That is 20% of FY2030 revenue, or about USD 81 million a year — 0.81 times the USD 100 million the company says it invested in the plant.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Why this number is useful. </w:t>
            </w:r>
            <w:r>
              <w:rPr>
                <w:color w:val="1C3A36"/>
                <w:sz w:val="19"/>
              </w:rPr>
              <w:t>It is observable. Roughly USD 81 million a year of biosimilar revenue by 2030 is a figure the company will eventually disclose, and a reader can check this study against it. An asset turn of 0.81 times on a specialist biologics facility is demanding but not absurd; whether it is achievable in Egypt, at Egyptian reimbursement prices, on a product set still moving through registration, is the question the market is answering yes to and this study is declining to answer either way.</w:t>
            </w:r>
          </w:p>
        </w:tc>
      </w:tr>
    </w:tbl>
    <w:p>
      <w:pPr>
        <w:spacing w:after="40"/>
      </w:pPr>
    </w:p>
    <w:p>
      <w:pPr>
        <w:spacing w:after="40"/>
        <w:jc w:val="center"/>
      </w:pPr>
      <w:r>
        <w:drawing>
          <wp:inline xmlns:a="http://schemas.openxmlformats.org/drawingml/2006/main" xmlns:pic="http://schemas.openxmlformats.org/drawingml/2006/picture">
            <wp:extent cx="6035040" cy="2717594"/>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17594"/>
                    </a:xfrm>
                    <a:prstGeom prst="rect"/>
                  </pic:spPr>
                </pic:pic>
              </a:graphicData>
            </a:graphic>
          </wp:inline>
        </w:drawing>
      </w:r>
    </w:p>
    <w:p>
      <w:pPr>
        <w:spacing w:after="200" w:before="0"/>
      </w:pPr>
      <w:r>
        <w:rPr>
          <w:b w:val="0"/>
          <w:i/>
          <w:color w:val="6E7B77"/>
          <w:sz w:val="17"/>
        </w:rPr>
        <w:t>Figure 5 — the crux stated as a reverse valuation.</w:t>
      </w:r>
    </w:p>
    <w:p>
      <w:pPr>
        <w:spacing w:after="80" w:before="200"/>
      </w:pPr>
      <w:r>
        <w:rPr>
          <w:b/>
          <w:i w:val="0"/>
          <w:color w:val="1C3A36"/>
          <w:sz w:val="24"/>
        </w:rPr>
        <w:t>1.8 Macro and country — the cost of capital</w:t>
      </w:r>
    </w:p>
    <w:p>
      <w:pPr>
        <w:spacing w:after="120" w:before="0"/>
      </w:pPr>
      <w:r>
        <w:rPr>
          <w:b w:val="0"/>
          <w:i w:val="0"/>
          <w:color w:val="1C3A36"/>
          <w:sz w:val="21"/>
        </w:rPr>
        <w:t>The quoted ten-year Egyptian local-currency government yield is 22.31%. That yield is not riskless: it contains the sovereign's own default risk. Subtracting Egypt's sovereign credit-default-swap spread of 3.41% leaves a normalised risk-free rate of 18.90%. Adding beta times the country equity risk premium gives the cost of equity. Charging the raw 22.31% yield AND a country-loaded premium would give 28.23% and would count sovereign risk twice; that construction is not used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368"/>
        <w:gridCol w:w="4536"/>
      </w:tblGrid>
      <w:tr>
        <w:tc>
          <w:tcPr>
            <w:tcW w:type="dxa" w:w="2808"/>
            <w:shd w:val="clear" w:color="auto" w:fill="EAF0EE"/>
          </w:tcPr>
          <w:p>
            <w:pPr>
              <w:spacing w:after="20"/>
            </w:pPr>
            <w:r>
              <w:rPr>
                <w:b/>
                <w:color w:val="1C3A36"/>
                <w:sz w:val="16"/>
              </w:rPr>
              <w:t>Cost of capital</w:t>
            </w:r>
          </w:p>
        </w:tc>
        <w:tc>
          <w:tcPr>
            <w:tcW w:type="dxa" w:w="1368"/>
            <w:shd w:val="clear" w:color="auto" w:fill="EAF0EE"/>
          </w:tcPr>
          <w:p>
            <w:pPr>
              <w:spacing w:after="20"/>
            </w:pPr>
            <w:r>
              <w:rPr>
                <w:b/>
                <w:color w:val="1C3A36"/>
                <w:sz w:val="16"/>
              </w:rPr>
              <w:t>Swap basis</w:t>
            </w:r>
          </w:p>
        </w:tc>
        <w:tc>
          <w:tcPr>
            <w:tcW w:type="dxa" w:w="1368"/>
            <w:shd w:val="clear" w:color="auto" w:fill="EAF0EE"/>
          </w:tcPr>
          <w:p>
            <w:pPr>
              <w:spacing w:after="20"/>
            </w:pPr>
            <w:r>
              <w:rPr>
                <w:b/>
                <w:color w:val="1C3A36"/>
                <w:sz w:val="16"/>
              </w:rPr>
              <w:t>Rating basis</w:t>
            </w:r>
          </w:p>
        </w:tc>
        <w:tc>
          <w:tcPr>
            <w:tcW w:type="dxa" w:w="4536"/>
            <w:shd w:val="clear" w:color="auto" w:fill="EAF0EE"/>
          </w:tcPr>
          <w:p>
            <w:pPr>
              <w:spacing w:after="20"/>
            </w:pPr>
            <w:r>
              <w:rPr>
                <w:b/>
                <w:color w:val="1C3A36"/>
                <w:sz w:val="16"/>
              </w:rPr>
              <w:t>Source and construction</w:t>
            </w:r>
          </w:p>
        </w:tc>
      </w:tr>
      <w:tr>
        <w:tc>
          <w:tcPr>
            <w:tcW w:type="dxa" w:w="2808"/>
          </w:tcPr>
          <w:p>
            <w:pPr>
              <w:spacing w:after="20"/>
            </w:pPr>
            <w:r>
              <w:rPr>
                <w:color w:val="1C3A36"/>
                <w:sz w:val="16"/>
              </w:rPr>
              <w:t>Ten-year local-currency yield</w:t>
            </w:r>
          </w:p>
        </w:tc>
        <w:tc>
          <w:tcPr>
            <w:tcW w:type="dxa" w:w="1368"/>
          </w:tcPr>
          <w:p>
            <w:pPr>
              <w:spacing w:after="20"/>
              <w:jc w:val="right"/>
            </w:pPr>
            <w:r>
              <w:rPr>
                <w:color w:val="1C3A36"/>
                <w:sz w:val="16"/>
              </w:rPr>
              <w:t>22.31%</w:t>
            </w:r>
          </w:p>
        </w:tc>
        <w:tc>
          <w:tcPr>
            <w:tcW w:type="dxa" w:w="1368"/>
          </w:tcPr>
          <w:p>
            <w:pPr>
              <w:spacing w:after="20"/>
              <w:jc w:val="right"/>
            </w:pPr>
            <w:r>
              <w:rPr>
                <w:color w:val="1C3A36"/>
                <w:sz w:val="16"/>
              </w:rPr>
              <w:t>22.31%</w:t>
            </w:r>
          </w:p>
        </w:tc>
        <w:tc>
          <w:tcPr>
            <w:tcW w:type="dxa" w:w="4536"/>
          </w:tcPr>
          <w:p>
            <w:pPr>
              <w:spacing w:after="20"/>
              <w:jc w:val="right"/>
            </w:pPr>
            <w:r>
              <w:rPr>
                <w:color w:val="1C3A36"/>
                <w:sz w:val="16"/>
              </w:rPr>
              <w:t>House reference print of 21 July 2026</w:t>
            </w:r>
          </w:p>
        </w:tc>
      </w:tr>
      <w:tr>
        <w:tc>
          <w:tcPr>
            <w:tcW w:type="dxa" w:w="2808"/>
          </w:tcPr>
          <w:p>
            <w:pPr>
              <w:spacing w:after="20"/>
            </w:pPr>
            <w:r>
              <w:rPr>
                <w:color w:val="1C3A36"/>
                <w:sz w:val="16"/>
              </w:rPr>
              <w:t>Less sovereign default spread</w:t>
            </w:r>
          </w:p>
        </w:tc>
        <w:tc>
          <w:tcPr>
            <w:tcW w:type="dxa" w:w="1368"/>
          </w:tcPr>
          <w:p>
            <w:pPr>
              <w:spacing w:after="20"/>
              <w:jc w:val="right"/>
            </w:pPr>
            <w:r>
              <w:rPr>
                <w:color w:val="1C3A36"/>
                <w:sz w:val="16"/>
              </w:rPr>
              <w:t>3.41%</w:t>
            </w:r>
          </w:p>
        </w:tc>
        <w:tc>
          <w:tcPr>
            <w:tcW w:type="dxa" w:w="1368"/>
          </w:tcPr>
          <w:p>
            <w:pPr>
              <w:spacing w:after="20"/>
              <w:jc w:val="right"/>
            </w:pPr>
            <w:r>
              <w:rPr>
                <w:color w:val="1C3A36"/>
                <w:sz w:val="16"/>
              </w:rPr>
              <w:t>6.37%</w:t>
            </w:r>
          </w:p>
        </w:tc>
        <w:tc>
          <w:tcPr>
            <w:tcW w:type="dxa" w:w="4536"/>
          </w:tcPr>
          <w:p>
            <w:pPr>
              <w:spacing w:after="20"/>
              <w:jc w:val="right"/>
            </w:pPr>
            <w:r>
              <w:rPr>
                <w:color w:val="1C3A36"/>
                <w:sz w:val="16"/>
              </w:rPr>
              <w:t>Country risk-premium file, Egypt row, read 9 August 2026</w:t>
            </w:r>
          </w:p>
        </w:tc>
      </w:tr>
      <w:tr>
        <w:tc>
          <w:tcPr>
            <w:tcW w:type="dxa" w:w="2808"/>
          </w:tcPr>
          <w:p>
            <w:pPr>
              <w:spacing w:after="20"/>
            </w:pPr>
            <w:r>
              <w:rPr>
                <w:color w:val="1C3A36"/>
                <w:sz w:val="16"/>
              </w:rPr>
              <w:t>Normalised risk-free rate</w:t>
            </w:r>
          </w:p>
        </w:tc>
        <w:tc>
          <w:tcPr>
            <w:tcW w:type="dxa" w:w="1368"/>
          </w:tcPr>
          <w:p>
            <w:pPr>
              <w:spacing w:after="20"/>
              <w:jc w:val="right"/>
            </w:pPr>
            <w:r>
              <w:rPr>
                <w:color w:val="1C3A36"/>
                <w:sz w:val="16"/>
              </w:rPr>
              <w:t>18.90%</w:t>
            </w:r>
          </w:p>
        </w:tc>
        <w:tc>
          <w:tcPr>
            <w:tcW w:type="dxa" w:w="1368"/>
          </w:tcPr>
          <w:p>
            <w:pPr>
              <w:spacing w:after="20"/>
              <w:jc w:val="right"/>
            </w:pPr>
            <w:r>
              <w:rPr>
                <w:color w:val="1C3A36"/>
                <w:sz w:val="16"/>
              </w:rPr>
              <w:t>15.94%</w:t>
            </w:r>
          </w:p>
        </w:tc>
        <w:tc>
          <w:tcPr>
            <w:tcW w:type="dxa" w:w="4536"/>
          </w:tcPr>
          <w:p>
            <w:pPr>
              <w:spacing w:after="20"/>
              <w:jc w:val="right"/>
            </w:pPr>
            <w:r>
              <w:rPr>
                <w:color w:val="1C3A36"/>
                <w:sz w:val="16"/>
              </w:rPr>
              <w:t>The subtraction above</w:t>
            </w:r>
          </w:p>
        </w:tc>
      </w:tr>
      <w:tr>
        <w:tc>
          <w:tcPr>
            <w:tcW w:type="dxa" w:w="2808"/>
          </w:tcPr>
          <w:p>
            <w:pPr>
              <w:spacing w:after="20"/>
            </w:pPr>
            <w:r>
              <w:rPr>
                <w:color w:val="1C3A36"/>
                <w:sz w:val="16"/>
              </w:rPr>
              <w:t>Country equity risk premium</w:t>
            </w:r>
          </w:p>
        </w:tc>
        <w:tc>
          <w:tcPr>
            <w:tcW w:type="dxa" w:w="1368"/>
          </w:tcPr>
          <w:p>
            <w:pPr>
              <w:spacing w:after="20"/>
              <w:jc w:val="right"/>
            </w:pPr>
            <w:r>
              <w:rPr>
                <w:color w:val="1C3A36"/>
                <w:sz w:val="16"/>
              </w:rPr>
              <w:t>9.41%</w:t>
            </w:r>
          </w:p>
        </w:tc>
        <w:tc>
          <w:tcPr>
            <w:tcW w:type="dxa" w:w="1368"/>
          </w:tcPr>
          <w:p>
            <w:pPr>
              <w:spacing w:after="20"/>
              <w:jc w:val="right"/>
            </w:pPr>
            <w:r>
              <w:rPr>
                <w:color w:val="1C3A36"/>
                <w:sz w:val="16"/>
              </w:rPr>
              <w:t>13.94%</w:t>
            </w:r>
          </w:p>
        </w:tc>
        <w:tc>
          <w:tcPr>
            <w:tcW w:type="dxa" w:w="4536"/>
          </w:tcPr>
          <w:p>
            <w:pPr>
              <w:spacing w:after="20"/>
              <w:jc w:val="right"/>
            </w:pPr>
            <w:r>
              <w:rPr>
                <w:color w:val="1C3A36"/>
                <w:sz w:val="16"/>
              </w:rPr>
              <w:t>Same file, same row, the two published columns</w:t>
            </w:r>
          </w:p>
        </w:tc>
      </w:tr>
      <w:tr>
        <w:tc>
          <w:tcPr>
            <w:tcW w:type="dxa" w:w="2808"/>
          </w:tcPr>
          <w:p>
            <w:pPr>
              <w:spacing w:after="20"/>
            </w:pPr>
            <w:r>
              <w:rPr>
                <w:color w:val="1C3A36"/>
                <w:sz w:val="16"/>
              </w:rPr>
              <w:t>Beta</w:t>
            </w:r>
          </w:p>
        </w:tc>
        <w:tc>
          <w:tcPr>
            <w:tcW w:type="dxa" w:w="1368"/>
          </w:tcPr>
          <w:p>
            <w:pPr>
              <w:spacing w:after="20"/>
              <w:jc w:val="right"/>
            </w:pPr>
            <w:r>
              <w:rPr>
                <w:color w:val="1C3A36"/>
                <w:sz w:val="16"/>
              </w:rPr>
              <w:t>0.629</w:t>
            </w:r>
          </w:p>
        </w:tc>
        <w:tc>
          <w:tcPr>
            <w:tcW w:type="dxa" w:w="1368"/>
          </w:tcPr>
          <w:p>
            <w:pPr>
              <w:spacing w:after="20"/>
              <w:jc w:val="right"/>
            </w:pPr>
            <w:r>
              <w:rPr>
                <w:color w:val="1C3A36"/>
                <w:sz w:val="16"/>
              </w:rPr>
              <w:t>0.629</w:t>
            </w:r>
          </w:p>
        </w:tc>
        <w:tc>
          <w:tcPr>
            <w:tcW w:type="dxa" w:w="4536"/>
          </w:tcPr>
          <w:p>
            <w:pPr>
              <w:spacing w:after="20"/>
              <w:jc w:val="right"/>
            </w:pPr>
            <w:r>
              <w:rPr>
                <w:color w:val="1C3A36"/>
                <w:sz w:val="16"/>
              </w:rPr>
              <w:t>Own-stock weekly regression against a 36-name local composite, five years; R-squared 0.235, n = 257, standard error 0.071</w:t>
            </w:r>
          </w:p>
        </w:tc>
      </w:tr>
      <w:tr>
        <w:tc>
          <w:tcPr>
            <w:tcW w:type="dxa" w:w="2808"/>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24.82%</w:t>
            </w:r>
          </w:p>
        </w:tc>
        <w:tc>
          <w:tcPr>
            <w:tcW w:type="dxa" w:w="1368"/>
            <w:shd w:val="clear" w:color="auto" w:fill="F6F1E6"/>
          </w:tcPr>
          <w:p>
            <w:pPr>
              <w:spacing w:after="20"/>
              <w:jc w:val="right"/>
            </w:pPr>
            <w:r>
              <w:rPr>
                <w:b/>
                <w:color w:val="1C3A36"/>
                <w:sz w:val="16"/>
              </w:rPr>
              <w:t>24.71%</w:t>
            </w:r>
          </w:p>
        </w:tc>
        <w:tc>
          <w:tcPr>
            <w:tcW w:type="dxa" w:w="4536"/>
            <w:shd w:val="clear" w:color="auto" w:fill="F6F1E6"/>
          </w:tcPr>
          <w:p>
            <w:pPr>
              <w:spacing w:after="20"/>
              <w:jc w:val="right"/>
            </w:pPr>
            <w:r>
              <w:rPr>
                <w:b/>
                <w:color w:val="1C3A36"/>
                <w:sz w:val="16"/>
              </w:rPr>
              <w:t>The two bases agree to 11 basis points</w:t>
            </w:r>
          </w:p>
        </w:tc>
      </w:tr>
      <w:tr>
        <w:tc>
          <w:tcPr>
            <w:tcW w:type="dxa" w:w="2808"/>
          </w:tcPr>
          <w:p>
            <w:pPr>
              <w:spacing w:after="20"/>
            </w:pPr>
            <w:r>
              <w:rPr>
                <w:color w:val="1C3A36"/>
                <w:sz w:val="16"/>
              </w:rPr>
              <w:t>Cost of debt, local currency</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24.81%</w:t>
            </w:r>
          </w:p>
        </w:tc>
        <w:tc>
          <w:tcPr>
            <w:tcW w:type="dxa" w:w="4536"/>
          </w:tcPr>
          <w:p>
            <w:pPr>
              <w:spacing w:after="20"/>
              <w:jc w:val="right"/>
            </w:pPr>
            <w:r>
              <w:rPr>
                <w:color w:val="1C3A36"/>
                <w:sz w:val="16"/>
              </w:rPr>
              <w:t>Sovereign yield plus 250 basis points — above the sovereign by construction</w:t>
            </w:r>
          </w:p>
        </w:tc>
      </w:tr>
      <w:tr>
        <w:tc>
          <w:tcPr>
            <w:tcW w:type="dxa" w:w="2808"/>
          </w:tcPr>
          <w:p>
            <w:pPr>
              <w:spacing w:after="20"/>
            </w:pPr>
            <w:r>
              <w:rPr>
                <w:color w:val="1C3A36"/>
                <w:sz w:val="16"/>
              </w:rPr>
              <w:t>Cost of debt, hard currency</w:t>
            </w:r>
          </w:p>
        </w:tc>
        <w:tc>
          <w:tcPr>
            <w:tcW w:type="dxa" w:w="1368"/>
          </w:tcPr>
          <w:p>
            <w:pPr>
              <w:spacing w:after="20"/>
              <w:jc w:val="right"/>
            </w:pPr>
            <w:r>
              <w:rPr>
                <w:color w:val="1C3A36"/>
                <w:sz w:val="16"/>
              </w:rPr>
              <w:t>7.50%</w:t>
            </w:r>
          </w:p>
        </w:tc>
        <w:tc>
          <w:tcPr>
            <w:tcW w:type="dxa" w:w="1368"/>
          </w:tcPr>
          <w:p>
            <w:pPr>
              <w:spacing w:after="20"/>
              <w:jc w:val="right"/>
            </w:pPr>
            <w:r>
              <w:rPr>
                <w:color w:val="1C3A36"/>
                <w:sz w:val="16"/>
              </w:rPr>
              <w:t>7.50%</w:t>
            </w:r>
          </w:p>
        </w:tc>
        <w:tc>
          <w:tcPr>
            <w:tcW w:type="dxa" w:w="4536"/>
          </w:tcPr>
          <w:p>
            <w:pPr>
              <w:spacing w:after="20"/>
              <w:jc w:val="right"/>
            </w:pPr>
            <w:r>
              <w:rPr>
                <w:color w:val="1C3A36"/>
                <w:sz w:val="16"/>
              </w:rPr>
              <w:t>Dollar and euro term loans from two Gulf banks</w:t>
            </w:r>
          </w:p>
        </w:tc>
      </w:tr>
      <w:tr>
        <w:tc>
          <w:tcPr>
            <w:tcW w:type="dxa" w:w="2808"/>
          </w:tcPr>
          <w:p>
            <w:pPr>
              <w:spacing w:after="20"/>
            </w:pPr>
            <w:r>
              <w:rPr>
                <w:color w:val="1C3A36"/>
                <w:sz w:val="16"/>
              </w:rPr>
              <w:t xml:space="preserve">   carried at local-equivalent cost</w:t>
            </w:r>
          </w:p>
        </w:tc>
        <w:tc>
          <w:tcPr>
            <w:tcW w:type="dxa" w:w="1368"/>
          </w:tcPr>
          <w:p>
            <w:pPr>
              <w:spacing w:after="20"/>
              <w:jc w:val="right"/>
            </w:pPr>
            <w:r>
              <w:rPr>
                <w:color w:val="1C3A36"/>
                <w:sz w:val="16"/>
              </w:rPr>
              <w:t>12.34%</w:t>
            </w:r>
          </w:p>
        </w:tc>
        <w:tc>
          <w:tcPr>
            <w:tcW w:type="dxa" w:w="1368"/>
          </w:tcPr>
          <w:p>
            <w:pPr>
              <w:spacing w:after="20"/>
              <w:jc w:val="right"/>
            </w:pPr>
            <w:r>
              <w:rPr>
                <w:color w:val="1C3A36"/>
                <w:sz w:val="16"/>
              </w:rPr>
              <w:t>12.34%</w:t>
            </w:r>
          </w:p>
        </w:tc>
        <w:tc>
          <w:tcPr>
            <w:tcW w:type="dxa" w:w="4536"/>
          </w:tcPr>
          <w:p>
            <w:pPr>
              <w:spacing w:after="20"/>
              <w:jc w:val="right"/>
            </w:pPr>
            <w:r>
              <w:rPr>
                <w:color w:val="1C3A36"/>
                <w:sz w:val="16"/>
              </w:rPr>
              <w:t>coupon compounded with 4.5% expected currency depreciation</w:t>
            </w:r>
          </w:p>
        </w:tc>
      </w:tr>
      <w:tr>
        <w:tc>
          <w:tcPr>
            <w:tcW w:type="dxa" w:w="2808"/>
          </w:tcPr>
          <w:p>
            <w:pPr>
              <w:spacing w:after="20"/>
            </w:pPr>
            <w:r>
              <w:rPr>
                <w:color w:val="1C3A36"/>
                <w:sz w:val="16"/>
              </w:rPr>
              <w:t>Blended cost of debt, after tax</w:t>
            </w:r>
          </w:p>
        </w:tc>
        <w:tc>
          <w:tcPr>
            <w:tcW w:type="dxa" w:w="1368"/>
          </w:tcPr>
          <w:p>
            <w:pPr>
              <w:spacing w:after="20"/>
              <w:jc w:val="right"/>
            </w:pPr>
            <w:r>
              <w:rPr>
                <w:color w:val="1C3A36"/>
                <w:sz w:val="16"/>
              </w:rPr>
              <w:t>14.38%</w:t>
            </w:r>
          </w:p>
        </w:tc>
        <w:tc>
          <w:tcPr>
            <w:tcW w:type="dxa" w:w="1368"/>
          </w:tcPr>
          <w:p>
            <w:pPr>
              <w:spacing w:after="20"/>
              <w:jc w:val="right"/>
            </w:pPr>
            <w:r>
              <w:rPr>
                <w:color w:val="1C3A36"/>
                <w:sz w:val="16"/>
              </w:rPr>
              <w:t>14.38%</w:t>
            </w:r>
          </w:p>
        </w:tc>
        <w:tc>
          <w:tcPr>
            <w:tcW w:type="dxa" w:w="4536"/>
          </w:tcPr>
          <w:p>
            <w:pPr>
              <w:spacing w:after="20"/>
              <w:jc w:val="right"/>
            </w:pPr>
            <w:r>
              <w:rPr>
                <w:color w:val="1C3A36"/>
                <w:sz w:val="16"/>
              </w:rPr>
              <w:t>book split 50% local / 50% hard currency, borrowings note (17)</w:t>
            </w:r>
          </w:p>
        </w:tc>
      </w:tr>
      <w:tr>
        <w:tc>
          <w:tcPr>
            <w:tcW w:type="dxa" w:w="2808"/>
          </w:tcPr>
          <w:p>
            <w:pPr>
              <w:spacing w:after="20"/>
            </w:pPr>
            <w:r>
              <w:rPr>
                <w:color w:val="1C3A36"/>
                <w:sz w:val="16"/>
              </w:rPr>
              <w:t>Weights (net debt basis)</w:t>
            </w:r>
          </w:p>
        </w:tc>
        <w:tc>
          <w:tcPr>
            <w:tcW w:type="dxa" w:w="1368"/>
          </w:tcPr>
          <w:p>
            <w:pPr>
              <w:spacing w:after="20"/>
              <w:jc w:val="right"/>
            </w:pPr>
            <w:r>
              <w:rPr>
                <w:color w:val="1C3A36"/>
                <w:sz w:val="16"/>
              </w:rPr>
              <w:t>75% / 25%</w:t>
            </w:r>
          </w:p>
        </w:tc>
        <w:tc>
          <w:tcPr>
            <w:tcW w:type="dxa" w:w="1368"/>
          </w:tcPr>
          <w:p>
            <w:pPr>
              <w:spacing w:after="20"/>
              <w:jc w:val="right"/>
            </w:pPr>
            <w:r>
              <w:rPr>
                <w:color w:val="1C3A36"/>
                <w:sz w:val="16"/>
              </w:rPr>
              <w:t>75% / 25%</w:t>
            </w:r>
          </w:p>
        </w:tc>
        <w:tc>
          <w:tcPr>
            <w:tcW w:type="dxa" w:w="4536"/>
          </w:tcPr>
          <w:p>
            <w:pPr>
              <w:spacing w:after="20"/>
              <w:jc w:val="right"/>
            </w:pPr>
            <w:r>
              <w:rPr>
                <w:color w:val="1C3A36"/>
                <w:sz w:val="16"/>
              </w:rPr>
              <w:t>Market-value equity, never book equity</w:t>
            </w:r>
          </w:p>
        </w:tc>
      </w:tr>
      <w:tr>
        <w:tc>
          <w:tcPr>
            <w:tcW w:type="dxa" w:w="2808"/>
            <w:shd w:val="clear" w:color="auto" w:fill="F6F1E6"/>
          </w:tcPr>
          <w:p>
            <w:pPr>
              <w:spacing w:after="20"/>
            </w:pPr>
            <w:r>
              <w:rPr>
                <w:b/>
                <w:color w:val="1C3A36"/>
                <w:sz w:val="16"/>
              </w:rPr>
              <w:t>DISCOUNT RATE, FIRST YEAR</w:t>
            </w:r>
          </w:p>
        </w:tc>
        <w:tc>
          <w:tcPr>
            <w:tcW w:type="dxa" w:w="1368"/>
            <w:shd w:val="clear" w:color="auto" w:fill="F6F1E6"/>
          </w:tcPr>
          <w:p>
            <w:pPr>
              <w:spacing w:after="20"/>
              <w:jc w:val="right"/>
            </w:pPr>
            <w:r>
              <w:rPr>
                <w:b/>
                <w:color w:val="1C3A36"/>
                <w:sz w:val="16"/>
              </w:rPr>
              <w:t>22.19%</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On gross debt: 21.83% — both published</w:t>
            </w:r>
          </w:p>
        </w:tc>
      </w:tr>
      <w:tr>
        <w:tc>
          <w:tcPr>
            <w:tcW w:type="dxa" w:w="2808"/>
            <w:shd w:val="clear" w:color="auto" w:fill="F6F1E6"/>
          </w:tcPr>
          <w:p>
            <w:pPr>
              <w:spacing w:after="20"/>
            </w:pPr>
            <w:r>
              <w:rPr>
                <w:b/>
                <w:color w:val="1C3A36"/>
                <w:sz w:val="16"/>
              </w:rPr>
              <w:t>DISCOUNT RATE, TERMINAL</w:t>
            </w:r>
          </w:p>
        </w:tc>
        <w:tc>
          <w:tcPr>
            <w:tcW w:type="dxa" w:w="1368"/>
            <w:shd w:val="clear" w:color="auto" w:fill="F6F1E6"/>
          </w:tcPr>
          <w:p>
            <w:pPr>
              <w:spacing w:after="20"/>
              <w:jc w:val="right"/>
            </w:pPr>
            <w:r>
              <w:rPr>
                <w:b/>
                <w:color w:val="1C3A36"/>
                <w:sz w:val="16"/>
              </w:rPr>
              <w:t>13.83%</w:t>
            </w:r>
          </w:p>
        </w:tc>
        <w:tc>
          <w:tcPr>
            <w:tcW w:type="dxa" w:w="1368"/>
            <w:shd w:val="clear" w:color="auto" w:fill="F6F1E6"/>
          </w:tcPr>
          <w:p>
            <w:pPr>
              <w:spacing w:after="20"/>
              <w:jc w:val="right"/>
            </w:pPr>
            <w:r>
              <w:rPr>
                <w:b/>
                <w:color w:val="1C3A36"/>
                <w:sz w:val="16"/>
              </w:rPr>
            </w:r>
          </w:p>
        </w:tc>
        <w:tc>
          <w:tcPr>
            <w:tcW w:type="dxa" w:w="4536"/>
            <w:shd w:val="clear" w:color="auto" w:fill="F6F1E6"/>
          </w:tcPr>
          <w:p>
            <w:pPr>
              <w:spacing w:after="20"/>
              <w:jc w:val="right"/>
            </w:pPr>
            <w:r>
              <w:rPr>
                <w:b/>
                <w:color w:val="1C3A36"/>
                <w:sz w:val="16"/>
              </w:rPr>
              <w:t>cost of equity 14.90%, cost of debt after tax 9.56%, debt weight 20%</w:t>
            </w:r>
          </w:p>
        </w:tc>
      </w:tr>
    </w:tbl>
    <w:p>
      <w:pPr>
        <w:spacing w:after="40"/>
      </w:pPr>
    </w:p>
    <w:p>
      <w:pPr>
        <w:spacing w:after="200" w:before="0"/>
      </w:pPr>
      <w:r>
        <w:rPr>
          <w:b w:val="0"/>
          <w:i/>
          <w:color w:val="6E7B77"/>
          <w:sz w:val="17"/>
        </w:rPr>
        <w:t>Table 9 — the cost of capital, built rather than asserted, and published on both bases the source provides.</w:t>
      </w:r>
    </w:p>
    <w:p>
      <w:pPr>
        <w:spacing w:after="120" w:before="0"/>
      </w:pPr>
      <w:r>
        <w:rPr>
          <w:b w:val="0"/>
          <w:i w:val="0"/>
          <w:color w:val="1C3A36"/>
          <w:sz w:val="21"/>
        </w:rPr>
        <w:t>A cost-of-debt cross-check that a reader can run: the company expensed EGP 1,275 million of interest in FY2025 and capitalised a further EGP 551 million into the construction balance. On average gross debt of EGP 8,999 million that is 14.2% expensed and 20.3% all-in. The 18.5% marginal rate used here sits inside that pair, which is the test that matters: a marginal rate below what the company actually pays, or above what it actually incurs, would not be credible.</w:t>
      </w:r>
    </w:p>
    <w:p>
      <w:pPr>
        <w:spacing w:after="120" w:before="0"/>
      </w:pPr>
      <w:r>
        <w:rPr>
          <w:b w:val="0"/>
          <w:i w:val="0"/>
          <w:color w:val="1C3A36"/>
          <w:sz w:val="21"/>
        </w:rPr>
        <w:t>One arithmetic point that looks wrong and is not. The first-year discount rate of 22.19% sits close to the 22.31% quoted government yield. That is a consequence of the normalisation, not an error: the quoted yield contains default risk that this build strips out and re-charges inside the equity premium, where it belongs. Comparing a cost of capital built on a normalised risk-free rate to a raw quoted yield is comparing two different things.</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126480" cy="2676090"/>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76090"/>
                    </a:xfrm>
                    <a:prstGeom prst="rect"/>
                  </pic:spPr>
                </pic:pic>
              </a:graphicData>
            </a:graphic>
          </wp:inline>
        </w:drawing>
      </w:r>
    </w:p>
    <w:p>
      <w:pPr>
        <w:spacing w:after="200" w:before="0"/>
      </w:pPr>
      <w:r>
        <w:rPr>
          <w:b w:val="0"/>
          <w:i/>
          <w:color w:val="6E7B77"/>
          <w:sz w:val="17"/>
        </w:rPr>
        <w:t>Figure 6 — what actually moves the answer. Each bar is the full range of the value per share across a plausible range of that one input.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Terminal growth →</w:t>
            </w:r>
          </w:p>
        </w:tc>
        <w:tc>
          <w:tcPr>
            <w:tcW w:type="dxa" w:w="1368"/>
            <w:shd w:val="clear" w:color="auto" w:fill="EAF0EE"/>
          </w:tcPr>
          <w:p>
            <w:pPr>
              <w:spacing w:after="20"/>
            </w:pPr>
            <w:r>
              <w:rPr>
                <w:b/>
                <w:color w:val="1C3A36"/>
                <w:sz w:val="17"/>
              </w:rPr>
              <w:t>3%</w:t>
            </w:r>
          </w:p>
        </w:tc>
        <w:tc>
          <w:tcPr>
            <w:tcW w:type="dxa" w:w="1368"/>
            <w:shd w:val="clear" w:color="auto" w:fill="EAF0EE"/>
          </w:tcPr>
          <w:p>
            <w:pPr>
              <w:spacing w:after="20"/>
            </w:pPr>
            <w:r>
              <w:rPr>
                <w:b/>
                <w:color w:val="1C3A36"/>
                <w:sz w:val="17"/>
              </w:rPr>
              <w:t>4%</w:t>
            </w:r>
          </w:p>
        </w:tc>
        <w:tc>
          <w:tcPr>
            <w:tcW w:type="dxa" w:w="1368"/>
            <w:shd w:val="clear" w:color="auto" w:fill="EAF0EE"/>
          </w:tcPr>
          <w:p>
            <w:pPr>
              <w:spacing w:after="20"/>
            </w:pPr>
            <w:r>
              <w:rPr>
                <w:b/>
                <w:color w:val="1C3A36"/>
                <w:sz w:val="17"/>
              </w:rPr>
              <w:t>5%</w:t>
            </w:r>
          </w:p>
        </w:tc>
        <w:tc>
          <w:tcPr>
            <w:tcW w:type="dxa" w:w="1368"/>
            <w:shd w:val="clear" w:color="auto" w:fill="EAF0EE"/>
          </w:tcPr>
          <w:p>
            <w:pPr>
              <w:spacing w:after="20"/>
            </w:pPr>
            <w:r>
              <w:rPr>
                <w:b/>
                <w:color w:val="1C3A36"/>
                <w:sz w:val="17"/>
              </w:rPr>
              <w:t>6%</w:t>
            </w:r>
          </w:p>
        </w:tc>
        <w:tc>
          <w:tcPr>
            <w:tcW w:type="dxa" w:w="1368"/>
            <w:shd w:val="clear" w:color="auto" w:fill="EAF0EE"/>
          </w:tcPr>
          <w:p>
            <w:pPr>
              <w:spacing w:after="20"/>
            </w:pPr>
            <w:r>
              <w:rPr>
                <w:b/>
                <w:color w:val="1C3A36"/>
                <w:sz w:val="17"/>
              </w:rPr>
              <w:t>7%</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99</w:t>
            </w:r>
          </w:p>
        </w:tc>
        <w:tc>
          <w:tcPr>
            <w:tcW w:type="dxa" w:w="1368"/>
          </w:tcPr>
          <w:p>
            <w:pPr>
              <w:spacing w:after="20"/>
              <w:jc w:val="right"/>
            </w:pPr>
            <w:r>
              <w:rPr>
                <w:color w:val="1C3A36"/>
                <w:sz w:val="17"/>
              </w:rPr>
              <w:t>105</w:t>
            </w:r>
          </w:p>
        </w:tc>
        <w:tc>
          <w:tcPr>
            <w:tcW w:type="dxa" w:w="1368"/>
          </w:tcPr>
          <w:p>
            <w:pPr>
              <w:spacing w:after="20"/>
              <w:jc w:val="right"/>
            </w:pPr>
            <w:r>
              <w:rPr>
                <w:color w:val="1C3A36"/>
                <w:sz w:val="17"/>
              </w:rPr>
              <w:t>112</w:t>
            </w:r>
          </w:p>
        </w:tc>
        <w:tc>
          <w:tcPr>
            <w:tcW w:type="dxa" w:w="1368"/>
          </w:tcPr>
          <w:p>
            <w:pPr>
              <w:spacing w:after="20"/>
              <w:jc w:val="right"/>
            </w:pPr>
            <w:r>
              <w:rPr>
                <w:color w:val="1C3A36"/>
                <w:sz w:val="17"/>
              </w:rPr>
              <w:t>122</w:t>
            </w:r>
          </w:p>
        </w:tc>
        <w:tc>
          <w:tcPr>
            <w:tcW w:type="dxa" w:w="1368"/>
          </w:tcPr>
          <w:p>
            <w:pPr>
              <w:spacing w:after="20"/>
              <w:jc w:val="right"/>
            </w:pPr>
            <w:r>
              <w:rPr>
                <w:color w:val="1C3A36"/>
                <w:sz w:val="17"/>
              </w:rPr>
              <w:t>136</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88</w:t>
            </w:r>
          </w:p>
        </w:tc>
        <w:tc>
          <w:tcPr>
            <w:tcW w:type="dxa" w:w="1368"/>
          </w:tcPr>
          <w:p>
            <w:pPr>
              <w:spacing w:after="20"/>
              <w:jc w:val="right"/>
            </w:pPr>
            <w:r>
              <w:rPr>
                <w:color w:val="1C3A36"/>
                <w:sz w:val="17"/>
              </w:rPr>
              <w:t>92</w:t>
            </w:r>
          </w:p>
        </w:tc>
        <w:tc>
          <w:tcPr>
            <w:tcW w:type="dxa" w:w="1368"/>
          </w:tcPr>
          <w:p>
            <w:pPr>
              <w:spacing w:after="20"/>
              <w:jc w:val="right"/>
            </w:pPr>
            <w:r>
              <w:rPr>
                <w:color w:val="1C3A36"/>
                <w:sz w:val="17"/>
              </w:rPr>
              <w:t>98</w:t>
            </w:r>
          </w:p>
        </w:tc>
        <w:tc>
          <w:tcPr>
            <w:tcW w:type="dxa" w:w="1368"/>
          </w:tcPr>
          <w:p>
            <w:pPr>
              <w:spacing w:after="20"/>
              <w:jc w:val="right"/>
            </w:pPr>
            <w:r>
              <w:rPr>
                <w:color w:val="1C3A36"/>
                <w:sz w:val="17"/>
              </w:rPr>
              <w:t>105</w:t>
            </w:r>
          </w:p>
        </w:tc>
        <w:tc>
          <w:tcPr>
            <w:tcW w:type="dxa" w:w="1368"/>
          </w:tcPr>
          <w:p>
            <w:pPr>
              <w:spacing w:after="20"/>
              <w:jc w:val="right"/>
            </w:pPr>
            <w:r>
              <w:rPr>
                <w:color w:val="1C3A36"/>
                <w:sz w:val="17"/>
              </w:rPr>
              <w:t>114</w:t>
            </w:r>
          </w:p>
        </w:tc>
      </w:tr>
      <w:tr>
        <w:tc>
          <w:tcPr>
            <w:tcW w:type="dxa" w:w="3096"/>
          </w:tcPr>
          <w:p>
            <w:pPr>
              <w:spacing w:after="20"/>
            </w:pPr>
            <w:r>
              <w:rPr>
                <w:color w:val="1C3A36"/>
                <w:sz w:val="17"/>
              </w:rPr>
              <w:t>Cost of equity +0 basis points</w:t>
            </w:r>
          </w:p>
        </w:tc>
        <w:tc>
          <w:tcPr>
            <w:tcW w:type="dxa" w:w="1368"/>
          </w:tcPr>
          <w:p>
            <w:pPr>
              <w:spacing w:after="20"/>
              <w:jc w:val="right"/>
            </w:pPr>
            <w:r>
              <w:rPr>
                <w:color w:val="1C3A36"/>
                <w:sz w:val="17"/>
              </w:rPr>
              <w:t>78</w:t>
            </w:r>
          </w:p>
        </w:tc>
        <w:tc>
          <w:tcPr>
            <w:tcW w:type="dxa" w:w="1368"/>
          </w:tcPr>
          <w:p>
            <w:pPr>
              <w:spacing w:after="20"/>
              <w:jc w:val="right"/>
            </w:pPr>
            <w:r>
              <w:rPr>
                <w:color w:val="1C3A36"/>
                <w:sz w:val="17"/>
              </w:rPr>
              <w:t>82</w:t>
            </w:r>
          </w:p>
        </w:tc>
        <w:tc>
          <w:tcPr>
            <w:tcW w:type="dxa" w:w="1368"/>
          </w:tcPr>
          <w:p>
            <w:pPr>
              <w:spacing w:after="20"/>
              <w:jc w:val="right"/>
            </w:pPr>
            <w:r>
              <w:rPr>
                <w:color w:val="1C3A36"/>
                <w:sz w:val="17"/>
              </w:rPr>
              <w:t>86</w:t>
            </w:r>
          </w:p>
        </w:tc>
        <w:tc>
          <w:tcPr>
            <w:tcW w:type="dxa" w:w="1368"/>
          </w:tcPr>
          <w:p>
            <w:pPr>
              <w:spacing w:after="20"/>
              <w:jc w:val="right"/>
            </w:pPr>
            <w:r>
              <w:rPr>
                <w:color w:val="1C3A36"/>
                <w:sz w:val="17"/>
              </w:rPr>
              <w:t>91</w:t>
            </w:r>
          </w:p>
        </w:tc>
        <w:tc>
          <w:tcPr>
            <w:tcW w:type="dxa" w:w="1368"/>
          </w:tcPr>
          <w:p>
            <w:pPr>
              <w:spacing w:after="20"/>
              <w:jc w:val="right"/>
            </w:pPr>
            <w:r>
              <w:rPr>
                <w:color w:val="1C3A36"/>
                <w:sz w:val="17"/>
              </w:rPr>
              <w:t>98</w:t>
            </w:r>
          </w:p>
        </w:tc>
      </w:tr>
      <w:tr>
        <w:tc>
          <w:tcPr>
            <w:tcW w:type="dxa" w:w="3096"/>
          </w:tcPr>
          <w:p>
            <w:pPr>
              <w:spacing w:after="20"/>
            </w:pPr>
            <w:r>
              <w:rPr>
                <w:color w:val="1C3A36"/>
                <w:sz w:val="17"/>
              </w:rPr>
              <w:t>Cost of equity +100 basis points</w:t>
            </w:r>
          </w:p>
        </w:tc>
        <w:tc>
          <w:tcPr>
            <w:tcW w:type="dxa" w:w="1368"/>
          </w:tcPr>
          <w:p>
            <w:pPr>
              <w:spacing w:after="20"/>
              <w:jc w:val="right"/>
            </w:pPr>
            <w:r>
              <w:rPr>
                <w:color w:val="1C3A36"/>
                <w:sz w:val="17"/>
              </w:rPr>
              <w:t>70</w:t>
            </w:r>
          </w:p>
        </w:tc>
        <w:tc>
          <w:tcPr>
            <w:tcW w:type="dxa" w:w="1368"/>
          </w:tcPr>
          <w:p>
            <w:pPr>
              <w:spacing w:after="20"/>
              <w:jc w:val="right"/>
            </w:pPr>
            <w:r>
              <w:rPr>
                <w:color w:val="1C3A36"/>
                <w:sz w:val="17"/>
              </w:rPr>
              <w:t>73</w:t>
            </w:r>
          </w:p>
        </w:tc>
        <w:tc>
          <w:tcPr>
            <w:tcW w:type="dxa" w:w="1368"/>
          </w:tcPr>
          <w:p>
            <w:pPr>
              <w:spacing w:after="20"/>
              <w:jc w:val="right"/>
            </w:pPr>
            <w:r>
              <w:rPr>
                <w:color w:val="1C3A36"/>
                <w:sz w:val="17"/>
              </w:rPr>
              <w:t>76</w:t>
            </w:r>
          </w:p>
        </w:tc>
        <w:tc>
          <w:tcPr>
            <w:tcW w:type="dxa" w:w="1368"/>
          </w:tcPr>
          <w:p>
            <w:pPr>
              <w:spacing w:after="20"/>
              <w:jc w:val="right"/>
            </w:pPr>
            <w:r>
              <w:rPr>
                <w:color w:val="1C3A36"/>
                <w:sz w:val="17"/>
              </w:rPr>
              <w:t>80</w:t>
            </w:r>
          </w:p>
        </w:tc>
        <w:tc>
          <w:tcPr>
            <w:tcW w:type="dxa" w:w="1368"/>
          </w:tcPr>
          <w:p>
            <w:pPr>
              <w:spacing w:after="20"/>
              <w:jc w:val="right"/>
            </w:pPr>
            <w:r>
              <w:rPr>
                <w:color w:val="1C3A36"/>
                <w:sz w:val="17"/>
              </w:rPr>
              <w:t>85</w:t>
            </w:r>
          </w:p>
        </w:tc>
      </w:tr>
      <w:tr>
        <w:tc>
          <w:tcPr>
            <w:tcW w:type="dxa" w:w="3096"/>
          </w:tcPr>
          <w:p>
            <w:pPr>
              <w:spacing w:after="20"/>
            </w:pPr>
            <w:r>
              <w:rPr>
                <w:color w:val="1C3A36"/>
                <w:sz w:val="17"/>
              </w:rPr>
              <w:t>Cost of equity +200 basis points</w:t>
            </w:r>
          </w:p>
        </w:tc>
        <w:tc>
          <w:tcPr>
            <w:tcW w:type="dxa" w:w="1368"/>
          </w:tcPr>
          <w:p>
            <w:pPr>
              <w:spacing w:after="20"/>
              <w:jc w:val="right"/>
            </w:pPr>
            <w:r>
              <w:rPr>
                <w:color w:val="1C3A36"/>
                <w:sz w:val="17"/>
              </w:rPr>
              <w:t>63</w:t>
            </w:r>
          </w:p>
        </w:tc>
        <w:tc>
          <w:tcPr>
            <w:tcW w:type="dxa" w:w="1368"/>
          </w:tcPr>
          <w:p>
            <w:pPr>
              <w:spacing w:after="20"/>
              <w:jc w:val="right"/>
            </w:pPr>
            <w:r>
              <w:rPr>
                <w:color w:val="1C3A36"/>
                <w:sz w:val="17"/>
              </w:rPr>
              <w:t>66</w:t>
            </w:r>
          </w:p>
        </w:tc>
        <w:tc>
          <w:tcPr>
            <w:tcW w:type="dxa" w:w="1368"/>
          </w:tcPr>
          <w:p>
            <w:pPr>
              <w:spacing w:after="20"/>
              <w:jc w:val="right"/>
            </w:pPr>
            <w:r>
              <w:rPr>
                <w:color w:val="1C3A36"/>
                <w:sz w:val="17"/>
              </w:rPr>
              <w:t>68</w:t>
            </w:r>
          </w:p>
        </w:tc>
        <w:tc>
          <w:tcPr>
            <w:tcW w:type="dxa" w:w="1368"/>
          </w:tcPr>
          <w:p>
            <w:pPr>
              <w:spacing w:after="20"/>
              <w:jc w:val="right"/>
            </w:pPr>
            <w:r>
              <w:rPr>
                <w:color w:val="1C3A36"/>
                <w:sz w:val="17"/>
              </w:rPr>
              <w:t>71</w:t>
            </w:r>
          </w:p>
        </w:tc>
        <w:tc>
          <w:tcPr>
            <w:tcW w:type="dxa" w:w="1368"/>
          </w:tcPr>
          <w:p>
            <w:pPr>
              <w:spacing w:after="20"/>
              <w:jc w:val="right"/>
            </w:pPr>
            <w:r>
              <w:rPr>
                <w:color w:val="1C3A36"/>
                <w:sz w:val="17"/>
              </w:rPr>
              <w:t>74</w:t>
            </w:r>
          </w:p>
        </w:tc>
      </w:tr>
    </w:tbl>
    <w:p>
      <w:pPr>
        <w:spacing w:after="40"/>
      </w:pPr>
    </w:p>
    <w:p>
      <w:pPr>
        <w:spacing w:after="200" w:before="0"/>
      </w:pPr>
      <w:r>
        <w:rPr>
          <w:b w:val="0"/>
          <w:i/>
          <w:color w:val="6E7B77"/>
          <w:sz w:val="17"/>
        </w:rPr>
        <w:t>Table 10 — the value per share across the cost of equity and terminal growth together. Every cell is a complete revaluation.</w:t>
      </w:r>
    </w:p>
    <w:p>
      <w:pPr>
        <w:spacing w:after="120" w:before="0"/>
      </w:pPr>
      <w:r>
        <w:rPr>
          <w:b w:val="0"/>
          <w:i w:val="0"/>
          <w:color w:val="1C3A36"/>
          <w:sz w:val="21"/>
        </w:rPr>
        <w:t>The crux is sensitised in real observable units rather than in percentage points: an extra EGP 1,163 million of FY2030 revenue from the new plant is worth roughly EGP 11 a share, so each USD 20 million a year of biosimilar sales is worth about EGP 11 a share.</w:t>
      </w:r>
    </w:p>
    <w:p>
      <w:pPr>
        <w:spacing w:after="120" w:before="280"/>
      </w:pPr>
      <w:r>
        <w:rPr>
          <w:b/>
          <w:i w:val="0"/>
          <w:color w:val="1C3A36"/>
          <w:sz w:val="30"/>
        </w:rPr>
        <w:t>2. Technical and price structure</w:t>
      </w:r>
    </w:p>
    <w:p>
      <w:pPr>
        <w:spacing w:after="120" w:before="0"/>
      </w:pPr>
      <w:r>
        <w:rPr>
          <w:b w:val="0"/>
          <w:i w:val="0"/>
          <w:color w:val="1C3A36"/>
          <w:sz w:val="21"/>
        </w:rPr>
        <w:t>The price closed 130.05 above a rising 20-day (101.58), a rising 50-day (92.49) and a rising 200-day (82.58). Momentum is stretched: RSI(14) is ~71 and the daily ATR near 7.84 (~6.0%) points to a volatile tape. MACD (12·26·9) is positive and rising (+11.68 / +7.24 / +4.44). Over the last year it has ranged 43.60–156.00; the last close sits 17% below that high and 198%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440"/>
        <w:gridCol w:w="2664"/>
      </w:tblGrid>
      <w:tr>
        <w:tc>
          <w:tcPr>
            <w:tcW w:type="dxa" w:w="3672"/>
            <w:shd w:val="clear" w:color="auto" w:fill="EAF0EE"/>
          </w:tcPr>
          <w:p>
            <w:pPr>
              <w:spacing w:after="20"/>
            </w:pPr>
            <w:r>
              <w:rPr>
                <w:b/>
                <w:color w:val="1C3A36"/>
                <w:sz w:val="18"/>
              </w:rPr>
              <w:t>Level</w:t>
            </w:r>
          </w:p>
        </w:tc>
        <w:tc>
          <w:tcPr>
            <w:tcW w:type="dxa" w:w="1440"/>
            <w:shd w:val="clear" w:color="auto" w:fill="EAF0EE"/>
          </w:tcPr>
          <w:p>
            <w:pPr>
              <w:spacing w:after="20"/>
            </w:pPr>
            <w:r>
              <w:rPr>
                <w:b/>
                <w:color w:val="1C3A36"/>
                <w:sz w:val="18"/>
              </w:rPr>
              <w:t>EGP</w:t>
            </w:r>
          </w:p>
        </w:tc>
        <w:tc>
          <w:tcPr>
            <w:tcW w:type="dxa" w:w="2664"/>
            <w:shd w:val="clear" w:color="auto" w:fill="EAF0EE"/>
          </w:tcPr>
          <w:p>
            <w:pPr>
              <w:spacing w:after="20"/>
            </w:pPr>
            <w:r>
              <w:rPr>
                <w:b/>
                <w:color w:val="1C3A36"/>
                <w:sz w:val="18"/>
              </w:rPr>
              <w:t>Distance from the close</w:t>
            </w:r>
          </w:p>
        </w:tc>
      </w:tr>
      <w:tr>
        <w:tc>
          <w:tcPr>
            <w:tcW w:type="dxa" w:w="3672"/>
          </w:tcPr>
          <w:p>
            <w:pPr>
              <w:spacing w:after="20"/>
            </w:pPr>
            <w:r>
              <w:rPr>
                <w:color w:val="1C3A36"/>
                <w:sz w:val="18"/>
              </w:rPr>
              <w:t>Third resistance</w:t>
            </w:r>
          </w:p>
        </w:tc>
        <w:tc>
          <w:tcPr>
            <w:tcW w:type="dxa" w:w="1440"/>
          </w:tcPr>
          <w:p>
            <w:pPr>
              <w:spacing w:after="20"/>
              <w:jc w:val="right"/>
            </w:pPr>
            <w:r>
              <w:rPr>
                <w:color w:val="1C3A36"/>
                <w:sz w:val="18"/>
              </w:rPr>
              <w:t>156.00</w:t>
            </w:r>
          </w:p>
        </w:tc>
        <w:tc>
          <w:tcPr>
            <w:tcW w:type="dxa" w:w="2664"/>
          </w:tcPr>
          <w:p>
            <w:pPr>
              <w:spacing w:after="20"/>
              <w:jc w:val="right"/>
            </w:pPr>
            <w:r>
              <w:rPr>
                <w:color w:val="1C3A36"/>
                <w:sz w:val="18"/>
              </w:rPr>
              <w:t>20.0%</w:t>
            </w:r>
          </w:p>
        </w:tc>
      </w:tr>
      <w:tr>
        <w:tc>
          <w:tcPr>
            <w:tcW w:type="dxa" w:w="3672"/>
          </w:tcPr>
          <w:p>
            <w:pPr>
              <w:spacing w:after="20"/>
            </w:pPr>
            <w:r>
              <w:rPr>
                <w:color w:val="1C3A36"/>
                <w:sz w:val="18"/>
              </w:rPr>
              <w:t>Second resistance</w:t>
            </w:r>
          </w:p>
        </w:tc>
        <w:tc>
          <w:tcPr>
            <w:tcW w:type="dxa" w:w="1440"/>
          </w:tcPr>
          <w:p>
            <w:pPr>
              <w:spacing w:after="20"/>
              <w:jc w:val="right"/>
            </w:pPr>
            <w:r>
              <w:rPr>
                <w:color w:val="1C3A36"/>
                <w:sz w:val="18"/>
              </w:rPr>
              <w:t>150.00</w:t>
            </w:r>
          </w:p>
        </w:tc>
        <w:tc>
          <w:tcPr>
            <w:tcW w:type="dxa" w:w="2664"/>
          </w:tcPr>
          <w:p>
            <w:pPr>
              <w:spacing w:after="20"/>
              <w:jc w:val="right"/>
            </w:pPr>
            <w:r>
              <w:rPr>
                <w:color w:val="1C3A36"/>
                <w:sz w:val="18"/>
              </w:rPr>
              <w:t>15.3%</w:t>
            </w:r>
          </w:p>
        </w:tc>
      </w:tr>
      <w:tr>
        <w:tc>
          <w:tcPr>
            <w:tcW w:type="dxa" w:w="3672"/>
          </w:tcPr>
          <w:p>
            <w:pPr>
              <w:spacing w:after="20"/>
            </w:pPr>
            <w:r>
              <w:rPr>
                <w:color w:val="1C3A36"/>
                <w:sz w:val="18"/>
              </w:rPr>
              <w:t>Nearest resistance</w:t>
            </w:r>
          </w:p>
        </w:tc>
        <w:tc>
          <w:tcPr>
            <w:tcW w:type="dxa" w:w="1440"/>
          </w:tcPr>
          <w:p>
            <w:pPr>
              <w:spacing w:after="20"/>
              <w:jc w:val="right"/>
            </w:pPr>
            <w:r>
              <w:rPr>
                <w:color w:val="1C3A36"/>
                <w:sz w:val="18"/>
              </w:rPr>
              <w:t>140.00</w:t>
            </w:r>
          </w:p>
        </w:tc>
        <w:tc>
          <w:tcPr>
            <w:tcW w:type="dxa" w:w="2664"/>
          </w:tcPr>
          <w:p>
            <w:pPr>
              <w:spacing w:after="20"/>
              <w:jc w:val="right"/>
            </w:pPr>
            <w:r>
              <w:rPr>
                <w:color w:val="1C3A36"/>
                <w:sz w:val="18"/>
              </w:rPr>
              <w:t>7.7%</w:t>
            </w:r>
          </w:p>
        </w:tc>
      </w:tr>
      <w:tr>
        <w:tc>
          <w:tcPr>
            <w:tcW w:type="dxa" w:w="3672"/>
            <w:shd w:val="clear" w:color="auto" w:fill="F6F1E6"/>
          </w:tcPr>
          <w:p>
            <w:pPr>
              <w:spacing w:after="20"/>
            </w:pPr>
            <w:r>
              <w:rPr>
                <w:b/>
                <w:color w:val="1C3A36"/>
                <w:sz w:val="18"/>
              </w:rPr>
              <w:t>Last close</w:t>
            </w:r>
          </w:p>
        </w:tc>
        <w:tc>
          <w:tcPr>
            <w:tcW w:type="dxa" w:w="1440"/>
            <w:shd w:val="clear" w:color="auto" w:fill="F6F1E6"/>
          </w:tcPr>
          <w:p>
            <w:pPr>
              <w:spacing w:after="20"/>
              <w:jc w:val="right"/>
            </w:pPr>
            <w:r>
              <w:rPr>
                <w:b/>
                <w:color w:val="1C3A36"/>
                <w:sz w:val="18"/>
              </w:rPr>
              <w:t>130.05</w:t>
            </w:r>
          </w:p>
        </w:tc>
        <w:tc>
          <w:tcPr>
            <w:tcW w:type="dxa" w:w="2664"/>
            <w:shd w:val="clear" w:color="auto" w:fill="F6F1E6"/>
          </w:tcPr>
          <w:p>
            <w:pPr>
              <w:spacing w:after="20"/>
              <w:jc w:val="right"/>
            </w:pPr>
            <w:r>
              <w:rPr>
                <w:b/>
                <w:color w:val="1C3A36"/>
                <w:sz w:val="18"/>
              </w:rPr>
              <w:t>—</w:t>
            </w:r>
          </w:p>
        </w:tc>
      </w:tr>
      <w:tr>
        <w:tc>
          <w:tcPr>
            <w:tcW w:type="dxa" w:w="3672"/>
          </w:tcPr>
          <w:p>
            <w:pPr>
              <w:spacing w:after="20"/>
            </w:pPr>
            <w:r>
              <w:rPr>
                <w:color w:val="1C3A36"/>
                <w:sz w:val="18"/>
              </w:rPr>
              <w:t>Nearest support</w:t>
            </w:r>
          </w:p>
        </w:tc>
        <w:tc>
          <w:tcPr>
            <w:tcW w:type="dxa" w:w="1440"/>
          </w:tcPr>
          <w:p>
            <w:pPr>
              <w:spacing w:after="20"/>
              <w:jc w:val="right"/>
            </w:pPr>
            <w:r>
              <w:rPr>
                <w:color w:val="1C3A36"/>
                <w:sz w:val="18"/>
              </w:rPr>
              <w:t>92.40</w:t>
            </w:r>
          </w:p>
        </w:tc>
        <w:tc>
          <w:tcPr>
            <w:tcW w:type="dxa" w:w="2664"/>
          </w:tcPr>
          <w:p>
            <w:pPr>
              <w:spacing w:after="20"/>
              <w:jc w:val="right"/>
            </w:pPr>
            <w:r>
              <w:rPr>
                <w:color w:val="1C3A36"/>
                <w:sz w:val="18"/>
              </w:rPr>
              <w:t>-29.0%</w:t>
            </w:r>
          </w:p>
        </w:tc>
      </w:tr>
      <w:tr>
        <w:tc>
          <w:tcPr>
            <w:tcW w:type="dxa" w:w="3672"/>
          </w:tcPr>
          <w:p>
            <w:pPr>
              <w:spacing w:after="20"/>
            </w:pPr>
            <w:r>
              <w:rPr>
                <w:color w:val="1C3A36"/>
                <w:sz w:val="18"/>
              </w:rPr>
              <w:t>Second support</w:t>
            </w:r>
          </w:p>
        </w:tc>
        <w:tc>
          <w:tcPr>
            <w:tcW w:type="dxa" w:w="1440"/>
          </w:tcPr>
          <w:p>
            <w:pPr>
              <w:spacing w:after="20"/>
              <w:jc w:val="right"/>
            </w:pPr>
            <w:r>
              <w:rPr>
                <w:color w:val="1C3A36"/>
                <w:sz w:val="18"/>
              </w:rPr>
              <w:t>88.49</w:t>
            </w:r>
          </w:p>
        </w:tc>
        <w:tc>
          <w:tcPr>
            <w:tcW w:type="dxa" w:w="2664"/>
          </w:tcPr>
          <w:p>
            <w:pPr>
              <w:spacing w:after="20"/>
              <w:jc w:val="right"/>
            </w:pPr>
            <w:r>
              <w:rPr>
                <w:color w:val="1C3A36"/>
                <w:sz w:val="18"/>
              </w:rPr>
              <w:t>-32.0%</w:t>
            </w:r>
          </w:p>
        </w:tc>
      </w:tr>
      <w:tr>
        <w:tc>
          <w:tcPr>
            <w:tcW w:type="dxa" w:w="3672"/>
          </w:tcPr>
          <w:p>
            <w:pPr>
              <w:spacing w:after="20"/>
            </w:pPr>
            <w:r>
              <w:rPr>
                <w:color w:val="1C3A36"/>
                <w:sz w:val="18"/>
              </w:rPr>
              <w:t>Third support</w:t>
            </w:r>
          </w:p>
        </w:tc>
        <w:tc>
          <w:tcPr>
            <w:tcW w:type="dxa" w:w="1440"/>
          </w:tcPr>
          <w:p>
            <w:pPr>
              <w:spacing w:after="20"/>
              <w:jc w:val="right"/>
            </w:pPr>
            <w:r>
              <w:rPr>
                <w:color w:val="1C3A36"/>
                <w:sz w:val="18"/>
              </w:rPr>
              <w:t>85.40</w:t>
            </w:r>
          </w:p>
        </w:tc>
        <w:tc>
          <w:tcPr>
            <w:tcW w:type="dxa" w:w="2664"/>
          </w:tcPr>
          <w:p>
            <w:pPr>
              <w:spacing w:after="20"/>
              <w:jc w:val="right"/>
            </w:pPr>
            <w:r>
              <w:rPr>
                <w:color w:val="1C3A36"/>
                <w:sz w:val="18"/>
              </w:rPr>
              <w:t>-34.3%</w:t>
            </w:r>
          </w:p>
        </w:tc>
      </w:tr>
    </w:tbl>
    <w:p>
      <w:pPr>
        <w:spacing w:after="40"/>
      </w:pPr>
    </w:p>
    <w:p>
      <w:pPr>
        <w:spacing w:after="200" w:before="0"/>
      </w:pPr>
      <w:r>
        <w:rPr>
          <w:b w:val="0"/>
          <w:i/>
          <w:color w:val="6E7B77"/>
          <w:sz w:val="17"/>
        </w:rPr>
        <w:t>Table 11 — support and resistance, computed from recency-weighted pivot clusters on the same cleaned price history the probability map uses.</w:t>
      </w:r>
    </w:p>
    <w:p>
      <w:pPr>
        <w:spacing w:after="120" w:before="0"/>
      </w:pPr>
      <w:r>
        <w:rPr>
          <w:b w:val="0"/>
          <w:i w:val="0"/>
          <w:color w:val="1C3A36"/>
          <w:sz w:val="21"/>
        </w:rPr>
        <w:t>The structural point matters more than the levels. The nearest support sits -29% below the last close. The move that took this share from about EGP 90 in late July to EGP 150 on 3 August happened in four sessions, two of them at the exchange's daily limit, and it left no traded structure behind it. A price that gaps up through empty space has nothing under it if sentiment turns — which is why the three-month probability band below is as wide as it is.</w:t>
      </w:r>
    </w:p>
    <w:p>
      <w:pPr>
        <w:spacing w:after="120" w:before="0"/>
      </w:pPr>
      <w:r>
        <w:rPr>
          <w:b w:val="0"/>
          <w:i w:val="0"/>
          <w:color w:val="1C3A36"/>
          <w:sz w:val="21"/>
        </w:rPr>
        <w:t>A daily close back above 140.00 would clear the nearest resistance and open the 156.00 zone. A close below 92.40 would break the nearest support and open the 85.40 zone.</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different and narrower: given how this share has actually behaved, where might the price be in one and three months? It is a statement about the distribution of outcomes, not a forecast of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Percentile of the simulated distribution</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5th percentile</w:t>
            </w:r>
          </w:p>
        </w:tc>
        <w:tc>
          <w:tcPr>
            <w:tcW w:type="dxa" w:w="1728"/>
          </w:tcPr>
          <w:p>
            <w:pPr>
              <w:spacing w:after="20"/>
              <w:jc w:val="right"/>
            </w:pPr>
            <w:r>
              <w:rPr>
                <w:color w:val="1C3A36"/>
                <w:sz w:val="18"/>
              </w:rPr>
              <w:t>103.80</w:t>
            </w:r>
          </w:p>
        </w:tc>
        <w:tc>
          <w:tcPr>
            <w:tcW w:type="dxa" w:w="1728"/>
          </w:tcPr>
          <w:p>
            <w:pPr>
              <w:spacing w:after="20"/>
              <w:jc w:val="right"/>
            </w:pPr>
            <w:r>
              <w:rPr>
                <w:color w:val="1C3A36"/>
                <w:sz w:val="18"/>
              </w:rPr>
              <w:t>94.40</w:t>
            </w:r>
          </w:p>
        </w:tc>
      </w:tr>
      <w:tr>
        <w:tc>
          <w:tcPr>
            <w:tcW w:type="dxa" w:w="4608"/>
          </w:tcPr>
          <w:p>
            <w:pPr>
              <w:spacing w:after="20"/>
            </w:pPr>
            <w:r>
              <w:rPr>
                <w:color w:val="1C3A36"/>
                <w:sz w:val="18"/>
              </w:rPr>
              <w:t>25th percentile</w:t>
            </w:r>
          </w:p>
        </w:tc>
        <w:tc>
          <w:tcPr>
            <w:tcW w:type="dxa" w:w="1728"/>
          </w:tcPr>
          <w:p>
            <w:pPr>
              <w:spacing w:after="20"/>
              <w:jc w:val="right"/>
            </w:pPr>
            <w:r>
              <w:rPr>
                <w:color w:val="1C3A36"/>
                <w:sz w:val="18"/>
              </w:rPr>
              <w:t>120.56</w:t>
            </w:r>
          </w:p>
        </w:tc>
        <w:tc>
          <w:tcPr>
            <w:tcW w:type="dxa" w:w="1728"/>
          </w:tcPr>
          <w:p>
            <w:pPr>
              <w:spacing w:after="20"/>
              <w:jc w:val="right"/>
            </w:pPr>
            <w:r>
              <w:rPr>
                <w:color w:val="1C3A36"/>
                <w:sz w:val="18"/>
              </w:rPr>
              <w:t>118.42</w:t>
            </w:r>
          </w:p>
        </w:tc>
      </w:tr>
      <w:tr>
        <w:tc>
          <w:tcPr>
            <w:tcW w:type="dxa" w:w="4608"/>
          </w:tcPr>
          <w:p>
            <w:pPr>
              <w:spacing w:after="20"/>
            </w:pPr>
            <w:r>
              <w:rPr>
                <w:color w:val="1C3A36"/>
                <w:sz w:val="18"/>
              </w:rPr>
              <w:t>50th percentile</w:t>
            </w:r>
          </w:p>
        </w:tc>
        <w:tc>
          <w:tcPr>
            <w:tcW w:type="dxa" w:w="1728"/>
          </w:tcPr>
          <w:p>
            <w:pPr>
              <w:spacing w:after="20"/>
              <w:jc w:val="right"/>
            </w:pPr>
            <w:r>
              <w:rPr>
                <w:color w:val="1C3A36"/>
                <w:sz w:val="18"/>
              </w:rPr>
              <w:t>131.69</w:t>
            </w:r>
          </w:p>
        </w:tc>
        <w:tc>
          <w:tcPr>
            <w:tcW w:type="dxa" w:w="1728"/>
          </w:tcPr>
          <w:p>
            <w:pPr>
              <w:spacing w:after="20"/>
              <w:jc w:val="right"/>
            </w:pPr>
            <w:r>
              <w:rPr>
                <w:color w:val="1C3A36"/>
                <w:sz w:val="18"/>
              </w:rPr>
              <w:t>135.30</w:t>
            </w:r>
          </w:p>
        </w:tc>
      </w:tr>
      <w:tr>
        <w:tc>
          <w:tcPr>
            <w:tcW w:type="dxa" w:w="4608"/>
          </w:tcPr>
          <w:p>
            <w:pPr>
              <w:spacing w:after="20"/>
            </w:pPr>
            <w:r>
              <w:rPr>
                <w:color w:val="1C3A36"/>
                <w:sz w:val="18"/>
              </w:rPr>
              <w:t>75th percentile</w:t>
            </w:r>
          </w:p>
        </w:tc>
        <w:tc>
          <w:tcPr>
            <w:tcW w:type="dxa" w:w="1728"/>
          </w:tcPr>
          <w:p>
            <w:pPr>
              <w:spacing w:after="20"/>
              <w:jc w:val="right"/>
            </w:pPr>
            <w:r>
              <w:rPr>
                <w:color w:val="1C3A36"/>
                <w:sz w:val="18"/>
              </w:rPr>
              <w:t>143.94</w:t>
            </w:r>
          </w:p>
        </w:tc>
        <w:tc>
          <w:tcPr>
            <w:tcW w:type="dxa" w:w="1728"/>
          </w:tcPr>
          <w:p>
            <w:pPr>
              <w:spacing w:after="20"/>
              <w:jc w:val="right"/>
            </w:pPr>
            <w:r>
              <w:rPr>
                <w:color w:val="1C3A36"/>
                <w:sz w:val="18"/>
              </w:rPr>
              <w:t>154.39</w:t>
            </w:r>
          </w:p>
        </w:tc>
      </w:tr>
      <w:tr>
        <w:tc>
          <w:tcPr>
            <w:tcW w:type="dxa" w:w="4608"/>
          </w:tcPr>
          <w:p>
            <w:pPr>
              <w:spacing w:after="20"/>
            </w:pPr>
            <w:r>
              <w:rPr>
                <w:color w:val="1C3A36"/>
                <w:sz w:val="18"/>
              </w:rPr>
              <w:t>95th percentile</w:t>
            </w:r>
          </w:p>
        </w:tc>
        <w:tc>
          <w:tcPr>
            <w:tcW w:type="dxa" w:w="1728"/>
          </w:tcPr>
          <w:p>
            <w:pPr>
              <w:spacing w:after="20"/>
              <w:jc w:val="right"/>
            </w:pPr>
            <w:r>
              <w:rPr>
                <w:color w:val="1C3A36"/>
                <w:sz w:val="18"/>
              </w:rPr>
              <w:t>167.17</w:t>
            </w:r>
          </w:p>
        </w:tc>
        <w:tc>
          <w:tcPr>
            <w:tcW w:type="dxa" w:w="1728"/>
          </w:tcPr>
          <w:p>
            <w:pPr>
              <w:spacing w:after="20"/>
              <w:jc w:val="right"/>
            </w:pPr>
            <w:r>
              <w:rPr>
                <w:color w:val="1C3A36"/>
                <w:sz w:val="18"/>
              </w:rPr>
              <w:t>193.82</w:t>
            </w:r>
          </w:p>
        </w:tc>
      </w:tr>
      <w:tr>
        <w:tc>
          <w:tcPr>
            <w:tcW w:type="dxa" w:w="4608"/>
            <w:shd w:val="clear" w:color="auto" w:fill="F6F1E6"/>
          </w:tcPr>
          <w:p>
            <w:pPr>
              <w:spacing w:after="20"/>
            </w:pPr>
            <w:r>
              <w:rPr>
                <w:b/>
                <w:color w:val="1C3A36"/>
                <w:sz w:val="18"/>
              </w:rPr>
              <w:t>Check date</w:t>
            </w:r>
          </w:p>
        </w:tc>
        <w:tc>
          <w:tcPr>
            <w:tcW w:type="dxa" w:w="1728"/>
            <w:shd w:val="clear" w:color="auto" w:fill="F6F1E6"/>
          </w:tcPr>
          <w:p>
            <w:pPr>
              <w:spacing w:after="20"/>
              <w:jc w:val="right"/>
            </w:pPr>
            <w:r>
              <w:rPr>
                <w:b/>
                <w:color w:val="1C3A36"/>
                <w:sz w:val="18"/>
              </w:rPr>
              <w:t>2026-09-06</w:t>
            </w:r>
          </w:p>
        </w:tc>
        <w:tc>
          <w:tcPr>
            <w:tcW w:type="dxa" w:w="1728"/>
            <w:shd w:val="clear" w:color="auto" w:fill="F6F1E6"/>
          </w:tcPr>
          <w:p>
            <w:pPr>
              <w:spacing w:after="20"/>
              <w:jc w:val="right"/>
            </w:pPr>
            <w:r>
              <w:rPr>
                <w:b/>
                <w:color w:val="1C3A36"/>
                <w:sz w:val="18"/>
              </w:rPr>
              <w:t>2026-11-08</w:t>
            </w:r>
          </w:p>
        </w:tc>
      </w:tr>
    </w:tbl>
    <w:p>
      <w:pPr>
        <w:spacing w:after="40"/>
      </w:pPr>
    </w:p>
    <w:p>
      <w:pPr>
        <w:spacing w:after="200" w:before="0"/>
      </w:pPr>
      <w:r>
        <w:rPr>
          <w:b w:val="0"/>
          <w:i/>
          <w:color w:val="6E7B77"/>
          <w:sz w:val="17"/>
        </w:rPr>
        <w:t>Table 12 — the percentile map. The anchor is the EGP 130.05 close of 2026-08-06.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728"/>
        <w:gridCol w:w="1728"/>
      </w:tblGrid>
      <w:tr>
        <w:tc>
          <w:tcPr>
            <w:tcW w:type="dxa" w:w="4608"/>
            <w:shd w:val="clear" w:color="auto" w:fill="EAF0EE"/>
          </w:tcPr>
          <w:p>
            <w:pPr>
              <w:spacing w:after="20"/>
            </w:pPr>
            <w:r>
              <w:rPr>
                <w:b/>
                <w:color w:val="1C3A36"/>
                <w:sz w:val="18"/>
              </w:rPr>
              <w:t>Probability</w:t>
            </w:r>
          </w:p>
        </w:tc>
        <w:tc>
          <w:tcPr>
            <w:tcW w:type="dxa" w:w="1728"/>
            <w:shd w:val="clear" w:color="auto" w:fill="EAF0EE"/>
          </w:tcPr>
          <w:p>
            <w:pPr>
              <w:spacing w:after="20"/>
            </w:pPr>
            <w:r>
              <w:rPr>
                <w:b/>
                <w:color w:val="1C3A36"/>
                <w:sz w:val="18"/>
              </w:rPr>
              <w:t>One month</w:t>
            </w:r>
          </w:p>
        </w:tc>
        <w:tc>
          <w:tcPr>
            <w:tcW w:type="dxa" w:w="1728"/>
            <w:shd w:val="clear" w:color="auto" w:fill="EAF0EE"/>
          </w:tcPr>
          <w:p>
            <w:pPr>
              <w:spacing w:after="20"/>
            </w:pPr>
            <w:r>
              <w:rPr>
                <w:b/>
                <w:color w:val="1C3A36"/>
                <w:sz w:val="18"/>
              </w:rPr>
              <w:t>Three months</w:t>
            </w:r>
          </w:p>
        </w:tc>
      </w:tr>
      <w:tr>
        <w:tc>
          <w:tcPr>
            <w:tcW w:type="dxa" w:w="4608"/>
          </w:tcPr>
          <w:p>
            <w:pPr>
              <w:spacing w:after="20"/>
            </w:pPr>
            <w:r>
              <w:rPr>
                <w:color w:val="1C3A36"/>
                <w:sz w:val="18"/>
              </w:rPr>
              <w:t>Finishes above the anchor</w:t>
            </w:r>
          </w:p>
        </w:tc>
        <w:tc>
          <w:tcPr>
            <w:tcW w:type="dxa" w:w="1728"/>
          </w:tcPr>
          <w:p>
            <w:pPr>
              <w:spacing w:after="20"/>
              <w:jc w:val="right"/>
            </w:pPr>
            <w:r>
              <w:rPr>
                <w:color w:val="1C3A36"/>
                <w:sz w:val="18"/>
              </w:rPr>
              <w:t>54%</w:t>
            </w:r>
          </w:p>
        </w:tc>
        <w:tc>
          <w:tcPr>
            <w:tcW w:type="dxa" w:w="1728"/>
          </w:tcPr>
          <w:p>
            <w:pPr>
              <w:spacing w:after="20"/>
              <w:jc w:val="right"/>
            </w:pPr>
            <w:r>
              <w:rPr>
                <w:color w:val="1C3A36"/>
                <w:sz w:val="18"/>
              </w:rPr>
              <w:t>58%</w:t>
            </w:r>
          </w:p>
        </w:tc>
      </w:tr>
      <w:tr>
        <w:tc>
          <w:tcPr>
            <w:tcW w:type="dxa" w:w="4608"/>
          </w:tcPr>
          <w:p>
            <w:pPr>
              <w:spacing w:after="20"/>
            </w:pPr>
            <w:r>
              <w:rPr>
                <w:color w:val="1C3A36"/>
                <w:sz w:val="18"/>
              </w:rPr>
              <w:t>Finishes 10% or more above</w:t>
            </w:r>
          </w:p>
        </w:tc>
        <w:tc>
          <w:tcPr>
            <w:tcW w:type="dxa" w:w="1728"/>
          </w:tcPr>
          <w:p>
            <w:pPr>
              <w:spacing w:after="20"/>
              <w:jc w:val="right"/>
            </w:pPr>
            <w:r>
              <w:rPr>
                <w:color w:val="1C3A36"/>
                <w:sz w:val="18"/>
              </w:rPr>
              <w:t>26%</w:t>
            </w:r>
          </w:p>
        </w:tc>
        <w:tc>
          <w:tcPr>
            <w:tcW w:type="dxa" w:w="1728"/>
          </w:tcPr>
          <w:p>
            <w:pPr>
              <w:spacing w:after="20"/>
              <w:jc w:val="right"/>
            </w:pPr>
            <w:r>
              <w:rPr>
                <w:color w:val="1C3A36"/>
                <w:sz w:val="18"/>
              </w:rPr>
              <w:t>39%</w:t>
            </w:r>
          </w:p>
        </w:tc>
      </w:tr>
      <w:tr>
        <w:tc>
          <w:tcPr>
            <w:tcW w:type="dxa" w:w="4608"/>
          </w:tcPr>
          <w:p>
            <w:pPr>
              <w:spacing w:after="20"/>
            </w:pPr>
            <w:r>
              <w:rPr>
                <w:color w:val="1C3A36"/>
                <w:sz w:val="18"/>
              </w:rPr>
              <w:t>Finishes 10% or more below</w:t>
            </w:r>
          </w:p>
        </w:tc>
        <w:tc>
          <w:tcPr>
            <w:tcW w:type="dxa" w:w="1728"/>
          </w:tcPr>
          <w:p>
            <w:pPr>
              <w:spacing w:after="20"/>
              <w:jc w:val="right"/>
            </w:pPr>
            <w:r>
              <w:rPr>
                <w:color w:val="1C3A36"/>
                <w:sz w:val="18"/>
              </w:rPr>
              <w:t>19%</w:t>
            </w:r>
          </w:p>
        </w:tc>
        <w:tc>
          <w:tcPr>
            <w:tcW w:type="dxa" w:w="1728"/>
          </w:tcPr>
          <w:p>
            <w:pPr>
              <w:spacing w:after="20"/>
              <w:jc w:val="right"/>
            </w:pPr>
            <w:r>
              <w:rPr>
                <w:color w:val="1C3A36"/>
                <w:sz w:val="18"/>
              </w:rPr>
              <w:t>23%</w:t>
            </w:r>
          </w:p>
        </w:tc>
      </w:tr>
      <w:tr>
        <w:tc>
          <w:tcPr>
            <w:tcW w:type="dxa" w:w="4608"/>
          </w:tcPr>
          <w:p>
            <w:pPr>
              <w:spacing w:after="20"/>
            </w:pPr>
            <w:r>
              <w:rPr>
                <w:color w:val="1C3A36"/>
                <w:sz w:val="18"/>
              </w:rPr>
              <w:t>TOUCHES 10% above at any point</w:t>
            </w:r>
          </w:p>
        </w:tc>
        <w:tc>
          <w:tcPr>
            <w:tcW w:type="dxa" w:w="1728"/>
          </w:tcPr>
          <w:p>
            <w:pPr>
              <w:spacing w:after="20"/>
              <w:jc w:val="right"/>
            </w:pPr>
            <w:r>
              <w:rPr>
                <w:color w:val="1C3A36"/>
                <w:sz w:val="18"/>
              </w:rPr>
              <w:t>43%</w:t>
            </w:r>
          </w:p>
        </w:tc>
        <w:tc>
          <w:tcPr>
            <w:tcW w:type="dxa" w:w="1728"/>
          </w:tcPr>
          <w:p>
            <w:pPr>
              <w:spacing w:after="20"/>
              <w:jc w:val="right"/>
            </w:pPr>
            <w:r>
              <w:rPr>
                <w:color w:val="1C3A36"/>
                <w:sz w:val="18"/>
              </w:rPr>
              <w:t>64%</w:t>
            </w:r>
          </w:p>
        </w:tc>
      </w:tr>
      <w:tr>
        <w:tc>
          <w:tcPr>
            <w:tcW w:type="dxa" w:w="4608"/>
          </w:tcPr>
          <w:p>
            <w:pPr>
              <w:spacing w:after="20"/>
            </w:pPr>
            <w:r>
              <w:rPr>
                <w:color w:val="1C3A36"/>
                <w:sz w:val="18"/>
              </w:rPr>
              <w:t>TOUCHES 10% below at any point</w:t>
            </w:r>
          </w:p>
        </w:tc>
        <w:tc>
          <w:tcPr>
            <w:tcW w:type="dxa" w:w="1728"/>
          </w:tcPr>
          <w:p>
            <w:pPr>
              <w:spacing w:after="20"/>
              <w:jc w:val="right"/>
            </w:pPr>
            <w:r>
              <w:rPr>
                <w:color w:val="1C3A36"/>
                <w:sz w:val="18"/>
              </w:rPr>
              <w:t>33%</w:t>
            </w:r>
          </w:p>
        </w:tc>
        <w:tc>
          <w:tcPr>
            <w:tcW w:type="dxa" w:w="1728"/>
          </w:tcPr>
          <w:p>
            <w:pPr>
              <w:spacing w:after="20"/>
              <w:jc w:val="right"/>
            </w:pPr>
            <w:r>
              <w:rPr>
                <w:color w:val="1C3A36"/>
                <w:sz w:val="18"/>
              </w:rPr>
              <w:t>48%</w:t>
            </w:r>
          </w:p>
        </w:tc>
      </w:tr>
    </w:tbl>
    <w:p>
      <w:pPr>
        <w:spacing w:after="40"/>
      </w:pPr>
    </w:p>
    <w:p>
      <w:pPr>
        <w:spacing w:after="200" w:before="0"/>
      </w:pPr>
      <w:r>
        <w:rPr>
          <w:b w:val="0"/>
          <w:i/>
          <w:color w:val="6E7B77"/>
          <w:sz w:val="17"/>
        </w:rPr>
        <w:t>Table 13 — the level-touch ladder. Touching a level at any point during the window is far more likely than finishing beyond it.</w:t>
      </w:r>
    </w:p>
    <w:p>
      <w:pPr>
        <w:spacing w:after="40"/>
        <w:jc w:val="center"/>
      </w:pPr>
      <w:r>
        <w:drawing>
          <wp:inline xmlns:a="http://schemas.openxmlformats.org/drawingml/2006/main" xmlns:pic="http://schemas.openxmlformats.org/drawingml/2006/picture">
            <wp:extent cx="6309360" cy="2626360"/>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26360"/>
                    </a:xfrm>
                    <a:prstGeom prst="rect"/>
                  </pic:spPr>
                </pic:pic>
              </a:graphicData>
            </a:graphic>
          </wp:inline>
        </w:drawing>
      </w:r>
    </w:p>
    <w:p>
      <w:pPr>
        <w:spacing w:after="200" w:before="0"/>
      </w:pPr>
      <w:r>
        <w:rPr>
          <w:b w:val="0"/>
          <w:i/>
          <w:color w:val="6E7B77"/>
          <w:sz w:val="17"/>
        </w:rPr>
        <w:t>Figure 7 — the price history and the one- and three-month bands.</w:t>
      </w:r>
    </w:p>
    <w:p>
      <w:pPr>
        <w:spacing w:after="120" w:before="0"/>
      </w:pPr>
      <w:r>
        <w:rPr>
          <w:b w:val="0"/>
          <w:i w:val="0"/>
          <w:color w:val="1C3A36"/>
          <w:sz w:val="21"/>
        </w:rPr>
        <w:t>How much should a reader trust this? The method was tested by re-running it every quarter across the whole cleaned price history, without ever letting it see the future, and scoring each forecast against what actually happened. Over the last five years of those tests — 19 non-overlapping three-month windows — it scored marginally better than a random walk anchored on the same carry, by +0.0021 on a scale where zero means no better and one means perfect. Over the full 13.8-year history and 56 windows it scored -0.0177. In plain terms: on this single share the method is indistinguishable from a random walk, and this study says so rather than claiming an edge it cannot demonstrate.</w:t>
      </w:r>
    </w:p>
    <w:p>
      <w:pPr>
        <w:spacing w:after="120" w:before="0"/>
      </w:pPr>
      <w:r>
        <w:rPr>
          <w:b w:val="0"/>
          <w:i w:val="0"/>
          <w:color w:val="1C3A36"/>
          <w:sz w:val="21"/>
        </w:rPr>
        <w:t>What the tests DO show is that the bands are honestly sized, which is the property that matters for reading them. Across the five-year window set the outcome fell inside the 90% band 100% of the time and inside the 50% band 47% of the time, and the distribution of where outcomes landed within the bands was statistically indistinguishable from uniform (chi-square p = 0.447, Kolmogorov-Smirnov p = 0.676). The bands are also about 1.47 times as wide as the benchmark's, which means they are conservative rather than flattering. Read them as an honest width, not as a claim to foresight.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24"/>
        <w:gridCol w:w="2952"/>
        <w:gridCol w:w="3816"/>
      </w:tblGrid>
      <w:tr>
        <w:tc>
          <w:tcPr>
            <w:tcW w:type="dxa" w:w="2664"/>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 / share</w:t>
            </w:r>
          </w:p>
        </w:tc>
        <w:tc>
          <w:tcPr>
            <w:tcW w:type="dxa" w:w="2952"/>
            <w:shd w:val="clear" w:color="auto" w:fill="EAF0EE"/>
          </w:tcPr>
          <w:p>
            <w:pPr>
              <w:spacing w:after="20"/>
            </w:pPr>
            <w:r>
              <w:rPr>
                <w:b/>
                <w:color w:val="1C3A36"/>
                <w:sz w:val="16"/>
              </w:rPr>
              <w:t>What it is most sensitive to</w:t>
            </w:r>
          </w:p>
        </w:tc>
        <w:tc>
          <w:tcPr>
            <w:tcW w:type="dxa" w:w="3816"/>
            <w:shd w:val="clear" w:color="auto" w:fill="EAF0EE"/>
          </w:tcPr>
          <w:p>
            <w:pPr>
              <w:spacing w:after="20"/>
            </w:pPr>
            <w:r>
              <w:rPr>
                <w:b/>
                <w:color w:val="1C3A36"/>
                <w:sz w:val="16"/>
              </w:rPr>
              <w:t>When it misleads</w:t>
            </w:r>
          </w:p>
        </w:tc>
      </w:tr>
      <w:tr>
        <w:tc>
          <w:tcPr>
            <w:tcW w:type="dxa" w:w="2664"/>
          </w:tcPr>
          <w:p>
            <w:pPr>
              <w:spacing w:after="20"/>
            </w:pPr>
            <w:r>
              <w:rPr>
                <w:color w:val="1C3A36"/>
                <w:sz w:val="16"/>
              </w:rPr>
              <w:t>Discounted cash flow, Frame A</w:t>
            </w:r>
          </w:p>
        </w:tc>
        <w:tc>
          <w:tcPr>
            <w:tcW w:type="dxa" w:w="1224"/>
          </w:tcPr>
          <w:p>
            <w:pPr>
              <w:spacing w:after="20"/>
              <w:jc w:val="right"/>
            </w:pPr>
            <w:r>
              <w:rPr>
                <w:color w:val="1C3A36"/>
                <w:sz w:val="16"/>
              </w:rPr>
              <w:t>86.06</w:t>
            </w:r>
          </w:p>
        </w:tc>
        <w:tc>
          <w:tcPr>
            <w:tcW w:type="dxa" w:w="2952"/>
          </w:tcPr>
          <w:p>
            <w:pPr>
              <w:spacing w:after="20"/>
              <w:jc w:val="right"/>
            </w:pPr>
            <w:r>
              <w:rPr>
                <w:color w:val="1C3A36"/>
                <w:sz w:val="16"/>
              </w:rPr>
              <w:t>the terminal discount rate and the terminal growth rate — 74% of the value is in the terminal block</w:t>
            </w:r>
          </w:p>
        </w:tc>
        <w:tc>
          <w:tcPr>
            <w:tcW w:type="dxa" w:w="3816"/>
          </w:tcPr>
          <w:p>
            <w:pPr>
              <w:spacing w:after="20"/>
              <w:jc w:val="right"/>
            </w:pPr>
            <w:r>
              <w:rPr>
                <w:color w:val="1C3A36"/>
                <w:sz w:val="16"/>
              </w:rPr>
              <w:t>when five explicit years are not long enough to reach a steady state, which for a plant entering service is exactly the risk</w:t>
            </w:r>
          </w:p>
        </w:tc>
      </w:tr>
      <w:tr>
        <w:tc>
          <w:tcPr>
            <w:tcW w:type="dxa" w:w="2664"/>
          </w:tcPr>
          <w:p>
            <w:pPr>
              <w:spacing w:after="20"/>
            </w:pPr>
            <w:r>
              <w:rPr>
                <w:color w:val="1C3A36"/>
                <w:sz w:val="16"/>
              </w:rPr>
              <w:t>Discounted cash flow, Frame B</w:t>
            </w:r>
          </w:p>
        </w:tc>
        <w:tc>
          <w:tcPr>
            <w:tcW w:type="dxa" w:w="1224"/>
          </w:tcPr>
          <w:p>
            <w:pPr>
              <w:spacing w:after="20"/>
              <w:jc w:val="right"/>
            </w:pPr>
            <w:r>
              <w:rPr>
                <w:color w:val="1C3A36"/>
                <w:sz w:val="16"/>
              </w:rPr>
              <w:t>99.07</w:t>
            </w:r>
          </w:p>
        </w:tc>
        <w:tc>
          <w:tcPr>
            <w:tcW w:type="dxa" w:w="2952"/>
          </w:tcPr>
          <w:p>
            <w:pPr>
              <w:spacing w:after="20"/>
              <w:jc w:val="right"/>
            </w:pPr>
            <w:r>
              <w:rPr>
                <w:color w:val="1C3A36"/>
                <w:sz w:val="16"/>
              </w:rPr>
              <w:t>the same, plus the speed at which the provision charge normalises</w:t>
            </w:r>
          </w:p>
        </w:tc>
        <w:tc>
          <w:tcPr>
            <w:tcW w:type="dxa" w:w="3816"/>
          </w:tcPr>
          <w:p>
            <w:pPr>
              <w:spacing w:after="20"/>
              <w:jc w:val="right"/>
            </w:pPr>
            <w:r>
              <w:rPr>
                <w:color w:val="1C3A36"/>
                <w:sz w:val="16"/>
              </w:rPr>
              <w:t>if the credit losses are structural rather than cyclical</w:t>
            </w:r>
          </w:p>
        </w:tc>
      </w:tr>
      <w:tr>
        <w:tc>
          <w:tcPr>
            <w:tcW w:type="dxa" w:w="2664"/>
          </w:tcPr>
          <w:p>
            <w:pPr>
              <w:spacing w:after="20"/>
            </w:pPr>
            <w:r>
              <w:rPr>
                <w:color w:val="1C3A36"/>
                <w:sz w:val="16"/>
              </w:rPr>
              <w:t>Book value and sustainable return</w:t>
            </w:r>
          </w:p>
        </w:tc>
        <w:tc>
          <w:tcPr>
            <w:tcW w:type="dxa" w:w="1224"/>
          </w:tcPr>
          <w:p>
            <w:pPr>
              <w:spacing w:after="20"/>
              <w:jc w:val="right"/>
            </w:pPr>
            <w:r>
              <w:rPr>
                <w:color w:val="1C3A36"/>
                <w:sz w:val="16"/>
              </w:rPr>
              <w:t>73.10</w:t>
            </w:r>
          </w:p>
        </w:tc>
        <w:tc>
          <w:tcPr>
            <w:tcW w:type="dxa" w:w="2952"/>
          </w:tcPr>
          <w:p>
            <w:pPr>
              <w:spacing w:after="20"/>
              <w:jc w:val="right"/>
            </w:pPr>
            <w:r>
              <w:rPr>
                <w:color w:val="1C3A36"/>
                <w:sz w:val="16"/>
              </w:rPr>
              <w:t>the sustainable return on equity and the perpetual cost of equity</w:t>
            </w:r>
          </w:p>
        </w:tc>
        <w:tc>
          <w:tcPr>
            <w:tcW w:type="dxa" w:w="3816"/>
          </w:tcPr>
          <w:p>
            <w:pPr>
              <w:spacing w:after="20"/>
              <w:jc w:val="right"/>
            </w:pPr>
            <w:r>
              <w:rPr>
                <w:color w:val="1C3A36"/>
                <w:sz w:val="16"/>
              </w:rPr>
              <w:t>when a large part of the asset base is not yet earning — which is true here, with EGP 4,901 million still in construction at the year end</w:t>
            </w:r>
          </w:p>
        </w:tc>
      </w:tr>
      <w:tr>
        <w:tc>
          <w:tcPr>
            <w:tcW w:type="dxa" w:w="2664"/>
          </w:tcPr>
          <w:p>
            <w:pPr>
              <w:spacing w:after="20"/>
            </w:pPr>
            <w:r>
              <w:rPr>
                <w:color w:val="1C3A36"/>
                <w:sz w:val="16"/>
              </w:rPr>
              <w:t>Relative multiples</w:t>
            </w:r>
          </w:p>
        </w:tc>
        <w:tc>
          <w:tcPr>
            <w:tcW w:type="dxa" w:w="1224"/>
          </w:tcPr>
          <w:p>
            <w:pPr>
              <w:spacing w:after="20"/>
              <w:jc w:val="right"/>
            </w:pPr>
            <w:r>
              <w:rPr>
                <w:color w:val="1C3A36"/>
                <w:sz w:val="16"/>
              </w:rPr>
              <w:t>55.58</w:t>
            </w:r>
          </w:p>
        </w:tc>
        <w:tc>
          <w:tcPr>
            <w:tcW w:type="dxa" w:w="2952"/>
          </w:tcPr>
          <w:p>
            <w:pPr>
              <w:spacing w:after="20"/>
              <w:jc w:val="right"/>
            </w:pPr>
            <w:r>
              <w:rPr>
                <w:color w:val="1C3A36"/>
                <w:sz w:val="16"/>
              </w:rPr>
              <w:t>the cost of equity, through all three of its inputs</w:t>
            </w:r>
          </w:p>
        </w:tc>
        <w:tc>
          <w:tcPr>
            <w:tcW w:type="dxa" w:w="3816"/>
          </w:tcPr>
          <w:p>
            <w:pPr>
              <w:spacing w:after="20"/>
              <w:jc w:val="right"/>
            </w:pPr>
            <w:r>
              <w:rPr>
                <w:color w:val="1C3A36"/>
                <w:sz w:val="16"/>
              </w:rPr>
              <w:t>when the peer set faces a different country risk, which is why the peer median is adjusted rather than applied raw</w:t>
            </w:r>
          </w:p>
        </w:tc>
      </w:tr>
      <w:tr>
        <w:tc>
          <w:tcPr>
            <w:tcW w:type="dxa" w:w="2664"/>
          </w:tcPr>
          <w:p>
            <w:pPr>
              <w:spacing w:after="20"/>
            </w:pPr>
            <w:r>
              <w:rPr>
                <w:color w:val="1C3A36"/>
                <w:sz w:val="16"/>
              </w:rPr>
              <w:t>Normalised earnings power</w:t>
            </w:r>
          </w:p>
        </w:tc>
        <w:tc>
          <w:tcPr>
            <w:tcW w:type="dxa" w:w="1224"/>
          </w:tcPr>
          <w:p>
            <w:pPr>
              <w:spacing w:after="20"/>
              <w:jc w:val="right"/>
            </w:pPr>
            <w:r>
              <w:rPr>
                <w:color w:val="1C3A36"/>
                <w:sz w:val="16"/>
              </w:rPr>
              <w:t>69.33</w:t>
            </w:r>
          </w:p>
        </w:tc>
        <w:tc>
          <w:tcPr>
            <w:tcW w:type="dxa" w:w="2952"/>
          </w:tcPr>
          <w:p>
            <w:pPr>
              <w:spacing w:after="20"/>
              <w:jc w:val="right"/>
            </w:pPr>
            <w:r>
              <w:rPr>
                <w:color w:val="1C3A36"/>
                <w:sz w:val="16"/>
              </w:rPr>
              <w:t>the choice of normal margin</w:t>
            </w:r>
          </w:p>
        </w:tc>
        <w:tc>
          <w:tcPr>
            <w:tcW w:type="dxa" w:w="3816"/>
          </w:tcPr>
          <w:p>
            <w:pPr>
              <w:spacing w:after="20"/>
              <w:jc w:val="right"/>
            </w:pPr>
            <w:r>
              <w:rPr>
                <w:color w:val="1C3A36"/>
                <w:sz w:val="16"/>
              </w:rPr>
              <w:t>when the business has genuinely re-based upward, in which case a three-year average understates it</w:t>
            </w:r>
          </w:p>
        </w:tc>
      </w:tr>
    </w:tbl>
    <w:p>
      <w:pPr>
        <w:spacing w:after="40"/>
      </w:pPr>
    </w:p>
    <w:p>
      <w:pPr>
        <w:spacing w:after="200" w:before="0"/>
      </w:pPr>
      <w:r>
        <w:rPr>
          <w:b w:val="0"/>
          <w:i/>
          <w:color w:val="6E7B77"/>
          <w:sz w:val="17"/>
        </w:rPr>
        <w:t>Table 14 — the four methods against each other, including where each one fails.</w:t>
      </w:r>
    </w:p>
    <w:p>
      <w:pPr>
        <w:spacing w:after="120" w:before="0"/>
      </w:pPr>
      <w:r>
        <w:rPr>
          <w:b w:val="0"/>
          <w:i w:val="0"/>
          <w:color w:val="1C3A36"/>
          <w:sz w:val="21"/>
        </w:rPr>
        <w:t>The lenses disagree in an informative direction. The two cash-flow lenses are the HIGHEST in the field even though they charge the new plant's full cost, because they capture five years of the volume and price growth the existing business is already delivering. The relative lens is the LOWEST because it prices the company on what a 24.6% return and a 14.9% perpetual cost of equity can justify, and that arithmetic supports about 8.0 times earnings, not 15.2. Neither is wrong. The gap between them is the value of growth, and the market is paying for more of it than either lens contains.</w:t>
      </w:r>
    </w:p>
    <w:p>
      <w:pPr>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5112"/>
        <w:gridCol w:w="2304"/>
      </w:tblGrid>
      <w:tr>
        <w:tc>
          <w:tcPr>
            <w:tcW w:type="dxa" w:w="2520"/>
            <w:shd w:val="clear" w:color="auto" w:fill="EAF0EE"/>
          </w:tcPr>
          <w:p>
            <w:pPr>
              <w:spacing w:after="20"/>
            </w:pPr>
            <w:r>
              <w:rPr>
                <w:b/>
                <w:color w:val="1C3A36"/>
                <w:sz w:val="16"/>
              </w:rPr>
              <w:t>What to watch</w:t>
            </w:r>
          </w:p>
        </w:tc>
        <w:tc>
          <w:tcPr>
            <w:tcW w:type="dxa" w:w="5112"/>
            <w:shd w:val="clear" w:color="auto" w:fill="EAF0EE"/>
          </w:tcPr>
          <w:p>
            <w:pPr>
              <w:spacing w:after="20"/>
            </w:pPr>
            <w:r>
              <w:rPr>
                <w:b/>
                <w:color w:val="1C3A36"/>
                <w:sz w:val="16"/>
              </w:rPr>
              <w:t>Why it matters</w:t>
            </w:r>
          </w:p>
        </w:tc>
        <w:tc>
          <w:tcPr>
            <w:tcW w:type="dxa" w:w="2304"/>
            <w:shd w:val="clear" w:color="auto" w:fill="EAF0EE"/>
          </w:tcPr>
          <w:p>
            <w:pPr>
              <w:spacing w:after="20"/>
            </w:pPr>
            <w:r>
              <w:rPr>
                <w:b/>
                <w:color w:val="1C3A36"/>
                <w:sz w:val="16"/>
              </w:rPr>
              <w:t>When</w:t>
            </w:r>
          </w:p>
        </w:tc>
      </w:tr>
      <w:tr>
        <w:tc>
          <w:tcPr>
            <w:tcW w:type="dxa" w:w="2520"/>
          </w:tcPr>
          <w:p>
            <w:pPr>
              <w:spacing w:after="20"/>
            </w:pPr>
            <w:r>
              <w:rPr>
                <w:color w:val="1C3A36"/>
                <w:sz w:val="16"/>
              </w:rPr>
              <w:t>First disclosed revenue from the biologicals plant</w:t>
            </w:r>
          </w:p>
        </w:tc>
        <w:tc>
          <w:tcPr>
            <w:tcW w:type="dxa" w:w="5112"/>
          </w:tcPr>
          <w:p>
            <w:pPr>
              <w:spacing w:after="20"/>
              <w:jc w:val="right"/>
            </w:pPr>
            <w:r>
              <w:rPr>
                <w:color w:val="1C3A36"/>
                <w:sz w:val="16"/>
              </w:rPr>
              <w:t>the whole crux. Section 1.7 says roughly USD 81 million a year by 2030 is required to justify the market price; the first disclosure calibrates how plausible that is</w:t>
            </w:r>
          </w:p>
        </w:tc>
        <w:tc>
          <w:tcPr>
            <w:tcW w:type="dxa" w:w="2304"/>
          </w:tcPr>
          <w:p>
            <w:pPr>
              <w:spacing w:after="20"/>
              <w:jc w:val="right"/>
            </w:pPr>
            <w:r>
              <w:rPr>
                <w:color w:val="1C3A36"/>
                <w:sz w:val="16"/>
              </w:rPr>
              <w:t>FY2026 results, and every quarter after</w:t>
            </w:r>
          </w:p>
        </w:tc>
      </w:tr>
      <w:tr>
        <w:tc>
          <w:tcPr>
            <w:tcW w:type="dxa" w:w="2520"/>
          </w:tcPr>
          <w:p>
            <w:pPr>
              <w:spacing w:after="20"/>
            </w:pPr>
            <w:r>
              <w:rPr>
                <w:color w:val="1C3A36"/>
                <w:sz w:val="16"/>
              </w:rPr>
              <w:t>The FY2026 depreciation charge</w:t>
            </w:r>
          </w:p>
        </w:tc>
        <w:tc>
          <w:tcPr>
            <w:tcW w:type="dxa" w:w="5112"/>
          </w:tcPr>
          <w:p>
            <w:pPr>
              <w:spacing w:after="20"/>
              <w:jc w:val="right"/>
            </w:pPr>
            <w:r>
              <w:rPr>
                <w:color w:val="1C3A36"/>
                <w:sz w:val="16"/>
              </w:rPr>
              <w:t>this study assumes it steps from EGP 118 million to about EGP 298 million as the construction balance transfers. A materially smaller step means the plant is being commissioned more slowly than assumed</w:t>
            </w:r>
          </w:p>
        </w:tc>
        <w:tc>
          <w:tcPr>
            <w:tcW w:type="dxa" w:w="2304"/>
          </w:tcPr>
          <w:p>
            <w:pPr>
              <w:spacing w:after="20"/>
              <w:jc w:val="right"/>
            </w:pPr>
            <w:r>
              <w:rPr>
                <w:color w:val="1C3A36"/>
                <w:sz w:val="16"/>
              </w:rPr>
              <w:t>FY2026 results</w:t>
            </w:r>
          </w:p>
        </w:tc>
      </w:tr>
      <w:tr>
        <w:tc>
          <w:tcPr>
            <w:tcW w:type="dxa" w:w="2520"/>
          </w:tcPr>
          <w:p>
            <w:pPr>
              <w:spacing w:after="20"/>
            </w:pPr>
            <w:r>
              <w:rPr>
                <w:color w:val="1C3A36"/>
                <w:sz w:val="16"/>
              </w:rPr>
              <w:t>Whether capitalised interest stops</w:t>
            </w:r>
          </w:p>
        </w:tc>
        <w:tc>
          <w:tcPr>
            <w:tcW w:type="dxa" w:w="5112"/>
          </w:tcPr>
          <w:p>
            <w:pPr>
              <w:spacing w:after="20"/>
              <w:jc w:val="right"/>
            </w:pPr>
            <w:r>
              <w:rPr>
                <w:color w:val="1C3A36"/>
                <w:sz w:val="16"/>
              </w:rPr>
              <w:t>EGP 551 million of interest was capitalised in FY2025. Once the plant is in service that becomes an expense, and reported profit falls without anything changing in the business</w:t>
            </w:r>
          </w:p>
        </w:tc>
        <w:tc>
          <w:tcPr>
            <w:tcW w:type="dxa" w:w="2304"/>
          </w:tcPr>
          <w:p>
            <w:pPr>
              <w:spacing w:after="20"/>
              <w:jc w:val="right"/>
            </w:pPr>
            <w:r>
              <w:rPr>
                <w:color w:val="1C3A36"/>
                <w:sz w:val="16"/>
              </w:rPr>
              <w:t>FY2026 interim and full year</w:t>
            </w:r>
          </w:p>
        </w:tc>
      </w:tr>
      <w:tr>
        <w:tc>
          <w:tcPr>
            <w:tcW w:type="dxa" w:w="2520"/>
          </w:tcPr>
          <w:p>
            <w:pPr>
              <w:spacing w:after="20"/>
            </w:pPr>
            <w:r>
              <w:rPr>
                <w:color w:val="1C3A36"/>
                <w:sz w:val="16"/>
              </w:rPr>
              <w:t>The credit-loss charge</w:t>
            </w:r>
          </w:p>
        </w:tc>
        <w:tc>
          <w:tcPr>
            <w:tcW w:type="dxa" w:w="5112"/>
          </w:tcPr>
          <w:p>
            <w:pPr>
              <w:spacing w:after="20"/>
              <w:jc w:val="right"/>
            </w:pPr>
            <w:r>
              <w:rPr>
                <w:color w:val="1C3A36"/>
                <w:sz w:val="16"/>
              </w:rPr>
              <w:t>the study's contested judgement. Two years near 5% of revenue with a 9% year between them; which frame the next two years resemble is worth more than a point of margin</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Saudi associate</w:t>
            </w:r>
          </w:p>
        </w:tc>
        <w:tc>
          <w:tcPr>
            <w:tcW w:type="dxa" w:w="5112"/>
          </w:tcPr>
          <w:p>
            <w:pPr>
              <w:spacing w:after="20"/>
              <w:jc w:val="right"/>
            </w:pPr>
            <w:r>
              <w:rPr>
                <w:color w:val="1C3A36"/>
                <w:sz w:val="16"/>
              </w:rPr>
              <w:t>contributed EGP 428 million in FY2025 against EGP 190 million in FY2024. This study normalises it to EGP 320 million; if the step-up holds, that is conservative</w:t>
            </w:r>
          </w:p>
        </w:tc>
        <w:tc>
          <w:tcPr>
            <w:tcW w:type="dxa" w:w="2304"/>
          </w:tcPr>
          <w:p>
            <w:pPr>
              <w:spacing w:after="20"/>
              <w:jc w:val="right"/>
            </w:pPr>
            <w:r>
              <w:rPr>
                <w:color w:val="1C3A36"/>
                <w:sz w:val="16"/>
              </w:rPr>
              <w:t>each set of results</w:t>
            </w:r>
          </w:p>
        </w:tc>
      </w:tr>
      <w:tr>
        <w:tc>
          <w:tcPr>
            <w:tcW w:type="dxa" w:w="2520"/>
          </w:tcPr>
          <w:p>
            <w:pPr>
              <w:spacing w:after="20"/>
            </w:pPr>
            <w:r>
              <w:rPr>
                <w:color w:val="1C3A36"/>
                <w:sz w:val="16"/>
              </w:rPr>
              <w:t>The active-ingredient project</w:t>
            </w:r>
          </w:p>
        </w:tc>
        <w:tc>
          <w:tcPr>
            <w:tcW w:type="dxa" w:w="5112"/>
          </w:tcPr>
          <w:p>
            <w:pPr>
              <w:spacing w:after="20"/>
              <w:jc w:val="right"/>
            </w:pPr>
            <w:r>
              <w:rPr>
                <w:color w:val="1C3A36"/>
                <w:sz w:val="16"/>
              </w:rPr>
              <w:t>a separate USD 165 million company that this study does NOT consolidate and does NOT value. It reaches the accounts only through the associate line</w:t>
            </w:r>
          </w:p>
        </w:tc>
        <w:tc>
          <w:tcPr>
            <w:tcW w:type="dxa" w:w="2304"/>
          </w:tcPr>
          <w:p>
            <w:pPr>
              <w:spacing w:after="20"/>
              <w:jc w:val="right"/>
            </w:pPr>
            <w:r>
              <w:rPr>
                <w:color w:val="1C3A36"/>
                <w:sz w:val="16"/>
              </w:rPr>
              <w:t>trial batches indicated for 2027</w:t>
            </w:r>
          </w:p>
        </w:tc>
      </w:tr>
      <w:tr>
        <w:tc>
          <w:tcPr>
            <w:tcW w:type="dxa" w:w="2520"/>
          </w:tcPr>
          <w:p>
            <w:pPr>
              <w:spacing w:after="20"/>
            </w:pPr>
            <w:r>
              <w:rPr>
                <w:color w:val="1C3A36"/>
                <w:sz w:val="16"/>
              </w:rPr>
              <w:t>The exchange rate</w:t>
            </w:r>
          </w:p>
        </w:tc>
        <w:tc>
          <w:tcPr>
            <w:tcW w:type="dxa" w:w="5112"/>
          </w:tcPr>
          <w:p>
            <w:pPr>
              <w:spacing w:after="20"/>
              <w:jc w:val="right"/>
            </w:pPr>
            <w:r>
              <w:rPr>
                <w:color w:val="1C3A36"/>
                <w:sz w:val="16"/>
              </w:rPr>
              <w:t>exports are 32% of revenue but imported inputs are 79% of the cash cost stack, so a weaker pound is a NET NEGATIVE for this company — the opposite of the usual exporter reflex</w:t>
            </w:r>
          </w:p>
        </w:tc>
        <w:tc>
          <w:tcPr>
            <w:tcW w:type="dxa" w:w="2304"/>
          </w:tcPr>
          <w:p>
            <w:pPr>
              <w:spacing w:after="20"/>
              <w:jc w:val="right"/>
            </w:pPr>
            <w:r>
              <w:rPr>
                <w:color w:val="1C3A36"/>
                <w:sz w:val="16"/>
              </w:rPr>
              <w:t>continuous</w:t>
            </w:r>
          </w:p>
        </w:tc>
      </w:tr>
    </w:tbl>
    <w:p>
      <w:pPr>
        <w:spacing w:after="40"/>
      </w:pPr>
    </w:p>
    <w:p>
      <w:pPr>
        <w:spacing w:after="200" w:before="0"/>
      </w:pPr>
      <w:r>
        <w:rPr>
          <w:b w:val="0"/>
          <w:i/>
          <w:color w:val="6E7B77"/>
          <w:sz w:val="17"/>
        </w:rPr>
        <w:t>Table 15 — the events that would move this valuation, and the direction each cuts.</w:t>
      </w:r>
    </w:p>
    <w:p>
      <w:pPr>
        <w:spacing w:after="120" w:before="280"/>
      </w:pPr>
      <w:r>
        <w:rPr>
          <w:b/>
          <w:i w:val="0"/>
          <w:color w:val="1C3A36"/>
          <w:sz w:val="30"/>
        </w:rPr>
        <w:t>6. Reading the probability zones</w:t>
      </w:r>
    </w:p>
    <w:p>
      <w:pPr>
        <w:spacing w:after="120" w:before="0"/>
      </w:pPr>
      <w:r>
        <w:rPr>
          <w:b w:val="0"/>
          <w:i w:val="0"/>
          <w:color w:val="1C3A36"/>
          <w:sz w:val="21"/>
        </w:rPr>
        <w:t>The bands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and it is what a stop-loss experiences. On the three-month window the difference is substantial: 23% of paths finish 10% or more below the anchor, but 48% touch that level at some point.</w:t>
      </w:r>
    </w:p>
    <w:p>
      <w:pPr>
        <w:pStyle w:val="ListBullet"/>
        <w:spacing w:after="60"/>
      </w:pPr>
      <w:r>
        <w:rPr>
          <w:b/>
          <w:color w:val="1C3A36"/>
          <w:sz w:val="21"/>
        </w:rPr>
        <w:t xml:space="preserve">A band is not a limit: </w:t>
      </w:r>
      <w:r>
        <w:rPr>
          <w:color w:val="1C3A36"/>
          <w:sz w:val="21"/>
        </w:rPr>
        <w:t>the 90% band is not a maximum. One outcome in ten is designed to fall outside it, and over a long enough run one will.</w:t>
      </w:r>
    </w:p>
    <w:p>
      <w:pPr>
        <w:pStyle w:val="ListBullet"/>
        <w:spacing w:after="60"/>
      </w:pPr>
      <w:r>
        <w:rPr>
          <w:b/>
          <w:color w:val="1C3A36"/>
          <w:sz w:val="21"/>
        </w:rPr>
        <w:t xml:space="preserve">Width is information: </w:t>
      </w:r>
      <w:r>
        <w:rPr>
          <w:color w:val="1C3A36"/>
          <w:sz w:val="21"/>
        </w:rPr>
        <w:t>the bands here are wide — the three-month 90% band runs from EGP 94.40 to EGP 193.82 — because this share has been genuinely volatile: the annualised volatility implied by its recent trading is about 54%. A narrow band on a share that moved 44% in two sessions would be a lie.</w:t>
      </w:r>
    </w:p>
    <w:p>
      <w:pPr>
        <w:pStyle w:val="ListBullet"/>
        <w:spacing w:after="60"/>
      </w:pPr>
      <w:r>
        <w:rPr>
          <w:b/>
          <w:color w:val="1C3A36"/>
          <w:sz w:val="21"/>
        </w:rPr>
        <w:t xml:space="preserve">These are not a valuation: </w:t>
      </w:r>
      <w:r>
        <w:rPr>
          <w:color w:val="1C3A36"/>
          <w:sz w:val="21"/>
        </w:rPr>
        <w:t>the bands describe where the PRICE may go. The valuation describes what the BUSINESS appears to be worth. They are different questions and this study keeps them apart on purpose. The weighted central fair value sits below the entire three-month band, and that is worth noticing rather than reconciling away.</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824"/>
        <w:gridCol w:w="2376"/>
      </w:tblGrid>
      <w:tr>
        <w:tc>
          <w:tcPr>
            <w:tcW w:type="dxa" w:w="2736"/>
            <w:shd w:val="clear" w:color="auto" w:fill="EAF0EE"/>
          </w:tcPr>
          <w:p>
            <w:pPr>
              <w:spacing w:after="20"/>
            </w:pPr>
            <w:r>
              <w:rPr>
                <w:b/>
                <w:color w:val="1C3A36"/>
                <w:sz w:val="16"/>
              </w:rPr>
              <w:t>Caveat</w:t>
            </w:r>
          </w:p>
        </w:tc>
        <w:tc>
          <w:tcPr>
            <w:tcW w:type="dxa" w:w="4824"/>
            <w:shd w:val="clear" w:color="auto" w:fill="EAF0EE"/>
          </w:tcPr>
          <w:p>
            <w:pPr>
              <w:spacing w:after="20"/>
            </w:pPr>
            <w:r>
              <w:rPr>
                <w:b/>
                <w:color w:val="1C3A36"/>
                <w:sz w:val="16"/>
              </w:rPr>
              <w:t>What it costs the study</w:t>
            </w:r>
          </w:p>
        </w:tc>
        <w:tc>
          <w:tcPr>
            <w:tcW w:type="dxa" w:w="2376"/>
            <w:shd w:val="clear" w:color="auto" w:fill="EAF0EE"/>
          </w:tcPr>
          <w:p>
            <w:pPr>
              <w:spacing w:after="20"/>
            </w:pPr>
            <w:r>
              <w:rPr>
                <w:b/>
                <w:color w:val="1C3A36"/>
                <w:sz w:val="16"/>
              </w:rPr>
              <w:t>What would settle it</w:t>
            </w:r>
          </w:p>
        </w:tc>
      </w:tr>
      <w:tr>
        <w:tc>
          <w:tcPr>
            <w:tcW w:type="dxa" w:w="2736"/>
          </w:tcPr>
          <w:p>
            <w:pPr>
              <w:spacing w:after="20"/>
            </w:pPr>
            <w:r>
              <w:rPr>
                <w:color w:val="1C3A36"/>
                <w:sz w:val="16"/>
              </w:rPr>
              <w:t>No revenue is modelled for the biologicals plant</w:t>
            </w:r>
          </w:p>
        </w:tc>
        <w:tc>
          <w:tcPr>
            <w:tcW w:type="dxa" w:w="4824"/>
          </w:tcPr>
          <w:p>
            <w:pPr>
              <w:spacing w:after="20"/>
              <w:jc w:val="right"/>
            </w:pPr>
            <w:r>
              <w:rPr>
                <w:color w:val="1C3A36"/>
                <w:sz w:val="16"/>
              </w:rPr>
              <w:t>the cash-flow lenses are understated by whatever the plant earns. This is the largest single limitation and it is deliberate</w:t>
            </w:r>
          </w:p>
        </w:tc>
        <w:tc>
          <w:tcPr>
            <w:tcW w:type="dxa" w:w="2376"/>
          </w:tcPr>
          <w:p>
            <w:pPr>
              <w:spacing w:after="20"/>
              <w:jc w:val="right"/>
            </w:pPr>
            <w:r>
              <w:rPr>
                <w:color w:val="1C3A36"/>
                <w:sz w:val="16"/>
              </w:rPr>
              <w:t>the company disclosing biosimilar revenue, volumes or utilisation</w:t>
            </w:r>
          </w:p>
        </w:tc>
      </w:tr>
      <w:tr>
        <w:tc>
          <w:tcPr>
            <w:tcW w:type="dxa" w:w="2736"/>
          </w:tcPr>
          <w:p>
            <w:pPr>
              <w:spacing w:after="20"/>
            </w:pPr>
            <w:r>
              <w:rPr>
                <w:color w:val="1C3A36"/>
                <w:sz w:val="16"/>
              </w:rPr>
              <w:t>The FY2026 first-quarter interim could not be obtained from an official source</w:t>
            </w:r>
          </w:p>
        </w:tc>
        <w:tc>
          <w:tcPr>
            <w:tcW w:type="dxa" w:w="4824"/>
          </w:tcPr>
          <w:p>
            <w:pPr>
              <w:spacing w:after="20"/>
              <w:jc w:val="right"/>
            </w:pPr>
            <w:r>
              <w:rPr>
                <w:color w:val="1C3A36"/>
                <w:sz w:val="16"/>
              </w:rPr>
              <w:t>the study is built on full years to FY2025 and has no FY2026 actuals in it. Secondary reporting of that filing exists and is recorded as a cross-check in the bibliography, but it is not in the build path and no figure here rests on it</w:t>
            </w:r>
          </w:p>
        </w:tc>
        <w:tc>
          <w:tcPr>
            <w:tcW w:type="dxa" w:w="2376"/>
          </w:tcPr>
          <w:p>
            <w:pPr>
              <w:spacing w:after="20"/>
              <w:jc w:val="right"/>
            </w:pPr>
            <w:r>
              <w:rPr>
                <w:color w:val="1C3A36"/>
                <w:sz w:val="16"/>
              </w:rPr>
              <w:t>the company publishing interims on its own site, or the exchange portal becoming readable</w:t>
            </w:r>
          </w:p>
        </w:tc>
      </w:tr>
      <w:tr>
        <w:tc>
          <w:tcPr>
            <w:tcW w:type="dxa" w:w="2736"/>
          </w:tcPr>
          <w:p>
            <w:pPr>
              <w:spacing w:after="20"/>
            </w:pPr>
            <w:r>
              <w:rPr>
                <w:color w:val="1C3A36"/>
                <w:sz w:val="16"/>
              </w:rPr>
              <w:t>The ten-year government yield is a cached print, not a live read</w:t>
            </w:r>
          </w:p>
        </w:tc>
        <w:tc>
          <w:tcPr>
            <w:tcW w:type="dxa" w:w="4824"/>
          </w:tcPr>
          <w:p>
            <w:pPr>
              <w:spacing w:after="20"/>
              <w:jc w:val="right"/>
            </w:pPr>
            <w:r>
              <w:rPr>
                <w:color w:val="1C3A36"/>
                <w:sz w:val="16"/>
              </w:rPr>
              <w:t>the discount rate carries the 21 July 2026 figure. The central bank's auction page refused the request. The rate is sensitised over a wide range in section 1.9</w:t>
            </w:r>
          </w:p>
        </w:tc>
        <w:tc>
          <w:tcPr>
            <w:tcW w:type="dxa" w:w="2376"/>
          </w:tcPr>
          <w:p>
            <w:pPr>
              <w:spacing w:after="20"/>
              <w:jc w:val="right"/>
            </w:pPr>
            <w:r>
              <w:rPr>
                <w:color w:val="1C3A36"/>
                <w:sz w:val="16"/>
              </w:rPr>
              <w:t>a live read; a 200 basis-point error is worth about EGP 7 a share</w:t>
            </w:r>
          </w:p>
        </w:tc>
      </w:tr>
      <w:tr>
        <w:tc>
          <w:tcPr>
            <w:tcW w:type="dxa" w:w="2736"/>
          </w:tcPr>
          <w:p>
            <w:pPr>
              <w:spacing w:after="20"/>
            </w:pPr>
            <w:r>
              <w:rPr>
                <w:color w:val="1C3A36"/>
                <w:sz w:val="16"/>
              </w:rPr>
              <w:t>The associate contribution is normalised, not built up</w:t>
            </w:r>
          </w:p>
        </w:tc>
        <w:tc>
          <w:tcPr>
            <w:tcW w:type="dxa" w:w="4824"/>
          </w:tcPr>
          <w:p>
            <w:pPr>
              <w:spacing w:after="20"/>
              <w:jc w:val="right"/>
            </w:pPr>
            <w:r>
              <w:rPr>
                <w:color w:val="1C3A36"/>
                <w:sz w:val="16"/>
              </w:rPr>
              <w:t>the associates published no accounts through this company's filings, so a EGP 320 million normalisation stands in for a real forecast. It is worth EGP 20.86 a share</w:t>
            </w:r>
          </w:p>
        </w:tc>
        <w:tc>
          <w:tcPr>
            <w:tcW w:type="dxa" w:w="2376"/>
          </w:tcPr>
          <w:p>
            <w:pPr>
              <w:spacing w:after="20"/>
              <w:jc w:val="right"/>
            </w:pPr>
            <w:r>
              <w:rPr>
                <w:color w:val="1C3A36"/>
                <w:sz w:val="16"/>
              </w:rPr>
              <w:t>the Saudi associate publishing separate accounts</w:t>
            </w:r>
          </w:p>
        </w:tc>
      </w:tr>
      <w:tr>
        <w:tc>
          <w:tcPr>
            <w:tcW w:type="dxa" w:w="2736"/>
          </w:tcPr>
          <w:p>
            <w:pPr>
              <w:spacing w:after="20"/>
            </w:pPr>
            <w:r>
              <w:rPr>
                <w:color w:val="1C3A36"/>
                <w:sz w:val="16"/>
              </w:rPr>
              <w:t>Peer multiples are market data, not primary company data</w:t>
            </w:r>
          </w:p>
        </w:tc>
        <w:tc>
          <w:tcPr>
            <w:tcW w:type="dxa" w:w="4824"/>
          </w:tcPr>
          <w:p>
            <w:pPr>
              <w:spacing w:after="20"/>
              <w:jc w:val="right"/>
            </w:pPr>
            <w:r>
              <w:rPr>
                <w:color w:val="1C3A36"/>
                <w:sz w:val="16"/>
              </w:rPr>
              <w:t>the relative lens's third leg rests on observed peer trading rather than on peer filings. It is one of three legs and is labelled as a cross-check throughout</w:t>
            </w:r>
          </w:p>
        </w:tc>
        <w:tc>
          <w:tcPr>
            <w:tcW w:type="dxa" w:w="2376"/>
          </w:tcPr>
          <w:p>
            <w:pPr>
              <w:spacing w:after="20"/>
              <w:jc w:val="right"/>
            </w:pPr>
            <w:r>
              <w:rPr>
                <w:color w:val="1C3A36"/>
                <w:sz w:val="16"/>
              </w:rPr>
              <w:t>building each peer from its own audited statements</w:t>
            </w:r>
          </w:p>
        </w:tc>
      </w:tr>
      <w:tr>
        <w:tc>
          <w:tcPr>
            <w:tcW w:type="dxa" w:w="2736"/>
          </w:tcPr>
          <w:p>
            <w:pPr>
              <w:spacing w:after="20"/>
            </w:pPr>
            <w:r>
              <w:rPr>
                <w:color w:val="1C3A36"/>
                <w:sz w:val="16"/>
              </w:rPr>
              <w:t>One disclosed operating figure was restated between annual reports</w:t>
            </w:r>
          </w:p>
        </w:tc>
        <w:tc>
          <w:tcPr>
            <w:tcW w:type="dxa" w:w="4824"/>
          </w:tcPr>
          <w:p>
            <w:pPr>
              <w:spacing w:after="20"/>
              <w:jc w:val="right"/>
            </w:pPr>
            <w:r>
              <w:rPr>
                <w:color w:val="1C3A36"/>
                <w:sz w:val="16"/>
              </w:rPr>
              <w:t>the FY2024 tablet production line reads 1,513 million units in the FY2024 report and 1,352 million in the FY2025 report. The later filing is used. It affects a utilisation statistic, not a valuation input</w:t>
            </w:r>
          </w:p>
        </w:tc>
        <w:tc>
          <w:tcPr>
            <w:tcW w:type="dxa" w:w="2376"/>
          </w:tcPr>
          <w:p>
            <w:pPr>
              <w:spacing w:after="20"/>
              <w:jc w:val="right"/>
            </w:pPr>
            <w:r>
              <w:rPr>
                <w:color w:val="1C3A36"/>
                <w:sz w:val="16"/>
              </w:rPr>
              <w:t>a company explanation of the restatement</w:t>
            </w:r>
          </w:p>
        </w:tc>
      </w:tr>
      <w:tr>
        <w:tc>
          <w:tcPr>
            <w:tcW w:type="dxa" w:w="2736"/>
          </w:tcPr>
          <w:p>
            <w:pPr>
              <w:spacing w:after="20"/>
            </w:pPr>
            <w:r>
              <w:rPr>
                <w:color w:val="1C3A36"/>
                <w:sz w:val="16"/>
              </w:rPr>
              <w:t>The pre-2020 portion of the price history is thin</w:t>
            </w:r>
          </w:p>
        </w:tc>
        <w:tc>
          <w:tcPr>
            <w:tcW w:type="dxa" w:w="4824"/>
          </w:tcPr>
          <w:p>
            <w:pPr>
              <w:spacing w:after="20"/>
              <w:jc w:val="right"/>
            </w:pPr>
            <w:r>
              <w:rPr>
                <w:color w:val="1C3A36"/>
                <w:sz w:val="16"/>
              </w:rPr>
              <w:t>the price export carries 162–195 sessions a year before 2020 against roughly 245 real exchange sessions. It affects only the longest calibration window, not the live bands, which are built on the post-2022 period</w:t>
            </w:r>
          </w:p>
        </w:tc>
        <w:tc>
          <w:tcPr>
            <w:tcW w:type="dxa" w:w="2376"/>
          </w:tcPr>
          <w:p>
            <w:pPr>
              <w:spacing w:after="20"/>
              <w:jc w:val="right"/>
            </w:pPr>
            <w:r>
              <w:rPr>
                <w:color w:val="1C3A36"/>
                <w:sz w:val="16"/>
              </w:rPr>
              <w:t>a complete exchange-sourced price history</w:t>
            </w:r>
          </w:p>
        </w:tc>
      </w:tr>
    </w:tbl>
    <w:p>
      <w:pPr>
        <w:spacing w:after="40"/>
      </w:pPr>
    </w:p>
    <w:p>
      <w:pPr>
        <w:spacing w:after="200" w:before="0"/>
      </w:pPr>
      <w:r>
        <w:rPr>
          <w:b w:val="0"/>
          <w:i/>
          <w:color w:val="6E7B77"/>
          <w:sz w:val="17"/>
        </w:rPr>
        <w:t>Table 16 — every limitation this study knows about, and what would resolve it.</w:t>
      </w:r>
    </w:p>
    <w:p>
      <w:pPr>
        <w:spacing w:after="120" w:before="0"/>
      </w:pPr>
      <w:r>
        <w:rPr>
          <w:b w:val="0"/>
          <w:i w:val="0"/>
          <w:color w:val="1C3A36"/>
          <w:sz w:val="21"/>
        </w:rPr>
        <w:t>What would change the conclusion, stated in advance so it can be checked: if the company disclosed biosimilar revenue on a path toward USD 81 million a year, the cash-flow lenses would move to the market price and this study would be wrong to have flagged the gap. If the FY2026 depreciation charge came in near EGP 118 million rather than EGP 298 million, the plant is not in service and the whole timetable in this study shifts out a year.</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2026E</w:t>
            </w:r>
          </w:p>
        </w:tc>
        <w:tc>
          <w:tcPr>
            <w:tcW w:type="dxa" w:w="1037"/>
            <w:shd w:val="clear" w:color="auto" w:fill="EAF0EE"/>
          </w:tcPr>
          <w:p>
            <w:pPr>
              <w:spacing w:after="20"/>
            </w:pPr>
            <w:r>
              <w:rPr>
                <w:b/>
                <w:color w:val="1C3A36"/>
                <w:sz w:val="15"/>
              </w:rPr>
              <w:t>2027E</w:t>
            </w:r>
          </w:p>
        </w:tc>
        <w:tc>
          <w:tcPr>
            <w:tcW w:type="dxa" w:w="1037"/>
            <w:shd w:val="clear" w:color="auto" w:fill="EAF0EE"/>
          </w:tcPr>
          <w:p>
            <w:pPr>
              <w:spacing w:after="20"/>
            </w:pPr>
            <w:r>
              <w:rPr>
                <w:b/>
                <w:color w:val="1C3A36"/>
                <w:sz w:val="15"/>
              </w:rPr>
              <w:t>2028E</w:t>
            </w:r>
          </w:p>
        </w:tc>
        <w:tc>
          <w:tcPr>
            <w:tcW w:type="dxa" w:w="1037"/>
            <w:shd w:val="clear" w:color="auto" w:fill="EAF0EE"/>
          </w:tcPr>
          <w:p>
            <w:pPr>
              <w:spacing w:after="20"/>
            </w:pPr>
            <w:r>
              <w:rPr>
                <w:b/>
                <w:color w:val="1C3A36"/>
                <w:sz w:val="15"/>
              </w:rPr>
              <w:t>2029E</w:t>
            </w:r>
          </w:p>
        </w:tc>
        <w:tc>
          <w:tcPr>
            <w:tcW w:type="dxa" w:w="1037"/>
            <w:shd w:val="clear" w:color="auto" w:fill="EAF0EE"/>
          </w:tcPr>
          <w:p>
            <w:pPr>
              <w:spacing w:after="20"/>
            </w:pPr>
            <w:r>
              <w:rPr>
                <w:b/>
                <w:color w:val="1C3A36"/>
                <w:sz w:val="15"/>
              </w:rPr>
              <w:t>2030E</w:t>
            </w:r>
          </w:p>
        </w:tc>
      </w:tr>
      <w:tr>
        <w:tc>
          <w:tcPr>
            <w:tcW w:type="dxa" w:w="2477"/>
          </w:tcPr>
          <w:p>
            <w:pPr>
              <w:spacing w:after="20"/>
            </w:pPr>
            <w:r>
              <w:rPr>
                <w:color w:val="1C3A36"/>
                <w:sz w:val="15"/>
              </w:rPr>
              <w:t>Revenue</w:t>
            </w:r>
          </w:p>
        </w:tc>
        <w:tc>
          <w:tcPr>
            <w:tcW w:type="dxa" w:w="1037"/>
          </w:tcPr>
          <w:p>
            <w:pPr>
              <w:spacing w:after="20"/>
              <w:jc w:val="right"/>
            </w:pPr>
            <w:r>
              <w:rPr>
                <w:color w:val="1C3A36"/>
                <w:sz w:val="15"/>
              </w:rPr>
              <w:t>5,232</w:t>
            </w:r>
          </w:p>
        </w:tc>
        <w:tc>
          <w:tcPr>
            <w:tcW w:type="dxa" w:w="1037"/>
          </w:tcPr>
          <w:p>
            <w:pPr>
              <w:spacing w:after="20"/>
              <w:jc w:val="right"/>
            </w:pPr>
            <w:r>
              <w:rPr>
                <w:color w:val="1C3A36"/>
                <w:sz w:val="15"/>
              </w:rPr>
              <w:t>7,591</w:t>
            </w:r>
          </w:p>
        </w:tc>
        <w:tc>
          <w:tcPr>
            <w:tcW w:type="dxa" w:w="1037"/>
          </w:tcPr>
          <w:p>
            <w:pPr>
              <w:spacing w:after="20"/>
              <w:jc w:val="right"/>
            </w:pPr>
            <w:r>
              <w:rPr>
                <w:color w:val="1C3A36"/>
                <w:sz w:val="15"/>
              </w:rPr>
              <w:t>9,441</w:t>
            </w:r>
          </w:p>
        </w:tc>
        <w:tc>
          <w:tcPr>
            <w:tcW w:type="dxa" w:w="1037"/>
          </w:tcPr>
          <w:p>
            <w:pPr>
              <w:spacing w:after="20"/>
              <w:jc w:val="right"/>
            </w:pPr>
            <w:r>
              <w:rPr>
                <w:color w:val="1C3A36"/>
                <w:sz w:val="15"/>
              </w:rPr>
              <w:t>11,091</w:t>
            </w:r>
          </w:p>
        </w:tc>
        <w:tc>
          <w:tcPr>
            <w:tcW w:type="dxa" w:w="1037"/>
          </w:tcPr>
          <w:p>
            <w:pPr>
              <w:spacing w:after="20"/>
              <w:jc w:val="right"/>
            </w:pPr>
            <w:r>
              <w:rPr>
                <w:color w:val="1C3A36"/>
                <w:sz w:val="15"/>
              </w:rPr>
              <w:t>12,942</w:t>
            </w:r>
          </w:p>
        </w:tc>
        <w:tc>
          <w:tcPr>
            <w:tcW w:type="dxa" w:w="1037"/>
          </w:tcPr>
          <w:p>
            <w:pPr>
              <w:spacing w:after="20"/>
              <w:jc w:val="right"/>
            </w:pPr>
            <w:r>
              <w:rPr>
                <w:color w:val="1C3A36"/>
                <w:sz w:val="15"/>
              </w:rPr>
              <w:t>14,867</w:t>
            </w:r>
          </w:p>
        </w:tc>
        <w:tc>
          <w:tcPr>
            <w:tcW w:type="dxa" w:w="1037"/>
          </w:tcPr>
          <w:p>
            <w:pPr>
              <w:spacing w:after="20"/>
              <w:jc w:val="right"/>
            </w:pPr>
            <w:r>
              <w:rPr>
                <w:color w:val="1C3A36"/>
                <w:sz w:val="15"/>
              </w:rPr>
              <w:t>16,818</w:t>
            </w:r>
          </w:p>
        </w:tc>
        <w:tc>
          <w:tcPr>
            <w:tcW w:type="dxa" w:w="1037"/>
          </w:tcPr>
          <w:p>
            <w:pPr>
              <w:spacing w:after="20"/>
              <w:jc w:val="right"/>
            </w:pPr>
            <w:r>
              <w:rPr>
                <w:color w:val="1C3A36"/>
                <w:sz w:val="15"/>
              </w:rPr>
              <w:t>18,718</w:t>
            </w:r>
          </w:p>
        </w:tc>
      </w:tr>
      <w:tr>
        <w:tc>
          <w:tcPr>
            <w:tcW w:type="dxa" w:w="2477"/>
          </w:tcPr>
          <w:p>
            <w:pPr>
              <w:spacing w:after="20"/>
            </w:pPr>
            <w:r>
              <w:rPr>
                <w:color w:val="1C3A36"/>
                <w:sz w:val="15"/>
              </w:rPr>
              <w:t>Cost of sales</w:t>
            </w:r>
          </w:p>
        </w:tc>
        <w:tc>
          <w:tcPr>
            <w:tcW w:type="dxa" w:w="1037"/>
          </w:tcPr>
          <w:p>
            <w:pPr>
              <w:spacing w:after="20"/>
              <w:jc w:val="right"/>
            </w:pPr>
            <w:r>
              <w:rPr>
                <w:color w:val="1C3A36"/>
                <w:sz w:val="15"/>
              </w:rPr>
              <w:t>2,896</w:t>
            </w:r>
          </w:p>
        </w:tc>
        <w:tc>
          <w:tcPr>
            <w:tcW w:type="dxa" w:w="1037"/>
          </w:tcPr>
          <w:p>
            <w:pPr>
              <w:spacing w:after="20"/>
              <w:jc w:val="right"/>
            </w:pPr>
            <w:r>
              <w:rPr>
                <w:color w:val="1C3A36"/>
                <w:sz w:val="15"/>
              </w:rPr>
              <w:t>4,184</w:t>
            </w:r>
          </w:p>
        </w:tc>
        <w:tc>
          <w:tcPr>
            <w:tcW w:type="dxa" w:w="1037"/>
          </w:tcPr>
          <w:p>
            <w:pPr>
              <w:spacing w:after="20"/>
              <w:jc w:val="right"/>
            </w:pPr>
            <w:r>
              <w:rPr>
                <w:color w:val="1C3A36"/>
                <w:sz w:val="15"/>
              </w:rPr>
              <w:t>5,287</w:t>
            </w:r>
          </w:p>
        </w:tc>
        <w:tc>
          <w:tcPr>
            <w:tcW w:type="dxa" w:w="1037"/>
          </w:tcPr>
          <w:p>
            <w:pPr>
              <w:spacing w:after="20"/>
              <w:jc w:val="right"/>
            </w:pPr>
            <w:r>
              <w:rPr>
                <w:color w:val="1C3A36"/>
                <w:sz w:val="15"/>
              </w:rPr>
              <w:t>6,327</w:t>
            </w:r>
          </w:p>
        </w:tc>
        <w:tc>
          <w:tcPr>
            <w:tcW w:type="dxa" w:w="1037"/>
          </w:tcPr>
          <w:p>
            <w:pPr>
              <w:spacing w:after="20"/>
              <w:jc w:val="right"/>
            </w:pPr>
            <w:r>
              <w:rPr>
                <w:color w:val="1C3A36"/>
                <w:sz w:val="15"/>
              </w:rPr>
              <w:t>7,445</w:t>
            </w:r>
          </w:p>
        </w:tc>
        <w:tc>
          <w:tcPr>
            <w:tcW w:type="dxa" w:w="1037"/>
          </w:tcPr>
          <w:p>
            <w:pPr>
              <w:spacing w:after="20"/>
              <w:jc w:val="right"/>
            </w:pPr>
            <w:r>
              <w:rPr>
                <w:color w:val="1C3A36"/>
                <w:sz w:val="15"/>
              </w:rPr>
              <w:t>8,523</w:t>
            </w:r>
          </w:p>
        </w:tc>
        <w:tc>
          <w:tcPr>
            <w:tcW w:type="dxa" w:w="1037"/>
          </w:tcPr>
          <w:p>
            <w:pPr>
              <w:spacing w:after="20"/>
              <w:jc w:val="right"/>
            </w:pPr>
            <w:r>
              <w:rPr>
                <w:color w:val="1C3A36"/>
                <w:sz w:val="15"/>
              </w:rPr>
              <w:t>9,593</w:t>
            </w:r>
          </w:p>
        </w:tc>
        <w:tc>
          <w:tcPr>
            <w:tcW w:type="dxa" w:w="1037"/>
          </w:tcPr>
          <w:p>
            <w:pPr>
              <w:spacing w:after="20"/>
              <w:jc w:val="right"/>
            </w:pPr>
            <w:r>
              <w:rPr>
                <w:color w:val="1C3A36"/>
                <w:sz w:val="15"/>
              </w:rPr>
              <w:t>10,662</w:t>
            </w:r>
          </w:p>
        </w:tc>
      </w:tr>
      <w:tr>
        <w:tc>
          <w:tcPr>
            <w:tcW w:type="dxa" w:w="2477"/>
            <w:shd w:val="clear" w:color="auto" w:fill="F6F1E6"/>
          </w:tcPr>
          <w:p>
            <w:pPr>
              <w:spacing w:after="20"/>
            </w:pPr>
            <w:r>
              <w:rPr>
                <w:b/>
                <w:color w:val="1C3A36"/>
                <w:sz w:val="15"/>
              </w:rPr>
              <w:t>Gross profit</w:t>
            </w:r>
          </w:p>
        </w:tc>
        <w:tc>
          <w:tcPr>
            <w:tcW w:type="dxa" w:w="1037"/>
            <w:shd w:val="clear" w:color="auto" w:fill="F6F1E6"/>
          </w:tcPr>
          <w:p>
            <w:pPr>
              <w:spacing w:after="20"/>
              <w:jc w:val="right"/>
            </w:pPr>
            <w:r>
              <w:rPr>
                <w:b/>
                <w:color w:val="1C3A36"/>
                <w:sz w:val="15"/>
              </w:rPr>
              <w:t>2,335</w:t>
            </w:r>
          </w:p>
        </w:tc>
        <w:tc>
          <w:tcPr>
            <w:tcW w:type="dxa" w:w="1037"/>
            <w:shd w:val="clear" w:color="auto" w:fill="F6F1E6"/>
          </w:tcPr>
          <w:p>
            <w:pPr>
              <w:spacing w:after="20"/>
              <w:jc w:val="right"/>
            </w:pPr>
            <w:r>
              <w:rPr>
                <w:b/>
                <w:color w:val="1C3A36"/>
                <w:sz w:val="15"/>
              </w:rPr>
              <w:t>3,406</w:t>
            </w:r>
          </w:p>
        </w:tc>
        <w:tc>
          <w:tcPr>
            <w:tcW w:type="dxa" w:w="1037"/>
            <w:shd w:val="clear" w:color="auto" w:fill="F6F1E6"/>
          </w:tcPr>
          <w:p>
            <w:pPr>
              <w:spacing w:after="20"/>
              <w:jc w:val="right"/>
            </w:pPr>
            <w:r>
              <w:rPr>
                <w:b/>
                <w:color w:val="1C3A36"/>
                <w:sz w:val="15"/>
              </w:rPr>
              <w:t>4,154</w:t>
            </w:r>
          </w:p>
        </w:tc>
        <w:tc>
          <w:tcPr>
            <w:tcW w:type="dxa" w:w="1037"/>
            <w:shd w:val="clear" w:color="auto" w:fill="F6F1E6"/>
          </w:tcPr>
          <w:p>
            <w:pPr>
              <w:spacing w:after="20"/>
              <w:jc w:val="right"/>
            </w:pPr>
            <w:r>
              <w:rPr>
                <w:b/>
                <w:color w:val="1C3A36"/>
                <w:sz w:val="15"/>
              </w:rPr>
              <w:t>4,764</w:t>
            </w:r>
          </w:p>
        </w:tc>
        <w:tc>
          <w:tcPr>
            <w:tcW w:type="dxa" w:w="1037"/>
            <w:shd w:val="clear" w:color="auto" w:fill="F6F1E6"/>
          </w:tcPr>
          <w:p>
            <w:pPr>
              <w:spacing w:after="20"/>
              <w:jc w:val="right"/>
            </w:pPr>
            <w:r>
              <w:rPr>
                <w:b/>
                <w:color w:val="1C3A36"/>
                <w:sz w:val="15"/>
              </w:rPr>
              <w:t>5,497</w:t>
            </w:r>
          </w:p>
        </w:tc>
        <w:tc>
          <w:tcPr>
            <w:tcW w:type="dxa" w:w="1037"/>
            <w:shd w:val="clear" w:color="auto" w:fill="F6F1E6"/>
          </w:tcPr>
          <w:p>
            <w:pPr>
              <w:spacing w:after="20"/>
              <w:jc w:val="right"/>
            </w:pPr>
            <w:r>
              <w:rPr>
                <w:b/>
                <w:color w:val="1C3A36"/>
                <w:sz w:val="15"/>
              </w:rPr>
              <w:t>6,344</w:t>
            </w:r>
          </w:p>
        </w:tc>
        <w:tc>
          <w:tcPr>
            <w:tcW w:type="dxa" w:w="1037"/>
            <w:shd w:val="clear" w:color="auto" w:fill="F6F1E6"/>
          </w:tcPr>
          <w:p>
            <w:pPr>
              <w:spacing w:after="20"/>
              <w:jc w:val="right"/>
            </w:pPr>
            <w:r>
              <w:rPr>
                <w:b/>
                <w:color w:val="1C3A36"/>
                <w:sz w:val="15"/>
              </w:rPr>
              <w:t>7,225</w:t>
            </w:r>
          </w:p>
        </w:tc>
        <w:tc>
          <w:tcPr>
            <w:tcW w:type="dxa" w:w="1037"/>
            <w:shd w:val="clear" w:color="auto" w:fill="F6F1E6"/>
          </w:tcPr>
          <w:p>
            <w:pPr>
              <w:spacing w:after="20"/>
              <w:jc w:val="right"/>
            </w:pPr>
            <w:r>
              <w:rPr>
                <w:b/>
                <w:color w:val="1C3A36"/>
                <w:sz w:val="15"/>
              </w:rPr>
              <w:t>8,055</w:t>
            </w:r>
          </w:p>
        </w:tc>
      </w:tr>
      <w:tr>
        <w:tc>
          <w:tcPr>
            <w:tcW w:type="dxa" w:w="2477"/>
          </w:tcPr>
          <w:p>
            <w:pPr>
              <w:spacing w:after="20"/>
            </w:pPr>
            <w:r>
              <w:rPr>
                <w:color w:val="1C3A36"/>
                <w:sz w:val="15"/>
              </w:rPr>
              <w:t>Gross margin</w:t>
            </w:r>
          </w:p>
        </w:tc>
        <w:tc>
          <w:tcPr>
            <w:tcW w:type="dxa" w:w="1037"/>
          </w:tcPr>
          <w:p>
            <w:pPr>
              <w:spacing w:after="20"/>
              <w:jc w:val="right"/>
            </w:pPr>
            <w:r>
              <w:rPr>
                <w:color w:val="1C3A36"/>
                <w:sz w:val="15"/>
              </w:rPr>
              <w:t>44.6%</w:t>
            </w:r>
          </w:p>
        </w:tc>
        <w:tc>
          <w:tcPr>
            <w:tcW w:type="dxa" w:w="1037"/>
          </w:tcPr>
          <w:p>
            <w:pPr>
              <w:spacing w:after="20"/>
              <w:jc w:val="right"/>
            </w:pPr>
            <w:r>
              <w:rPr>
                <w:color w:val="1C3A36"/>
                <w:sz w:val="15"/>
              </w:rPr>
              <w:t>44.9%</w:t>
            </w:r>
          </w:p>
        </w:tc>
        <w:tc>
          <w:tcPr>
            <w:tcW w:type="dxa" w:w="1037"/>
          </w:tcPr>
          <w:p>
            <w:pPr>
              <w:spacing w:after="20"/>
              <w:jc w:val="right"/>
            </w:pPr>
            <w:r>
              <w:rPr>
                <w:color w:val="1C3A36"/>
                <w:sz w:val="15"/>
              </w:rPr>
              <w:t>44.0%</w:t>
            </w:r>
          </w:p>
        </w:tc>
        <w:tc>
          <w:tcPr>
            <w:tcW w:type="dxa" w:w="1037"/>
          </w:tcPr>
          <w:p>
            <w:pPr>
              <w:spacing w:after="20"/>
              <w:jc w:val="right"/>
            </w:pPr>
            <w:r>
              <w:rPr>
                <w:color w:val="1C3A36"/>
                <w:sz w:val="15"/>
              </w:rPr>
              <w:t>43.0%</w:t>
            </w:r>
          </w:p>
        </w:tc>
        <w:tc>
          <w:tcPr>
            <w:tcW w:type="dxa" w:w="1037"/>
          </w:tcPr>
          <w:p>
            <w:pPr>
              <w:spacing w:after="20"/>
              <w:jc w:val="right"/>
            </w:pPr>
            <w:r>
              <w:rPr>
                <w:color w:val="1C3A36"/>
                <w:sz w:val="15"/>
              </w:rPr>
              <w:t>42.5%</w:t>
            </w:r>
          </w:p>
        </w:tc>
        <w:tc>
          <w:tcPr>
            <w:tcW w:type="dxa" w:w="1037"/>
          </w:tcPr>
          <w:p>
            <w:pPr>
              <w:spacing w:after="20"/>
              <w:jc w:val="right"/>
            </w:pPr>
            <w:r>
              <w:rPr>
                <w:color w:val="1C3A36"/>
                <w:sz w:val="15"/>
              </w:rPr>
              <w:t>42.7%</w:t>
            </w:r>
          </w:p>
        </w:tc>
        <w:tc>
          <w:tcPr>
            <w:tcW w:type="dxa" w:w="1037"/>
          </w:tcPr>
          <w:p>
            <w:pPr>
              <w:spacing w:after="20"/>
              <w:jc w:val="right"/>
            </w:pPr>
            <w:r>
              <w:rPr>
                <w:color w:val="1C3A36"/>
                <w:sz w:val="15"/>
              </w:rPr>
              <w:t>43.0%</w:t>
            </w:r>
          </w:p>
        </w:tc>
        <w:tc>
          <w:tcPr>
            <w:tcW w:type="dxa" w:w="1037"/>
          </w:tcPr>
          <w:p>
            <w:pPr>
              <w:spacing w:after="20"/>
              <w:jc w:val="right"/>
            </w:pPr>
            <w:r>
              <w:rPr>
                <w:color w:val="1C3A36"/>
                <w:sz w:val="15"/>
              </w:rPr>
              <w:t>43.0%</w:t>
            </w:r>
          </w:p>
        </w:tc>
      </w:tr>
      <w:tr>
        <w:tc>
          <w:tcPr>
            <w:tcW w:type="dxa" w:w="2477"/>
          </w:tcPr>
          <w:p>
            <w:pPr>
              <w:spacing w:after="20"/>
            </w:pPr>
            <w:r>
              <w:rPr>
                <w:color w:val="1C3A36"/>
                <w:sz w:val="15"/>
              </w:rPr>
              <w:t>Selling and marketing</w:t>
            </w:r>
          </w:p>
        </w:tc>
        <w:tc>
          <w:tcPr>
            <w:tcW w:type="dxa" w:w="1037"/>
          </w:tcPr>
          <w:p>
            <w:pPr>
              <w:spacing w:after="20"/>
              <w:jc w:val="right"/>
            </w:pPr>
            <w:r>
              <w:rPr>
                <w:color w:val="1C3A36"/>
                <w:sz w:val="15"/>
              </w:rPr>
              <w:t>648</w:t>
            </w:r>
          </w:p>
        </w:tc>
        <w:tc>
          <w:tcPr>
            <w:tcW w:type="dxa" w:w="1037"/>
          </w:tcPr>
          <w:p>
            <w:pPr>
              <w:spacing w:after="20"/>
              <w:jc w:val="right"/>
            </w:pPr>
            <w:r>
              <w:rPr>
                <w:color w:val="1C3A36"/>
                <w:sz w:val="15"/>
              </w:rPr>
              <w:t>915</w:t>
            </w:r>
          </w:p>
        </w:tc>
        <w:tc>
          <w:tcPr>
            <w:tcW w:type="dxa" w:w="1037"/>
          </w:tcPr>
          <w:p>
            <w:pPr>
              <w:spacing w:after="20"/>
              <w:jc w:val="right"/>
            </w:pPr>
            <w:r>
              <w:rPr>
                <w:color w:val="1C3A36"/>
                <w:sz w:val="15"/>
              </w:rPr>
              <w:t>1,000</w:t>
            </w:r>
          </w:p>
        </w:tc>
        <w:tc>
          <w:tcPr>
            <w:tcW w:type="dxa" w:w="1037"/>
          </w:tcPr>
          <w:p>
            <w:pPr>
              <w:spacing w:after="20"/>
              <w:jc w:val="right"/>
            </w:pPr>
            <w:r>
              <w:rPr>
                <w:color w:val="1C3A36"/>
                <w:sz w:val="15"/>
              </w:rPr>
              <w:t>1,153</w:t>
            </w:r>
          </w:p>
        </w:tc>
        <w:tc>
          <w:tcPr>
            <w:tcW w:type="dxa" w:w="1037"/>
          </w:tcPr>
          <w:p>
            <w:pPr>
              <w:spacing w:after="20"/>
              <w:jc w:val="right"/>
            </w:pPr>
            <w:r>
              <w:rPr>
                <w:color w:val="1C3A36"/>
                <w:sz w:val="15"/>
              </w:rPr>
              <w:t>1,320</w:t>
            </w:r>
          </w:p>
        </w:tc>
        <w:tc>
          <w:tcPr>
            <w:tcW w:type="dxa" w:w="1037"/>
          </w:tcPr>
          <w:p>
            <w:pPr>
              <w:spacing w:after="20"/>
              <w:jc w:val="right"/>
            </w:pPr>
            <w:r>
              <w:rPr>
                <w:color w:val="1C3A36"/>
                <w:sz w:val="15"/>
              </w:rPr>
              <w:t>1,487</w:t>
            </w:r>
          </w:p>
        </w:tc>
        <w:tc>
          <w:tcPr>
            <w:tcW w:type="dxa" w:w="1037"/>
          </w:tcPr>
          <w:p>
            <w:pPr>
              <w:spacing w:after="20"/>
              <w:jc w:val="right"/>
            </w:pPr>
            <w:r>
              <w:rPr>
                <w:color w:val="1C3A36"/>
                <w:sz w:val="15"/>
              </w:rPr>
              <w:t>1,665</w:t>
            </w:r>
          </w:p>
        </w:tc>
        <w:tc>
          <w:tcPr>
            <w:tcW w:type="dxa" w:w="1037"/>
          </w:tcPr>
          <w:p>
            <w:pPr>
              <w:spacing w:after="20"/>
              <w:jc w:val="right"/>
            </w:pPr>
            <w:r>
              <w:rPr>
                <w:color w:val="1C3A36"/>
                <w:sz w:val="15"/>
              </w:rPr>
              <w:t>1,834</w:t>
            </w:r>
          </w:p>
        </w:tc>
      </w:tr>
      <w:tr>
        <w:tc>
          <w:tcPr>
            <w:tcW w:type="dxa" w:w="2477"/>
          </w:tcPr>
          <w:p>
            <w:pPr>
              <w:spacing w:after="20"/>
            </w:pPr>
            <w:r>
              <w:rPr>
                <w:color w:val="1C3A36"/>
                <w:sz w:val="15"/>
              </w:rPr>
              <w:t>Research and development</w:t>
            </w:r>
          </w:p>
        </w:tc>
        <w:tc>
          <w:tcPr>
            <w:tcW w:type="dxa" w:w="1037"/>
          </w:tcPr>
          <w:p>
            <w:pPr>
              <w:spacing w:after="20"/>
              <w:jc w:val="right"/>
            </w:pPr>
            <w:r>
              <w:rPr>
                <w:color w:val="1C3A36"/>
                <w:sz w:val="15"/>
              </w:rPr>
              <w:t>43.2</w:t>
            </w:r>
          </w:p>
        </w:tc>
        <w:tc>
          <w:tcPr>
            <w:tcW w:type="dxa" w:w="1037"/>
          </w:tcPr>
          <w:p>
            <w:pPr>
              <w:spacing w:after="20"/>
              <w:jc w:val="right"/>
            </w:pPr>
            <w:r>
              <w:rPr>
                <w:color w:val="1C3A36"/>
                <w:sz w:val="15"/>
              </w:rPr>
              <w:t>70.5</w:t>
            </w:r>
          </w:p>
        </w:tc>
        <w:tc>
          <w:tcPr>
            <w:tcW w:type="dxa" w:w="1037"/>
          </w:tcPr>
          <w:p>
            <w:pPr>
              <w:spacing w:after="20"/>
              <w:jc w:val="right"/>
            </w:pPr>
            <w:r>
              <w:rPr>
                <w:color w:val="1C3A36"/>
                <w:sz w:val="15"/>
              </w:rPr>
              <w:t>70.9</w:t>
            </w:r>
          </w:p>
        </w:tc>
        <w:tc>
          <w:tcPr>
            <w:tcW w:type="dxa" w:w="1037"/>
          </w:tcPr>
          <w:p>
            <w:pPr>
              <w:spacing w:after="20"/>
              <w:jc w:val="right"/>
            </w:pPr>
            <w:r>
              <w:rPr>
                <w:color w:val="1C3A36"/>
                <w:sz w:val="15"/>
              </w:rPr>
              <w:t>94.3</w:t>
            </w:r>
          </w:p>
        </w:tc>
        <w:tc>
          <w:tcPr>
            <w:tcW w:type="dxa" w:w="1037"/>
          </w:tcPr>
          <w:p>
            <w:pPr>
              <w:spacing w:after="20"/>
              <w:jc w:val="right"/>
            </w:pPr>
            <w:r>
              <w:rPr>
                <w:color w:val="1C3A36"/>
                <w:sz w:val="15"/>
              </w:rPr>
              <w:t>116.5</w:t>
            </w:r>
          </w:p>
        </w:tc>
        <w:tc>
          <w:tcPr>
            <w:tcW w:type="dxa" w:w="1037"/>
          </w:tcPr>
          <w:p>
            <w:pPr>
              <w:spacing w:after="20"/>
              <w:jc w:val="right"/>
            </w:pPr>
            <w:r>
              <w:rPr>
                <w:color w:val="1C3A36"/>
                <w:sz w:val="15"/>
              </w:rPr>
              <w:t>141.2</w:t>
            </w:r>
          </w:p>
        </w:tc>
        <w:tc>
          <w:tcPr>
            <w:tcW w:type="dxa" w:w="1037"/>
          </w:tcPr>
          <w:p>
            <w:pPr>
              <w:spacing w:after="20"/>
              <w:jc w:val="right"/>
            </w:pPr>
            <w:r>
              <w:rPr>
                <w:color w:val="1C3A36"/>
                <w:sz w:val="15"/>
              </w:rPr>
              <w:t>168.2</w:t>
            </w:r>
          </w:p>
        </w:tc>
        <w:tc>
          <w:tcPr>
            <w:tcW w:type="dxa" w:w="1037"/>
          </w:tcPr>
          <w:p>
            <w:pPr>
              <w:spacing w:after="20"/>
              <w:jc w:val="right"/>
            </w:pPr>
            <w:r>
              <w:rPr>
                <w:color w:val="1C3A36"/>
                <w:sz w:val="15"/>
              </w:rPr>
              <w:t>187.2</w:t>
            </w:r>
          </w:p>
        </w:tc>
      </w:tr>
      <w:tr>
        <w:tc>
          <w:tcPr>
            <w:tcW w:type="dxa" w:w="2477"/>
          </w:tcPr>
          <w:p>
            <w:pPr>
              <w:spacing w:after="20"/>
            </w:pPr>
            <w:r>
              <w:rPr>
                <w:color w:val="1C3A36"/>
                <w:sz w:val="15"/>
              </w:rPr>
              <w:t>General and administrative</w:t>
            </w:r>
          </w:p>
        </w:tc>
        <w:tc>
          <w:tcPr>
            <w:tcW w:type="dxa" w:w="1037"/>
          </w:tcPr>
          <w:p>
            <w:pPr>
              <w:spacing w:after="20"/>
              <w:jc w:val="right"/>
            </w:pPr>
            <w:r>
              <w:rPr>
                <w:color w:val="1C3A36"/>
                <w:sz w:val="15"/>
              </w:rPr>
              <w:t>151.6</w:t>
            </w:r>
          </w:p>
        </w:tc>
        <w:tc>
          <w:tcPr>
            <w:tcW w:type="dxa" w:w="1037"/>
          </w:tcPr>
          <w:p>
            <w:pPr>
              <w:spacing w:after="20"/>
              <w:jc w:val="right"/>
            </w:pPr>
            <w:r>
              <w:rPr>
                <w:color w:val="1C3A36"/>
                <w:sz w:val="15"/>
              </w:rPr>
              <w:t>188.5</w:t>
            </w:r>
          </w:p>
        </w:tc>
        <w:tc>
          <w:tcPr>
            <w:tcW w:type="dxa" w:w="1037"/>
          </w:tcPr>
          <w:p>
            <w:pPr>
              <w:spacing w:after="20"/>
              <w:jc w:val="right"/>
            </w:pPr>
            <w:r>
              <w:rPr>
                <w:color w:val="1C3A36"/>
                <w:sz w:val="15"/>
              </w:rPr>
              <w:t>221.1</w:t>
            </w:r>
          </w:p>
        </w:tc>
        <w:tc>
          <w:tcPr>
            <w:tcW w:type="dxa" w:w="1037"/>
          </w:tcPr>
          <w:p>
            <w:pPr>
              <w:spacing w:after="20"/>
              <w:jc w:val="right"/>
            </w:pPr>
            <w:r>
              <w:rPr>
                <w:color w:val="1C3A36"/>
                <w:sz w:val="15"/>
              </w:rPr>
              <w:t>260.6</w:t>
            </w:r>
          </w:p>
        </w:tc>
        <w:tc>
          <w:tcPr>
            <w:tcW w:type="dxa" w:w="1037"/>
          </w:tcPr>
          <w:p>
            <w:pPr>
              <w:spacing w:after="20"/>
              <w:jc w:val="right"/>
            </w:pPr>
            <w:r>
              <w:rPr>
                <w:color w:val="1C3A36"/>
                <w:sz w:val="15"/>
              </w:rPr>
              <w:t>304.1</w:t>
            </w:r>
          </w:p>
        </w:tc>
        <w:tc>
          <w:tcPr>
            <w:tcW w:type="dxa" w:w="1037"/>
          </w:tcPr>
          <w:p>
            <w:pPr>
              <w:spacing w:after="20"/>
              <w:jc w:val="right"/>
            </w:pPr>
            <w:r>
              <w:rPr>
                <w:color w:val="1C3A36"/>
                <w:sz w:val="15"/>
              </w:rPr>
              <w:t>341.9</w:t>
            </w:r>
          </w:p>
        </w:tc>
        <w:tc>
          <w:tcPr>
            <w:tcW w:type="dxa" w:w="1037"/>
          </w:tcPr>
          <w:p>
            <w:pPr>
              <w:spacing w:after="20"/>
              <w:jc w:val="right"/>
            </w:pPr>
            <w:r>
              <w:rPr>
                <w:color w:val="1C3A36"/>
                <w:sz w:val="15"/>
              </w:rPr>
              <w:t>383.4</w:t>
            </w:r>
          </w:p>
        </w:tc>
        <w:tc>
          <w:tcPr>
            <w:tcW w:type="dxa" w:w="1037"/>
          </w:tcPr>
          <w:p>
            <w:pPr>
              <w:spacing w:after="20"/>
              <w:jc w:val="right"/>
            </w:pPr>
            <w:r>
              <w:rPr>
                <w:color w:val="1C3A36"/>
                <w:sz w:val="15"/>
              </w:rPr>
              <w:t>421.1</w:t>
            </w:r>
          </w:p>
        </w:tc>
      </w:tr>
      <w:tr>
        <w:tc>
          <w:tcPr>
            <w:tcW w:type="dxa" w:w="2477"/>
          </w:tcPr>
          <w:p>
            <w:pPr>
              <w:spacing w:after="20"/>
            </w:pPr>
            <w:r>
              <w:rPr>
                <w:color w:val="1C3A36"/>
                <w:sz w:val="15"/>
              </w:rPr>
              <w:t>Credit losses and provisions</w:t>
            </w:r>
          </w:p>
        </w:tc>
        <w:tc>
          <w:tcPr>
            <w:tcW w:type="dxa" w:w="1037"/>
          </w:tcPr>
          <w:p>
            <w:pPr>
              <w:spacing w:after="20"/>
              <w:jc w:val="right"/>
            </w:pPr>
            <w:r>
              <w:rPr>
                <w:color w:val="1C3A36"/>
                <w:sz w:val="15"/>
              </w:rPr>
              <w:t>265</w:t>
            </w:r>
          </w:p>
        </w:tc>
        <w:tc>
          <w:tcPr>
            <w:tcW w:type="dxa" w:w="1037"/>
          </w:tcPr>
          <w:p>
            <w:pPr>
              <w:spacing w:after="20"/>
              <w:jc w:val="right"/>
            </w:pPr>
            <w:r>
              <w:rPr>
                <w:color w:val="1C3A36"/>
                <w:sz w:val="15"/>
              </w:rPr>
              <w:t>702</w:t>
            </w:r>
          </w:p>
        </w:tc>
        <w:tc>
          <w:tcPr>
            <w:tcW w:type="dxa" w:w="1037"/>
          </w:tcPr>
          <w:p>
            <w:pPr>
              <w:spacing w:after="20"/>
              <w:jc w:val="right"/>
            </w:pPr>
            <w:r>
              <w:rPr>
                <w:color w:val="1C3A36"/>
                <w:sz w:val="15"/>
              </w:rPr>
              <w:t>494</w:t>
            </w:r>
          </w:p>
        </w:tc>
        <w:tc>
          <w:tcPr>
            <w:tcW w:type="dxa" w:w="1037"/>
          </w:tcPr>
          <w:p>
            <w:pPr>
              <w:spacing w:after="20"/>
              <w:jc w:val="right"/>
            </w:pPr>
            <w:r>
              <w:rPr>
                <w:color w:val="1C3A36"/>
                <w:sz w:val="15"/>
              </w:rPr>
              <w:t>582</w:t>
            </w:r>
          </w:p>
        </w:tc>
        <w:tc>
          <w:tcPr>
            <w:tcW w:type="dxa" w:w="1037"/>
          </w:tcPr>
          <w:p>
            <w:pPr>
              <w:spacing w:after="20"/>
              <w:jc w:val="right"/>
            </w:pPr>
            <w:r>
              <w:rPr>
                <w:color w:val="1C3A36"/>
                <w:sz w:val="15"/>
              </w:rPr>
              <w:t>679</w:t>
            </w:r>
          </w:p>
        </w:tc>
        <w:tc>
          <w:tcPr>
            <w:tcW w:type="dxa" w:w="1037"/>
          </w:tcPr>
          <w:p>
            <w:pPr>
              <w:spacing w:after="20"/>
              <w:jc w:val="right"/>
            </w:pPr>
            <w:r>
              <w:rPr>
                <w:color w:val="1C3A36"/>
                <w:sz w:val="15"/>
              </w:rPr>
              <w:t>781</w:t>
            </w:r>
          </w:p>
        </w:tc>
        <w:tc>
          <w:tcPr>
            <w:tcW w:type="dxa" w:w="1037"/>
          </w:tcPr>
          <w:p>
            <w:pPr>
              <w:spacing w:after="20"/>
              <w:jc w:val="right"/>
            </w:pPr>
            <w:r>
              <w:rPr>
                <w:color w:val="1C3A36"/>
                <w:sz w:val="15"/>
              </w:rPr>
              <w:t>883</w:t>
            </w:r>
          </w:p>
        </w:tc>
        <w:tc>
          <w:tcPr>
            <w:tcW w:type="dxa" w:w="1037"/>
          </w:tcPr>
          <w:p>
            <w:pPr>
              <w:spacing w:after="20"/>
              <w:jc w:val="right"/>
            </w:pPr>
            <w:r>
              <w:rPr>
                <w:color w:val="1C3A36"/>
                <w:sz w:val="15"/>
              </w:rPr>
              <w:t>983</w:t>
            </w:r>
          </w:p>
        </w:tc>
      </w:tr>
      <w:tr>
        <w:tc>
          <w:tcPr>
            <w:tcW w:type="dxa" w:w="2477"/>
            <w:shd w:val="clear" w:color="auto" w:fill="F6F1E6"/>
          </w:tcPr>
          <w:p>
            <w:pPr>
              <w:spacing w:after="20"/>
            </w:pPr>
            <w:r>
              <w:rPr>
                <w:b/>
                <w:color w:val="1C3A36"/>
                <w:sz w:val="15"/>
              </w:rPr>
              <w:t>Operating profit</w:t>
            </w:r>
          </w:p>
        </w:tc>
        <w:tc>
          <w:tcPr>
            <w:tcW w:type="dxa" w:w="1037"/>
            <w:shd w:val="clear" w:color="auto" w:fill="F6F1E6"/>
          </w:tcPr>
          <w:p>
            <w:pPr>
              <w:spacing w:after="20"/>
              <w:jc w:val="right"/>
            </w:pPr>
            <w:r>
              <w:rPr>
                <w:b/>
                <w:color w:val="1C3A36"/>
                <w:sz w:val="15"/>
              </w:rPr>
              <w:t>1,225</w:t>
            </w:r>
          </w:p>
        </w:tc>
        <w:tc>
          <w:tcPr>
            <w:tcW w:type="dxa" w:w="1037"/>
            <w:shd w:val="clear" w:color="auto" w:fill="F6F1E6"/>
          </w:tcPr>
          <w:p>
            <w:pPr>
              <w:spacing w:after="20"/>
              <w:jc w:val="right"/>
            </w:pPr>
            <w:r>
              <w:rPr>
                <w:b/>
                <w:color w:val="1C3A36"/>
                <w:sz w:val="15"/>
              </w:rPr>
              <w:t>1,529</w:t>
            </w:r>
          </w:p>
        </w:tc>
        <w:tc>
          <w:tcPr>
            <w:tcW w:type="dxa" w:w="1037"/>
            <w:shd w:val="clear" w:color="auto" w:fill="F6F1E6"/>
          </w:tcPr>
          <w:p>
            <w:pPr>
              <w:spacing w:after="20"/>
              <w:jc w:val="right"/>
            </w:pPr>
            <w:r>
              <w:rPr>
                <w:b/>
                <w:color w:val="1C3A36"/>
                <w:sz w:val="15"/>
              </w:rPr>
              <w:t>2,366</w:t>
            </w:r>
          </w:p>
        </w:tc>
        <w:tc>
          <w:tcPr>
            <w:tcW w:type="dxa" w:w="1037"/>
            <w:shd w:val="clear" w:color="auto" w:fill="F6F1E6"/>
          </w:tcPr>
          <w:p>
            <w:pPr>
              <w:spacing w:after="20"/>
              <w:jc w:val="right"/>
            </w:pPr>
            <w:r>
              <w:rPr>
                <w:b/>
                <w:color w:val="1C3A36"/>
                <w:sz w:val="15"/>
              </w:rPr>
              <w:t>2,610</w:t>
            </w:r>
          </w:p>
        </w:tc>
        <w:tc>
          <w:tcPr>
            <w:tcW w:type="dxa" w:w="1037"/>
            <w:shd w:val="clear" w:color="auto" w:fill="F6F1E6"/>
          </w:tcPr>
          <w:p>
            <w:pPr>
              <w:spacing w:after="20"/>
              <w:jc w:val="right"/>
            </w:pPr>
            <w:r>
              <w:rPr>
                <w:b/>
                <w:color w:val="1C3A36"/>
                <w:sz w:val="15"/>
              </w:rPr>
              <w:t>2,989</w:t>
            </w:r>
          </w:p>
        </w:tc>
        <w:tc>
          <w:tcPr>
            <w:tcW w:type="dxa" w:w="1037"/>
            <w:shd w:val="clear" w:color="auto" w:fill="F6F1E6"/>
          </w:tcPr>
          <w:p>
            <w:pPr>
              <w:spacing w:after="20"/>
              <w:jc w:val="right"/>
            </w:pPr>
            <w:r>
              <w:rPr>
                <w:b/>
                <w:color w:val="1C3A36"/>
                <w:sz w:val="15"/>
              </w:rPr>
              <w:t>3,501</w:t>
            </w:r>
          </w:p>
        </w:tc>
        <w:tc>
          <w:tcPr>
            <w:tcW w:type="dxa" w:w="1037"/>
            <w:shd w:val="clear" w:color="auto" w:fill="F6F1E6"/>
          </w:tcPr>
          <w:p>
            <w:pPr>
              <w:spacing w:after="20"/>
              <w:jc w:val="right"/>
            </w:pPr>
            <w:r>
              <w:rPr>
                <w:b/>
                <w:color w:val="1C3A36"/>
                <w:sz w:val="15"/>
              </w:rPr>
              <w:t>4,034</w:t>
            </w:r>
          </w:p>
        </w:tc>
        <w:tc>
          <w:tcPr>
            <w:tcW w:type="dxa" w:w="1037"/>
            <w:shd w:val="clear" w:color="auto" w:fill="F6F1E6"/>
          </w:tcPr>
          <w:p>
            <w:pPr>
              <w:spacing w:after="20"/>
              <w:jc w:val="right"/>
            </w:pPr>
            <w:r>
              <w:rPr>
                <w:b/>
                <w:color w:val="1C3A36"/>
                <w:sz w:val="15"/>
              </w:rPr>
              <w:t>4,542</w:t>
            </w:r>
          </w:p>
        </w:tc>
      </w:tr>
      <w:tr>
        <w:tc>
          <w:tcPr>
            <w:tcW w:type="dxa" w:w="2477"/>
          </w:tcPr>
          <w:p>
            <w:pPr>
              <w:spacing w:after="20"/>
            </w:pPr>
            <w:r>
              <w:rPr>
                <w:color w:val="1C3A36"/>
                <w:sz w:val="15"/>
              </w:rPr>
              <w:t>EBITDA</w:t>
            </w:r>
          </w:p>
        </w:tc>
        <w:tc>
          <w:tcPr>
            <w:tcW w:type="dxa" w:w="1037"/>
          </w:tcPr>
          <w:p>
            <w:pPr>
              <w:spacing w:after="20"/>
              <w:jc w:val="right"/>
            </w:pPr>
            <w:r>
              <w:rPr>
                <w:color w:val="1C3A36"/>
                <w:sz w:val="15"/>
              </w:rPr>
              <w:t>1,330</w:t>
            </w:r>
          </w:p>
        </w:tc>
        <w:tc>
          <w:tcPr>
            <w:tcW w:type="dxa" w:w="1037"/>
          </w:tcPr>
          <w:p>
            <w:pPr>
              <w:spacing w:after="20"/>
              <w:jc w:val="right"/>
            </w:pPr>
            <w:r>
              <w:rPr>
                <w:color w:val="1C3A36"/>
                <w:sz w:val="15"/>
              </w:rPr>
              <w:t>1,631</w:t>
            </w:r>
          </w:p>
        </w:tc>
        <w:tc>
          <w:tcPr>
            <w:tcW w:type="dxa" w:w="1037"/>
          </w:tcPr>
          <w:p>
            <w:pPr>
              <w:spacing w:after="20"/>
              <w:jc w:val="right"/>
            </w:pPr>
            <w:r>
              <w:rPr>
                <w:color w:val="1C3A36"/>
                <w:sz w:val="15"/>
              </w:rPr>
              <w:t>2,484</w:t>
            </w:r>
          </w:p>
        </w:tc>
        <w:tc>
          <w:tcPr>
            <w:tcW w:type="dxa" w:w="1037"/>
          </w:tcPr>
          <w:p>
            <w:pPr>
              <w:spacing w:after="20"/>
              <w:jc w:val="right"/>
            </w:pPr>
            <w:r>
              <w:rPr>
                <w:color w:val="1C3A36"/>
                <w:sz w:val="15"/>
              </w:rPr>
              <w:t>2,908</w:t>
            </w:r>
          </w:p>
        </w:tc>
        <w:tc>
          <w:tcPr>
            <w:tcW w:type="dxa" w:w="1037"/>
          </w:tcPr>
          <w:p>
            <w:pPr>
              <w:spacing w:after="20"/>
              <w:jc w:val="right"/>
            </w:pPr>
            <w:r>
              <w:rPr>
                <w:color w:val="1C3A36"/>
                <w:sz w:val="15"/>
              </w:rPr>
              <w:t>3,405</w:t>
            </w:r>
          </w:p>
        </w:tc>
        <w:tc>
          <w:tcPr>
            <w:tcW w:type="dxa" w:w="1037"/>
          </w:tcPr>
          <w:p>
            <w:pPr>
              <w:spacing w:after="20"/>
              <w:jc w:val="right"/>
            </w:pPr>
            <w:r>
              <w:rPr>
                <w:color w:val="1C3A36"/>
                <w:sz w:val="15"/>
              </w:rPr>
              <w:t>3,942</w:t>
            </w:r>
          </w:p>
        </w:tc>
        <w:tc>
          <w:tcPr>
            <w:tcW w:type="dxa" w:w="1037"/>
          </w:tcPr>
          <w:p>
            <w:pPr>
              <w:spacing w:after="20"/>
              <w:jc w:val="right"/>
            </w:pPr>
            <w:r>
              <w:rPr>
                <w:color w:val="1C3A36"/>
                <w:sz w:val="15"/>
              </w:rPr>
              <w:t>4,467</w:t>
            </w:r>
          </w:p>
        </w:tc>
        <w:tc>
          <w:tcPr>
            <w:tcW w:type="dxa" w:w="1037"/>
          </w:tcPr>
          <w:p>
            <w:pPr>
              <w:spacing w:after="20"/>
              <w:jc w:val="right"/>
            </w:pPr>
            <w:r>
              <w:rPr>
                <w:color w:val="1C3A36"/>
                <w:sz w:val="15"/>
              </w:rPr>
              <w:t>4,960</w:t>
            </w:r>
          </w:p>
        </w:tc>
      </w:tr>
      <w:tr>
        <w:tc>
          <w:tcPr>
            <w:tcW w:type="dxa" w:w="2477"/>
          </w:tcPr>
          <w:p>
            <w:pPr>
              <w:spacing w:after="20"/>
            </w:pPr>
            <w:r>
              <w:rPr>
                <w:color w:val="1C3A36"/>
                <w:sz w:val="15"/>
              </w:rPr>
              <w:t>Depreciation and amortisation</w:t>
            </w:r>
          </w:p>
        </w:tc>
        <w:tc>
          <w:tcPr>
            <w:tcW w:type="dxa" w:w="1037"/>
          </w:tcPr>
          <w:p>
            <w:pPr>
              <w:spacing w:after="20"/>
              <w:jc w:val="right"/>
            </w:pPr>
            <w:r>
              <w:rPr>
                <w:color w:val="1C3A36"/>
                <w:sz w:val="15"/>
              </w:rPr>
              <w:t>105.2</w:t>
            </w:r>
          </w:p>
        </w:tc>
        <w:tc>
          <w:tcPr>
            <w:tcW w:type="dxa" w:w="1037"/>
          </w:tcPr>
          <w:p>
            <w:pPr>
              <w:spacing w:after="20"/>
              <w:jc w:val="right"/>
            </w:pPr>
            <w:r>
              <w:rPr>
                <w:color w:val="1C3A36"/>
                <w:sz w:val="15"/>
              </w:rPr>
              <w:t>102.8</w:t>
            </w:r>
          </w:p>
        </w:tc>
        <w:tc>
          <w:tcPr>
            <w:tcW w:type="dxa" w:w="1037"/>
          </w:tcPr>
          <w:p>
            <w:pPr>
              <w:spacing w:after="20"/>
              <w:jc w:val="right"/>
            </w:pPr>
            <w:r>
              <w:rPr>
                <w:color w:val="1C3A36"/>
                <w:sz w:val="15"/>
              </w:rPr>
              <w:t>117.7</w:t>
            </w:r>
          </w:p>
        </w:tc>
        <w:tc>
          <w:tcPr>
            <w:tcW w:type="dxa" w:w="1037"/>
          </w:tcPr>
          <w:p>
            <w:pPr>
              <w:spacing w:after="20"/>
              <w:jc w:val="right"/>
            </w:pPr>
            <w:r>
              <w:rPr>
                <w:color w:val="1C3A36"/>
                <w:sz w:val="15"/>
              </w:rPr>
              <w:t>297.8</w:t>
            </w:r>
          </w:p>
        </w:tc>
        <w:tc>
          <w:tcPr>
            <w:tcW w:type="dxa" w:w="1037"/>
          </w:tcPr>
          <w:p>
            <w:pPr>
              <w:spacing w:after="20"/>
              <w:jc w:val="right"/>
            </w:pPr>
            <w:r>
              <w:rPr>
                <w:color w:val="1C3A36"/>
                <w:sz w:val="15"/>
              </w:rPr>
              <w:t>416.2</w:t>
            </w:r>
          </w:p>
        </w:tc>
        <w:tc>
          <w:tcPr>
            <w:tcW w:type="dxa" w:w="1037"/>
          </w:tcPr>
          <w:p>
            <w:pPr>
              <w:spacing w:after="20"/>
              <w:jc w:val="right"/>
            </w:pPr>
            <w:r>
              <w:rPr>
                <w:color w:val="1C3A36"/>
                <w:sz w:val="15"/>
              </w:rPr>
              <w:t>440.5</w:t>
            </w:r>
          </w:p>
        </w:tc>
        <w:tc>
          <w:tcPr>
            <w:tcW w:type="dxa" w:w="1037"/>
          </w:tcPr>
          <w:p>
            <w:pPr>
              <w:spacing w:after="20"/>
              <w:jc w:val="right"/>
            </w:pPr>
            <w:r>
              <w:rPr>
                <w:color w:val="1C3A36"/>
                <w:sz w:val="15"/>
              </w:rPr>
              <w:t>432.3</w:t>
            </w:r>
          </w:p>
        </w:tc>
        <w:tc>
          <w:tcPr>
            <w:tcW w:type="dxa" w:w="1037"/>
          </w:tcPr>
          <w:p>
            <w:pPr>
              <w:spacing w:after="20"/>
              <w:jc w:val="right"/>
            </w:pPr>
            <w:r>
              <w:rPr>
                <w:color w:val="1C3A36"/>
                <w:sz w:val="15"/>
              </w:rPr>
              <w:t>418.5</w:t>
            </w:r>
          </w:p>
        </w:tc>
      </w:tr>
      <w:tr>
        <w:tc>
          <w:tcPr>
            <w:tcW w:type="dxa" w:w="2477"/>
          </w:tcPr>
          <w:p>
            <w:pPr>
              <w:spacing w:after="20"/>
            </w:pPr>
            <w:r>
              <w:rPr>
                <w:color w:val="1C3A36"/>
                <w:sz w:val="15"/>
              </w:rPr>
              <w:t>Finance costs</w:t>
            </w:r>
          </w:p>
        </w:tc>
        <w:tc>
          <w:tcPr>
            <w:tcW w:type="dxa" w:w="1037"/>
          </w:tcPr>
          <w:p>
            <w:pPr>
              <w:spacing w:after="20"/>
              <w:jc w:val="right"/>
            </w:pPr>
            <w:r>
              <w:rPr>
                <w:color w:val="1C3A36"/>
                <w:sz w:val="15"/>
              </w:rPr>
              <w:t>408</w:t>
            </w:r>
          </w:p>
        </w:tc>
        <w:tc>
          <w:tcPr>
            <w:tcW w:type="dxa" w:w="1037"/>
          </w:tcPr>
          <w:p>
            <w:pPr>
              <w:spacing w:after="20"/>
              <w:jc w:val="right"/>
            </w:pPr>
            <w:r>
              <w:rPr>
                <w:color w:val="1C3A36"/>
                <w:sz w:val="15"/>
              </w:rPr>
              <w:t>960</w:t>
            </w:r>
          </w:p>
        </w:tc>
        <w:tc>
          <w:tcPr>
            <w:tcW w:type="dxa" w:w="1037"/>
          </w:tcPr>
          <w:p>
            <w:pPr>
              <w:spacing w:after="20"/>
              <w:jc w:val="right"/>
            </w:pPr>
            <w:r>
              <w:rPr>
                <w:color w:val="1C3A36"/>
                <w:sz w:val="15"/>
              </w:rPr>
              <w:t>1,333</w:t>
            </w:r>
          </w:p>
        </w:tc>
        <w:tc>
          <w:tcPr>
            <w:tcW w:type="dxa" w:w="1037"/>
          </w:tcPr>
          <w:p>
            <w:pPr>
              <w:spacing w:after="20"/>
              <w:jc w:val="right"/>
            </w:pPr>
            <w:r>
              <w:rPr>
                <w:color w:val="1C3A36"/>
                <w:sz w:val="15"/>
              </w:rPr>
              <w:t>1,548</w:t>
            </w:r>
          </w:p>
        </w:tc>
        <w:tc>
          <w:tcPr>
            <w:tcW w:type="dxa" w:w="1037"/>
          </w:tcPr>
          <w:p>
            <w:pPr>
              <w:spacing w:after="20"/>
              <w:jc w:val="right"/>
            </w:pPr>
            <w:r>
              <w:rPr>
                <w:color w:val="1C3A36"/>
                <w:sz w:val="15"/>
              </w:rPr>
              <w:t>1,451</w:t>
            </w:r>
          </w:p>
        </w:tc>
        <w:tc>
          <w:tcPr>
            <w:tcW w:type="dxa" w:w="1037"/>
          </w:tcPr>
          <w:p>
            <w:pPr>
              <w:spacing w:after="20"/>
              <w:jc w:val="right"/>
            </w:pPr>
            <w:r>
              <w:rPr>
                <w:color w:val="1C3A36"/>
                <w:sz w:val="15"/>
              </w:rPr>
              <w:t>1,346</w:t>
            </w:r>
          </w:p>
        </w:tc>
        <w:tc>
          <w:tcPr>
            <w:tcW w:type="dxa" w:w="1037"/>
          </w:tcPr>
          <w:p>
            <w:pPr>
              <w:spacing w:after="20"/>
              <w:jc w:val="right"/>
            </w:pPr>
            <w:r>
              <w:rPr>
                <w:color w:val="1C3A36"/>
                <w:sz w:val="15"/>
              </w:rPr>
              <w:t>1,258</w:t>
            </w:r>
          </w:p>
        </w:tc>
        <w:tc>
          <w:tcPr>
            <w:tcW w:type="dxa" w:w="1037"/>
          </w:tcPr>
          <w:p>
            <w:pPr>
              <w:spacing w:after="20"/>
              <w:jc w:val="right"/>
            </w:pPr>
            <w:r>
              <w:rPr>
                <w:color w:val="1C3A36"/>
                <w:sz w:val="15"/>
              </w:rPr>
              <w:t>1,187</w:t>
            </w:r>
          </w:p>
        </w:tc>
      </w:tr>
      <w:tr>
        <w:tc>
          <w:tcPr>
            <w:tcW w:type="dxa" w:w="2477"/>
          </w:tcPr>
          <w:p>
            <w:pPr>
              <w:spacing w:after="20"/>
            </w:pPr>
            <w:r>
              <w:rPr>
                <w:color w:val="1C3A36"/>
                <w:sz w:val="15"/>
              </w:rPr>
              <w:t>Share of associates</w:t>
            </w:r>
          </w:p>
        </w:tc>
        <w:tc>
          <w:tcPr>
            <w:tcW w:type="dxa" w:w="1037"/>
          </w:tcPr>
          <w:p>
            <w:pPr>
              <w:spacing w:after="20"/>
              <w:jc w:val="right"/>
            </w:pPr>
            <w:r>
              <w:rPr>
                <w:color w:val="1C3A36"/>
                <w:sz w:val="15"/>
              </w:rPr>
              <w:t>75</w:t>
            </w:r>
          </w:p>
        </w:tc>
        <w:tc>
          <w:tcPr>
            <w:tcW w:type="dxa" w:w="1037"/>
          </w:tcPr>
          <w:p>
            <w:pPr>
              <w:spacing w:after="20"/>
              <w:jc w:val="right"/>
            </w:pPr>
            <w:r>
              <w:rPr>
                <w:color w:val="1C3A36"/>
                <w:sz w:val="15"/>
              </w:rPr>
              <w:t>147</w:t>
            </w:r>
          </w:p>
        </w:tc>
        <w:tc>
          <w:tcPr>
            <w:tcW w:type="dxa" w:w="1037"/>
          </w:tcPr>
          <w:p>
            <w:pPr>
              <w:spacing w:after="20"/>
              <w:jc w:val="right"/>
            </w:pPr>
            <w:r>
              <w:rPr>
                <w:color w:val="1C3A36"/>
                <w:sz w:val="15"/>
              </w:rPr>
              <w:t>495</w:t>
            </w:r>
          </w:p>
        </w:tc>
        <w:tc>
          <w:tcPr>
            <w:tcW w:type="dxa" w:w="1037"/>
          </w:tcPr>
          <w:p>
            <w:pPr>
              <w:spacing w:after="20"/>
              <w:jc w:val="right"/>
            </w:pPr>
            <w:r>
              <w:rPr>
                <w:color w:val="1C3A36"/>
                <w:sz w:val="15"/>
              </w:rPr>
              <w:t>320</w:t>
            </w:r>
          </w:p>
        </w:tc>
        <w:tc>
          <w:tcPr>
            <w:tcW w:type="dxa" w:w="1037"/>
          </w:tcPr>
          <w:p>
            <w:pPr>
              <w:spacing w:after="20"/>
              <w:jc w:val="right"/>
            </w:pPr>
            <w:r>
              <w:rPr>
                <w:color w:val="1C3A36"/>
                <w:sz w:val="15"/>
              </w:rPr>
              <w:t>320</w:t>
            </w:r>
          </w:p>
        </w:tc>
        <w:tc>
          <w:tcPr>
            <w:tcW w:type="dxa" w:w="1037"/>
          </w:tcPr>
          <w:p>
            <w:pPr>
              <w:spacing w:after="20"/>
              <w:jc w:val="right"/>
            </w:pPr>
            <w:r>
              <w:rPr>
                <w:color w:val="1C3A36"/>
                <w:sz w:val="15"/>
              </w:rPr>
              <w:t>320</w:t>
            </w:r>
          </w:p>
        </w:tc>
        <w:tc>
          <w:tcPr>
            <w:tcW w:type="dxa" w:w="1037"/>
          </w:tcPr>
          <w:p>
            <w:pPr>
              <w:spacing w:after="20"/>
              <w:jc w:val="right"/>
            </w:pPr>
            <w:r>
              <w:rPr>
                <w:color w:val="1C3A36"/>
                <w:sz w:val="15"/>
              </w:rPr>
              <w:t>320</w:t>
            </w:r>
          </w:p>
        </w:tc>
        <w:tc>
          <w:tcPr>
            <w:tcW w:type="dxa" w:w="1037"/>
          </w:tcPr>
          <w:p>
            <w:pPr>
              <w:spacing w:after="20"/>
              <w:jc w:val="right"/>
            </w:pPr>
            <w:r>
              <w:rPr>
                <w:color w:val="1C3A36"/>
                <w:sz w:val="15"/>
              </w:rPr>
              <w:t>320</w:t>
            </w:r>
          </w:p>
        </w:tc>
      </w:tr>
      <w:tr>
        <w:tc>
          <w:tcPr>
            <w:tcW w:type="dxa" w:w="2477"/>
            <w:shd w:val="clear" w:color="auto" w:fill="F6F1E6"/>
          </w:tcPr>
          <w:p>
            <w:pPr>
              <w:spacing w:after="20"/>
            </w:pPr>
            <w:r>
              <w:rPr>
                <w:b/>
                <w:color w:val="1C3A36"/>
                <w:sz w:val="15"/>
              </w:rPr>
              <w:t>Profit attributable to shareholders</w:t>
            </w:r>
          </w:p>
        </w:tc>
        <w:tc>
          <w:tcPr>
            <w:tcW w:type="dxa" w:w="1037"/>
            <w:shd w:val="clear" w:color="auto" w:fill="F6F1E6"/>
          </w:tcPr>
          <w:p>
            <w:pPr>
              <w:spacing w:after="20"/>
              <w:jc w:val="right"/>
            </w:pPr>
            <w:r>
              <w:rPr>
                <w:b/>
                <w:color w:val="1C3A36"/>
                <w:sz w:val="15"/>
              </w:rPr>
              <w:t>822</w:t>
            </w:r>
          </w:p>
        </w:tc>
        <w:tc>
          <w:tcPr>
            <w:tcW w:type="dxa" w:w="1037"/>
            <w:shd w:val="clear" w:color="auto" w:fill="F6F1E6"/>
          </w:tcPr>
          <w:p>
            <w:pPr>
              <w:spacing w:after="20"/>
              <w:jc w:val="right"/>
            </w:pPr>
            <w:r>
              <w:rPr>
                <w:b/>
                <w:color w:val="1C3A36"/>
                <w:sz w:val="15"/>
              </w:rPr>
              <w:t>1,096</w:t>
            </w:r>
          </w:p>
        </w:tc>
        <w:tc>
          <w:tcPr>
            <w:tcW w:type="dxa" w:w="1037"/>
            <w:shd w:val="clear" w:color="auto" w:fill="F6F1E6"/>
          </w:tcPr>
          <w:p>
            <w:pPr>
              <w:spacing w:after="20"/>
              <w:jc w:val="right"/>
            </w:pPr>
            <w:r>
              <w:rPr>
                <w:b/>
                <w:color w:val="1C3A36"/>
                <w:sz w:val="15"/>
              </w:rPr>
              <w:t>1,442</w:t>
            </w:r>
          </w:p>
        </w:tc>
        <w:tc>
          <w:tcPr>
            <w:tcW w:type="dxa" w:w="1037"/>
            <w:shd w:val="clear" w:color="auto" w:fill="F6F1E6"/>
          </w:tcPr>
          <w:p>
            <w:pPr>
              <w:spacing w:after="20"/>
              <w:jc w:val="right"/>
            </w:pPr>
            <w:r>
              <w:rPr>
                <w:b/>
                <w:color w:val="1C3A36"/>
                <w:sz w:val="15"/>
              </w:rPr>
              <w:t>669</w:t>
            </w:r>
          </w:p>
        </w:tc>
        <w:tc>
          <w:tcPr>
            <w:tcW w:type="dxa" w:w="1037"/>
            <w:shd w:val="clear" w:color="auto" w:fill="F6F1E6"/>
          </w:tcPr>
          <w:p>
            <w:pPr>
              <w:spacing w:after="20"/>
              <w:jc w:val="right"/>
            </w:pPr>
            <w:r>
              <w:rPr>
                <w:b/>
                <w:color w:val="1C3A36"/>
                <w:sz w:val="15"/>
              </w:rPr>
              <w:t>887</w:t>
            </w:r>
          </w:p>
        </w:tc>
        <w:tc>
          <w:tcPr>
            <w:tcW w:type="dxa" w:w="1037"/>
            <w:shd w:val="clear" w:color="auto" w:fill="F6F1E6"/>
          </w:tcPr>
          <w:p>
            <w:pPr>
              <w:spacing w:after="20"/>
              <w:jc w:val="right"/>
            </w:pPr>
            <w:r>
              <w:rPr>
                <w:b/>
                <w:color w:val="1C3A36"/>
                <w:sz w:val="15"/>
              </w:rPr>
              <w:t>1,171</w:t>
            </w:r>
          </w:p>
        </w:tc>
        <w:tc>
          <w:tcPr>
            <w:tcW w:type="dxa" w:w="1037"/>
            <w:shd w:val="clear" w:color="auto" w:fill="F6F1E6"/>
          </w:tcPr>
          <w:p>
            <w:pPr>
              <w:spacing w:after="20"/>
              <w:jc w:val="right"/>
            </w:pPr>
            <w:r>
              <w:rPr>
                <w:b/>
                <w:color w:val="1C3A36"/>
                <w:sz w:val="15"/>
              </w:rPr>
              <w:t>1,456</w:t>
            </w:r>
          </w:p>
        </w:tc>
        <w:tc>
          <w:tcPr>
            <w:tcW w:type="dxa" w:w="1037"/>
            <w:shd w:val="clear" w:color="auto" w:fill="F6F1E6"/>
          </w:tcPr>
          <w:p>
            <w:pPr>
              <w:spacing w:after="20"/>
              <w:jc w:val="right"/>
            </w:pPr>
            <w:r>
              <w:rPr>
                <w:b/>
                <w:color w:val="1C3A36"/>
                <w:sz w:val="15"/>
              </w:rPr>
              <w:t>1,721</w:t>
            </w:r>
          </w:p>
        </w:tc>
      </w:tr>
    </w:tbl>
    <w:p>
      <w:pPr>
        <w:spacing w:after="40"/>
      </w:pPr>
    </w:p>
    <w:p>
      <w:pPr>
        <w:spacing w:after="200" w:before="0"/>
      </w:pPr>
      <w:r>
        <w:rPr>
          <w:b w:val="0"/>
          <w:i/>
          <w:color w:val="6E7B77"/>
          <w:sz w:val="17"/>
        </w:rPr>
        <w:t>Table 17 — three audited years and five forecast years. The attributable-profit line in the forecast columns is the retained portion grossed back up at the payout ratio.</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c>
          <w:tcPr>
            <w:tcW w:type="dxa" w:w="2477"/>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w:t>
            </w:r>
          </w:p>
        </w:tc>
        <w:tc>
          <w:tcPr>
            <w:tcW w:type="dxa" w:w="1037"/>
            <w:shd w:val="clear" w:color="auto" w:fill="EAF0EE"/>
          </w:tcPr>
          <w:p>
            <w:pPr>
              <w:spacing w:after="20"/>
            </w:pPr>
            <w:r>
              <w:rPr>
                <w:b/>
                <w:color w:val="1C3A36"/>
                <w:sz w:val="15"/>
              </w:rPr>
              <w:t>FY2024</w:t>
            </w:r>
          </w:p>
        </w:tc>
        <w:tc>
          <w:tcPr>
            <w:tcW w:type="dxa" w:w="1037"/>
            <w:shd w:val="clear" w:color="auto" w:fill="EAF0EE"/>
          </w:tcPr>
          <w:p>
            <w:pPr>
              <w:spacing w:after="20"/>
            </w:pPr>
            <w:r>
              <w:rPr>
                <w:b/>
                <w:color w:val="1C3A36"/>
                <w:sz w:val="15"/>
              </w:rPr>
              <w:t>FY2025</w:t>
            </w:r>
          </w:p>
        </w:tc>
        <w:tc>
          <w:tcPr>
            <w:tcW w:type="dxa" w:w="1037"/>
            <w:shd w:val="clear" w:color="auto" w:fill="EAF0EE"/>
          </w:tcPr>
          <w:p>
            <w:pPr>
              <w:spacing w:after="20"/>
            </w:pPr>
            <w:r>
              <w:rPr>
                <w:b/>
                <w:color w:val="1C3A36"/>
                <w:sz w:val="15"/>
              </w:rPr>
              <w:t>FY2026E</w:t>
            </w:r>
          </w:p>
        </w:tc>
        <w:tc>
          <w:tcPr>
            <w:tcW w:type="dxa" w:w="1037"/>
            <w:shd w:val="clear" w:color="auto" w:fill="EAF0EE"/>
          </w:tcPr>
          <w:p>
            <w:pPr>
              <w:spacing w:after="20"/>
            </w:pPr>
            <w:r>
              <w:rPr>
                <w:b/>
                <w:color w:val="1C3A36"/>
                <w:sz w:val="15"/>
              </w:rPr>
              <w:t>FY2027E</w:t>
            </w:r>
          </w:p>
        </w:tc>
        <w:tc>
          <w:tcPr>
            <w:tcW w:type="dxa" w:w="1037"/>
            <w:shd w:val="clear" w:color="auto" w:fill="EAF0EE"/>
          </w:tcPr>
          <w:p>
            <w:pPr>
              <w:spacing w:after="20"/>
            </w:pPr>
            <w:r>
              <w:rPr>
                <w:b/>
                <w:color w:val="1C3A36"/>
                <w:sz w:val="15"/>
              </w:rPr>
              <w:t>FY2028E</w:t>
            </w:r>
          </w:p>
        </w:tc>
        <w:tc>
          <w:tcPr>
            <w:tcW w:type="dxa" w:w="1037"/>
            <w:shd w:val="clear" w:color="auto" w:fill="EAF0EE"/>
          </w:tcPr>
          <w:p>
            <w:pPr>
              <w:spacing w:after="20"/>
            </w:pPr>
            <w:r>
              <w:rPr>
                <w:b/>
                <w:color w:val="1C3A36"/>
                <w:sz w:val="15"/>
              </w:rPr>
              <w:t>FY2029E</w:t>
            </w:r>
          </w:p>
        </w:tc>
        <w:tc>
          <w:tcPr>
            <w:tcW w:type="dxa" w:w="1037"/>
            <w:shd w:val="clear" w:color="auto" w:fill="EAF0EE"/>
          </w:tcPr>
          <w:p>
            <w:pPr>
              <w:spacing w:after="20"/>
            </w:pPr>
            <w:r>
              <w:rPr>
                <w:b/>
                <w:color w:val="1C3A36"/>
                <w:sz w:val="15"/>
              </w:rPr>
              <w:t>FY2030E</w:t>
            </w:r>
          </w:p>
        </w:tc>
      </w:tr>
      <w:tr>
        <w:tc>
          <w:tcPr>
            <w:tcW w:type="dxa" w:w="2477"/>
          </w:tcPr>
          <w:p>
            <w:pPr>
              <w:spacing w:after="20"/>
            </w:pPr>
            <w:r>
              <w:rPr>
                <w:color w:val="1C3A36"/>
                <w:sz w:val="15"/>
              </w:rPr>
              <w:t>Property, plant and equipment</w:t>
            </w:r>
          </w:p>
        </w:tc>
        <w:tc>
          <w:tcPr>
            <w:tcW w:type="dxa" w:w="1037"/>
          </w:tcPr>
          <w:p>
            <w:pPr>
              <w:spacing w:after="20"/>
              <w:jc w:val="right"/>
            </w:pPr>
            <w:r>
              <w:rPr>
                <w:color w:val="1C3A36"/>
                <w:sz w:val="15"/>
              </w:rPr>
              <w:t>964</w:t>
            </w:r>
          </w:p>
        </w:tc>
        <w:tc>
          <w:tcPr>
            <w:tcW w:type="dxa" w:w="1037"/>
          </w:tcPr>
          <w:p>
            <w:pPr>
              <w:spacing w:after="20"/>
              <w:jc w:val="right"/>
            </w:pPr>
            <w:r>
              <w:rPr>
                <w:color w:val="1C3A36"/>
                <w:sz w:val="15"/>
              </w:rPr>
              <w:t>1,045</w:t>
            </w:r>
          </w:p>
        </w:tc>
        <w:tc>
          <w:tcPr>
            <w:tcW w:type="dxa" w:w="1037"/>
          </w:tcPr>
          <w:p>
            <w:pPr>
              <w:spacing w:after="20"/>
              <w:jc w:val="right"/>
            </w:pPr>
            <w:r>
              <w:rPr>
                <w:color w:val="1C3A36"/>
                <w:sz w:val="15"/>
              </w:rPr>
              <w:t>3,070</w:t>
            </w:r>
          </w:p>
        </w:tc>
        <w:tc>
          <w:tcPr>
            <w:tcW w:type="dxa" w:w="1037"/>
          </w:tcPr>
          <w:p>
            <w:pPr>
              <w:spacing w:after="20"/>
              <w:jc w:val="right"/>
            </w:pPr>
            <w:r>
              <w:rPr>
                <w:color w:val="1C3A36"/>
                <w:sz w:val="15"/>
              </w:rPr>
              <w:t>5,980</w:t>
            </w:r>
          </w:p>
        </w:tc>
        <w:tc>
          <w:tcPr>
            <w:tcW w:type="dxa" w:w="1037"/>
          </w:tcPr>
          <w:p>
            <w:pPr>
              <w:spacing w:after="20"/>
              <w:jc w:val="right"/>
            </w:pPr>
            <w:r>
              <w:rPr>
                <w:color w:val="1C3A36"/>
                <w:sz w:val="15"/>
              </w:rPr>
              <w:t>6,772</w:t>
            </w:r>
          </w:p>
        </w:tc>
        <w:tc>
          <w:tcPr>
            <w:tcW w:type="dxa" w:w="1037"/>
          </w:tcPr>
          <w:p>
            <w:pPr>
              <w:spacing w:after="20"/>
              <w:jc w:val="right"/>
            </w:pPr>
            <w:r>
              <w:rPr>
                <w:color w:val="1C3A36"/>
                <w:sz w:val="15"/>
              </w:rPr>
              <w:t>6,740</w:t>
            </w:r>
          </w:p>
        </w:tc>
        <w:tc>
          <w:tcPr>
            <w:tcW w:type="dxa" w:w="1037"/>
          </w:tcPr>
          <w:p>
            <w:pPr>
              <w:spacing w:after="20"/>
              <w:jc w:val="right"/>
            </w:pPr>
            <w:r>
              <w:rPr>
                <w:color w:val="1C3A36"/>
                <w:sz w:val="15"/>
              </w:rPr>
              <w:t>6,516</w:t>
            </w:r>
          </w:p>
        </w:tc>
        <w:tc>
          <w:tcPr>
            <w:tcW w:type="dxa" w:w="1037"/>
          </w:tcPr>
          <w:p>
            <w:pPr>
              <w:spacing w:after="20"/>
              <w:jc w:val="right"/>
            </w:pPr>
            <w:r>
              <w:rPr>
                <w:color w:val="1C3A36"/>
                <w:sz w:val="15"/>
              </w:rPr>
              <w:t>6,306</w:t>
            </w:r>
          </w:p>
        </w:tc>
      </w:tr>
      <w:tr>
        <w:tc>
          <w:tcPr>
            <w:tcW w:type="dxa" w:w="2477"/>
          </w:tcPr>
          <w:p>
            <w:pPr>
              <w:spacing w:after="20"/>
            </w:pPr>
            <w:r>
              <w:rPr>
                <w:color w:val="1C3A36"/>
                <w:sz w:val="15"/>
              </w:rPr>
              <w:t>Projects under construction</w:t>
            </w:r>
          </w:p>
        </w:tc>
        <w:tc>
          <w:tcPr>
            <w:tcW w:type="dxa" w:w="1037"/>
          </w:tcPr>
          <w:p>
            <w:pPr>
              <w:spacing w:after="20"/>
              <w:jc w:val="right"/>
            </w:pPr>
            <w:r>
              <w:rPr>
                <w:color w:val="1C3A36"/>
                <w:sz w:val="15"/>
              </w:rPr>
              <w:t>3,058</w:t>
            </w:r>
          </w:p>
        </w:tc>
        <w:tc>
          <w:tcPr>
            <w:tcW w:type="dxa" w:w="1037"/>
          </w:tcPr>
          <w:p>
            <w:pPr>
              <w:spacing w:after="20"/>
              <w:jc w:val="right"/>
            </w:pPr>
            <w:r>
              <w:rPr>
                <w:color w:val="1C3A36"/>
                <w:sz w:val="15"/>
              </w:rPr>
              <w:t>5,694</w:t>
            </w:r>
          </w:p>
        </w:tc>
        <w:tc>
          <w:tcPr>
            <w:tcW w:type="dxa" w:w="1037"/>
          </w:tcPr>
          <w:p>
            <w:pPr>
              <w:spacing w:after="20"/>
              <w:jc w:val="right"/>
            </w:pPr>
            <w:r>
              <w:rPr>
                <w:color w:val="1C3A36"/>
                <w:sz w:val="15"/>
              </w:rPr>
              <w:t>4,901</w:t>
            </w:r>
          </w:p>
        </w:tc>
        <w:tc>
          <w:tcPr>
            <w:tcW w:type="dxa" w:w="1037"/>
          </w:tcPr>
          <w:p>
            <w:pPr>
              <w:spacing w:after="20"/>
              <w:jc w:val="right"/>
            </w:pPr>
            <w:r>
              <w:rPr>
                <w:color w:val="1C3A36"/>
                <w:sz w:val="15"/>
              </w:rPr>
              <w:t>2,533</w:t>
            </w:r>
          </w:p>
        </w:tc>
        <w:tc>
          <w:tcPr>
            <w:tcW w:type="dxa" w:w="1037"/>
          </w:tcPr>
          <w:p>
            <w:pPr>
              <w:spacing w:after="20"/>
              <w:jc w:val="right"/>
            </w:pPr>
            <w:r>
              <w:rPr>
                <w:color w:val="1C3A36"/>
                <w:sz w:val="15"/>
              </w:rPr>
              <w:t>1,915</w:t>
            </w:r>
          </w:p>
        </w:tc>
        <w:tc>
          <w:tcPr>
            <w:tcW w:type="dxa" w:w="1037"/>
          </w:tcPr>
          <w:p>
            <w:pPr>
              <w:spacing w:after="20"/>
              <w:jc w:val="right"/>
            </w:pPr>
            <w:r>
              <w:rPr>
                <w:color w:val="1C3A36"/>
                <w:sz w:val="15"/>
              </w:rPr>
              <w:t>2,036</w:t>
            </w:r>
          </w:p>
        </w:tc>
        <w:tc>
          <w:tcPr>
            <w:tcW w:type="dxa" w:w="1037"/>
          </w:tcPr>
          <w:p>
            <w:pPr>
              <w:spacing w:after="20"/>
              <w:jc w:val="right"/>
            </w:pPr>
            <w:r>
              <w:rPr>
                <w:color w:val="1C3A36"/>
                <w:sz w:val="15"/>
              </w:rPr>
              <w:t>2,374</w:t>
            </w:r>
          </w:p>
        </w:tc>
        <w:tc>
          <w:tcPr>
            <w:tcW w:type="dxa" w:w="1037"/>
          </w:tcPr>
          <w:p>
            <w:pPr>
              <w:spacing w:after="20"/>
              <w:jc w:val="right"/>
            </w:pPr>
            <w:r>
              <w:rPr>
                <w:color w:val="1C3A36"/>
                <w:sz w:val="15"/>
              </w:rPr>
              <w:t>2,735</w:t>
            </w:r>
          </w:p>
        </w:tc>
      </w:tr>
      <w:tr>
        <w:tc>
          <w:tcPr>
            <w:tcW w:type="dxa" w:w="2477"/>
          </w:tcPr>
          <w:p>
            <w:pPr>
              <w:spacing w:after="20"/>
            </w:pPr>
            <w:r>
              <w:rPr>
                <w:color w:val="1C3A36"/>
                <w:sz w:val="15"/>
              </w:rPr>
              <w:t>Inventories</w:t>
            </w:r>
          </w:p>
        </w:tc>
        <w:tc>
          <w:tcPr>
            <w:tcW w:type="dxa" w:w="1037"/>
          </w:tcPr>
          <w:p>
            <w:pPr>
              <w:spacing w:after="20"/>
              <w:jc w:val="right"/>
            </w:pPr>
            <w:r>
              <w:rPr>
                <w:color w:val="1C3A36"/>
                <w:sz w:val="15"/>
              </w:rPr>
              <w:t>2,242</w:t>
            </w:r>
          </w:p>
        </w:tc>
        <w:tc>
          <w:tcPr>
            <w:tcW w:type="dxa" w:w="1037"/>
          </w:tcPr>
          <w:p>
            <w:pPr>
              <w:spacing w:after="20"/>
              <w:jc w:val="right"/>
            </w:pPr>
            <w:r>
              <w:rPr>
                <w:color w:val="1C3A36"/>
                <w:sz w:val="15"/>
              </w:rPr>
              <w:t>3,585</w:t>
            </w:r>
          </w:p>
        </w:tc>
        <w:tc>
          <w:tcPr>
            <w:tcW w:type="dxa" w:w="1037"/>
          </w:tcPr>
          <w:p>
            <w:pPr>
              <w:spacing w:after="20"/>
              <w:jc w:val="right"/>
            </w:pPr>
            <w:r>
              <w:rPr>
                <w:color w:val="1C3A36"/>
                <w:sz w:val="15"/>
              </w:rPr>
              <w:t>3,887</w:t>
            </w:r>
          </w:p>
        </w:tc>
        <w:tc>
          <w:tcPr>
            <w:tcW w:type="dxa" w:w="1037"/>
          </w:tcPr>
          <w:p>
            <w:pPr>
              <w:spacing w:after="20"/>
              <w:jc w:val="right"/>
            </w:pPr>
            <w:r>
              <w:rPr>
                <w:color w:val="1C3A36"/>
                <w:sz w:val="15"/>
              </w:rPr>
              <w:t>4,593</w:t>
            </w:r>
          </w:p>
        </w:tc>
        <w:tc>
          <w:tcPr>
            <w:tcW w:type="dxa" w:w="1037"/>
          </w:tcPr>
          <w:p>
            <w:pPr>
              <w:spacing w:after="20"/>
              <w:jc w:val="right"/>
            </w:pPr>
            <w:r>
              <w:rPr>
                <w:color w:val="1C3A36"/>
                <w:sz w:val="15"/>
              </w:rPr>
              <w:t>5,263</w:t>
            </w:r>
          </w:p>
        </w:tc>
        <w:tc>
          <w:tcPr>
            <w:tcW w:type="dxa" w:w="1037"/>
          </w:tcPr>
          <w:p>
            <w:pPr>
              <w:spacing w:after="20"/>
              <w:jc w:val="right"/>
            </w:pPr>
            <w:r>
              <w:rPr>
                <w:color w:val="1C3A36"/>
                <w:sz w:val="15"/>
              </w:rPr>
              <w:t>5,837</w:t>
            </w:r>
          </w:p>
        </w:tc>
        <w:tc>
          <w:tcPr>
            <w:tcW w:type="dxa" w:w="1037"/>
          </w:tcPr>
          <w:p>
            <w:pPr>
              <w:spacing w:after="20"/>
              <w:jc w:val="right"/>
            </w:pPr>
            <w:r>
              <w:rPr>
                <w:color w:val="1C3A36"/>
                <w:sz w:val="15"/>
              </w:rPr>
              <w:t>6,439</w:t>
            </w:r>
          </w:p>
        </w:tc>
        <w:tc>
          <w:tcPr>
            <w:tcW w:type="dxa" w:w="1037"/>
          </w:tcPr>
          <w:p>
            <w:pPr>
              <w:spacing w:after="20"/>
              <w:jc w:val="right"/>
            </w:pPr>
            <w:r>
              <w:rPr>
                <w:color w:val="1C3A36"/>
                <w:sz w:val="15"/>
              </w:rPr>
              <w:t>7,011</w:t>
            </w:r>
          </w:p>
        </w:tc>
      </w:tr>
      <w:tr>
        <w:tc>
          <w:tcPr>
            <w:tcW w:type="dxa" w:w="2477"/>
          </w:tcPr>
          <w:p>
            <w:pPr>
              <w:spacing w:after="20"/>
            </w:pPr>
            <w:r>
              <w:rPr>
                <w:color w:val="1C3A36"/>
                <w:sz w:val="15"/>
              </w:rPr>
              <w:t>Trade receivables</w:t>
            </w:r>
          </w:p>
        </w:tc>
        <w:tc>
          <w:tcPr>
            <w:tcW w:type="dxa" w:w="1037"/>
          </w:tcPr>
          <w:p>
            <w:pPr>
              <w:spacing w:after="20"/>
              <w:jc w:val="right"/>
            </w:pPr>
            <w:r>
              <w:rPr>
                <w:color w:val="1C3A36"/>
                <w:sz w:val="15"/>
              </w:rPr>
              <w:t>2,358</w:t>
            </w:r>
          </w:p>
        </w:tc>
        <w:tc>
          <w:tcPr>
            <w:tcW w:type="dxa" w:w="1037"/>
          </w:tcPr>
          <w:p>
            <w:pPr>
              <w:spacing w:after="20"/>
              <w:jc w:val="right"/>
            </w:pPr>
            <w:r>
              <w:rPr>
                <w:color w:val="1C3A36"/>
                <w:sz w:val="15"/>
              </w:rPr>
              <w:t>3,049</w:t>
            </w:r>
          </w:p>
        </w:tc>
        <w:tc>
          <w:tcPr>
            <w:tcW w:type="dxa" w:w="1037"/>
          </w:tcPr>
          <w:p>
            <w:pPr>
              <w:spacing w:after="20"/>
              <w:jc w:val="right"/>
            </w:pPr>
            <w:r>
              <w:rPr>
                <w:color w:val="1C3A36"/>
                <w:sz w:val="15"/>
              </w:rPr>
              <w:t>3,325</w:t>
            </w:r>
          </w:p>
        </w:tc>
        <w:tc>
          <w:tcPr>
            <w:tcW w:type="dxa" w:w="1037"/>
          </w:tcPr>
          <w:p>
            <w:pPr>
              <w:spacing w:after="20"/>
              <w:jc w:val="right"/>
            </w:pPr>
            <w:r>
              <w:rPr>
                <w:color w:val="1C3A36"/>
                <w:sz w:val="15"/>
              </w:rPr>
              <w:t>3,829</w:t>
            </w:r>
          </w:p>
        </w:tc>
        <w:tc>
          <w:tcPr>
            <w:tcW w:type="dxa" w:w="1037"/>
          </w:tcPr>
          <w:p>
            <w:pPr>
              <w:spacing w:after="20"/>
              <w:jc w:val="right"/>
            </w:pPr>
            <w:r>
              <w:rPr>
                <w:color w:val="1C3A36"/>
                <w:sz w:val="15"/>
              </w:rPr>
              <w:t>4,326</w:t>
            </w:r>
          </w:p>
        </w:tc>
        <w:tc>
          <w:tcPr>
            <w:tcW w:type="dxa" w:w="1037"/>
          </w:tcPr>
          <w:p>
            <w:pPr>
              <w:spacing w:after="20"/>
              <w:jc w:val="right"/>
            </w:pPr>
            <w:r>
              <w:rPr>
                <w:color w:val="1C3A36"/>
                <w:sz w:val="15"/>
              </w:rPr>
              <w:t>4,806</w:t>
            </w:r>
          </w:p>
        </w:tc>
        <w:tc>
          <w:tcPr>
            <w:tcW w:type="dxa" w:w="1037"/>
          </w:tcPr>
          <w:p>
            <w:pPr>
              <w:spacing w:after="20"/>
              <w:jc w:val="right"/>
            </w:pPr>
            <w:r>
              <w:rPr>
                <w:color w:val="1C3A36"/>
                <w:sz w:val="15"/>
              </w:rPr>
              <w:t>5,299</w:t>
            </w:r>
          </w:p>
        </w:tc>
        <w:tc>
          <w:tcPr>
            <w:tcW w:type="dxa" w:w="1037"/>
          </w:tcPr>
          <w:p>
            <w:pPr>
              <w:spacing w:after="20"/>
              <w:jc w:val="right"/>
            </w:pPr>
            <w:r>
              <w:rPr>
                <w:color w:val="1C3A36"/>
                <w:sz w:val="15"/>
              </w:rPr>
              <w:t>5,743</w:t>
            </w:r>
          </w:p>
        </w:tc>
      </w:tr>
      <w:tr>
        <w:tc>
          <w:tcPr>
            <w:tcW w:type="dxa" w:w="2477"/>
          </w:tcPr>
          <w:p>
            <w:pPr>
              <w:spacing w:after="20"/>
            </w:pPr>
            <w:r>
              <w:rPr>
                <w:color w:val="1C3A36"/>
                <w:sz w:val="15"/>
              </w:rPr>
              <w:t>Cash and bank balances</w:t>
            </w:r>
          </w:p>
        </w:tc>
        <w:tc>
          <w:tcPr>
            <w:tcW w:type="dxa" w:w="1037"/>
          </w:tcPr>
          <w:p>
            <w:pPr>
              <w:spacing w:after="20"/>
              <w:jc w:val="right"/>
            </w:pPr>
            <w:r>
              <w:rPr>
                <w:color w:val="1C3A36"/>
                <w:sz w:val="15"/>
              </w:rPr>
              <w:t>676</w:t>
            </w:r>
          </w:p>
        </w:tc>
        <w:tc>
          <w:tcPr>
            <w:tcW w:type="dxa" w:w="1037"/>
          </w:tcPr>
          <w:p>
            <w:pPr>
              <w:spacing w:after="20"/>
              <w:jc w:val="right"/>
            </w:pPr>
            <w:r>
              <w:rPr>
                <w:color w:val="1C3A36"/>
                <w:sz w:val="15"/>
              </w:rPr>
              <w:t>1,295</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c>
          <w:tcPr>
            <w:tcW w:type="dxa" w:w="1037"/>
          </w:tcPr>
          <w:p>
            <w:pPr>
              <w:spacing w:after="20"/>
              <w:jc w:val="right"/>
            </w:pPr>
            <w:r>
              <w:rPr>
                <w:color w:val="1C3A36"/>
                <w:sz w:val="15"/>
              </w:rPr>
              <w:t>1,433</w:t>
            </w:r>
          </w:p>
        </w:tc>
      </w:tr>
      <w:tr>
        <w:tc>
          <w:tcPr>
            <w:tcW w:type="dxa" w:w="2477"/>
          </w:tcPr>
          <w:p>
            <w:pPr>
              <w:spacing w:after="20"/>
            </w:pPr>
            <w:r>
              <w:rPr>
                <w:color w:val="1C3A36"/>
                <w:sz w:val="15"/>
              </w:rPr>
              <w:t>Trade payables</w:t>
            </w:r>
          </w:p>
        </w:tc>
        <w:tc>
          <w:tcPr>
            <w:tcW w:type="dxa" w:w="1037"/>
          </w:tcPr>
          <w:p>
            <w:pPr>
              <w:spacing w:after="20"/>
              <w:jc w:val="right"/>
            </w:pPr>
            <w:r>
              <w:rPr>
                <w:color w:val="1C3A36"/>
                <w:sz w:val="15"/>
              </w:rPr>
              <w:t>176</w:t>
            </w:r>
          </w:p>
        </w:tc>
        <w:tc>
          <w:tcPr>
            <w:tcW w:type="dxa" w:w="1037"/>
          </w:tcPr>
          <w:p>
            <w:pPr>
              <w:spacing w:after="20"/>
              <w:jc w:val="right"/>
            </w:pPr>
            <w:r>
              <w:rPr>
                <w:color w:val="1C3A36"/>
                <w:sz w:val="15"/>
              </w:rPr>
              <w:t>410</w:t>
            </w:r>
          </w:p>
        </w:tc>
        <w:tc>
          <w:tcPr>
            <w:tcW w:type="dxa" w:w="1037"/>
          </w:tcPr>
          <w:p>
            <w:pPr>
              <w:spacing w:after="20"/>
              <w:jc w:val="right"/>
            </w:pPr>
            <w:r>
              <w:rPr>
                <w:color w:val="1C3A36"/>
                <w:sz w:val="15"/>
              </w:rPr>
              <w:t>780</w:t>
            </w:r>
          </w:p>
        </w:tc>
        <w:tc>
          <w:tcPr>
            <w:tcW w:type="dxa" w:w="1037"/>
          </w:tcPr>
          <w:p>
            <w:pPr>
              <w:spacing w:after="20"/>
              <w:jc w:val="right"/>
            </w:pPr>
            <w:r>
              <w:rPr>
                <w:color w:val="1C3A36"/>
                <w:sz w:val="15"/>
              </w:rPr>
              <w:t>953</w:t>
            </w:r>
          </w:p>
        </w:tc>
        <w:tc>
          <w:tcPr>
            <w:tcW w:type="dxa" w:w="1037"/>
          </w:tcPr>
          <w:p>
            <w:pPr>
              <w:spacing w:after="20"/>
              <w:jc w:val="right"/>
            </w:pPr>
            <w:r>
              <w:rPr>
                <w:color w:val="1C3A36"/>
                <w:sz w:val="15"/>
              </w:rPr>
              <w:t>1,142</w:t>
            </w:r>
          </w:p>
        </w:tc>
        <w:tc>
          <w:tcPr>
            <w:tcW w:type="dxa" w:w="1037"/>
          </w:tcPr>
          <w:p>
            <w:pPr>
              <w:spacing w:after="20"/>
              <w:jc w:val="right"/>
            </w:pPr>
            <w:r>
              <w:rPr>
                <w:color w:val="1C3A36"/>
                <w:sz w:val="15"/>
              </w:rPr>
              <w:t>1,331</w:t>
            </w:r>
          </w:p>
        </w:tc>
        <w:tc>
          <w:tcPr>
            <w:tcW w:type="dxa" w:w="1037"/>
          </w:tcPr>
          <w:p>
            <w:pPr>
              <w:spacing w:after="20"/>
              <w:jc w:val="right"/>
            </w:pPr>
            <w:r>
              <w:rPr>
                <w:color w:val="1C3A36"/>
                <w:sz w:val="15"/>
              </w:rPr>
              <w:t>1,524</w:t>
            </w:r>
          </w:p>
        </w:tc>
        <w:tc>
          <w:tcPr>
            <w:tcW w:type="dxa" w:w="1037"/>
          </w:tcPr>
          <w:p>
            <w:pPr>
              <w:spacing w:after="20"/>
              <w:jc w:val="right"/>
            </w:pPr>
            <w:r>
              <w:rPr>
                <w:color w:val="1C3A36"/>
                <w:sz w:val="15"/>
              </w:rPr>
              <w:t>1,694</w:t>
            </w:r>
          </w:p>
        </w:tc>
      </w:tr>
      <w:tr>
        <w:tc>
          <w:tcPr>
            <w:tcW w:type="dxa" w:w="2477"/>
          </w:tcPr>
          <w:p>
            <w:pPr>
              <w:spacing w:after="20"/>
            </w:pPr>
            <w:r>
              <w:rPr>
                <w:color w:val="1C3A36"/>
                <w:sz w:val="15"/>
              </w:rPr>
              <w:t>Gross borrowings</w:t>
            </w:r>
          </w:p>
        </w:tc>
        <w:tc>
          <w:tcPr>
            <w:tcW w:type="dxa" w:w="1037"/>
          </w:tcPr>
          <w:p>
            <w:pPr>
              <w:spacing w:after="20"/>
              <w:jc w:val="right"/>
            </w:pPr>
            <w:r>
              <w:rPr>
                <w:color w:val="1C3A36"/>
                <w:sz w:val="15"/>
              </w:rPr>
              <w:t>4,880</w:t>
            </w:r>
          </w:p>
        </w:tc>
        <w:tc>
          <w:tcPr>
            <w:tcW w:type="dxa" w:w="1037"/>
          </w:tcPr>
          <w:p>
            <w:pPr>
              <w:spacing w:after="20"/>
              <w:jc w:val="right"/>
            </w:pPr>
            <w:r>
              <w:rPr>
                <w:color w:val="1C3A36"/>
                <w:sz w:val="15"/>
              </w:rPr>
              <w:t>9,200</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c>
          <w:tcPr>
            <w:tcW w:type="dxa" w:w="1037"/>
          </w:tcPr>
          <w:p>
            <w:pPr>
              <w:spacing w:after="20"/>
              <w:jc w:val="right"/>
            </w:pPr>
            <w:r>
              <w:rPr>
                <w:color w:val="1C3A36"/>
                <w:sz w:val="15"/>
              </w:rPr>
              <w:t>8,798</w:t>
            </w:r>
          </w:p>
        </w:tc>
      </w:tr>
      <w:tr>
        <w:tc>
          <w:tcPr>
            <w:tcW w:type="dxa" w:w="2477"/>
          </w:tcPr>
          <w:p>
            <w:pPr>
              <w:spacing w:after="20"/>
            </w:pPr>
            <w:r>
              <w:rPr>
                <w:color w:val="1C3A36"/>
                <w:sz w:val="15"/>
              </w:rPr>
              <w:t>Equity attributable to shareholders</w:t>
            </w:r>
          </w:p>
        </w:tc>
        <w:tc>
          <w:tcPr>
            <w:tcW w:type="dxa" w:w="1037"/>
          </w:tcPr>
          <w:p>
            <w:pPr>
              <w:spacing w:after="20"/>
              <w:jc w:val="right"/>
            </w:pPr>
            <w:r>
              <w:rPr>
                <w:color w:val="1C3A36"/>
                <w:sz w:val="15"/>
              </w:rPr>
              <w:t>4,257</w:t>
            </w:r>
          </w:p>
        </w:tc>
        <w:tc>
          <w:tcPr>
            <w:tcW w:type="dxa" w:w="1037"/>
          </w:tcPr>
          <w:p>
            <w:pPr>
              <w:spacing w:after="20"/>
              <w:jc w:val="right"/>
            </w:pPr>
            <w:r>
              <w:rPr>
                <w:color w:val="1C3A36"/>
                <w:sz w:val="15"/>
              </w:rPr>
              <w:t>4,654</w:t>
            </w:r>
          </w:p>
        </w:tc>
        <w:tc>
          <w:tcPr>
            <w:tcW w:type="dxa" w:w="1037"/>
          </w:tcPr>
          <w:p>
            <w:pPr>
              <w:spacing w:after="20"/>
              <w:jc w:val="right"/>
            </w:pPr>
            <w:r>
              <w:rPr>
                <w:color w:val="1C3A36"/>
                <w:sz w:val="15"/>
              </w:rPr>
              <w:t>6,243</w:t>
            </w:r>
          </w:p>
        </w:tc>
        <w:tc>
          <w:tcPr>
            <w:tcW w:type="dxa" w:w="1037"/>
          </w:tcPr>
          <w:p>
            <w:pPr>
              <w:spacing w:after="20"/>
              <w:jc w:val="right"/>
            </w:pPr>
            <w:r>
              <w:rPr>
                <w:color w:val="1C3A36"/>
                <w:sz w:val="15"/>
              </w:rPr>
              <w:t>6,912</w:t>
            </w:r>
          </w:p>
        </w:tc>
        <w:tc>
          <w:tcPr>
            <w:tcW w:type="dxa" w:w="1037"/>
          </w:tcPr>
          <w:p>
            <w:pPr>
              <w:spacing w:after="20"/>
              <w:jc w:val="right"/>
            </w:pPr>
            <w:r>
              <w:rPr>
                <w:color w:val="1C3A36"/>
                <w:sz w:val="15"/>
              </w:rPr>
              <w:t>7,799</w:t>
            </w:r>
          </w:p>
        </w:tc>
        <w:tc>
          <w:tcPr>
            <w:tcW w:type="dxa" w:w="1037"/>
          </w:tcPr>
          <w:p>
            <w:pPr>
              <w:spacing w:after="20"/>
              <w:jc w:val="right"/>
            </w:pPr>
            <w:r>
              <w:rPr>
                <w:color w:val="1C3A36"/>
                <w:sz w:val="15"/>
              </w:rPr>
              <w:t>8,969</w:t>
            </w:r>
          </w:p>
        </w:tc>
        <w:tc>
          <w:tcPr>
            <w:tcW w:type="dxa" w:w="1037"/>
          </w:tcPr>
          <w:p>
            <w:pPr>
              <w:spacing w:after="20"/>
              <w:jc w:val="right"/>
            </w:pPr>
            <w:r>
              <w:rPr>
                <w:color w:val="1C3A36"/>
                <w:sz w:val="15"/>
              </w:rPr>
              <w:t>10,425</w:t>
            </w:r>
          </w:p>
        </w:tc>
        <w:tc>
          <w:tcPr>
            <w:tcW w:type="dxa" w:w="1037"/>
          </w:tcPr>
          <w:p>
            <w:pPr>
              <w:spacing w:after="20"/>
              <w:jc w:val="right"/>
            </w:pPr>
            <w:r>
              <w:rPr>
                <w:color w:val="1C3A36"/>
                <w:sz w:val="15"/>
              </w:rPr>
              <w:t>12,146</w:t>
            </w:r>
          </w:p>
        </w:tc>
      </w:tr>
      <w:tr>
        <w:tc>
          <w:tcPr>
            <w:tcW w:type="dxa" w:w="2477"/>
            <w:shd w:val="clear" w:color="auto" w:fill="F6F1E6"/>
          </w:tcPr>
          <w:p>
            <w:pPr>
              <w:spacing w:after="20"/>
            </w:pPr>
            <w:r>
              <w:rPr>
                <w:b/>
                <w:color w:val="1C3A36"/>
                <w:sz w:val="15"/>
              </w:rPr>
              <w:t>Book value per share (EGP)</w:t>
            </w:r>
          </w:p>
        </w:tc>
        <w:tc>
          <w:tcPr>
            <w:tcW w:type="dxa" w:w="1037"/>
            <w:shd w:val="clear" w:color="auto" w:fill="F6F1E6"/>
          </w:tcPr>
          <w:p>
            <w:pPr>
              <w:spacing w:after="20"/>
              <w:jc w:val="right"/>
            </w:pPr>
            <w:r>
              <w:rPr>
                <w:b/>
                <w:color w:val="1C3A36"/>
                <w:sz w:val="15"/>
              </w:rPr>
              <w:t>28.62</w:t>
            </w:r>
          </w:p>
        </w:tc>
        <w:tc>
          <w:tcPr>
            <w:tcW w:type="dxa" w:w="1037"/>
            <w:shd w:val="clear" w:color="auto" w:fill="F6F1E6"/>
          </w:tcPr>
          <w:p>
            <w:pPr>
              <w:spacing w:after="20"/>
              <w:jc w:val="right"/>
            </w:pPr>
            <w:r>
              <w:rPr>
                <w:b/>
                <w:color w:val="1C3A36"/>
                <w:sz w:val="15"/>
              </w:rPr>
              <w:t>31.28</w:t>
            </w:r>
          </w:p>
        </w:tc>
        <w:tc>
          <w:tcPr>
            <w:tcW w:type="dxa" w:w="1037"/>
            <w:shd w:val="clear" w:color="auto" w:fill="F6F1E6"/>
          </w:tcPr>
          <w:p>
            <w:pPr>
              <w:spacing w:after="20"/>
              <w:jc w:val="right"/>
            </w:pPr>
            <w:r>
              <w:rPr>
                <w:b/>
                <w:color w:val="1C3A36"/>
                <w:sz w:val="15"/>
              </w:rPr>
              <w:t>37.00</w:t>
            </w:r>
          </w:p>
        </w:tc>
        <w:tc>
          <w:tcPr>
            <w:tcW w:type="dxa" w:w="1037"/>
            <w:shd w:val="clear" w:color="auto" w:fill="F6F1E6"/>
          </w:tcPr>
          <w:p>
            <w:pPr>
              <w:spacing w:after="20"/>
              <w:jc w:val="right"/>
            </w:pPr>
            <w:r>
              <w:rPr>
                <w:b/>
                <w:color w:val="1C3A36"/>
                <w:sz w:val="15"/>
              </w:rPr>
              <w:t>40.96</w:t>
            </w:r>
          </w:p>
        </w:tc>
        <w:tc>
          <w:tcPr>
            <w:tcW w:type="dxa" w:w="1037"/>
            <w:shd w:val="clear" w:color="auto" w:fill="F6F1E6"/>
          </w:tcPr>
          <w:p>
            <w:pPr>
              <w:spacing w:after="20"/>
              <w:jc w:val="right"/>
            </w:pPr>
            <w:r>
              <w:rPr>
                <w:b/>
                <w:color w:val="1C3A36"/>
                <w:sz w:val="15"/>
              </w:rPr>
              <w:t>46.21</w:t>
            </w:r>
          </w:p>
        </w:tc>
        <w:tc>
          <w:tcPr>
            <w:tcW w:type="dxa" w:w="1037"/>
            <w:shd w:val="clear" w:color="auto" w:fill="F6F1E6"/>
          </w:tcPr>
          <w:p>
            <w:pPr>
              <w:spacing w:after="20"/>
              <w:jc w:val="right"/>
            </w:pPr>
            <w:r>
              <w:rPr>
                <w:b/>
                <w:color w:val="1C3A36"/>
                <w:sz w:val="15"/>
              </w:rPr>
              <w:t>53.15</w:t>
            </w:r>
          </w:p>
        </w:tc>
        <w:tc>
          <w:tcPr>
            <w:tcW w:type="dxa" w:w="1037"/>
            <w:shd w:val="clear" w:color="auto" w:fill="F6F1E6"/>
          </w:tcPr>
          <w:p>
            <w:pPr>
              <w:spacing w:after="20"/>
              <w:jc w:val="right"/>
            </w:pPr>
            <w:r>
              <w:rPr>
                <w:b/>
                <w:color w:val="1C3A36"/>
                <w:sz w:val="15"/>
              </w:rPr>
              <w:t>61.78</w:t>
            </w:r>
          </w:p>
        </w:tc>
        <w:tc>
          <w:tcPr>
            <w:tcW w:type="dxa" w:w="1037"/>
            <w:shd w:val="clear" w:color="auto" w:fill="F6F1E6"/>
          </w:tcPr>
          <w:p>
            <w:pPr>
              <w:spacing w:after="20"/>
              <w:jc w:val="right"/>
            </w:pPr>
            <w:r>
              <w:rPr>
                <w:b/>
                <w:color w:val="1C3A36"/>
                <w:sz w:val="15"/>
              </w:rPr>
              <w:t>71.97</w:t>
            </w:r>
          </w:p>
        </w:tc>
      </w:tr>
    </w:tbl>
    <w:p>
      <w:pPr>
        <w:spacing w:after="40"/>
      </w:pPr>
    </w:p>
    <w:p>
      <w:pPr>
        <w:spacing w:after="200" w:before="0"/>
      </w:pPr>
      <w:r>
        <w:rPr>
          <w:b w:val="0"/>
          <w:i/>
          <w:color w:val="6E7B77"/>
          <w:sz w:val="17"/>
        </w:rPr>
        <w:t>Table 18 — the balance sheet. The property and construction lines roll forward on the transfer schedule; working capital is projected from the disclosed day ratios.</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656"/>
        <w:gridCol w:w="1224"/>
        <w:gridCol w:w="1224"/>
        <w:gridCol w:w="1224"/>
        <w:gridCol w:w="1224"/>
        <w:gridCol w:w="1224"/>
      </w:tblGrid>
      <w:tr>
        <w:tc>
          <w:tcPr>
            <w:tcW w:type="dxa" w:w="2736"/>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FY2025 audited</w:t>
            </w:r>
          </w:p>
        </w:tc>
        <w:tc>
          <w:tcPr>
            <w:tcW w:type="dxa" w:w="1224"/>
            <w:shd w:val="clear" w:color="auto" w:fill="EAF0EE"/>
          </w:tcPr>
          <w:p>
            <w:pPr>
              <w:spacing w:after="20"/>
            </w:pPr>
            <w:r>
              <w:rPr>
                <w:b/>
                <w:color w:val="1C3A36"/>
                <w:sz w:val="16"/>
              </w:rPr>
              <w:t>FY2026E</w:t>
            </w:r>
          </w:p>
        </w:tc>
        <w:tc>
          <w:tcPr>
            <w:tcW w:type="dxa" w:w="1224"/>
            <w:shd w:val="clear" w:color="auto" w:fill="EAF0EE"/>
          </w:tcPr>
          <w:p>
            <w:pPr>
              <w:spacing w:after="20"/>
            </w:pPr>
            <w:r>
              <w:rPr>
                <w:b/>
                <w:color w:val="1C3A36"/>
                <w:sz w:val="16"/>
              </w:rPr>
              <w:t>FY2027E</w:t>
            </w:r>
          </w:p>
        </w:tc>
        <w:tc>
          <w:tcPr>
            <w:tcW w:type="dxa" w:w="1224"/>
            <w:shd w:val="clear" w:color="auto" w:fill="EAF0EE"/>
          </w:tcPr>
          <w:p>
            <w:pPr>
              <w:spacing w:after="20"/>
            </w:pPr>
            <w:r>
              <w:rPr>
                <w:b/>
                <w:color w:val="1C3A36"/>
                <w:sz w:val="16"/>
              </w:rPr>
              <w:t>FY2028E</w:t>
            </w:r>
          </w:p>
        </w:tc>
        <w:tc>
          <w:tcPr>
            <w:tcW w:type="dxa" w:w="1224"/>
            <w:shd w:val="clear" w:color="auto" w:fill="EAF0EE"/>
          </w:tcPr>
          <w:p>
            <w:pPr>
              <w:spacing w:after="20"/>
            </w:pPr>
            <w:r>
              <w:rPr>
                <w:b/>
                <w:color w:val="1C3A36"/>
                <w:sz w:val="16"/>
              </w:rPr>
              <w:t>FY2029E</w:t>
            </w:r>
          </w:p>
        </w:tc>
        <w:tc>
          <w:tcPr>
            <w:tcW w:type="dxa" w:w="1224"/>
            <w:shd w:val="clear" w:color="auto" w:fill="EAF0EE"/>
          </w:tcPr>
          <w:p>
            <w:pPr>
              <w:spacing w:after="20"/>
            </w:pPr>
            <w:r>
              <w:rPr>
                <w:b/>
                <w:color w:val="1C3A36"/>
                <w:sz w:val="16"/>
              </w:rPr>
              <w:t>FY2030E</w:t>
            </w:r>
          </w:p>
        </w:tc>
      </w:tr>
      <w:tr>
        <w:tc>
          <w:tcPr>
            <w:tcW w:type="dxa" w:w="2736"/>
          </w:tcPr>
          <w:p>
            <w:pPr>
              <w:spacing w:after="20"/>
            </w:pPr>
            <w:r>
              <w:rPr>
                <w:color w:val="1C3A36"/>
                <w:sz w:val="16"/>
              </w:rPr>
              <w:t>Inventory days</w:t>
            </w:r>
          </w:p>
        </w:tc>
        <w:tc>
          <w:tcPr>
            <w:tcW w:type="dxa" w:w="1656"/>
          </w:tcPr>
          <w:p>
            <w:pPr>
              <w:spacing w:after="20"/>
              <w:jc w:val="right"/>
            </w:pPr>
            <w:r>
              <w:rPr>
                <w:color w:val="1C3A36"/>
                <w:sz w:val="16"/>
              </w:rPr>
              <w:t>268</w:t>
            </w:r>
          </w:p>
        </w:tc>
        <w:tc>
          <w:tcPr>
            <w:tcW w:type="dxa" w:w="1224"/>
          </w:tcPr>
          <w:p>
            <w:pPr>
              <w:spacing w:after="20"/>
              <w:jc w:val="right"/>
            </w:pPr>
            <w:r>
              <w:rPr>
                <w:color w:val="1C3A36"/>
                <w:sz w:val="16"/>
              </w:rPr>
              <w:t>265</w:t>
            </w:r>
          </w:p>
        </w:tc>
        <w:tc>
          <w:tcPr>
            <w:tcW w:type="dxa" w:w="1224"/>
          </w:tcPr>
          <w:p>
            <w:pPr>
              <w:spacing w:after="20"/>
              <w:jc w:val="right"/>
            </w:pPr>
            <w:r>
              <w:rPr>
                <w:color w:val="1C3A36"/>
                <w:sz w:val="16"/>
              </w:rPr>
              <w:t>258</w:t>
            </w:r>
          </w:p>
        </w:tc>
        <w:tc>
          <w:tcPr>
            <w:tcW w:type="dxa" w:w="1224"/>
          </w:tcPr>
          <w:p>
            <w:pPr>
              <w:spacing w:after="20"/>
              <w:jc w:val="right"/>
            </w:pPr>
            <w:r>
              <w:rPr>
                <w:color w:val="1C3A36"/>
                <w:sz w:val="16"/>
              </w:rPr>
              <w:t>250</w:t>
            </w:r>
          </w:p>
        </w:tc>
        <w:tc>
          <w:tcPr>
            <w:tcW w:type="dxa" w:w="1224"/>
          </w:tcPr>
          <w:p>
            <w:pPr>
              <w:spacing w:after="20"/>
              <w:jc w:val="right"/>
            </w:pPr>
            <w:r>
              <w:rPr>
                <w:color w:val="1C3A36"/>
                <w:sz w:val="16"/>
              </w:rPr>
              <w:t>245</w:t>
            </w:r>
          </w:p>
        </w:tc>
        <w:tc>
          <w:tcPr>
            <w:tcW w:type="dxa" w:w="1224"/>
          </w:tcPr>
          <w:p>
            <w:pPr>
              <w:spacing w:after="20"/>
              <w:jc w:val="right"/>
            </w:pPr>
            <w:r>
              <w:rPr>
                <w:color w:val="1C3A36"/>
                <w:sz w:val="16"/>
              </w:rPr>
              <w:t>240</w:t>
            </w:r>
          </w:p>
        </w:tc>
      </w:tr>
      <w:tr>
        <w:tc>
          <w:tcPr>
            <w:tcW w:type="dxa" w:w="2736"/>
          </w:tcPr>
          <w:p>
            <w:pPr>
              <w:spacing w:after="20"/>
            </w:pPr>
            <w:r>
              <w:rPr>
                <w:color w:val="1C3A36"/>
                <w:sz w:val="16"/>
              </w:rPr>
              <w:t>Receivable days</w:t>
            </w:r>
          </w:p>
        </w:tc>
        <w:tc>
          <w:tcPr>
            <w:tcW w:type="dxa" w:w="1656"/>
          </w:tcPr>
          <w:p>
            <w:pPr>
              <w:spacing w:after="20"/>
              <w:jc w:val="right"/>
            </w:pPr>
            <w:r>
              <w:rPr>
                <w:color w:val="1C3A36"/>
                <w:sz w:val="16"/>
              </w:rPr>
              <w:t>129</w:t>
            </w:r>
          </w:p>
        </w:tc>
        <w:tc>
          <w:tcPr>
            <w:tcW w:type="dxa" w:w="1224"/>
          </w:tcPr>
          <w:p>
            <w:pPr>
              <w:spacing w:after="20"/>
              <w:jc w:val="right"/>
            </w:pPr>
            <w:r>
              <w:rPr>
                <w:color w:val="1C3A36"/>
                <w:sz w:val="16"/>
              </w:rPr>
              <w:t>126</w:t>
            </w:r>
          </w:p>
        </w:tc>
        <w:tc>
          <w:tcPr>
            <w:tcW w:type="dxa" w:w="1224"/>
          </w:tcPr>
          <w:p>
            <w:pPr>
              <w:spacing w:after="20"/>
              <w:jc w:val="right"/>
            </w:pPr>
            <w:r>
              <w:rPr>
                <w:color w:val="1C3A36"/>
                <w:sz w:val="16"/>
              </w:rPr>
              <w:t>122</w:t>
            </w:r>
          </w:p>
        </w:tc>
        <w:tc>
          <w:tcPr>
            <w:tcW w:type="dxa" w:w="1224"/>
          </w:tcPr>
          <w:p>
            <w:pPr>
              <w:spacing w:after="20"/>
              <w:jc w:val="right"/>
            </w:pPr>
            <w:r>
              <w:rPr>
                <w:color w:val="1C3A36"/>
                <w:sz w:val="16"/>
              </w:rPr>
              <w:t>118</w:t>
            </w:r>
          </w:p>
        </w:tc>
        <w:tc>
          <w:tcPr>
            <w:tcW w:type="dxa" w:w="1224"/>
          </w:tcPr>
          <w:p>
            <w:pPr>
              <w:spacing w:after="20"/>
              <w:jc w:val="right"/>
            </w:pPr>
            <w:r>
              <w:rPr>
                <w:color w:val="1C3A36"/>
                <w:sz w:val="16"/>
              </w:rPr>
              <w:t>115</w:t>
            </w:r>
          </w:p>
        </w:tc>
        <w:tc>
          <w:tcPr>
            <w:tcW w:type="dxa" w:w="1224"/>
          </w:tcPr>
          <w:p>
            <w:pPr>
              <w:spacing w:after="20"/>
              <w:jc w:val="right"/>
            </w:pPr>
            <w:r>
              <w:rPr>
                <w:color w:val="1C3A36"/>
                <w:sz w:val="16"/>
              </w:rPr>
              <w:t>112</w:t>
            </w:r>
          </w:p>
        </w:tc>
      </w:tr>
      <w:tr>
        <w:tc>
          <w:tcPr>
            <w:tcW w:type="dxa" w:w="2736"/>
          </w:tcPr>
          <w:p>
            <w:pPr>
              <w:spacing w:after="20"/>
            </w:pPr>
            <w:r>
              <w:rPr>
                <w:color w:val="1C3A36"/>
                <w:sz w:val="16"/>
              </w:rPr>
              <w:t>Payable days</w:t>
            </w:r>
          </w:p>
        </w:tc>
        <w:tc>
          <w:tcPr>
            <w:tcW w:type="dxa" w:w="1656"/>
          </w:tcPr>
          <w:p>
            <w:pPr>
              <w:spacing w:after="20"/>
              <w:jc w:val="right"/>
            </w:pPr>
            <w:r>
              <w:rPr>
                <w:color w:val="1C3A36"/>
                <w:sz w:val="16"/>
              </w:rPr>
              <w:t>54</w:t>
            </w:r>
          </w:p>
        </w:tc>
        <w:tc>
          <w:tcPr>
            <w:tcW w:type="dxa" w:w="1224"/>
          </w:tcPr>
          <w:p>
            <w:pPr>
              <w:spacing w:after="20"/>
              <w:jc w:val="right"/>
            </w:pPr>
            <w:r>
              <w:rPr>
                <w:color w:val="1C3A36"/>
                <w:sz w:val="16"/>
              </w:rPr>
              <w:t>55</w:t>
            </w:r>
          </w:p>
        </w:tc>
        <w:tc>
          <w:tcPr>
            <w:tcW w:type="dxa" w:w="1224"/>
          </w:tcPr>
          <w:p>
            <w:pPr>
              <w:spacing w:after="20"/>
              <w:jc w:val="right"/>
            </w:pPr>
            <w:r>
              <w:rPr>
                <w:color w:val="1C3A36"/>
                <w:sz w:val="16"/>
              </w:rPr>
              <w:t>56</w:t>
            </w:r>
          </w:p>
        </w:tc>
        <w:tc>
          <w:tcPr>
            <w:tcW w:type="dxa" w:w="1224"/>
          </w:tcPr>
          <w:p>
            <w:pPr>
              <w:spacing w:after="20"/>
              <w:jc w:val="right"/>
            </w:pPr>
            <w:r>
              <w:rPr>
                <w:color w:val="1C3A36"/>
                <w:sz w:val="16"/>
              </w:rPr>
              <w:t>57</w:t>
            </w:r>
          </w:p>
        </w:tc>
        <w:tc>
          <w:tcPr>
            <w:tcW w:type="dxa" w:w="1224"/>
          </w:tcPr>
          <w:p>
            <w:pPr>
              <w:spacing w:after="20"/>
              <w:jc w:val="right"/>
            </w:pPr>
            <w:r>
              <w:rPr>
                <w:color w:val="1C3A36"/>
                <w:sz w:val="16"/>
              </w:rPr>
              <w:t>58</w:t>
            </w:r>
          </w:p>
        </w:tc>
        <w:tc>
          <w:tcPr>
            <w:tcW w:type="dxa" w:w="1224"/>
          </w:tcPr>
          <w:p>
            <w:pPr>
              <w:spacing w:after="20"/>
              <w:jc w:val="right"/>
            </w:pPr>
            <w:r>
              <w:rPr>
                <w:color w:val="1C3A36"/>
                <w:sz w:val="16"/>
              </w:rPr>
              <w:t>58</w:t>
            </w:r>
          </w:p>
        </w:tc>
      </w:tr>
      <w:tr>
        <w:tc>
          <w:tcPr>
            <w:tcW w:type="dxa" w:w="2736"/>
          </w:tcPr>
          <w:p>
            <w:pPr>
              <w:spacing w:after="20"/>
            </w:pPr>
            <w:r>
              <w:rPr>
                <w:color w:val="1C3A36"/>
                <w:sz w:val="16"/>
              </w:rPr>
              <w:t>Cash conversion cycle</w:t>
            </w:r>
          </w:p>
        </w:tc>
        <w:tc>
          <w:tcPr>
            <w:tcW w:type="dxa" w:w="1656"/>
          </w:tcPr>
          <w:p>
            <w:pPr>
              <w:spacing w:after="20"/>
              <w:jc w:val="right"/>
            </w:pPr>
            <w:r>
              <w:rPr>
                <w:color w:val="1C3A36"/>
                <w:sz w:val="16"/>
              </w:rPr>
              <w:t>343</w:t>
            </w:r>
          </w:p>
        </w:tc>
        <w:tc>
          <w:tcPr>
            <w:tcW w:type="dxa" w:w="1224"/>
          </w:tcPr>
          <w:p>
            <w:pPr>
              <w:spacing w:after="20"/>
              <w:jc w:val="right"/>
            </w:pPr>
            <w:r>
              <w:rPr>
                <w:color w:val="1C3A36"/>
                <w:sz w:val="16"/>
              </w:rPr>
              <w:t>336</w:t>
            </w:r>
          </w:p>
        </w:tc>
        <w:tc>
          <w:tcPr>
            <w:tcW w:type="dxa" w:w="1224"/>
          </w:tcPr>
          <w:p>
            <w:pPr>
              <w:spacing w:after="20"/>
              <w:jc w:val="right"/>
            </w:pPr>
            <w:r>
              <w:rPr>
                <w:color w:val="1C3A36"/>
                <w:sz w:val="16"/>
              </w:rPr>
              <w:t>324</w:t>
            </w:r>
          </w:p>
        </w:tc>
        <w:tc>
          <w:tcPr>
            <w:tcW w:type="dxa" w:w="1224"/>
          </w:tcPr>
          <w:p>
            <w:pPr>
              <w:spacing w:after="20"/>
              <w:jc w:val="right"/>
            </w:pPr>
            <w:r>
              <w:rPr>
                <w:color w:val="1C3A36"/>
                <w:sz w:val="16"/>
              </w:rPr>
              <w:t>311</w:t>
            </w:r>
          </w:p>
        </w:tc>
        <w:tc>
          <w:tcPr>
            <w:tcW w:type="dxa" w:w="1224"/>
          </w:tcPr>
          <w:p>
            <w:pPr>
              <w:spacing w:after="20"/>
              <w:jc w:val="right"/>
            </w:pPr>
            <w:r>
              <w:rPr>
                <w:color w:val="1C3A36"/>
                <w:sz w:val="16"/>
              </w:rPr>
              <w:t>302</w:t>
            </w:r>
          </w:p>
        </w:tc>
        <w:tc>
          <w:tcPr>
            <w:tcW w:type="dxa" w:w="1224"/>
          </w:tcPr>
          <w:p>
            <w:pPr>
              <w:spacing w:after="20"/>
              <w:jc w:val="right"/>
            </w:pPr>
            <w:r>
              <w:rPr>
                <w:color w:val="1C3A36"/>
                <w:sz w:val="16"/>
              </w:rPr>
              <w:t>294</w:t>
            </w:r>
          </w:p>
        </w:tc>
      </w:tr>
      <w:tr>
        <w:tc>
          <w:tcPr>
            <w:tcW w:type="dxa" w:w="2736"/>
          </w:tcPr>
          <w:p>
            <w:pPr>
              <w:spacing w:after="20"/>
            </w:pPr>
            <w:r>
              <w:rPr>
                <w:color w:val="1C3A36"/>
                <w:sz w:val="16"/>
              </w:rPr>
              <w:t>Capital expenditure (EGP m)</w:t>
            </w:r>
          </w:p>
        </w:tc>
        <w:tc>
          <w:tcPr>
            <w:tcW w:type="dxa" w:w="1656"/>
          </w:tcPr>
          <w:p>
            <w:pPr>
              <w:spacing w:after="20"/>
              <w:jc w:val="right"/>
            </w:pPr>
            <w:r>
              <w:rPr>
                <w:color w:val="1C3A36"/>
                <w:sz w:val="16"/>
              </w:rPr>
              <w:t>1,355</w:t>
            </w:r>
          </w:p>
        </w:tc>
        <w:tc>
          <w:tcPr>
            <w:tcW w:type="dxa" w:w="1224"/>
          </w:tcPr>
          <w:p>
            <w:pPr>
              <w:spacing w:after="20"/>
              <w:jc w:val="right"/>
            </w:pPr>
            <w:r>
              <w:rPr>
                <w:color w:val="1C3A36"/>
                <w:sz w:val="16"/>
              </w:rPr>
              <w:t>832</w:t>
            </w:r>
          </w:p>
        </w:tc>
        <w:tc>
          <w:tcPr>
            <w:tcW w:type="dxa" w:w="1224"/>
          </w:tcPr>
          <w:p>
            <w:pPr>
              <w:spacing w:after="20"/>
              <w:jc w:val="right"/>
            </w:pPr>
            <w:r>
              <w:rPr>
                <w:color w:val="1C3A36"/>
                <w:sz w:val="16"/>
              </w:rPr>
              <w:t>582</w:t>
            </w:r>
          </w:p>
        </w:tc>
        <w:tc>
          <w:tcPr>
            <w:tcW w:type="dxa" w:w="1224"/>
          </w:tcPr>
          <w:p>
            <w:pPr>
              <w:spacing w:after="20"/>
              <w:jc w:val="right"/>
            </w:pPr>
            <w:r>
              <w:rPr>
                <w:color w:val="1C3A36"/>
                <w:sz w:val="16"/>
              </w:rPr>
              <w:t>520</w:t>
            </w:r>
          </w:p>
        </w:tc>
        <w:tc>
          <w:tcPr>
            <w:tcW w:type="dxa" w:w="1224"/>
          </w:tcPr>
          <w:p>
            <w:pPr>
              <w:spacing w:after="20"/>
              <w:jc w:val="right"/>
            </w:pPr>
            <w:r>
              <w:rPr>
                <w:color w:val="1C3A36"/>
                <w:sz w:val="16"/>
              </w:rPr>
              <w:t>538</w:t>
            </w:r>
          </w:p>
        </w:tc>
        <w:tc>
          <w:tcPr>
            <w:tcW w:type="dxa" w:w="1224"/>
          </w:tcPr>
          <w:p>
            <w:pPr>
              <w:spacing w:after="20"/>
              <w:jc w:val="right"/>
            </w:pPr>
            <w:r>
              <w:rPr>
                <w:color w:val="1C3A36"/>
                <w:sz w:val="16"/>
              </w:rPr>
              <w:t>562</w:t>
            </w:r>
          </w:p>
        </w:tc>
      </w:tr>
      <w:tr>
        <w:tc>
          <w:tcPr>
            <w:tcW w:type="dxa" w:w="2736"/>
          </w:tcPr>
          <w:p>
            <w:pPr>
              <w:spacing w:after="20"/>
            </w:pPr>
            <w:r>
              <w:rPr>
                <w:color w:val="1C3A36"/>
                <w:sz w:val="16"/>
              </w:rPr>
              <w:t>Free cash flow to the firm (EGP m)</w:t>
            </w:r>
          </w:p>
        </w:tc>
        <w:tc>
          <w:tcPr>
            <w:tcW w:type="dxa" w:w="1656"/>
          </w:tcPr>
          <w:p>
            <w:pPr>
              <w:spacing w:after="20"/>
              <w:jc w:val="right"/>
            </w:pPr>
            <w:r>
              <w:rPr>
                <w:color w:val="1C3A36"/>
                <w:sz w:val="16"/>
              </w:rPr>
              <w:t>—</w:t>
            </w:r>
          </w:p>
        </w:tc>
        <w:tc>
          <w:tcPr>
            <w:tcW w:type="dxa" w:w="1224"/>
          </w:tcPr>
          <w:p>
            <w:pPr>
              <w:spacing w:after="20"/>
              <w:jc w:val="right"/>
            </w:pPr>
            <w:r>
              <w:rPr>
                <w:color w:val="1C3A36"/>
                <w:sz w:val="16"/>
              </w:rPr>
              <w:t>572</w:t>
            </w:r>
          </w:p>
        </w:tc>
        <w:tc>
          <w:tcPr>
            <w:tcW w:type="dxa" w:w="1224"/>
          </w:tcPr>
          <w:p>
            <w:pPr>
              <w:spacing w:after="20"/>
              <w:jc w:val="right"/>
            </w:pPr>
            <w:r>
              <w:rPr>
                <w:color w:val="1C3A36"/>
                <w:sz w:val="16"/>
              </w:rPr>
              <w:t>1,308</w:t>
            </w:r>
          </w:p>
        </w:tc>
        <w:tc>
          <w:tcPr>
            <w:tcW w:type="dxa" w:w="1224"/>
          </w:tcPr>
          <w:p>
            <w:pPr>
              <w:spacing w:after="20"/>
              <w:jc w:val="right"/>
            </w:pPr>
            <w:r>
              <w:rPr>
                <w:color w:val="1C3A36"/>
                <w:sz w:val="16"/>
              </w:rPr>
              <w:t>1,907</w:t>
            </w:r>
          </w:p>
        </w:tc>
        <w:tc>
          <w:tcPr>
            <w:tcW w:type="dxa" w:w="1224"/>
          </w:tcPr>
          <w:p>
            <w:pPr>
              <w:spacing w:after="20"/>
              <w:jc w:val="right"/>
            </w:pPr>
            <w:r>
              <w:rPr>
                <w:color w:val="1C3A36"/>
                <w:sz w:val="16"/>
              </w:rPr>
              <w:t>2,262</w:t>
            </w:r>
          </w:p>
        </w:tc>
        <w:tc>
          <w:tcPr>
            <w:tcW w:type="dxa" w:w="1224"/>
          </w:tcPr>
          <w:p>
            <w:pPr>
              <w:spacing w:after="20"/>
              <w:jc w:val="right"/>
            </w:pPr>
            <w:r>
              <w:rPr>
                <w:color w:val="1C3A36"/>
                <w:sz w:val="16"/>
              </w:rPr>
              <w:t>2,669</w:t>
            </w:r>
          </w:p>
        </w:tc>
      </w:tr>
    </w:tbl>
    <w:p>
      <w:pPr>
        <w:spacing w:after="40"/>
      </w:pPr>
    </w:p>
    <w:p>
      <w:pPr>
        <w:spacing w:after="200" w:before="0"/>
      </w:pPr>
      <w:r>
        <w:rPr>
          <w:b w:val="0"/>
          <w:i/>
          <w:color w:val="6E7B77"/>
          <w:sz w:val="17"/>
        </w:rPr>
        <w:t>Table 19 — the asset-conversion cycle, projected rather than plugged. The 268-day inventory position is a stated policy: the company holds a strategic raw-material stockpile it says covers at least eight months.</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152"/>
        <w:gridCol w:w="2232"/>
        <w:gridCol w:w="3096"/>
      </w:tblGrid>
      <w:tr>
        <w:tc>
          <w:tcPr>
            <w:tcW w:type="dxa" w:w="3456"/>
            <w:shd w:val="clear" w:color="auto" w:fill="EAF0EE"/>
          </w:tcPr>
          <w:p>
            <w:pPr>
              <w:spacing w:after="20"/>
            </w:pPr>
            <w:r>
              <w:rPr>
                <w:b/>
                <w:color w:val="1C3A36"/>
                <w:sz w:val="16"/>
              </w:rPr>
              <w:t>Company or reference</w:t>
            </w:r>
          </w:p>
        </w:tc>
        <w:tc>
          <w:tcPr>
            <w:tcW w:type="dxa" w:w="1152"/>
            <w:shd w:val="clear" w:color="auto" w:fill="EAF0EE"/>
          </w:tcPr>
          <w:p>
            <w:pPr>
              <w:spacing w:after="20"/>
            </w:pPr>
            <w:r>
              <w:rPr>
                <w:b/>
                <w:color w:val="1C3A36"/>
                <w:sz w:val="16"/>
              </w:rPr>
              <w:t>Multiple</w:t>
            </w:r>
          </w:p>
        </w:tc>
        <w:tc>
          <w:tcPr>
            <w:tcW w:type="dxa" w:w="2232"/>
            <w:shd w:val="clear" w:color="auto" w:fill="EAF0EE"/>
          </w:tcPr>
          <w:p>
            <w:pPr>
              <w:spacing w:after="20"/>
            </w:pPr>
            <w:r>
              <w:rPr>
                <w:b/>
                <w:color w:val="1C3A36"/>
                <w:sz w:val="16"/>
              </w:rPr>
              <w:t>Basis</w:t>
            </w:r>
          </w:p>
        </w:tc>
        <w:tc>
          <w:tcPr>
            <w:tcW w:type="dxa" w:w="3096"/>
            <w:shd w:val="clear" w:color="auto" w:fill="EAF0EE"/>
          </w:tcPr>
          <w:p>
            <w:pPr>
              <w:spacing w:after="20"/>
            </w:pPr>
            <w:r>
              <w:rPr>
                <w:b/>
                <w:color w:val="1C3A36"/>
                <w:sz w:val="16"/>
              </w:rPr>
              <w:t>Status in this study</w:t>
            </w:r>
          </w:p>
        </w:tc>
      </w:tr>
      <w:tr>
        <w:tc>
          <w:tcPr>
            <w:tcW w:type="dxa" w:w="3456"/>
          </w:tcPr>
          <w:p>
            <w:pPr>
              <w:spacing w:after="20"/>
            </w:pPr>
            <w:r>
              <w:rPr>
                <w:color w:val="1C3A36"/>
                <w:sz w:val="16"/>
              </w:rPr>
              <w:t>Listed Saudi Arabian generics manufacturer</w:t>
            </w:r>
          </w:p>
        </w:tc>
        <w:tc>
          <w:tcPr>
            <w:tcW w:type="dxa" w:w="1152"/>
          </w:tcPr>
          <w:p>
            <w:pPr>
              <w:spacing w:after="20"/>
              <w:jc w:val="right"/>
            </w:pPr>
            <w:r>
              <w:rPr>
                <w:color w:val="1C3A36"/>
                <w:sz w:val="16"/>
              </w:rPr>
              <w:t>26.7x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Regional and international mid-cap generic manufacturers</w:t>
            </w:r>
          </w:p>
        </w:tc>
        <w:tc>
          <w:tcPr>
            <w:tcW w:type="dxa" w:w="1152"/>
          </w:tcPr>
          <w:p>
            <w:pPr>
              <w:spacing w:after="20"/>
              <w:jc w:val="right"/>
            </w:pPr>
            <w:r>
              <w:rPr>
                <w:color w:val="1C3A36"/>
                <w:sz w:val="16"/>
              </w:rPr>
              <w:t>~16x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market data, cross-check only</w:t>
            </w:r>
          </w:p>
        </w:tc>
      </w:tr>
      <w:tr>
        <w:tc>
          <w:tcPr>
            <w:tcW w:type="dxa" w:w="3456"/>
          </w:tcPr>
          <w:p>
            <w:pPr>
              <w:spacing w:after="20"/>
            </w:pPr>
            <w:r>
              <w:rPr>
                <w:color w:val="1C3A36"/>
                <w:sz w:val="16"/>
              </w:rPr>
              <w:t>Peer median used</w:t>
            </w:r>
          </w:p>
        </w:tc>
        <w:tc>
          <w:tcPr>
            <w:tcW w:type="dxa" w:w="1152"/>
          </w:tcPr>
          <w:p>
            <w:pPr>
              <w:spacing w:after="20"/>
              <w:jc w:val="right"/>
            </w:pPr>
            <w:r>
              <w:rPr>
                <w:color w:val="1C3A36"/>
                <w:sz w:val="16"/>
              </w:rPr>
              <w:t>19.5x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the third leg of the relative lens, adjusted for the cost-of-equity gap</w:t>
            </w:r>
          </w:p>
        </w:tc>
      </w:tr>
      <w:tr>
        <w:tc>
          <w:tcPr>
            <w:tcW w:type="dxa" w:w="3456"/>
          </w:tcPr>
          <w:p>
            <w:pPr>
              <w:spacing w:after="20"/>
            </w:pPr>
            <w:r>
              <w:rPr>
                <w:color w:val="1C3A36"/>
                <w:sz w:val="16"/>
              </w:rPr>
              <w:t>EIPICO today</w:t>
            </w:r>
          </w:p>
        </w:tc>
        <w:tc>
          <w:tcPr>
            <w:tcW w:type="dxa" w:w="1152"/>
          </w:tcPr>
          <w:p>
            <w:pPr>
              <w:spacing w:after="20"/>
              <w:jc w:val="right"/>
            </w:pPr>
            <w:r>
              <w:rPr>
                <w:color w:val="1C3A36"/>
                <w:sz w:val="16"/>
              </w:rPr>
              <w:t>15.2x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from audited attributable profit and the market price</w:t>
            </w:r>
          </w:p>
        </w:tc>
      </w:tr>
      <w:tr>
        <w:tc>
          <w:tcPr>
            <w:tcW w:type="dxa" w:w="3456"/>
          </w:tcPr>
          <w:p>
            <w:pPr>
              <w:spacing w:after="20"/>
            </w:pPr>
            <w:r>
              <w:rPr>
                <w:color w:val="1C3A36"/>
                <w:sz w:val="16"/>
              </w:rPr>
              <w:t>EIPICO, own four-year mean</w:t>
            </w:r>
          </w:p>
        </w:tc>
        <w:tc>
          <w:tcPr>
            <w:tcW w:type="dxa" w:w="1152"/>
          </w:tcPr>
          <w:p>
            <w:pPr>
              <w:spacing w:after="20"/>
              <w:jc w:val="right"/>
            </w:pPr>
            <w:r>
              <w:rPr>
                <w:color w:val="1C3A36"/>
                <w:sz w:val="16"/>
              </w:rPr>
              <w:t>6.7x</w:t>
            </w:r>
          </w:p>
        </w:tc>
        <w:tc>
          <w:tcPr>
            <w:tcW w:type="dxa" w:w="2232"/>
          </w:tcPr>
          <w:p>
            <w:pPr>
              <w:spacing w:after="20"/>
              <w:jc w:val="right"/>
            </w:pPr>
            <w:r>
              <w:rPr>
                <w:color w:val="1C3A36"/>
                <w:sz w:val="16"/>
              </w:rPr>
              <w:t>trailing price / earnings</w:t>
            </w:r>
          </w:p>
        </w:tc>
        <w:tc>
          <w:tcPr>
            <w:tcW w:type="dxa" w:w="3096"/>
          </w:tcPr>
          <w:p>
            <w:pPr>
              <w:spacing w:after="20"/>
              <w:jc w:val="right"/>
            </w:pPr>
            <w:r>
              <w:rPr>
                <w:color w:val="1C3A36"/>
                <w:sz w:val="16"/>
              </w:rPr>
              <w:t>computed entirely from primary material — the first leg of the relative lens</w:t>
            </w:r>
          </w:p>
        </w:tc>
      </w:tr>
    </w:tbl>
    <w:p>
      <w:pPr>
        <w:spacing w:after="40"/>
      </w:pPr>
    </w:p>
    <w:p>
      <w:pPr>
        <w:spacing w:after="200" w:before="0"/>
      </w:pPr>
      <w:r>
        <w:rPr>
          <w:b w:val="0"/>
          <w:i/>
          <w:color w:val="6E7B77"/>
          <w:sz w:val="17"/>
        </w:rPr>
        <w:t>Table 20 — the peer set. No peer figure is used to build any historical number for EIPICO; peers appear only as a cross-check.</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c>
          <w:tcPr>
            <w:tcW w:type="dxa" w:w="2664"/>
          </w:tcPr>
          <w:p>
            <w:pPr>
              <w:spacing w:after="20"/>
            </w:pPr>
            <w:r>
              <w:rPr>
                <w:color w:val="1C3A36"/>
                <w:sz w:val="16"/>
              </w:rPr>
              <w:t>The new plant under-delivers</w:t>
            </w:r>
          </w:p>
        </w:tc>
        <w:tc>
          <w:tcPr>
            <w:tcW w:type="dxa" w:w="5112"/>
          </w:tcPr>
          <w:p>
            <w:pPr>
              <w:spacing w:after="20"/>
              <w:jc w:val="right"/>
            </w:pPr>
            <w:r>
              <w:rPr>
                <w:color w:val="1C3A36"/>
                <w:sz w:val="16"/>
              </w:rPr>
              <w:t>depreciation and interest charged with no revenue against them; reported profit falls for two to three years</w:t>
            </w:r>
          </w:p>
        </w:tc>
        <w:tc>
          <w:tcPr>
            <w:tcW w:type="dxa" w:w="1368"/>
          </w:tcPr>
          <w:p>
            <w:pPr>
              <w:spacing w:after="20"/>
              <w:jc w:val="right"/>
            </w:pPr>
            <w:r>
              <w:rPr>
                <w:color w:val="1C3A36"/>
                <w:sz w:val="16"/>
              </w:rPr>
              <w:t>High</w:t>
            </w:r>
          </w:p>
        </w:tc>
      </w:tr>
      <w:tr>
        <w:tc>
          <w:tcPr>
            <w:tcW w:type="dxa" w:w="2664"/>
          </w:tcPr>
          <w:p>
            <w:pPr>
              <w:spacing w:after="20"/>
            </w:pPr>
            <w:r>
              <w:rPr>
                <w:color w:val="1C3A36"/>
                <w:sz w:val="16"/>
              </w:rPr>
              <w:t>Administered price freeze</w:t>
            </w:r>
          </w:p>
        </w:tc>
        <w:tc>
          <w:tcPr>
            <w:tcW w:type="dxa" w:w="5112"/>
          </w:tcPr>
          <w:p>
            <w:pPr>
              <w:spacing w:after="20"/>
              <w:jc w:val="right"/>
            </w:pPr>
            <w:r>
              <w:rPr>
                <w:color w:val="1C3A36"/>
                <w:sz w:val="16"/>
              </w:rPr>
              <w:t>the domestic price-per-pack driver stops tracking inflation while imported input costs keep rising</w:t>
            </w:r>
          </w:p>
        </w:tc>
        <w:tc>
          <w:tcPr>
            <w:tcW w:type="dxa" w:w="1368"/>
          </w:tcPr>
          <w:p>
            <w:pPr>
              <w:spacing w:after="20"/>
              <w:jc w:val="right"/>
            </w:pPr>
            <w:r>
              <w:rPr>
                <w:color w:val="1C3A36"/>
                <w:sz w:val="16"/>
              </w:rPr>
              <w:t>High</w:t>
            </w:r>
          </w:p>
        </w:tc>
      </w:tr>
      <w:tr>
        <w:tc>
          <w:tcPr>
            <w:tcW w:type="dxa" w:w="2664"/>
          </w:tcPr>
          <w:p>
            <w:pPr>
              <w:spacing w:after="20"/>
            </w:pPr>
            <w:r>
              <w:rPr>
                <w:color w:val="1C3A36"/>
                <w:sz w:val="16"/>
              </w:rPr>
              <w:t>Currency depreciation</w:t>
            </w:r>
          </w:p>
        </w:tc>
        <w:tc>
          <w:tcPr>
            <w:tcW w:type="dxa" w:w="5112"/>
          </w:tcPr>
          <w:p>
            <w:pPr>
              <w:spacing w:after="20"/>
              <w:jc w:val="right"/>
            </w:pPr>
            <w:r>
              <w:rPr>
                <w:color w:val="1C3A36"/>
                <w:sz w:val="16"/>
              </w:rPr>
              <w:t>imported ingredients and packaging are 79% of the cash cost stack against a 32% export share — a weaker pound is net negative here</w:t>
            </w:r>
          </w:p>
        </w:tc>
        <w:tc>
          <w:tcPr>
            <w:tcW w:type="dxa" w:w="1368"/>
          </w:tcPr>
          <w:p>
            <w:pPr>
              <w:spacing w:after="20"/>
              <w:jc w:val="right"/>
            </w:pPr>
            <w:r>
              <w:rPr>
                <w:color w:val="1C3A36"/>
                <w:sz w:val="16"/>
              </w:rPr>
              <w:t>High</w:t>
            </w:r>
          </w:p>
        </w:tc>
      </w:tr>
      <w:tr>
        <w:tc>
          <w:tcPr>
            <w:tcW w:type="dxa" w:w="2664"/>
          </w:tcPr>
          <w:p>
            <w:pPr>
              <w:spacing w:after="20"/>
            </w:pPr>
            <w:r>
              <w:rPr>
                <w:color w:val="1C3A36"/>
                <w:sz w:val="16"/>
              </w:rPr>
              <w:t>Credit losses prove structural</w:t>
            </w:r>
          </w:p>
        </w:tc>
        <w:tc>
          <w:tcPr>
            <w:tcW w:type="dxa" w:w="5112"/>
          </w:tcPr>
          <w:p>
            <w:pPr>
              <w:spacing w:after="20"/>
              <w:jc w:val="right"/>
            </w:pPr>
            <w:r>
              <w:rPr>
                <w:color w:val="1C3A36"/>
                <w:sz w:val="16"/>
              </w:rPr>
              <w:t>the provision charge stays near 5% of revenue permanently; this is Frame A, and it is already the more conservative published case</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Concentration in the domestic distributor channel</w:t>
            </w:r>
          </w:p>
        </w:tc>
        <w:tc>
          <w:tcPr>
            <w:tcW w:type="dxa" w:w="5112"/>
          </w:tcPr>
          <w:p>
            <w:pPr>
              <w:spacing w:after="20"/>
              <w:jc w:val="right"/>
            </w:pPr>
            <w:r>
              <w:rPr>
                <w:color w:val="1C3A36"/>
                <w:sz w:val="16"/>
              </w:rPr>
              <w:t>39% of revenue passes through distributors, and the company itself says it deals with a small number of them</w:t>
            </w:r>
          </w:p>
        </w:tc>
        <w:tc>
          <w:tcPr>
            <w:tcW w:type="dxa" w:w="1368"/>
          </w:tcPr>
          <w:p>
            <w:pPr>
              <w:spacing w:after="20"/>
              <w:jc w:val="right"/>
            </w:pPr>
            <w:r>
              <w:rPr>
                <w:color w:val="1C3A36"/>
                <w:sz w:val="16"/>
              </w:rPr>
              <w:t>Medium</w:t>
            </w:r>
          </w:p>
        </w:tc>
      </w:tr>
      <w:tr>
        <w:tc>
          <w:tcPr>
            <w:tcW w:type="dxa" w:w="2664"/>
          </w:tcPr>
          <w:p>
            <w:pPr>
              <w:spacing w:after="20"/>
            </w:pPr>
            <w:r>
              <w:rPr>
                <w:color w:val="1C3A36"/>
                <w:sz w:val="16"/>
              </w:rPr>
              <w:t>Refinancing</w:t>
            </w:r>
          </w:p>
        </w:tc>
        <w:tc>
          <w:tcPr>
            <w:tcW w:type="dxa" w:w="5112"/>
          </w:tcPr>
          <w:p>
            <w:pPr>
              <w:spacing w:after="20"/>
              <w:jc w:val="right"/>
            </w:pPr>
            <w:r>
              <w:rPr>
                <w:color w:val="1C3A36"/>
                <w:sz w:val="16"/>
              </w:rPr>
              <w:t>EGP 8,798 million of gross borrowings against EGP 1,433 million of cash, half of it hard-currency</w:t>
            </w:r>
          </w:p>
        </w:tc>
        <w:tc>
          <w:tcPr>
            <w:tcW w:type="dxa" w:w="1368"/>
          </w:tcPr>
          <w:p>
            <w:pPr>
              <w:spacing w:after="20"/>
              <w:jc w:val="right"/>
            </w:pPr>
            <w:r>
              <w:rPr>
                <w:color w:val="1C3A36"/>
                <w:sz w:val="16"/>
              </w:rPr>
              <w:t>Medium</w:t>
            </w:r>
          </w:p>
        </w:tc>
      </w:tr>
      <w:tr>
        <w:tc>
          <w:tcPr>
            <w:tcW w:type="dxa" w:w="2664"/>
          </w:tcPr>
          <w:p>
            <w:pPr>
              <w:spacing w:after="20"/>
            </w:pPr>
            <w:r>
              <w:rPr>
                <w:color w:val="1C3A36"/>
                <w:sz w:val="16"/>
              </w:rPr>
              <w:t>Controlling shareholder</w:t>
            </w:r>
          </w:p>
        </w:tc>
        <w:tc>
          <w:tcPr>
            <w:tcW w:type="dxa" w:w="5112"/>
          </w:tcPr>
          <w:p>
            <w:pPr>
              <w:spacing w:after="20"/>
              <w:jc w:val="right"/>
            </w:pPr>
            <w:r>
              <w:rPr>
                <w:color w:val="1C3A36"/>
                <w:sz w:val="16"/>
              </w:rPr>
              <w:t>a 51.34% holder whose interests may not align with the minority on capital allocation</w:t>
            </w:r>
          </w:p>
        </w:tc>
        <w:tc>
          <w:tcPr>
            <w:tcW w:type="dxa" w:w="1368"/>
          </w:tcPr>
          <w:p>
            <w:pPr>
              <w:spacing w:after="20"/>
              <w:jc w:val="right"/>
            </w:pPr>
            <w:r>
              <w:rPr>
                <w:color w:val="1C3A36"/>
                <w:sz w:val="16"/>
              </w:rPr>
              <w:t>Low to medium</w:t>
            </w:r>
          </w:p>
        </w:tc>
      </w:tr>
    </w:tbl>
    <w:p>
      <w:pPr>
        <w:spacing w:after="40"/>
      </w:pPr>
    </w:p>
    <w:p>
      <w:pPr>
        <w:spacing w:after="80" w:before="200"/>
      </w:pPr>
      <w:r>
        <w:rPr>
          <w:b/>
          <w:i w:val="0"/>
          <w:color w:val="1C3A36"/>
          <w:sz w:val="24"/>
        </w:rPr>
        <w:t>B.3 The research record</w:t>
      </w:r>
    </w:p>
    <w:p>
      <w:pPr>
        <w:spacing w:after="120" w:before="0"/>
      </w:pPr>
      <w:r>
        <w:rPr>
          <w:b w:val="0"/>
          <w:i w:val="0"/>
          <w:color w:val="1C3A36"/>
          <w:sz w:val="21"/>
        </w:rPr>
        <w:t>Every figure in this study traces to a numbered source in the accompanying bibliography, which lists the primary documents actually read, every input with its value, date and construction, the judgements made with what would overturn each one, the searches that found nothing, and the places where a secondary source disagrees with the audited filing. Four consecutive audited financial years were obtained from the company's own investor-relations page: FY2022, FY2023, FY2024 and FY2025, each with the auditor's report and full notes, and each carrying both separate and consolidated statements.</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They are labelled Expert 1, 2 and 3. Each shows their working, names the one sensitivity that matters most to their answer,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Everything else is a shortcut to that number.</w:t>
      </w:r>
    </w:p>
    <w:p>
      <w:pPr>
        <w:spacing w:after="120" w:before="0"/>
      </w:pPr>
      <w:r>
        <w:rPr>
          <w:b w:val="0"/>
          <w:i w:val="0"/>
          <w:color w:val="1C3A36"/>
          <w:sz w:val="21"/>
        </w:rPr>
        <w:t>When it works: for a business with a stable, forecastable operating model and a capital structure that is not about to change. When it fails: when most of the value sits beyond the explicit forecast — which is the case here, at 74% of enterprise value in the terminal block.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EGP million</w:t>
            </w:r>
          </w:p>
        </w:tc>
      </w:tr>
      <w:tr>
        <w:tc>
          <w:tcPr>
            <w:tcW w:type="dxa" w:w="6624"/>
          </w:tcPr>
          <w:p>
            <w:pPr>
              <w:spacing w:after="20"/>
            </w:pPr>
            <w:r>
              <w:rPr>
                <w:color w:val="1C3A36"/>
                <w:sz w:val="17"/>
              </w:rPr>
              <w:t>Present value of five years of free cash flow</w:t>
            </w:r>
          </w:p>
        </w:tc>
        <w:tc>
          <w:tcPr>
            <w:tcW w:type="dxa" w:w="2448"/>
          </w:tcPr>
          <w:p>
            <w:pPr>
              <w:spacing w:after="20"/>
              <w:jc w:val="right"/>
            </w:pPr>
            <w:r>
              <w:rPr>
                <w:color w:val="1C3A36"/>
                <w:sz w:val="17"/>
              </w:rPr>
              <w:t>4,784</w:t>
            </w:r>
          </w:p>
        </w:tc>
      </w:tr>
      <w:tr>
        <w:tc>
          <w:tcPr>
            <w:tcW w:type="dxa" w:w="6624"/>
          </w:tcPr>
          <w:p>
            <w:pPr>
              <w:spacing w:after="20"/>
            </w:pPr>
            <w:r>
              <w:rPr>
                <w:color w:val="1C3A36"/>
                <w:sz w:val="17"/>
              </w:rPr>
              <w:t>Terminal free cash flow</w:t>
            </w:r>
          </w:p>
        </w:tc>
        <w:tc>
          <w:tcPr>
            <w:tcW w:type="dxa" w:w="2448"/>
          </w:tcPr>
          <w:p>
            <w:pPr>
              <w:spacing w:after="20"/>
              <w:jc w:val="right"/>
            </w:pPr>
            <w:r>
              <w:rPr>
                <w:color w:val="1C3A36"/>
                <w:sz w:val="17"/>
              </w:rPr>
              <w:t>2,772</w:t>
            </w:r>
          </w:p>
        </w:tc>
      </w:tr>
      <w:tr>
        <w:tc>
          <w:tcPr>
            <w:tcW w:type="dxa" w:w="6624"/>
          </w:tcPr>
          <w:p>
            <w:pPr>
              <w:spacing w:after="20"/>
            </w:pPr>
            <w:r>
              <w:rPr>
                <w:color w:val="1C3A36"/>
                <w:sz w:val="17"/>
              </w:rPr>
              <w:t>Terminal discount rate less growth</w:t>
            </w:r>
          </w:p>
        </w:tc>
        <w:tc>
          <w:tcPr>
            <w:tcW w:type="dxa" w:w="2448"/>
          </w:tcPr>
          <w:p>
            <w:pPr>
              <w:spacing w:after="20"/>
              <w:jc w:val="right"/>
            </w:pPr>
            <w:r>
              <w:rPr>
                <w:color w:val="1C3A36"/>
                <w:sz w:val="17"/>
              </w:rPr>
              <w:t>13.83% − 5% = 8.83%</w:t>
            </w:r>
          </w:p>
        </w:tc>
      </w:tr>
      <w:tr>
        <w:tc>
          <w:tcPr>
            <w:tcW w:type="dxa" w:w="6624"/>
          </w:tcPr>
          <w:p>
            <w:pPr>
              <w:spacing w:after="20"/>
            </w:pPr>
            <w:r>
              <w:rPr>
                <w:color w:val="1C3A36"/>
                <w:sz w:val="17"/>
              </w:rPr>
              <w:t>Terminal value</w:t>
            </w:r>
          </w:p>
        </w:tc>
        <w:tc>
          <w:tcPr>
            <w:tcW w:type="dxa" w:w="2448"/>
          </w:tcPr>
          <w:p>
            <w:pPr>
              <w:spacing w:after="20"/>
              <w:jc w:val="right"/>
            </w:pPr>
            <w:r>
              <w:rPr>
                <w:color w:val="1C3A36"/>
                <w:sz w:val="17"/>
              </w:rPr>
              <w:t>31,375</w:t>
            </w:r>
          </w:p>
        </w:tc>
      </w:tr>
      <w:tr>
        <w:tc>
          <w:tcPr>
            <w:tcW w:type="dxa" w:w="6624"/>
          </w:tcPr>
          <w:p>
            <w:pPr>
              <w:spacing w:after="20"/>
            </w:pPr>
            <w:r>
              <w:rPr>
                <w:color w:val="1C3A36"/>
                <w:sz w:val="17"/>
              </w:rPr>
              <w:t>Present value of the terminal value</w:t>
            </w:r>
          </w:p>
        </w:tc>
        <w:tc>
          <w:tcPr>
            <w:tcW w:type="dxa" w:w="2448"/>
          </w:tcPr>
          <w:p>
            <w:pPr>
              <w:spacing w:after="20"/>
              <w:jc w:val="right"/>
            </w:pPr>
            <w:r>
              <w:rPr>
                <w:color w:val="1C3A36"/>
                <w:sz w:val="17"/>
              </w:rPr>
              <w:t>13,859</w:t>
            </w:r>
          </w:p>
        </w:tc>
      </w:tr>
      <w:tr>
        <w:tc>
          <w:tcPr>
            <w:tcW w:type="dxa" w:w="6624"/>
          </w:tcPr>
          <w:p>
            <w:pPr>
              <w:spacing w:after="20"/>
            </w:pPr>
            <w:r>
              <w:rPr>
                <w:color w:val="1C3A36"/>
                <w:sz w:val="17"/>
              </w:rPr>
              <w:t>Core enterprise value</w:t>
            </w:r>
          </w:p>
        </w:tc>
        <w:tc>
          <w:tcPr>
            <w:tcW w:type="dxa" w:w="2448"/>
          </w:tcPr>
          <w:p>
            <w:pPr>
              <w:spacing w:after="20"/>
              <w:jc w:val="right"/>
            </w:pPr>
            <w:r>
              <w:rPr>
                <w:color w:val="1C3A36"/>
                <w:sz w:val="17"/>
              </w:rPr>
              <w:t>18,643</w:t>
            </w:r>
          </w:p>
        </w:tc>
      </w:tr>
      <w:tr>
        <w:tc>
          <w:tcPr>
            <w:tcW w:type="dxa" w:w="6624"/>
            <w:shd w:val="clear" w:color="auto" w:fill="F6F1E6"/>
          </w:tcPr>
          <w:p>
            <w:pPr>
              <w:spacing w:after="20"/>
            </w:pPr>
            <w:r>
              <w:rPr>
                <w:b/>
                <w:color w:val="1C3A36"/>
                <w:sz w:val="17"/>
              </w:rPr>
              <w:t>Associates and assets held for sale</w:t>
            </w:r>
          </w:p>
        </w:tc>
        <w:tc>
          <w:tcPr>
            <w:tcW w:type="dxa" w:w="2448"/>
            <w:shd w:val="clear" w:color="auto" w:fill="F6F1E6"/>
          </w:tcPr>
          <w:p>
            <w:pPr>
              <w:spacing w:after="20"/>
              <w:jc w:val="right"/>
            </w:pPr>
            <w:r>
              <w:rPr>
                <w:b/>
                <w:color w:val="1C3A36"/>
                <w:sz w:val="17"/>
              </w:rPr>
              <w:t>3,532</w:t>
            </w:r>
          </w:p>
        </w:tc>
      </w:tr>
      <w:tr>
        <w:tc>
          <w:tcPr>
            <w:tcW w:type="dxa" w:w="6624"/>
          </w:tcPr>
          <w:p>
            <w:pPr>
              <w:spacing w:after="20"/>
            </w:pPr>
            <w:r>
              <w:rPr>
                <w:color w:val="1C3A36"/>
                <w:sz w:val="17"/>
              </w:rPr>
              <w:t>Less net debt and minorities</w:t>
            </w:r>
          </w:p>
        </w:tc>
        <w:tc>
          <w:tcPr>
            <w:tcW w:type="dxa" w:w="2448"/>
          </w:tcPr>
          <w:p>
            <w:pPr>
              <w:spacing w:after="20"/>
              <w:jc w:val="right"/>
            </w:pPr>
            <w:r>
              <w:rPr>
                <w:color w:val="1C3A36"/>
                <w:sz w:val="17"/>
              </w:rPr>
              <w:t>(7,653)</w:t>
            </w:r>
          </w:p>
        </w:tc>
      </w:tr>
      <w:tr>
        <w:tc>
          <w:tcPr>
            <w:tcW w:type="dxa" w:w="6624"/>
          </w:tcPr>
          <w:p>
            <w:pPr>
              <w:spacing w:after="20"/>
            </w:pPr>
            <w:r>
              <w:rPr>
                <w:color w:val="1C3A36"/>
                <w:sz w:val="17"/>
              </w:rPr>
              <w:t>Equity value</w:t>
            </w:r>
          </w:p>
        </w:tc>
        <w:tc>
          <w:tcPr>
            <w:tcW w:type="dxa" w:w="2448"/>
          </w:tcPr>
          <w:p>
            <w:pPr>
              <w:spacing w:after="20"/>
              <w:jc w:val="right"/>
            </w:pPr>
            <w:r>
              <w:rPr>
                <w:color w:val="1C3A36"/>
                <w:sz w:val="17"/>
              </w:rPr>
              <w:t>14,522</w:t>
            </w:r>
          </w:p>
        </w:tc>
      </w:tr>
      <w:tr>
        <w:tc>
          <w:tcPr>
            <w:tcW w:type="dxa" w:w="6624"/>
          </w:tcPr>
          <w:p>
            <w:pPr>
              <w:spacing w:after="20"/>
            </w:pPr>
            <w:r>
              <w:rPr>
                <w:color w:val="1C3A36"/>
                <w:sz w:val="17"/>
              </w:rPr>
              <w:t>Value per share (EGP)</w:t>
            </w:r>
          </w:p>
        </w:tc>
        <w:tc>
          <w:tcPr>
            <w:tcW w:type="dxa" w:w="2448"/>
          </w:tcPr>
          <w:p>
            <w:pPr>
              <w:spacing w:after="20"/>
              <w:jc w:val="right"/>
            </w:pPr>
            <w:r>
              <w:rPr>
                <w:color w:val="1C3A36"/>
                <w:sz w:val="17"/>
              </w:rPr>
              <w:t>86.06</w:t>
            </w:r>
          </w:p>
        </w:tc>
      </w:tr>
    </w:tbl>
    <w:p>
      <w:pPr>
        <w:spacing w:after="40"/>
      </w:pPr>
    </w:p>
    <w:p>
      <w:pPr>
        <w:spacing w:after="120" w:before="0"/>
      </w:pPr>
      <w:r>
        <w:rPr>
          <w:b w:val="0"/>
          <w:i w:val="0"/>
          <w:color w:val="1C3A36"/>
          <w:sz w:val="21"/>
        </w:rPr>
        <w:t>Named sensitivity: the terminal discount rate. Every 100 basis points on it is worth roughly EGP 10 a share. At 74% terminal weight, this expert is mostly forecasting one number.</w:t>
      </w:r>
    </w:p>
    <w:p>
      <w:pPr>
        <w:spacing w:after="120" w:before="0"/>
      </w:pPr>
      <w:r>
        <w:rPr>
          <w:b w:val="0"/>
          <w:i w:val="0"/>
          <w:color w:val="1C3A36"/>
          <w:sz w:val="21"/>
        </w:rPr>
        <w:t>Falsifier, stated in advance: "If free cash flow to the firm in FY2027 comes in below EGP 915 million — 30% below my forecast — my five-year build is wrong and so is the terminal that grows out of it."</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the balance sheet is a fact. Start from what the company owns, ask what return it earns on it, and pay a multiple of book that the return justifies. Never pay for growth you have not seen.</w:t>
      </w:r>
    </w:p>
    <w:p>
      <w:pPr>
        <w:spacing w:after="120" w:before="0"/>
      </w:pPr>
      <w:r>
        <w:rPr>
          <w:b w:val="0"/>
          <w:i w:val="0"/>
          <w:color w:val="1C3A36"/>
          <w:sz w:val="21"/>
        </w:rPr>
        <w:t>When it works: for asset-heavy businesses and in markets where forecasting is genuinely hard. When it fails: when a large part of the asset base is not yet earning, which understates the return and therefore the multiple.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Working</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Equity attributable to shareholders</w:t>
            </w:r>
          </w:p>
        </w:tc>
        <w:tc>
          <w:tcPr>
            <w:tcW w:type="dxa" w:w="2448"/>
          </w:tcPr>
          <w:p>
            <w:pPr>
              <w:spacing w:after="20"/>
              <w:jc w:val="right"/>
            </w:pPr>
            <w:r>
              <w:rPr>
                <w:color w:val="1C3A36"/>
                <w:sz w:val="17"/>
              </w:rPr>
              <w:t>EGP 6,243m</w:t>
            </w:r>
          </w:p>
        </w:tc>
      </w:tr>
      <w:tr>
        <w:tc>
          <w:tcPr>
            <w:tcW w:type="dxa" w:w="6624"/>
          </w:tcPr>
          <w:p>
            <w:pPr>
              <w:spacing w:after="20"/>
            </w:pPr>
            <w:r>
              <w:rPr>
                <w:color w:val="1C3A36"/>
                <w:sz w:val="17"/>
              </w:rPr>
              <w:t>Shares in issue</w:t>
            </w:r>
          </w:p>
        </w:tc>
        <w:tc>
          <w:tcPr>
            <w:tcW w:type="dxa" w:w="2448"/>
          </w:tcPr>
          <w:p>
            <w:pPr>
              <w:spacing w:after="20"/>
              <w:jc w:val="right"/>
            </w:pPr>
            <w:r>
              <w:rPr>
                <w:color w:val="1C3A36"/>
                <w:sz w:val="17"/>
              </w:rPr>
              <w:t>168.756m</w:t>
            </w:r>
          </w:p>
        </w:tc>
      </w:tr>
      <w:tr>
        <w:tc>
          <w:tcPr>
            <w:tcW w:type="dxa" w:w="6624"/>
          </w:tcPr>
          <w:p>
            <w:pPr>
              <w:spacing w:after="20"/>
            </w:pPr>
            <w:r>
              <w:rPr>
                <w:color w:val="1C3A36"/>
                <w:sz w:val="17"/>
              </w:rPr>
              <w:t>Book value per share</w:t>
            </w:r>
          </w:p>
        </w:tc>
        <w:tc>
          <w:tcPr>
            <w:tcW w:type="dxa" w:w="2448"/>
          </w:tcPr>
          <w:p>
            <w:pPr>
              <w:spacing w:after="20"/>
              <w:jc w:val="right"/>
            </w:pPr>
            <w:r>
              <w:rPr>
                <w:color w:val="1C3A36"/>
                <w:sz w:val="17"/>
              </w:rPr>
              <w:t>EGP 37.00</w:t>
            </w:r>
          </w:p>
        </w:tc>
      </w:tr>
      <w:tr>
        <w:tc>
          <w:tcPr>
            <w:tcW w:type="dxa" w:w="6624"/>
          </w:tcPr>
          <w:p>
            <w:pPr>
              <w:spacing w:after="20"/>
            </w:pPr>
            <w:r>
              <w:rPr>
                <w:color w:val="1C3A36"/>
                <w:sz w:val="17"/>
              </w:rPr>
              <w:t>Return on average equity, FY2025</w:t>
            </w:r>
          </w:p>
        </w:tc>
        <w:tc>
          <w:tcPr>
            <w:tcW w:type="dxa" w:w="2448"/>
          </w:tcPr>
          <w:p>
            <w:pPr>
              <w:spacing w:after="20"/>
              <w:jc w:val="right"/>
            </w:pPr>
            <w:r>
              <w:rPr>
                <w:color w:val="1C3A36"/>
                <w:sz w:val="17"/>
              </w:rPr>
              <w:t>26.5%</w:t>
            </w:r>
          </w:p>
        </w:tc>
      </w:tr>
      <w:tr>
        <w:tc>
          <w:tcPr>
            <w:tcW w:type="dxa" w:w="6624"/>
          </w:tcPr>
          <w:p>
            <w:pPr>
              <w:spacing w:after="20"/>
            </w:pPr>
            <w:r>
              <w:rPr>
                <w:color w:val="1C3A36"/>
                <w:sz w:val="17"/>
              </w:rPr>
              <w:t>Sustainable return on equity</w:t>
            </w:r>
          </w:p>
        </w:tc>
        <w:tc>
          <w:tcPr>
            <w:tcW w:type="dxa" w:w="2448"/>
          </w:tcPr>
          <w:p>
            <w:pPr>
              <w:spacing w:after="20"/>
              <w:jc w:val="right"/>
            </w:pPr>
            <w:r>
              <w:rPr>
                <w:color w:val="1C3A36"/>
                <w:sz w:val="17"/>
              </w:rPr>
              <w:t>24.6%</w:t>
            </w:r>
          </w:p>
        </w:tc>
      </w:tr>
      <w:tr>
        <w:tc>
          <w:tcPr>
            <w:tcW w:type="dxa" w:w="6624"/>
          </w:tcPr>
          <w:p>
            <w:pPr>
              <w:spacing w:after="20"/>
            </w:pPr>
            <w:r>
              <w:rPr>
                <w:color w:val="1C3A36"/>
                <w:sz w:val="17"/>
              </w:rPr>
              <w:t>Perpetual cost of equity</w:t>
            </w:r>
          </w:p>
        </w:tc>
        <w:tc>
          <w:tcPr>
            <w:tcW w:type="dxa" w:w="2448"/>
          </w:tcPr>
          <w:p>
            <w:pPr>
              <w:spacing w:after="20"/>
              <w:jc w:val="right"/>
            </w:pPr>
            <w:r>
              <w:rPr>
                <w:color w:val="1C3A36"/>
                <w:sz w:val="17"/>
              </w:rPr>
              <w:t>14.90%</w:t>
            </w:r>
          </w:p>
        </w:tc>
      </w:tr>
      <w:tr>
        <w:tc>
          <w:tcPr>
            <w:tcW w:type="dxa" w:w="6624"/>
          </w:tcPr>
          <w:p>
            <w:pPr>
              <w:spacing w:after="20"/>
            </w:pPr>
            <w:r>
              <w:rPr>
                <w:color w:val="1C3A36"/>
                <w:sz w:val="17"/>
              </w:rPr>
              <w:t>Growth</w:t>
            </w:r>
          </w:p>
        </w:tc>
        <w:tc>
          <w:tcPr>
            <w:tcW w:type="dxa" w:w="2448"/>
          </w:tcPr>
          <w:p>
            <w:pPr>
              <w:spacing w:after="20"/>
              <w:jc w:val="right"/>
            </w:pPr>
            <w:r>
              <w:rPr>
                <w:color w:val="1C3A36"/>
                <w:sz w:val="17"/>
              </w:rPr>
              <w:t>5%</w:t>
            </w:r>
          </w:p>
        </w:tc>
      </w:tr>
      <w:tr>
        <w:tc>
          <w:tcPr>
            <w:tcW w:type="dxa" w:w="6624"/>
          </w:tcPr>
          <w:p>
            <w:pPr>
              <w:spacing w:after="20"/>
            </w:pPr>
            <w:r>
              <w:rPr>
                <w:color w:val="1C3A36"/>
                <w:sz w:val="17"/>
              </w:rPr>
              <w:t>Justified multiple of book = (return − growth) / (cost of equity − growth)</w:t>
            </w:r>
          </w:p>
        </w:tc>
        <w:tc>
          <w:tcPr>
            <w:tcW w:type="dxa" w:w="2448"/>
          </w:tcPr>
          <w:p>
            <w:pPr>
              <w:spacing w:after="20"/>
              <w:jc w:val="right"/>
            </w:pPr>
            <w:r>
              <w:rPr>
                <w:color w:val="1C3A36"/>
                <w:sz w:val="17"/>
              </w:rPr>
              <w:t>1.98x</w:t>
            </w:r>
          </w:p>
        </w:tc>
      </w:tr>
      <w:tr>
        <w:tc>
          <w:tcPr>
            <w:tcW w:type="dxa" w:w="6624"/>
            <w:shd w:val="clear" w:color="auto" w:fill="F6F1E6"/>
          </w:tcPr>
          <w:p>
            <w:pPr>
              <w:spacing w:after="20"/>
            </w:pPr>
            <w:r>
              <w:rPr>
                <w:b/>
                <w:color w:val="1C3A36"/>
                <w:sz w:val="17"/>
              </w:rPr>
              <w:t>Value per share (EGP)</w:t>
            </w:r>
          </w:p>
        </w:tc>
        <w:tc>
          <w:tcPr>
            <w:tcW w:type="dxa" w:w="2448"/>
            <w:shd w:val="clear" w:color="auto" w:fill="F6F1E6"/>
          </w:tcPr>
          <w:p>
            <w:pPr>
              <w:spacing w:after="20"/>
              <w:jc w:val="right"/>
            </w:pPr>
            <w:r>
              <w:rPr>
                <w:b/>
                <w:color w:val="1C3A36"/>
                <w:sz w:val="17"/>
              </w:rPr>
              <w:t>73.10</w:t>
            </w:r>
          </w:p>
        </w:tc>
      </w:tr>
    </w:tbl>
    <w:p>
      <w:pPr>
        <w:spacing w:after="40"/>
      </w:pPr>
    </w:p>
    <w:p>
      <w:pPr>
        <w:spacing w:after="120" w:before="0"/>
      </w:pPr>
      <w:r>
        <w:rPr>
          <w:b w:val="0"/>
          <w:i w:val="0"/>
          <w:color w:val="1C3A36"/>
          <w:sz w:val="21"/>
        </w:rPr>
        <w:t>Named sensitivity: the sustainable return. If it settles at 20% rather than 24.6%, the justified multiple falls to 1.51 times and the value to EGP 56.04 a share.</w:t>
      </w:r>
    </w:p>
    <w:p>
      <w:pPr>
        <w:spacing w:after="120" w:before="0"/>
      </w:pPr>
      <w:r>
        <w:rPr>
          <w:b w:val="0"/>
          <w:i w:val="0"/>
          <w:color w:val="1C3A36"/>
          <w:sz w:val="21"/>
        </w:rPr>
        <w:t>Falsifier: "If return on average equity falls below 18% in either FY2026 or FY2027, the 24.6% I am capitalising is a peak, not a level, and my multiple is too high."</w:t>
      </w:r>
    </w:p>
    <w:p>
      <w:pPr>
        <w:spacing w:after="120" w:before="0"/>
      </w:pPr>
      <w:r>
        <w:rPr>
          <w:b w:val="0"/>
          <w:i w:val="0"/>
          <w:color w:val="1C3A36"/>
          <w:sz w:val="21"/>
        </w:rPr>
        <w:t>This expert adds one point the others miss: EGP 4,901 million of the asset base earned nothing in FY2025. Measured against capital that is actually working, the return is far higher than 24.6% — which is an argument for paying up, and this expert declines to make it, because the plant has not yet demonstrated a return.</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market price already assumes, and judge whether those assumptions are reasonable. It is a discipline against arguing with a price.</w:t>
      </w:r>
    </w:p>
    <w:p>
      <w:pPr>
        <w:spacing w:after="120" w:before="0"/>
      </w:pPr>
      <w:r>
        <w:rPr>
          <w:b w:val="0"/>
          <w:i w:val="0"/>
          <w:color w:val="1C3A36"/>
          <w:sz w:val="21"/>
        </w:rPr>
        <w:t>When it works: when a price has moved a long way and the question is what it now embeds. When it fails: it never produces an independent value — it can only tell you what you are being asked to believe.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624"/>
        <w:gridCol w:w="2448"/>
      </w:tblGrid>
      <w:tr>
        <w:tc>
          <w:tcPr>
            <w:tcW w:type="dxa" w:w="6624"/>
            <w:shd w:val="clear" w:color="auto" w:fill="EAF0EE"/>
          </w:tcPr>
          <w:p>
            <w:pPr>
              <w:spacing w:after="20"/>
            </w:pPr>
            <w:r>
              <w:rPr>
                <w:b/>
                <w:color w:val="1C3A36"/>
                <w:sz w:val="17"/>
              </w:rPr>
              <w:t>What the market price requires</w:t>
            </w:r>
          </w:p>
        </w:tc>
        <w:tc>
          <w:tcPr>
            <w:tcW w:type="dxa" w:w="2448"/>
            <w:shd w:val="clear" w:color="auto" w:fill="EAF0EE"/>
          </w:tcPr>
          <w:p>
            <w:pPr>
              <w:spacing w:after="20"/>
            </w:pPr>
            <w:r>
              <w:rPr>
                <w:b/>
                <w:color w:val="1C3A36"/>
                <w:sz w:val="17"/>
              </w:rPr>
              <w:t>Value</w:t>
            </w:r>
          </w:p>
        </w:tc>
      </w:tr>
      <w:tr>
        <w:tc>
          <w:tcPr>
            <w:tcW w:type="dxa" w:w="6624"/>
          </w:tcPr>
          <w:p>
            <w:pPr>
              <w:spacing w:after="20"/>
            </w:pPr>
            <w:r>
              <w:rPr>
                <w:color w:val="1C3A36"/>
                <w:sz w:val="17"/>
              </w:rPr>
              <w:t>Market price</w:t>
            </w:r>
          </w:p>
        </w:tc>
        <w:tc>
          <w:tcPr>
            <w:tcW w:type="dxa" w:w="2448"/>
          </w:tcPr>
          <w:p>
            <w:pPr>
              <w:spacing w:after="20"/>
              <w:jc w:val="right"/>
            </w:pPr>
            <w:r>
              <w:rPr>
                <w:color w:val="1C3A36"/>
                <w:sz w:val="17"/>
              </w:rPr>
              <w:t>EGP 130.05</w:t>
            </w:r>
          </w:p>
        </w:tc>
      </w:tr>
      <w:tr>
        <w:tc>
          <w:tcPr>
            <w:tcW w:type="dxa" w:w="6624"/>
          </w:tcPr>
          <w:p>
            <w:pPr>
              <w:spacing w:after="20"/>
            </w:pPr>
            <w:r>
              <w:rPr>
                <w:color w:val="1C3A36"/>
                <w:sz w:val="17"/>
              </w:rPr>
              <w:t>Value from the cash-flow model without the new plant</w:t>
            </w:r>
          </w:p>
        </w:tc>
        <w:tc>
          <w:tcPr>
            <w:tcW w:type="dxa" w:w="2448"/>
          </w:tcPr>
          <w:p>
            <w:pPr>
              <w:spacing w:after="20"/>
              <w:jc w:val="right"/>
            </w:pPr>
            <w:r>
              <w:rPr>
                <w:color w:val="1C3A36"/>
                <w:sz w:val="17"/>
              </w:rPr>
              <w:t>EGP 86.06</w:t>
            </w:r>
          </w:p>
        </w:tc>
      </w:tr>
      <w:tr>
        <w:tc>
          <w:tcPr>
            <w:tcW w:type="dxa" w:w="6624"/>
          </w:tcPr>
          <w:p>
            <w:pPr>
              <w:spacing w:after="20"/>
            </w:pPr>
            <w:r>
              <w:rPr>
                <w:color w:val="1C3A36"/>
                <w:sz w:val="17"/>
              </w:rPr>
              <w:t>Gap to be explained</w:t>
            </w:r>
          </w:p>
        </w:tc>
        <w:tc>
          <w:tcPr>
            <w:tcW w:type="dxa" w:w="2448"/>
          </w:tcPr>
          <w:p>
            <w:pPr>
              <w:spacing w:after="20"/>
              <w:jc w:val="right"/>
            </w:pPr>
            <w:r>
              <w:rPr>
                <w:color w:val="1C3A36"/>
                <w:sz w:val="17"/>
              </w:rPr>
              <w:t>EGP 43.99 a share</w:t>
            </w:r>
          </w:p>
        </w:tc>
      </w:tr>
      <w:tr>
        <w:tc>
          <w:tcPr>
            <w:tcW w:type="dxa" w:w="6624"/>
          </w:tcPr>
          <w:p>
            <w:pPr>
              <w:spacing w:after="20"/>
            </w:pPr>
            <w:r>
              <w:rPr>
                <w:color w:val="1C3A36"/>
                <w:sz w:val="17"/>
              </w:rPr>
              <w:t>Equity value of that gap</w:t>
            </w:r>
          </w:p>
        </w:tc>
        <w:tc>
          <w:tcPr>
            <w:tcW w:type="dxa" w:w="2448"/>
          </w:tcPr>
          <w:p>
            <w:pPr>
              <w:spacing w:after="20"/>
              <w:jc w:val="right"/>
            </w:pPr>
            <w:r>
              <w:rPr>
                <w:color w:val="1C3A36"/>
                <w:sz w:val="17"/>
              </w:rPr>
              <w:t>EGP 7,424m</w:t>
            </w:r>
          </w:p>
        </w:tc>
      </w:tr>
      <w:tr>
        <w:tc>
          <w:tcPr>
            <w:tcW w:type="dxa" w:w="6624"/>
          </w:tcPr>
          <w:p>
            <w:pPr>
              <w:spacing w:after="20"/>
            </w:pPr>
            <w:r>
              <w:rPr>
                <w:color w:val="1C3A36"/>
                <w:sz w:val="17"/>
              </w:rPr>
              <w:t>Additional FY2030 revenue required at a 45% contribution margin</w:t>
            </w:r>
          </w:p>
        </w:tc>
        <w:tc>
          <w:tcPr>
            <w:tcW w:type="dxa" w:w="2448"/>
          </w:tcPr>
          <w:p>
            <w:pPr>
              <w:spacing w:after="20"/>
              <w:jc w:val="right"/>
            </w:pPr>
            <w:r>
              <w:rPr>
                <w:color w:val="1C3A36"/>
                <w:sz w:val="17"/>
              </w:rPr>
              <w:t>EGP 4,651m</w:t>
            </w:r>
          </w:p>
        </w:tc>
      </w:tr>
      <w:tr>
        <w:tc>
          <w:tcPr>
            <w:tcW w:type="dxa" w:w="6624"/>
          </w:tcPr>
          <w:p>
            <w:pPr>
              <w:spacing w:after="20"/>
            </w:pPr>
            <w:r>
              <w:rPr>
                <w:color w:val="1C3A36"/>
                <w:sz w:val="17"/>
              </w:rPr>
              <w:t xml:space="preserve">   as a share of FY2030 revenue</w:t>
            </w:r>
          </w:p>
        </w:tc>
        <w:tc>
          <w:tcPr>
            <w:tcW w:type="dxa" w:w="2448"/>
          </w:tcPr>
          <w:p>
            <w:pPr>
              <w:spacing w:after="20"/>
              <w:jc w:val="right"/>
            </w:pPr>
            <w:r>
              <w:rPr>
                <w:color w:val="1C3A36"/>
                <w:sz w:val="17"/>
              </w:rPr>
              <w:t>20%</w:t>
            </w:r>
          </w:p>
        </w:tc>
      </w:tr>
      <w:tr>
        <w:tc>
          <w:tcPr>
            <w:tcW w:type="dxa" w:w="6624"/>
          </w:tcPr>
          <w:p>
            <w:pPr>
              <w:spacing w:after="20"/>
            </w:pPr>
            <w:r>
              <w:rPr>
                <w:color w:val="1C3A36"/>
                <w:sz w:val="17"/>
              </w:rPr>
              <w:t xml:space="preserve">   in US dollars a year</w:t>
            </w:r>
          </w:p>
        </w:tc>
        <w:tc>
          <w:tcPr>
            <w:tcW w:type="dxa" w:w="2448"/>
          </w:tcPr>
          <w:p>
            <w:pPr>
              <w:spacing w:after="20"/>
              <w:jc w:val="right"/>
            </w:pPr>
            <w:r>
              <w:rPr>
                <w:color w:val="1C3A36"/>
                <w:sz w:val="17"/>
              </w:rPr>
              <w:t>USD 81m</w:t>
            </w:r>
          </w:p>
        </w:tc>
      </w:tr>
      <w:tr>
        <w:tc>
          <w:tcPr>
            <w:tcW w:type="dxa" w:w="6624"/>
          </w:tcPr>
          <w:p>
            <w:pPr>
              <w:spacing w:after="20"/>
            </w:pPr>
            <w:r>
              <w:rPr>
                <w:color w:val="1C3A36"/>
                <w:sz w:val="17"/>
              </w:rPr>
              <w:t xml:space="preserve">   against the plant's stated cost of USD 100 million</w:t>
            </w:r>
          </w:p>
        </w:tc>
        <w:tc>
          <w:tcPr>
            <w:tcW w:type="dxa" w:w="2448"/>
          </w:tcPr>
          <w:p>
            <w:pPr>
              <w:spacing w:after="20"/>
              <w:jc w:val="right"/>
            </w:pPr>
            <w:r>
              <w:rPr>
                <w:color w:val="1C3A36"/>
                <w:sz w:val="17"/>
              </w:rPr>
              <w:t>0.81x asset turn</w:t>
            </w:r>
          </w:p>
        </w:tc>
      </w:tr>
      <w:tr>
        <w:tc>
          <w:tcPr>
            <w:tcW w:type="dxa" w:w="6624"/>
          </w:tcPr>
          <w:p>
            <w:pPr>
              <w:spacing w:after="20"/>
            </w:pPr>
            <w:r>
              <w:rPr>
                <w:color w:val="1C3A36"/>
                <w:sz w:val="17"/>
              </w:rPr>
              <w:t>Implied value per share if that is delivered</w:t>
            </w:r>
          </w:p>
        </w:tc>
        <w:tc>
          <w:tcPr>
            <w:tcW w:type="dxa" w:w="2448"/>
          </w:tcPr>
          <w:p>
            <w:pPr>
              <w:spacing w:after="20"/>
              <w:jc w:val="right"/>
            </w:pPr>
            <w:r>
              <w:rPr>
                <w:color w:val="1C3A36"/>
                <w:sz w:val="17"/>
              </w:rPr>
              <w:t>EGP 130.05</w:t>
            </w:r>
          </w:p>
        </w:tc>
      </w:tr>
    </w:tbl>
    <w:p>
      <w:pPr>
        <w:spacing w:after="40"/>
      </w:pPr>
    </w:p>
    <w:p>
      <w:pPr>
        <w:spacing w:after="120" w:before="0"/>
      </w:pPr>
      <w:r>
        <w:rPr>
          <w:b w:val="0"/>
          <w:i w:val="0"/>
          <w:color w:val="1C3A36"/>
          <w:sz w:val="21"/>
        </w:rPr>
        <w:t>Named sensitivity: the contribution margin assumed on the new revenue. At 35% rather than 45%, the required revenue rises to about EGP 5,980 million, or USD 104 million a year.</w:t>
      </w:r>
    </w:p>
    <w:p>
      <w:pPr>
        <w:spacing w:after="120" w:before="0"/>
      </w:pPr>
      <w:r>
        <w:rPr>
          <w:b w:val="0"/>
          <w:i w:val="0"/>
          <w:color w:val="1C3A36"/>
          <w:sz w:val="21"/>
        </w:rPr>
        <w:t>Falsifier: "If the company discloses biosimilar revenue below USD 20 million a year in its third full year of operation, the price is not discounting a plausible ramp — it is discounting a hope."</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c>
          <w:tcPr>
            <w:tcW w:type="dxa" w:w="3816"/>
          </w:tcPr>
          <w:p>
            <w:pPr>
              <w:spacing w:after="20"/>
            </w:pPr>
            <w:r>
              <w:rPr>
                <w:color w:val="1C3A36"/>
                <w:sz w:val="16"/>
              </w:rPr>
              <w:t>Expert 2 to Expert 1: "Three-quarters of your value is a terminal number. You are not forecasting cash flow, you are forecasting a perpetuity."</w:t>
            </w:r>
          </w:p>
        </w:tc>
        <w:tc>
          <w:tcPr>
            <w:tcW w:type="dxa" w:w="5328"/>
          </w:tcPr>
          <w:p>
            <w:pPr>
              <w:spacing w:after="20"/>
              <w:jc w:val="right"/>
            </w:pPr>
            <w:r>
              <w:rPr>
                <w:color w:val="1C3A36"/>
                <w:sz w:val="16"/>
              </w:rPr>
              <w:t>CONCEDED. Expert 1 accepts the terminal weight is high and points to the sensitivity table as the honest response: the range across a plausible terminal rate and growth combination is EGP 68 to EGP 112, and that range is published rather than hidden.</w:t>
            </w:r>
          </w:p>
        </w:tc>
      </w:tr>
      <w:tr>
        <w:tc>
          <w:tcPr>
            <w:tcW w:type="dxa" w:w="3816"/>
          </w:tcPr>
          <w:p>
            <w:pPr>
              <w:spacing w:after="20"/>
            </w:pPr>
            <w:r>
              <w:rPr>
                <w:color w:val="1C3A36"/>
                <w:sz w:val="16"/>
              </w:rPr>
              <w:t>Expert 1 to Expert 2: "You are capitalising a return earned on a capital base that excludes a third of the assets. Your multiple is measured against the wrong denominator."</w:t>
            </w:r>
          </w:p>
        </w:tc>
        <w:tc>
          <w:tcPr>
            <w:tcW w:type="dxa" w:w="5328"/>
          </w:tcPr>
          <w:p>
            <w:pPr>
              <w:spacing w:after="20"/>
              <w:jc w:val="right"/>
            </w:pPr>
            <w:r>
              <w:rPr>
                <w:color w:val="1C3A36"/>
                <w:sz w:val="16"/>
              </w:rPr>
              <w:t>REJECTED, with a qualification. Expert 2 answers that book equity is book equity, and that a plant which has not yet earned anything belongs in the denominator until it does — but concedes the lens will understate the company for as long as that remains true, and says so in the study.</w:t>
            </w:r>
          </w:p>
        </w:tc>
      </w:tr>
      <w:tr>
        <w:tc>
          <w:tcPr>
            <w:tcW w:type="dxa" w:w="3816"/>
          </w:tcPr>
          <w:p>
            <w:pPr>
              <w:spacing w:after="20"/>
            </w:pPr>
            <w:r>
              <w:rPr>
                <w:color w:val="1C3A36"/>
                <w:sz w:val="16"/>
              </w:rPr>
              <w:t>Expert 3 to both: "You are both producing numbers below the market price and neither of you can say why the market is wrong."</w:t>
            </w:r>
          </w:p>
        </w:tc>
        <w:tc>
          <w:tcPr>
            <w:tcW w:type="dxa" w:w="5328"/>
          </w:tcPr>
          <w:p>
            <w:pPr>
              <w:spacing w:after="20"/>
              <w:jc w:val="right"/>
            </w:pPr>
            <w:r>
              <w:rPr>
                <w:color w:val="1C3A36"/>
                <w:sz w:val="16"/>
              </w:rPr>
              <w:t>CONCEDED, and it is the point. Neither cash-flow nor book-based lens contains the new plant's revenue. Expert 3's contribution is to convert that omission into a testable number rather than an argument.</w:t>
            </w:r>
          </w:p>
        </w:tc>
      </w:tr>
      <w:tr>
        <w:tc>
          <w:tcPr>
            <w:tcW w:type="dxa" w:w="3816"/>
          </w:tcPr>
          <w:p>
            <w:pPr>
              <w:spacing w:after="20"/>
            </w:pPr>
            <w:r>
              <w:rPr>
                <w:color w:val="1C3A36"/>
                <w:sz w:val="16"/>
              </w:rPr>
              <w:t>Expert 2 to Expert 3: "Your method assumes the gap is entirely the new plant. It could be the associates, or a re-rating of Egyptian equities generally."</w:t>
            </w:r>
          </w:p>
        </w:tc>
        <w:tc>
          <w:tcPr>
            <w:tcW w:type="dxa" w:w="5328"/>
          </w:tcPr>
          <w:p>
            <w:pPr>
              <w:spacing w:after="20"/>
              <w:jc w:val="right"/>
            </w:pPr>
            <w:r>
              <w:rPr>
                <w:color w:val="1C3A36"/>
                <w:sz w:val="16"/>
              </w:rPr>
              <w:t>CONCEDED in part. Expert 3 agrees the attribution is a choice, and notes the associate stake would have to be worth roughly three times the value assumed here to close the gap on its own — which is possible, and is a second testable proposition rather than a refutation.</w:t>
            </w:r>
          </w:p>
        </w:tc>
      </w:tr>
      <w:tr>
        <w:tc>
          <w:tcPr>
            <w:tcW w:type="dxa" w:w="3816"/>
          </w:tcPr>
          <w:p>
            <w:pPr>
              <w:spacing w:after="20"/>
            </w:pPr>
            <w:r>
              <w:rPr>
                <w:color w:val="1C3A36"/>
                <w:sz w:val="16"/>
              </w:rPr>
              <w:t>Expert 1 to Expert 3: "A 45% contribution margin on biosimilars is your assumption, not a disclosure."</w:t>
            </w:r>
          </w:p>
        </w:tc>
        <w:tc>
          <w:tcPr>
            <w:tcW w:type="dxa" w:w="5328"/>
          </w:tcPr>
          <w:p>
            <w:pPr>
              <w:spacing w:after="20"/>
              <w:jc w:val="right"/>
            </w:pPr>
            <w:r>
              <w:rPr>
                <w:color w:val="1C3A36"/>
                <w:sz w:val="16"/>
              </w:rPr>
              <w:t>CONCEDED. Expert 3 sensitises it explicitly rather than defending it, and the study publishes both.</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a single question, which is a good sign. All three agree on the audited history, on the cost of capital construction, and on the fact that the depreciation and interest step is real and arrives in FY2026. All three agree the existing business — 65% capacity utilisation, a growing export book earned in hard currency, an administered domestic price that at least tracks inflation — is worth somewhere between EGP 70 and EGP 100 a share.</w:t>
      </w:r>
    </w:p>
    <w:p>
      <w:pPr>
        <w:spacing w:after="120" w:before="0"/>
      </w:pPr>
      <w:r>
        <w:rPr>
          <w:b w:val="0"/>
          <w:i w:val="0"/>
          <w:color w:val="1C3A36"/>
          <w:sz w:val="21"/>
        </w:rPr>
        <w:t>Where they part is what the new plant is worth today. Expert 1 says: nothing until it produces cash, so EGP 86.06. Expert 2 says: nothing until it produces a return, so EGP 73.10. Expert 3 says: the market says EGP 43.99 a share, which requires USD 81 million a year of biosimilar sales, and that is a proposition rather than a valuation. The room does not resolve it. It converts it into something a reader can check in twelve months.</w:t>
      </w:r>
    </w:p>
    <w:p>
      <w:pPr>
        <w:spacing w:after="40"/>
        <w:jc w:val="center"/>
      </w:pPr>
      <w:r>
        <w:drawing>
          <wp:inline xmlns:a="http://schemas.openxmlformats.org/drawingml/2006/main" xmlns:pic="http://schemas.openxmlformats.org/drawingml/2006/picture">
            <wp:extent cx="6035040" cy="2408213"/>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408213"/>
                    </a:xfrm>
                    <a:prstGeom prst="rect"/>
                  </pic:spPr>
                </pic:pic>
              </a:graphicData>
            </a:graphic>
          </wp:inline>
        </w:drawing>
      </w:r>
    </w:p>
    <w:p>
      <w:pPr>
        <w:spacing w:after="200" w:before="0"/>
      </w:pPr>
      <w:r>
        <w:rPr>
          <w:b w:val="0"/>
          <w:i/>
          <w:color w:val="6E7B77"/>
          <w:sz w:val="17"/>
        </w:rPr>
        <w:t>Figure 8 — three methods, three ranges, one market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512"/>
        <w:gridCol w:w="5112"/>
      </w:tblGrid>
      <w:tr>
        <w:tc>
          <w:tcPr>
            <w:tcW w:type="dxa" w:w="2520"/>
            <w:shd w:val="clear" w:color="auto" w:fill="EAF0EE"/>
          </w:tcPr>
          <w:p>
            <w:pPr>
              <w:spacing w:after="20"/>
            </w:pPr>
            <w:r>
              <w:rPr>
                <w:b/>
                <w:color w:val="1C3A36"/>
                <w:sz w:val="16"/>
              </w:rPr>
              <w:t>Pair</w:t>
            </w:r>
          </w:p>
        </w:tc>
        <w:tc>
          <w:tcPr>
            <w:tcW w:type="dxa" w:w="1512"/>
            <w:shd w:val="clear" w:color="auto" w:fill="EAF0EE"/>
          </w:tcPr>
          <w:p>
            <w:pPr>
              <w:spacing w:after="20"/>
            </w:pPr>
            <w:r>
              <w:rPr>
                <w:b/>
                <w:color w:val="1C3A36"/>
                <w:sz w:val="16"/>
              </w:rPr>
              <w:t>Gap (EGP/share)</w:t>
            </w:r>
          </w:p>
        </w:tc>
        <w:tc>
          <w:tcPr>
            <w:tcW w:type="dxa" w:w="5112"/>
            <w:shd w:val="clear" w:color="auto" w:fill="EAF0EE"/>
          </w:tcPr>
          <w:p>
            <w:pPr>
              <w:spacing w:after="20"/>
            </w:pPr>
            <w:r>
              <w:rPr>
                <w:b/>
                <w:color w:val="1C3A36"/>
                <w:sz w:val="16"/>
              </w:rPr>
              <w:t>The single assumption that drives it</w:t>
            </w:r>
          </w:p>
        </w:tc>
      </w:tr>
      <w:tr>
        <w:tc>
          <w:tcPr>
            <w:tcW w:type="dxa" w:w="2520"/>
          </w:tcPr>
          <w:p>
            <w:pPr>
              <w:spacing w:after="20"/>
            </w:pPr>
            <w:r>
              <w:rPr>
                <w:color w:val="1C3A36"/>
                <w:sz w:val="16"/>
              </w:rPr>
              <w:t>Expert 1 less Expert 2</w:t>
            </w:r>
          </w:p>
        </w:tc>
        <w:tc>
          <w:tcPr>
            <w:tcW w:type="dxa" w:w="1512"/>
          </w:tcPr>
          <w:p>
            <w:pPr>
              <w:spacing w:after="20"/>
              <w:jc w:val="right"/>
            </w:pPr>
            <w:r>
              <w:rPr>
                <w:color w:val="1C3A36"/>
                <w:sz w:val="16"/>
              </w:rPr>
              <w:t>12.96</w:t>
            </w:r>
          </w:p>
        </w:tc>
        <w:tc>
          <w:tcPr>
            <w:tcW w:type="dxa" w:w="5112"/>
          </w:tcPr>
          <w:p>
            <w:pPr>
              <w:spacing w:after="20"/>
              <w:jc w:val="right"/>
            </w:pPr>
            <w:r>
              <w:rPr>
                <w:color w:val="1C3A36"/>
                <w:sz w:val="16"/>
              </w:rPr>
              <w:t>whether five years of forecast growth is credited at all. Expert 1 discounts it; Expert 2 refuses to pay for growth not yet earned</w:t>
            </w:r>
          </w:p>
        </w:tc>
      </w:tr>
      <w:tr>
        <w:tc>
          <w:tcPr>
            <w:tcW w:type="dxa" w:w="2520"/>
          </w:tcPr>
          <w:p>
            <w:pPr>
              <w:spacing w:after="20"/>
            </w:pPr>
            <w:r>
              <w:rPr>
                <w:color w:val="1C3A36"/>
                <w:sz w:val="16"/>
              </w:rPr>
              <w:t>Expert 3 less Expert 1</w:t>
            </w:r>
          </w:p>
        </w:tc>
        <w:tc>
          <w:tcPr>
            <w:tcW w:type="dxa" w:w="1512"/>
          </w:tcPr>
          <w:p>
            <w:pPr>
              <w:spacing w:after="20"/>
              <w:jc w:val="right"/>
            </w:pPr>
            <w:r>
              <w:rPr>
                <w:color w:val="1C3A36"/>
                <w:sz w:val="16"/>
              </w:rPr>
              <w:t>43.99</w:t>
            </w:r>
          </w:p>
        </w:tc>
        <w:tc>
          <w:tcPr>
            <w:tcW w:type="dxa" w:w="5112"/>
          </w:tcPr>
          <w:p>
            <w:pPr>
              <w:spacing w:after="20"/>
              <w:jc w:val="right"/>
            </w:pPr>
            <w:r>
              <w:rPr>
                <w:color w:val="1C3A36"/>
                <w:sz w:val="16"/>
              </w:rPr>
              <w:t>entirely the biologicals plant's revenue, which Expert 1 sets to zero and Expert 3 infers from the price</w:t>
            </w:r>
          </w:p>
        </w:tc>
      </w:tr>
      <w:tr>
        <w:tc>
          <w:tcPr>
            <w:tcW w:type="dxa" w:w="2520"/>
          </w:tcPr>
          <w:p>
            <w:pPr>
              <w:spacing w:after="20"/>
            </w:pPr>
            <w:r>
              <w:rPr>
                <w:color w:val="1C3A36"/>
                <w:sz w:val="16"/>
              </w:rPr>
              <w:t>Frame A less Frame B</w:t>
            </w:r>
          </w:p>
        </w:tc>
        <w:tc>
          <w:tcPr>
            <w:tcW w:type="dxa" w:w="1512"/>
          </w:tcPr>
          <w:p>
            <w:pPr>
              <w:spacing w:after="20"/>
              <w:jc w:val="right"/>
            </w:pPr>
            <w:r>
              <w:rPr>
                <w:color w:val="1C3A36"/>
                <w:sz w:val="16"/>
              </w:rPr>
              <w:t>-13.02</w:t>
            </w:r>
          </w:p>
        </w:tc>
        <w:tc>
          <w:tcPr>
            <w:tcW w:type="dxa" w:w="5112"/>
          </w:tcPr>
          <w:p>
            <w:pPr>
              <w:spacing w:after="20"/>
              <w:jc w:val="right"/>
            </w:pPr>
            <w:r>
              <w:rPr>
                <w:color w:val="1C3A36"/>
                <w:sz w:val="16"/>
              </w:rPr>
              <w:t>the credit-loss and provision charge alone — 5.25% of revenue permanently against a decay to 2.5%. Nothing else differs between the two</w:t>
            </w:r>
          </w:p>
        </w:tc>
      </w:tr>
      <w:tr>
        <w:tc>
          <w:tcPr>
            <w:tcW w:type="dxa" w:w="2520"/>
          </w:tcPr>
          <w:p>
            <w:pPr>
              <w:spacing w:after="20"/>
            </w:pPr>
            <w:r>
              <w:rPr>
                <w:color w:val="1C3A36"/>
                <w:sz w:val="16"/>
              </w:rPr>
              <w:t>Study centre less market price</w:t>
            </w:r>
          </w:p>
        </w:tc>
        <w:tc>
          <w:tcPr>
            <w:tcW w:type="dxa" w:w="1512"/>
          </w:tcPr>
          <w:p>
            <w:pPr>
              <w:spacing w:after="20"/>
              <w:jc w:val="right"/>
            </w:pPr>
            <w:r>
              <w:rPr>
                <w:color w:val="1C3A36"/>
                <w:sz w:val="16"/>
              </w:rPr>
              <w:t>-50.41</w:t>
            </w:r>
          </w:p>
        </w:tc>
        <w:tc>
          <w:tcPr>
            <w:tcW w:type="dxa" w:w="5112"/>
          </w:tcPr>
          <w:p>
            <w:pPr>
              <w:spacing w:after="20"/>
              <w:jc w:val="right"/>
            </w:pPr>
            <w:r>
              <w:rPr>
                <w:color w:val="1C3A36"/>
                <w:sz w:val="16"/>
              </w:rPr>
              <w:t>the sum of the above: no plant revenue, a relative lens anchored on what the company's own return justifies, and a normalised rather than peak margin</w:t>
            </w:r>
          </w:p>
        </w:tc>
      </w:tr>
    </w:tbl>
    <w:p>
      <w:pPr>
        <w:spacing w:after="40"/>
      </w:pPr>
    </w:p>
    <w:p>
      <w:pPr>
        <w:spacing w:after="200" w:before="0"/>
      </w:pPr>
      <w:r>
        <w:rPr>
          <w:b w:val="0"/>
          <w:i/>
          <w:color w:val="6E7B77"/>
          <w:sz w:val="17"/>
        </w:rPr>
        <w:t>Table 21 — every gap in this study isolated to the assumption that causes it.</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It was prepared from the company's own audited financial statements and its own published operating disclosures, obtained directly from its investor-relations page. The valuation model behind it is a live spreadsheet: every figure that can be derived from a driver is a formula, and changing a driver reprices the model. That claim was tested on the delivered file rather than asserted — every formula cell was independently recalculated and reconciled to the model, and each input was perturbed in place to confirm the answer moves in the right direction.</w:t>
      </w:r>
    </w:p>
    <w:p>
      <w:pPr>
        <w:spacing w:after="120" w:before="0"/>
      </w:pPr>
      <w:r>
        <w:rPr>
          <w:b w:val="0"/>
          <w:i w:val="0"/>
          <w:color w:val="1C3A36"/>
          <w:sz w:val="21"/>
        </w:rPr>
        <w:t>The probability map in section 3 comes from a simulation engine calibrated on the Egyptian market as a whole and tested by re-running it across the full price history without letting it see the future. Its performance on this individual share is reported honestly in section 3, including where it is no better than a random walk.</w:t>
      </w:r>
    </w:p>
    <w:p>
      <w:pPr>
        <w:spacing w:after="120" w:before="280"/>
      </w:pPr>
      <w:r>
        <w:rPr>
          <w:b/>
          <w:i w:val="0"/>
          <w:color w:val="1C3A36"/>
          <w:sz w:val="30"/>
        </w:rPr>
        <w:t>Disclosure</w:t>
      </w:r>
    </w:p>
    <w:p>
      <w:pPr>
        <w:spacing w:after="120" w:before="0"/>
      </w:pPr>
      <w:r>
        <w:rPr>
          <w:b w:val="0"/>
          <w:i w:val="0"/>
          <w:color w:val="1C3A36"/>
          <w:sz w:val="18"/>
        </w:rPr>
        <w:t>This document is educational analysis, not investment advice, and not a recommendation to buy, sell or hold any security. It contains no rating and no price target. Fair value is expressed as a range and as a distribution because that is what the evidence supports.</w:t>
      </w:r>
    </w:p>
    <w:p>
      <w:pPr>
        <w:spacing w:after="120" w:before="0"/>
      </w:pPr>
      <w:r>
        <w:rPr>
          <w:b w:val="0"/>
          <w:i w:val="0"/>
          <w:color w:val="1C3A36"/>
          <w:sz w:val="18"/>
        </w:rPr>
        <w:t>The author holds no position in the securities discussed and receives no compensation from the company, its shareholders or any party with an interest in its share price. The study was not commissioned by, shown to, or reviewed by the company before publication.</w:t>
      </w:r>
    </w:p>
    <w:p>
      <w:pPr>
        <w:spacing w:after="120" w:before="0"/>
      </w:pPr>
      <w:r>
        <w:rPr>
          <w:b w:val="0"/>
          <w:i w:val="0"/>
          <w:color w:val="1C3A36"/>
          <w:sz w:val="18"/>
        </w:rPr>
        <w:t>All historical financial figures are the company's own audited consolidated figures as published in its annual reports. Forward-looking figures are the author's estimates and will be wrong in detail; the sensitivity analysis in section 1.9 and the caveats in section 7 state by how much and in which direction. Market data used for peer comparison is labelled as such and is not used to construct any figure about the subject company.</w:t>
      </w:r>
    </w:p>
    <w:p>
      <w:pPr>
        <w:spacing w:after="120" w:before="0"/>
      </w:pPr>
      <w:r>
        <w:rPr>
          <w:b w:val="0"/>
          <w:i w:val="0"/>
          <w:color w:val="1C3A36"/>
          <w:sz w:val="18"/>
        </w:rPr>
        <w:t>Past performance and back-tested performance are not guides to future results. A probability band is not a guarantee: one outcome in ten is designed to fall outside a 90% band.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