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the central bank's longest-horizon published target, 5% (+/-2) for Q4 2028 — the SAME figure terminal growth is set at.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0.1, 0.07, 0.06, 0.05, 0.05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(14.3%) on the central bank's own target ladder: 7% (+/-2) for Q4 2026, which falls in FY2026/27-FY2027/28, and 5% (+/-2) for Q4 2028, which falls in FY2028/29, held thereafter. RE-SET 1 September 2026 so that the explicit path lands on the terminal inflation rather than stepping down to it at the terminal boundary.</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Weights of the four lenses in the weighted central this edition publishes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4.11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