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78.00 per share against a market price of 105.20 — the price sits about +35% above the central estimate. That gap is not mainly an argument about the business; it is an argument about the discount rate. Discounted at an Egyptian cost of equity of 28.4%, the cash flows support roughly EGP 61.70. Discount the hard-currency share of those same cash flows at a hard-currency cost of capital of about 10.1% and the same model produces EGP 108.27,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76% of enterprise value comes from the terminal value</w:t>
            </w:r>
          </w:p>
        </w:tc>
        <w:tc>
          <w:tcPr>
            <w:tcW w:type="dxa" w:w="1656"/>
          </w:tcPr>
          <w:p>
            <w:pPr>
              <w:spacing w:after="20"/>
              <w:jc w:val="right"/>
            </w:pPr>
            <w:r>
              <w:rPr>
                <w:color w:val="1C3A36"/>
                <w:sz w:val="17"/>
              </w:rPr>
              <w:t>33.92 – 115.43</w:t>
            </w:r>
          </w:p>
        </w:tc>
        <w:tc>
          <w:tcPr>
            <w:tcW w:type="dxa" w:w="1037"/>
          </w:tcPr>
          <w:p>
            <w:pPr>
              <w:spacing w:after="20"/>
              <w:jc w:val="right"/>
            </w:pPr>
            <w:r>
              <w:rPr>
                <w:color w:val="1C3A36"/>
                <w:sz w:val="17"/>
              </w:rPr>
              <w:t>61.70</w:t>
            </w:r>
          </w:p>
        </w:tc>
        <w:tc>
          <w:tcPr>
            <w:tcW w:type="dxa" w:w="907"/>
          </w:tcPr>
          <w:p>
            <w:pPr>
              <w:spacing w:after="20"/>
              <w:jc w:val="right"/>
            </w:pPr>
            <w:r>
              <w:rPr>
                <w:color w:val="1C3A36"/>
                <w:sz w:val="17"/>
              </w:rPr>
              <w:t>-41%</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98.55 – 145.71</w:t>
            </w:r>
          </w:p>
        </w:tc>
        <w:tc>
          <w:tcPr>
            <w:tcW w:type="dxa" w:w="1037"/>
          </w:tcPr>
          <w:p>
            <w:pPr>
              <w:spacing w:after="20"/>
              <w:jc w:val="right"/>
            </w:pPr>
            <w:r>
              <w:rPr>
                <w:color w:val="1C3A36"/>
                <w:sz w:val="17"/>
              </w:rPr>
              <w:t>117.41</w:t>
            </w:r>
          </w:p>
        </w:tc>
        <w:tc>
          <w:tcPr>
            <w:tcW w:type="dxa" w:w="907"/>
          </w:tcPr>
          <w:p>
            <w:pPr>
              <w:spacing w:after="20"/>
              <w:jc w:val="right"/>
            </w:pPr>
            <w:r>
              <w:rPr>
                <w:color w:val="1C3A36"/>
                <w:sz w:val="17"/>
              </w:rPr>
              <w:t>+12%</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84.27 – 138.44</w:t>
            </w:r>
          </w:p>
        </w:tc>
        <w:tc>
          <w:tcPr>
            <w:tcW w:type="dxa" w:w="1037"/>
          </w:tcPr>
          <w:p>
            <w:pPr>
              <w:spacing w:after="20"/>
              <w:jc w:val="right"/>
            </w:pPr>
            <w:r>
              <w:rPr>
                <w:color w:val="1C3A36"/>
                <w:sz w:val="17"/>
              </w:rPr>
              <w:t>108.34</w:t>
            </w:r>
          </w:p>
        </w:tc>
        <w:tc>
          <w:tcPr>
            <w:tcW w:type="dxa" w:w="907"/>
          </w:tcPr>
          <w:p>
            <w:pPr>
              <w:spacing w:after="20"/>
              <w:jc w:val="right"/>
            </w:pPr>
            <w:r>
              <w:rPr>
                <w:color w:val="1C3A36"/>
                <w:sz w:val="17"/>
              </w:rPr>
              <w:t>+3%</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1.0× on book value of 32.92/share at a sustainable return on equity of 23.5%</w:t>
            </w:r>
          </w:p>
        </w:tc>
        <w:tc>
          <w:tcPr>
            <w:tcW w:type="dxa" w:w="1656"/>
          </w:tcPr>
          <w:p>
            <w:pPr>
              <w:spacing w:after="20"/>
              <w:jc w:val="right"/>
            </w:pPr>
            <w:r>
              <w:rPr>
                <w:color w:val="1C3A36"/>
                <w:sz w:val="17"/>
              </w:rPr>
              <w:t>26.56 – 48.47</w:t>
            </w:r>
          </w:p>
        </w:tc>
        <w:tc>
          <w:tcPr>
            <w:tcW w:type="dxa" w:w="1037"/>
          </w:tcPr>
          <w:p>
            <w:pPr>
              <w:spacing w:after="20"/>
              <w:jc w:val="right"/>
            </w:pPr>
            <w:r>
              <w:rPr>
                <w:color w:val="1C3A36"/>
                <w:sz w:val="17"/>
              </w:rPr>
              <w:t>33.86</w:t>
            </w:r>
          </w:p>
        </w:tc>
        <w:tc>
          <w:tcPr>
            <w:tcW w:type="dxa" w:w="907"/>
          </w:tcPr>
          <w:p>
            <w:pPr>
              <w:spacing w:after="20"/>
              <w:jc w:val="right"/>
            </w:pPr>
            <w:r>
              <w:rPr>
                <w:color w:val="1C3A36"/>
                <w:sz w:val="17"/>
              </w:rPr>
              <w:t>-68%</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26.56 – 145.71</w:t>
            </w:r>
          </w:p>
        </w:tc>
        <w:tc>
          <w:tcPr>
            <w:tcW w:type="dxa" w:w="1037"/>
            <w:shd w:val="clear" w:color="auto" w:fill="F6F1E6"/>
          </w:tcPr>
          <w:p>
            <w:pPr>
              <w:spacing w:after="20"/>
              <w:jc w:val="right"/>
            </w:pPr>
            <w:r>
              <w:rPr>
                <w:b/>
                <w:color w:val="1C3A36"/>
                <w:sz w:val="17"/>
              </w:rPr>
              <w:t>78.00</w:t>
            </w:r>
          </w:p>
        </w:tc>
        <w:tc>
          <w:tcPr>
            <w:tcW w:type="dxa" w:w="907"/>
            <w:shd w:val="clear" w:color="auto" w:fill="F6F1E6"/>
          </w:tcPr>
          <w:p>
            <w:pPr>
              <w:spacing w:after="20"/>
              <w:jc w:val="right"/>
            </w:pPr>
            <w:r>
              <w:rPr>
                <w:b/>
                <w:color w:val="1C3A36"/>
                <w:sz w:val="17"/>
              </w:rPr>
              <w:t>-26%</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108.27</w:t>
            </w:r>
          </w:p>
        </w:tc>
        <w:tc>
          <w:tcPr>
            <w:tcW w:type="dxa" w:w="907"/>
          </w:tcPr>
          <w:p>
            <w:pPr>
              <w:spacing w:after="20"/>
              <w:jc w:val="right"/>
            </w:pPr>
            <w:r>
              <w:rPr>
                <w:color w:val="1C3A36"/>
                <w:sz w:val="17"/>
              </w:rPr>
              <w:t>+3%</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Ranges are bear-to-bull within each lens; the central is the weighted base. Terminal value is 76%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78.2% · free float 20.4% · Electra Investment Holding 1.5%</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proposed on the FY2024 result</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built from the two legs that actually drive it — a domestic Egyptian-pound leg and a foreign leg forecast in US dollars and translated at an explicit exchange-rate path. Margins come from a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364,506</w:t>
            </w:r>
          </w:p>
        </w:tc>
        <w:tc>
          <w:tcPr>
            <w:tcW w:type="dxa" w:w="1426"/>
          </w:tcPr>
          <w:p>
            <w:pPr>
              <w:spacing w:after="20"/>
              <w:jc w:val="right"/>
            </w:pPr>
            <w:r>
              <w:rPr>
                <w:color w:val="1C3A36"/>
                <w:sz w:val="17"/>
              </w:rPr>
              <w:t>407,356</w:t>
            </w:r>
          </w:p>
        </w:tc>
        <w:tc>
          <w:tcPr>
            <w:tcW w:type="dxa" w:w="1426"/>
          </w:tcPr>
          <w:p>
            <w:pPr>
              <w:spacing w:after="20"/>
              <w:jc w:val="right"/>
            </w:pPr>
            <w:r>
              <w:rPr>
                <w:color w:val="1C3A36"/>
                <w:sz w:val="17"/>
              </w:rPr>
              <w:t>440,970</w:t>
            </w:r>
          </w:p>
        </w:tc>
        <w:tc>
          <w:tcPr>
            <w:tcW w:type="dxa" w:w="1426"/>
          </w:tcPr>
          <w:p>
            <w:pPr>
              <w:spacing w:after="20"/>
              <w:jc w:val="right"/>
            </w:pPr>
            <w:r>
              <w:rPr>
                <w:color w:val="1C3A36"/>
                <w:sz w:val="17"/>
              </w:rPr>
              <w:t>475,819</w:t>
            </w:r>
          </w:p>
        </w:tc>
        <w:tc>
          <w:tcPr>
            <w:tcW w:type="dxa" w:w="1426"/>
          </w:tcPr>
          <w:p>
            <w:pPr>
              <w:spacing w:after="20"/>
              <w:jc w:val="right"/>
            </w:pPr>
            <w:r>
              <w:rPr>
                <w:color w:val="1C3A36"/>
                <w:sz w:val="17"/>
              </w:rPr>
              <w:t>512,683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138,672</w:t>
            </w:r>
          </w:p>
        </w:tc>
        <w:tc>
          <w:tcPr>
            <w:tcW w:type="dxa" w:w="1426"/>
          </w:tcPr>
          <w:p>
            <w:pPr>
              <w:spacing w:after="20"/>
              <w:jc w:val="right"/>
            </w:pPr>
            <w:r>
              <w:rPr>
                <w:color w:val="1C3A36"/>
                <w:sz w:val="17"/>
              </w:rPr>
              <w:t>157,308</w:t>
            </w:r>
          </w:p>
        </w:tc>
        <w:tc>
          <w:tcPr>
            <w:tcW w:type="dxa" w:w="1426"/>
          </w:tcPr>
          <w:p>
            <w:pPr>
              <w:spacing w:after="20"/>
              <w:jc w:val="right"/>
            </w:pPr>
            <w:r>
              <w:rPr>
                <w:color w:val="1C3A36"/>
                <w:sz w:val="17"/>
              </w:rPr>
              <w:t>172,073</w:t>
            </w:r>
          </w:p>
        </w:tc>
        <w:tc>
          <w:tcPr>
            <w:tcW w:type="dxa" w:w="1426"/>
          </w:tcPr>
          <w:p>
            <w:pPr>
              <w:spacing w:after="20"/>
              <w:jc w:val="right"/>
            </w:pPr>
            <w:r>
              <w:rPr>
                <w:color w:val="1C3A36"/>
                <w:sz w:val="17"/>
              </w:rPr>
              <w:t>187,453</w:t>
            </w:r>
          </w:p>
        </w:tc>
        <w:tc>
          <w:tcPr>
            <w:tcW w:type="dxa" w:w="1426"/>
          </w:tcPr>
          <w:p>
            <w:pPr>
              <w:spacing w:after="20"/>
              <w:jc w:val="right"/>
            </w:pPr>
            <w:r>
              <w:rPr>
                <w:color w:val="1C3A36"/>
                <w:sz w:val="17"/>
              </w:rPr>
              <w:t>203,725</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40,976</w:t>
            </w:r>
          </w:p>
        </w:tc>
        <w:tc>
          <w:tcPr>
            <w:tcW w:type="dxa" w:w="1426"/>
          </w:tcPr>
          <w:p>
            <w:pPr>
              <w:spacing w:after="20"/>
              <w:jc w:val="right"/>
            </w:pPr>
            <w:r>
              <w:rPr>
                <w:color w:val="1C3A36"/>
                <w:sz w:val="17"/>
              </w:rPr>
              <w:t>44,698</w:t>
            </w:r>
          </w:p>
        </w:tc>
        <w:tc>
          <w:tcPr>
            <w:tcW w:type="dxa" w:w="1426"/>
          </w:tcPr>
          <w:p>
            <w:pPr>
              <w:spacing w:after="20"/>
              <w:jc w:val="right"/>
            </w:pPr>
            <w:r>
              <w:rPr>
                <w:color w:val="1C3A36"/>
                <w:sz w:val="17"/>
              </w:rPr>
              <w:t>48,531</w:t>
            </w:r>
          </w:p>
        </w:tc>
        <w:tc>
          <w:tcPr>
            <w:tcW w:type="dxa" w:w="1426"/>
          </w:tcPr>
          <w:p>
            <w:pPr>
              <w:spacing w:after="20"/>
              <w:jc w:val="right"/>
            </w:pPr>
            <w:r>
              <w:rPr>
                <w:color w:val="1C3A36"/>
                <w:sz w:val="17"/>
              </w:rPr>
              <w:t>52,710</w:t>
            </w:r>
          </w:p>
        </w:tc>
        <w:tc>
          <w:tcPr>
            <w:tcW w:type="dxa" w:w="1426"/>
          </w:tcPr>
          <w:p>
            <w:pPr>
              <w:spacing w:after="20"/>
              <w:jc w:val="right"/>
            </w:pPr>
            <w:r>
              <w:rPr>
                <w:color w:val="1C3A36"/>
                <w:sz w:val="17"/>
              </w:rPr>
              <w:t>57,183</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(3,827)</w:t>
            </w:r>
          </w:p>
        </w:tc>
        <w:tc>
          <w:tcPr>
            <w:tcW w:type="dxa" w:w="1426"/>
          </w:tcPr>
          <w:p>
            <w:pPr>
              <w:spacing w:after="20"/>
              <w:jc w:val="right"/>
            </w:pPr>
            <w:r>
              <w:rPr>
                <w:color w:val="1C3A36"/>
                <w:sz w:val="17"/>
              </w:rPr>
              <w:t>(4,277)</w:t>
            </w:r>
          </w:p>
        </w:tc>
        <w:tc>
          <w:tcPr>
            <w:tcW w:type="dxa" w:w="1426"/>
          </w:tcPr>
          <w:p>
            <w:pPr>
              <w:spacing w:after="20"/>
              <w:jc w:val="right"/>
            </w:pPr>
            <w:r>
              <w:rPr>
                <w:color w:val="1C3A36"/>
                <w:sz w:val="17"/>
              </w:rPr>
              <w:t>(4,630)</w:t>
            </w:r>
          </w:p>
        </w:tc>
        <w:tc>
          <w:tcPr>
            <w:tcW w:type="dxa" w:w="1426"/>
          </w:tcPr>
          <w:p>
            <w:pPr>
              <w:spacing w:after="20"/>
              <w:jc w:val="right"/>
            </w:pPr>
            <w:r>
              <w:rPr>
                <w:color w:val="1C3A36"/>
                <w:sz w:val="17"/>
              </w:rPr>
              <w:t>(4,996)</w:t>
            </w:r>
          </w:p>
        </w:tc>
        <w:tc>
          <w:tcPr>
            <w:tcW w:type="dxa" w:w="1426"/>
          </w:tcPr>
          <w:p>
            <w:pPr>
              <w:spacing w:after="20"/>
              <w:jc w:val="right"/>
            </w:pPr>
            <w:r>
              <w:rPr>
                <w:color w:val="1C3A36"/>
                <w:sz w:val="17"/>
              </w:rPr>
              <w:t>(5,383)</w:t>
            </w:r>
          </w:p>
        </w:tc>
      </w:tr>
      <w:tr>
        <w:tc>
          <w:tcPr>
            <w:tcW w:type="dxa" w:w="2952"/>
          </w:tcPr>
          <w:p>
            <w:pPr>
              <w:spacing w:after="20"/>
            </w:pPr>
            <w:r>
              <w:rPr>
                <w:color w:val="1C3A36"/>
                <w:sz w:val="17"/>
              </w:rPr>
              <w:t>EBIT</w:t>
            </w:r>
          </w:p>
        </w:tc>
        <w:tc>
          <w:tcPr>
            <w:tcW w:type="dxa" w:w="1426"/>
          </w:tcPr>
          <w:p>
            <w:pPr>
              <w:spacing w:after="20"/>
              <w:jc w:val="right"/>
            </w:pPr>
            <w:r>
              <w:rPr>
                <w:color w:val="1C3A36"/>
                <w:sz w:val="17"/>
              </w:rPr>
              <w:t>37,149</w:t>
            </w:r>
          </w:p>
        </w:tc>
        <w:tc>
          <w:tcPr>
            <w:tcW w:type="dxa" w:w="1426"/>
          </w:tcPr>
          <w:p>
            <w:pPr>
              <w:spacing w:after="20"/>
              <w:jc w:val="right"/>
            </w:pPr>
            <w:r>
              <w:rPr>
                <w:color w:val="1C3A36"/>
                <w:sz w:val="17"/>
              </w:rPr>
              <w:t>40,421</w:t>
            </w:r>
          </w:p>
        </w:tc>
        <w:tc>
          <w:tcPr>
            <w:tcW w:type="dxa" w:w="1426"/>
          </w:tcPr>
          <w:p>
            <w:pPr>
              <w:spacing w:after="20"/>
              <w:jc w:val="right"/>
            </w:pPr>
            <w:r>
              <w:rPr>
                <w:color w:val="1C3A36"/>
                <w:sz w:val="17"/>
              </w:rPr>
              <w:t>43,901</w:t>
            </w:r>
          </w:p>
        </w:tc>
        <w:tc>
          <w:tcPr>
            <w:tcW w:type="dxa" w:w="1426"/>
          </w:tcPr>
          <w:p>
            <w:pPr>
              <w:spacing w:after="20"/>
              <w:jc w:val="right"/>
            </w:pPr>
            <w:r>
              <w:rPr>
                <w:color w:val="1C3A36"/>
                <w:sz w:val="17"/>
              </w:rPr>
              <w:t>47,714</w:t>
            </w:r>
          </w:p>
        </w:tc>
        <w:tc>
          <w:tcPr>
            <w:tcW w:type="dxa" w:w="1426"/>
          </w:tcPr>
          <w:p>
            <w:pPr>
              <w:spacing w:after="20"/>
              <w:jc w:val="right"/>
            </w:pPr>
            <w:r>
              <w:rPr>
                <w:color w:val="1C3A36"/>
                <w:sz w:val="17"/>
              </w:rPr>
              <w:t>51,799</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27,862</w:t>
            </w:r>
          </w:p>
        </w:tc>
        <w:tc>
          <w:tcPr>
            <w:tcW w:type="dxa" w:w="1426"/>
          </w:tcPr>
          <w:p>
            <w:pPr>
              <w:spacing w:after="20"/>
              <w:jc w:val="right"/>
            </w:pPr>
            <w:r>
              <w:rPr>
                <w:color w:val="1C3A36"/>
                <w:sz w:val="17"/>
              </w:rPr>
              <w:t>30,315</w:t>
            </w:r>
          </w:p>
        </w:tc>
        <w:tc>
          <w:tcPr>
            <w:tcW w:type="dxa" w:w="1426"/>
          </w:tcPr>
          <w:p>
            <w:pPr>
              <w:spacing w:after="20"/>
              <w:jc w:val="right"/>
            </w:pPr>
            <w:r>
              <w:rPr>
                <w:color w:val="1C3A36"/>
                <w:sz w:val="17"/>
              </w:rPr>
              <w:t>32,926</w:t>
            </w:r>
          </w:p>
        </w:tc>
        <w:tc>
          <w:tcPr>
            <w:tcW w:type="dxa" w:w="1426"/>
          </w:tcPr>
          <w:p>
            <w:pPr>
              <w:spacing w:after="20"/>
              <w:jc w:val="right"/>
            </w:pPr>
            <w:r>
              <w:rPr>
                <w:color w:val="1C3A36"/>
                <w:sz w:val="17"/>
              </w:rPr>
              <w:t>35,786</w:t>
            </w:r>
          </w:p>
        </w:tc>
        <w:tc>
          <w:tcPr>
            <w:tcW w:type="dxa" w:w="1426"/>
          </w:tcPr>
          <w:p>
            <w:pPr>
              <w:spacing w:after="20"/>
              <w:jc w:val="right"/>
            </w:pPr>
            <w:r>
              <w:rPr>
                <w:color w:val="1C3A36"/>
                <w:sz w:val="17"/>
              </w:rPr>
              <w:t>38,850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3,827</w:t>
            </w:r>
          </w:p>
        </w:tc>
        <w:tc>
          <w:tcPr>
            <w:tcW w:type="dxa" w:w="1426"/>
          </w:tcPr>
          <w:p>
            <w:pPr>
              <w:spacing w:after="20"/>
              <w:jc w:val="right"/>
            </w:pPr>
            <w:r>
              <w:rPr>
                <w:color w:val="1C3A36"/>
                <w:sz w:val="17"/>
              </w:rPr>
              <w:t>4,277</w:t>
            </w:r>
          </w:p>
        </w:tc>
        <w:tc>
          <w:tcPr>
            <w:tcW w:type="dxa" w:w="1426"/>
          </w:tcPr>
          <w:p>
            <w:pPr>
              <w:spacing w:after="20"/>
              <w:jc w:val="right"/>
            </w:pPr>
            <w:r>
              <w:rPr>
                <w:color w:val="1C3A36"/>
                <w:sz w:val="17"/>
              </w:rPr>
              <w:t>4,630</w:t>
            </w:r>
          </w:p>
        </w:tc>
        <w:tc>
          <w:tcPr>
            <w:tcW w:type="dxa" w:w="1426"/>
          </w:tcPr>
          <w:p>
            <w:pPr>
              <w:spacing w:after="20"/>
              <w:jc w:val="right"/>
            </w:pPr>
            <w:r>
              <w:rPr>
                <w:color w:val="1C3A36"/>
                <w:sz w:val="17"/>
              </w:rPr>
              <w:t>4,996</w:t>
            </w:r>
          </w:p>
        </w:tc>
        <w:tc>
          <w:tcPr>
            <w:tcW w:type="dxa" w:w="1426"/>
          </w:tcPr>
          <w:p>
            <w:pPr>
              <w:spacing w:after="20"/>
              <w:jc w:val="right"/>
            </w:pPr>
            <w:r>
              <w:rPr>
                <w:color w:val="1C3A36"/>
                <w:sz w:val="17"/>
              </w:rPr>
              <w:t>5,383</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(10,935)</w:t>
            </w:r>
          </w:p>
        </w:tc>
        <w:tc>
          <w:tcPr>
            <w:tcW w:type="dxa" w:w="1426"/>
          </w:tcPr>
          <w:p>
            <w:pPr>
              <w:spacing w:after="20"/>
              <w:jc w:val="right"/>
            </w:pPr>
            <w:r>
              <w:rPr>
                <w:color w:val="1C3A36"/>
                <w:sz w:val="17"/>
              </w:rPr>
              <w:t>(11,813)</w:t>
            </w:r>
          </w:p>
        </w:tc>
        <w:tc>
          <w:tcPr>
            <w:tcW w:type="dxa" w:w="1426"/>
          </w:tcPr>
          <w:p>
            <w:pPr>
              <w:spacing w:after="20"/>
              <w:jc w:val="right"/>
            </w:pPr>
            <w:r>
              <w:rPr>
                <w:color w:val="1C3A36"/>
                <w:sz w:val="17"/>
              </w:rPr>
              <w:t>(12,347)</w:t>
            </w:r>
          </w:p>
        </w:tc>
        <w:tc>
          <w:tcPr>
            <w:tcW w:type="dxa" w:w="1426"/>
          </w:tcPr>
          <w:p>
            <w:pPr>
              <w:spacing w:after="20"/>
              <w:jc w:val="right"/>
            </w:pPr>
            <w:r>
              <w:rPr>
                <w:color w:val="1C3A36"/>
                <w:sz w:val="17"/>
              </w:rPr>
              <w:t>(12,371)</w:t>
            </w:r>
          </w:p>
        </w:tc>
        <w:tc>
          <w:tcPr>
            <w:tcW w:type="dxa" w:w="1426"/>
          </w:tcPr>
          <w:p>
            <w:pPr>
              <w:spacing w:after="20"/>
              <w:jc w:val="right"/>
            </w:pPr>
            <w:r>
              <w:rPr>
                <w:color w:val="1C3A36"/>
                <w:sz w:val="17"/>
              </w:rPr>
              <w:t>(12,304)</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(19,195)</w:t>
            </w:r>
          </w:p>
        </w:tc>
        <w:tc>
          <w:tcPr>
            <w:tcW w:type="dxa" w:w="1426"/>
          </w:tcPr>
          <w:p>
            <w:pPr>
              <w:spacing w:after="20"/>
              <w:jc w:val="right"/>
            </w:pPr>
            <w:r>
              <w:rPr>
                <w:color w:val="1C3A36"/>
                <w:sz w:val="17"/>
              </w:rPr>
              <w:t>(9,855)</w:t>
            </w:r>
          </w:p>
        </w:tc>
        <w:tc>
          <w:tcPr>
            <w:tcW w:type="dxa" w:w="1426"/>
          </w:tcPr>
          <w:p>
            <w:pPr>
              <w:spacing w:after="20"/>
              <w:jc w:val="right"/>
            </w:pPr>
            <w:r>
              <w:rPr>
                <w:color w:val="1C3A36"/>
                <w:sz w:val="17"/>
              </w:rPr>
              <w:t>(7,731)</w:t>
            </w:r>
          </w:p>
        </w:tc>
        <w:tc>
          <w:tcPr>
            <w:tcW w:type="dxa" w:w="1426"/>
          </w:tcPr>
          <w:p>
            <w:pPr>
              <w:spacing w:after="20"/>
              <w:jc w:val="right"/>
            </w:pPr>
            <w:r>
              <w:rPr>
                <w:color w:val="1C3A36"/>
                <w:sz w:val="17"/>
              </w:rPr>
              <w:t>(8,015)</w:t>
            </w:r>
          </w:p>
        </w:tc>
        <w:tc>
          <w:tcPr>
            <w:tcW w:type="dxa" w:w="1426"/>
          </w:tcPr>
          <w:p>
            <w:pPr>
              <w:spacing w:after="20"/>
              <w:jc w:val="right"/>
            </w:pPr>
            <w:r>
              <w:rPr>
                <w:color w:val="1C3A36"/>
                <w:sz w:val="17"/>
              </w:rPr>
              <w:t>(8,479)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1,559</w:t>
            </w:r>
          </w:p>
        </w:tc>
        <w:tc>
          <w:tcPr>
            <w:tcW w:type="dxa" w:w="1426"/>
            <w:shd w:val="clear" w:color="auto" w:fill="F6F1E6"/>
          </w:tcPr>
          <w:p>
            <w:pPr>
              <w:spacing w:after="20"/>
              <w:jc w:val="right"/>
            </w:pPr>
            <w:r>
              <w:rPr>
                <w:b/>
                <w:color w:val="1C3A36"/>
                <w:sz w:val="17"/>
              </w:rPr>
              <w:t>12,924</w:t>
            </w:r>
          </w:p>
        </w:tc>
        <w:tc>
          <w:tcPr>
            <w:tcW w:type="dxa" w:w="1426"/>
            <w:shd w:val="clear" w:color="auto" w:fill="F6F1E6"/>
          </w:tcPr>
          <w:p>
            <w:pPr>
              <w:spacing w:after="20"/>
              <w:jc w:val="right"/>
            </w:pPr>
            <w:r>
              <w:rPr>
                <w:b/>
                <w:color w:val="1C3A36"/>
                <w:sz w:val="17"/>
              </w:rPr>
              <w:t>17,478</w:t>
            </w:r>
          </w:p>
        </w:tc>
        <w:tc>
          <w:tcPr>
            <w:tcW w:type="dxa" w:w="1426"/>
            <w:shd w:val="clear" w:color="auto" w:fill="F6F1E6"/>
          </w:tcPr>
          <w:p>
            <w:pPr>
              <w:spacing w:after="20"/>
              <w:jc w:val="right"/>
            </w:pPr>
            <w:r>
              <w:rPr>
                <w:b/>
                <w:color w:val="1C3A36"/>
                <w:sz w:val="17"/>
              </w:rPr>
              <w:t>20,395</w:t>
            </w:r>
          </w:p>
        </w:tc>
        <w:tc>
          <w:tcPr>
            <w:tcW w:type="dxa" w:w="1426"/>
            <w:shd w:val="clear" w:color="auto" w:fill="F6F1E6"/>
          </w:tcPr>
          <w:p>
            <w:pPr>
              <w:spacing w:after="20"/>
              <w:jc w:val="right"/>
            </w:pPr>
            <w:r>
              <w:rPr>
                <w:b/>
                <w:color w:val="1C3A36"/>
                <w:sz w:val="17"/>
              </w:rPr>
              <w:t>23,450</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1,228</w:t>
            </w:r>
          </w:p>
        </w:tc>
        <w:tc>
          <w:tcPr>
            <w:tcW w:type="dxa" w:w="1426"/>
            <w:shd w:val="clear" w:color="auto" w:fill="F6F1E6"/>
          </w:tcPr>
          <w:p>
            <w:pPr>
              <w:spacing w:after="20"/>
              <w:jc w:val="right"/>
            </w:pPr>
            <w:r>
              <w:rPr>
                <w:b/>
                <w:color w:val="1C3A36"/>
                <w:sz w:val="17"/>
              </w:rPr>
              <w:t>8,281</w:t>
            </w:r>
          </w:p>
        </w:tc>
        <w:tc>
          <w:tcPr>
            <w:tcW w:type="dxa" w:w="1426"/>
            <w:shd w:val="clear" w:color="auto" w:fill="F6F1E6"/>
          </w:tcPr>
          <w:p>
            <w:pPr>
              <w:spacing w:after="20"/>
              <w:jc w:val="right"/>
            </w:pPr>
            <w:r>
              <w:rPr>
                <w:b/>
                <w:color w:val="1C3A36"/>
                <w:sz w:val="17"/>
              </w:rPr>
              <w:t>9,368</w:t>
            </w:r>
          </w:p>
        </w:tc>
        <w:tc>
          <w:tcPr>
            <w:tcW w:type="dxa" w:w="1426"/>
            <w:shd w:val="clear" w:color="auto" w:fill="F6F1E6"/>
          </w:tcPr>
          <w:p>
            <w:pPr>
              <w:spacing w:after="20"/>
              <w:jc w:val="right"/>
            </w:pPr>
            <w:r>
              <w:rPr>
                <w:b/>
                <w:color w:val="1C3A36"/>
                <w:sz w:val="17"/>
              </w:rPr>
              <w:t>9,335</w:t>
            </w:r>
          </w:p>
        </w:tc>
        <w:tc>
          <w:tcPr>
            <w:tcW w:type="dxa" w:w="1426"/>
            <w:shd w:val="clear" w:color="auto" w:fill="F6F1E6"/>
          </w:tcPr>
          <w:p>
            <w:pPr>
              <w:spacing w:after="20"/>
              <w:jc w:val="right"/>
            </w:pPr>
            <w:r>
              <w:rPr>
                <w:b/>
                <w:color w:val="1C3A36"/>
                <w:sz w:val="17"/>
              </w:rPr>
              <w:t>9,322</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37,535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121,000</w:t>
            </w:r>
          </w:p>
        </w:tc>
        <w:tc>
          <w:tcPr>
            <w:tcW w:type="dxa" w:w="4896"/>
          </w:tcPr>
          <w:p>
            <w:pPr>
              <w:spacing w:after="20"/>
              <w:jc w:val="right"/>
            </w:pPr>
            <w:r>
              <w:rPr>
                <w:color w:val="1C3A36"/>
                <w:sz w:val="17"/>
              </w:rPr>
              <w:t>terminal value 304,373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158,535</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76%</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7,445</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(14,101)</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132,090</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61.70</w:t>
            </w:r>
          </w:p>
        </w:tc>
        <w:tc>
          <w:tcPr>
            <w:tcW w:type="dxa" w:w="4896"/>
            <w:shd w:val="clear" w:color="auto" w:fill="F6F1E6"/>
          </w:tcPr>
          <w:p>
            <w:pPr>
              <w:spacing w:after="20"/>
              <w:jc w:val="right"/>
            </w:pPr>
            <w:r>
              <w:rPr>
                <w:b/>
                <w:color w:val="1C3A36"/>
                <w:sz w:val="17"/>
              </w:rPr>
              <w:t>against a spot of 105.20 (-41%)</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23.0% — the average of the explicit-window 28.4% and the terminal 17.6% — that gives 1.0× book, or EGP 33.86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tcPr>
          <w:p>
            <w:pPr>
              <w:spacing w:after="20"/>
            </w:pPr>
            <w:r>
              <w:rPr>
                <w:color w:val="1C3A36"/>
                <w:sz w:val="17"/>
              </w:rPr>
              <w:t>Justified enterprise value / EBITDA</w:t>
            </w:r>
          </w:p>
        </w:tc>
        <w:tc>
          <w:tcPr>
            <w:tcW w:type="dxa" w:w="1296"/>
          </w:tcPr>
          <w:p>
            <w:pPr>
              <w:spacing w:after="20"/>
              <w:jc w:val="right"/>
            </w:pPr>
            <w:r>
              <w:rPr>
                <w:color w:val="1C3A36"/>
                <w:sz w:val="17"/>
              </w:rPr>
              <w:t>6.5×</w:t>
            </w:r>
          </w:p>
        </w:tc>
        <w:tc>
          <w:tcPr>
            <w:tcW w:type="dxa" w:w="5688"/>
          </w:tcPr>
          <w:p>
            <w:pPr>
              <w:spacing w:after="20"/>
              <w:jc w:val="right"/>
            </w:pPr>
            <w:r>
              <w:rPr>
                <w:color w:val="1C3A36"/>
                <w:sz w:val="17"/>
              </w:rPr>
              <w:t>applied to mid-cycle FY2027 EBITDA; an Egyptian-market discount to listed cable and electrical-equipment peers, which trade in the 8–11× region</w:t>
            </w:r>
          </w:p>
        </w:tc>
      </w:tr>
      <w:tr>
        <w:tc>
          <w:tcPr>
            <w:tcW w:type="dxa" w:w="3096"/>
            <w:shd w:val="clear" w:color="auto" w:fill="F6F1E6"/>
          </w:tcPr>
          <w:p>
            <w:pPr>
              <w:spacing w:after="20"/>
            </w:pPr>
            <w:r>
              <w:rPr>
                <w:b/>
                <w:color w:val="1C3A36"/>
                <w:sz w:val="17"/>
              </w:rPr>
              <w:t>Implied value per share</w:t>
            </w:r>
          </w:p>
        </w:tc>
        <w:tc>
          <w:tcPr>
            <w:tcW w:type="dxa" w:w="1296"/>
            <w:shd w:val="clear" w:color="auto" w:fill="F6F1E6"/>
          </w:tcPr>
          <w:p>
            <w:pPr>
              <w:spacing w:after="20"/>
              <w:jc w:val="right"/>
            </w:pPr>
            <w:r>
              <w:rPr>
                <w:b/>
                <w:color w:val="1C3A36"/>
                <w:sz w:val="17"/>
              </w:rPr>
              <w:t>117.41</w:t>
            </w:r>
          </w:p>
        </w:tc>
        <w:tc>
          <w:tcPr>
            <w:tcW w:type="dxa" w:w="5688"/>
            <w:shd w:val="clear" w:color="auto" w:fill="F6F1E6"/>
          </w:tcPr>
          <w:p>
            <w:pPr>
              <w:spacing w:after="20"/>
              <w:jc w:val="right"/>
            </w:pPr>
            <w:r>
              <w:rPr>
                <w:b/>
                <w:color w:val="1C3A36"/>
                <w:sz w:val="17"/>
              </w:rPr>
              <w:t>bear 98.55 at 5.5× / bull 145.71 at 8.0×</w:t>
            </w:r>
          </w:p>
        </w:tc>
      </w:tr>
    </w:tbl>
    <w:p>
      <w:pPr>
        <w:spacing w:after="40"/>
      </w:pP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407,356mn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407,356</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45,131</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(4,277)</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40,854</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(4,127)</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(12,258)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25,770</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12.04</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108.34</w:t>
            </w:r>
          </w:p>
        </w:tc>
      </w:tr>
    </w:tbl>
    <w:p>
      <w:pPr>
        <w:spacing w:after="40"/>
      </w:pPr>
    </w:p>
    <w:p>
      <w:pPr>
        <w:spacing w:after="200" w:before="0"/>
      </w:pPr>
      <w:r>
        <w:rPr>
          <w:b w:val="0"/>
          <w:i/>
          <w:color w:val="6E7B77"/>
          <w:sz w:val="17"/>
        </w:rPr>
        <w:t>Bear 84.27 at 7.0× and bull 138.44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33.92</w:t>
            </w:r>
          </w:p>
        </w:tc>
        <w:tc>
          <w:tcPr>
            <w:tcW w:type="dxa" w:w="1238"/>
          </w:tcPr>
          <w:p>
            <w:pPr>
              <w:spacing w:after="20"/>
              <w:jc w:val="right"/>
            </w:pPr>
            <w:r>
              <w:rPr>
                <w:color w:val="1C3A36"/>
                <w:sz w:val="17"/>
              </w:rPr>
              <w:t>61.70</w:t>
            </w:r>
          </w:p>
        </w:tc>
        <w:tc>
          <w:tcPr>
            <w:tcW w:type="dxa" w:w="1238"/>
          </w:tcPr>
          <w:p>
            <w:pPr>
              <w:spacing w:after="20"/>
              <w:jc w:val="right"/>
            </w:pPr>
            <w:r>
              <w:rPr>
                <w:color w:val="1C3A36"/>
                <w:sz w:val="17"/>
              </w:rPr>
              <w:t>115.43</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27.77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98.55</w:t>
            </w:r>
          </w:p>
        </w:tc>
        <w:tc>
          <w:tcPr>
            <w:tcW w:type="dxa" w:w="1238"/>
          </w:tcPr>
          <w:p>
            <w:pPr>
              <w:spacing w:after="20"/>
              <w:jc w:val="right"/>
            </w:pPr>
            <w:r>
              <w:rPr>
                <w:color w:val="1C3A36"/>
                <w:sz w:val="17"/>
              </w:rPr>
              <w:t>117.41</w:t>
            </w:r>
          </w:p>
        </w:tc>
        <w:tc>
          <w:tcPr>
            <w:tcW w:type="dxa" w:w="1238"/>
          </w:tcPr>
          <w:p>
            <w:pPr>
              <w:spacing w:after="20"/>
              <w:jc w:val="right"/>
            </w:pPr>
            <w:r>
              <w:rPr>
                <w:color w:val="1C3A36"/>
                <w:sz w:val="17"/>
              </w:rPr>
              <w:t>145.71</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23.48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84.27</w:t>
            </w:r>
          </w:p>
        </w:tc>
        <w:tc>
          <w:tcPr>
            <w:tcW w:type="dxa" w:w="1238"/>
          </w:tcPr>
          <w:p>
            <w:pPr>
              <w:spacing w:after="20"/>
              <w:jc w:val="right"/>
            </w:pPr>
            <w:r>
              <w:rPr>
                <w:color w:val="1C3A36"/>
                <w:sz w:val="17"/>
              </w:rPr>
              <w:t>108.34</w:t>
            </w:r>
          </w:p>
        </w:tc>
        <w:tc>
          <w:tcPr>
            <w:tcW w:type="dxa" w:w="1238"/>
          </w:tcPr>
          <w:p>
            <w:pPr>
              <w:spacing w:after="20"/>
              <w:jc w:val="right"/>
            </w:pPr>
            <w:r>
              <w:rPr>
                <w:color w:val="1C3A36"/>
                <w:sz w:val="17"/>
              </w:rPr>
              <w:t>138.44</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21.67</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26.56</w:t>
            </w:r>
          </w:p>
        </w:tc>
        <w:tc>
          <w:tcPr>
            <w:tcW w:type="dxa" w:w="1238"/>
          </w:tcPr>
          <w:p>
            <w:pPr>
              <w:spacing w:after="20"/>
              <w:jc w:val="right"/>
            </w:pPr>
            <w:r>
              <w:rPr>
                <w:color w:val="1C3A36"/>
                <w:sz w:val="17"/>
              </w:rPr>
              <w:t>33.86</w:t>
            </w:r>
          </w:p>
        </w:tc>
        <w:tc>
          <w:tcPr>
            <w:tcW w:type="dxa" w:w="1238"/>
          </w:tcPr>
          <w:p>
            <w:pPr>
              <w:spacing w:after="20"/>
              <w:jc w:val="right"/>
            </w:pPr>
            <w:r>
              <w:rPr>
                <w:color w:val="1C3A36"/>
                <w:sz w:val="17"/>
              </w:rPr>
              <w:t>48.47</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5.08</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26.56</w:t>
            </w:r>
          </w:p>
        </w:tc>
        <w:tc>
          <w:tcPr>
            <w:tcW w:type="dxa" w:w="1238"/>
            <w:shd w:val="clear" w:color="auto" w:fill="F6F1E6"/>
          </w:tcPr>
          <w:p>
            <w:pPr>
              <w:spacing w:after="20"/>
              <w:jc w:val="right"/>
            </w:pPr>
            <w:r>
              <w:rPr>
                <w:b/>
                <w:color w:val="1C3A36"/>
                <w:sz w:val="17"/>
              </w:rPr>
              <w:t>78.00</w:t>
            </w:r>
          </w:p>
        </w:tc>
        <w:tc>
          <w:tcPr>
            <w:tcW w:type="dxa" w:w="1238"/>
            <w:shd w:val="clear" w:color="auto" w:fill="F6F1E6"/>
          </w:tcPr>
          <w:p>
            <w:pPr>
              <w:spacing w:after="20"/>
              <w:jc w:val="right"/>
            </w:pPr>
            <w:r>
              <w:rPr>
                <w:b/>
                <w:color w:val="1C3A36"/>
                <w:sz w:val="17"/>
              </w:rPr>
              <w:t>145.71</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78.00</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78.00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640,951</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1.295×</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13.8%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1.295,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13.8%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1.295×</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364,506</w:t>
            </w:r>
          </w:p>
        </w:tc>
        <w:tc>
          <w:tcPr>
            <w:tcW w:type="dxa" w:w="1426"/>
          </w:tcPr>
          <w:p>
            <w:pPr>
              <w:spacing w:after="20"/>
              <w:jc w:val="right"/>
            </w:pPr>
            <w:r>
              <w:rPr>
                <w:color w:val="1C3A36"/>
                <w:sz w:val="16"/>
              </w:rPr>
              <w:t>407,356</w:t>
            </w:r>
          </w:p>
        </w:tc>
        <w:tc>
          <w:tcPr>
            <w:tcW w:type="dxa" w:w="1426"/>
          </w:tcPr>
          <w:p>
            <w:pPr>
              <w:spacing w:after="20"/>
              <w:jc w:val="right"/>
            </w:pPr>
            <w:r>
              <w:rPr>
                <w:color w:val="1C3A36"/>
                <w:sz w:val="16"/>
              </w:rPr>
              <w:t>440,970</w:t>
            </w:r>
          </w:p>
        </w:tc>
        <w:tc>
          <w:tcPr>
            <w:tcW w:type="dxa" w:w="1426"/>
          </w:tcPr>
          <w:p>
            <w:pPr>
              <w:spacing w:after="20"/>
              <w:jc w:val="right"/>
            </w:pPr>
            <w:r>
              <w:rPr>
                <w:color w:val="1C3A36"/>
                <w:sz w:val="16"/>
              </w:rPr>
              <w:t>475,819</w:t>
            </w:r>
          </w:p>
        </w:tc>
        <w:tc>
          <w:tcPr>
            <w:tcW w:type="dxa" w:w="1426"/>
          </w:tcPr>
          <w:p>
            <w:pPr>
              <w:spacing w:after="20"/>
              <w:jc w:val="right"/>
            </w:pPr>
            <w:r>
              <w:rPr>
                <w:color w:val="1C3A36"/>
                <w:sz w:val="16"/>
              </w:rPr>
              <w:t>512,683</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55,556</w:t>
            </w:r>
          </w:p>
        </w:tc>
        <w:tc>
          <w:tcPr>
            <w:tcW w:type="dxa" w:w="1426"/>
          </w:tcPr>
          <w:p>
            <w:pPr>
              <w:spacing w:after="20"/>
              <w:jc w:val="right"/>
            </w:pPr>
            <w:r>
              <w:rPr>
                <w:color w:val="1C3A36"/>
                <w:sz w:val="16"/>
              </w:rPr>
              <w:t>62,214</w:t>
            </w:r>
          </w:p>
        </w:tc>
        <w:tc>
          <w:tcPr>
            <w:tcW w:type="dxa" w:w="1426"/>
          </w:tcPr>
          <w:p>
            <w:pPr>
              <w:spacing w:after="20"/>
              <w:jc w:val="right"/>
            </w:pPr>
            <w:r>
              <w:rPr>
                <w:color w:val="1C3A36"/>
                <w:sz w:val="16"/>
              </w:rPr>
              <w:t>68,816</w:t>
            </w:r>
          </w:p>
        </w:tc>
        <w:tc>
          <w:tcPr>
            <w:tcW w:type="dxa" w:w="1426"/>
          </w:tcPr>
          <w:p>
            <w:pPr>
              <w:spacing w:after="20"/>
              <w:jc w:val="right"/>
            </w:pPr>
            <w:r>
              <w:rPr>
                <w:color w:val="1C3A36"/>
                <w:sz w:val="16"/>
              </w:rPr>
              <w:t>75,549</w:t>
            </w:r>
          </w:p>
        </w:tc>
        <w:tc>
          <w:tcPr>
            <w:tcW w:type="dxa" w:w="1426"/>
          </w:tcPr>
          <w:p>
            <w:pPr>
              <w:spacing w:after="20"/>
              <w:jc w:val="right"/>
            </w:pPr>
            <w:r>
              <w:rPr>
                <w:color w:val="1C3A36"/>
                <w:sz w:val="16"/>
              </w:rPr>
              <w:t>82,817</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15.6%</w:t>
            </w:r>
          </w:p>
        </w:tc>
        <w:tc>
          <w:tcPr>
            <w:tcW w:type="dxa" w:w="1426"/>
          </w:tcPr>
          <w:p>
            <w:pPr>
              <w:spacing w:after="20"/>
              <w:jc w:val="right"/>
            </w:pPr>
            <w:r>
              <w:rPr>
                <w:color w:val="1C3A36"/>
                <w:sz w:val="16"/>
              </w:rPr>
              <w:t>15.9%</w:t>
            </w:r>
          </w:p>
        </w:tc>
        <w:tc>
          <w:tcPr>
            <w:tcW w:type="dxa" w:w="1426"/>
          </w:tcPr>
          <w:p>
            <w:pPr>
              <w:spacing w:after="20"/>
              <w:jc w:val="right"/>
            </w:pPr>
            <w:r>
              <w:rPr>
                <w:color w:val="1C3A36"/>
                <w:sz w:val="16"/>
              </w:rPr>
              <w:t>16.2%</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(14,580)</w:t>
            </w:r>
          </w:p>
        </w:tc>
        <w:tc>
          <w:tcPr>
            <w:tcW w:type="dxa" w:w="1426"/>
          </w:tcPr>
          <w:p>
            <w:pPr>
              <w:spacing w:after="20"/>
              <w:jc w:val="right"/>
            </w:pPr>
            <w:r>
              <w:rPr>
                <w:color w:val="1C3A36"/>
                <w:sz w:val="16"/>
              </w:rPr>
              <w:t>(17,516)</w:t>
            </w:r>
          </w:p>
        </w:tc>
        <w:tc>
          <w:tcPr>
            <w:tcW w:type="dxa" w:w="1426"/>
          </w:tcPr>
          <w:p>
            <w:pPr>
              <w:spacing w:after="20"/>
              <w:jc w:val="right"/>
            </w:pPr>
            <w:r>
              <w:rPr>
                <w:color w:val="1C3A36"/>
                <w:sz w:val="16"/>
              </w:rPr>
              <w:t>(20,285)</w:t>
            </w:r>
          </w:p>
        </w:tc>
        <w:tc>
          <w:tcPr>
            <w:tcW w:type="dxa" w:w="1426"/>
          </w:tcPr>
          <w:p>
            <w:pPr>
              <w:spacing w:after="20"/>
              <w:jc w:val="right"/>
            </w:pPr>
            <w:r>
              <w:rPr>
                <w:color w:val="1C3A36"/>
                <w:sz w:val="16"/>
              </w:rPr>
              <w:t>(22,839)</w:t>
            </w:r>
          </w:p>
        </w:tc>
        <w:tc>
          <w:tcPr>
            <w:tcW w:type="dxa" w:w="1426"/>
          </w:tcPr>
          <w:p>
            <w:pPr>
              <w:spacing w:after="20"/>
              <w:jc w:val="right"/>
            </w:pPr>
            <w:r>
              <w:rPr>
                <w:color w:val="1C3A36"/>
                <w:sz w:val="16"/>
              </w:rPr>
              <w:t>(25,634)</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40,976</w:t>
            </w:r>
          </w:p>
        </w:tc>
        <w:tc>
          <w:tcPr>
            <w:tcW w:type="dxa" w:w="1426"/>
            <w:shd w:val="clear" w:color="auto" w:fill="F6F1E6"/>
          </w:tcPr>
          <w:p>
            <w:pPr>
              <w:spacing w:after="20"/>
              <w:jc w:val="right"/>
            </w:pPr>
            <w:r>
              <w:rPr>
                <w:b/>
                <w:color w:val="1C3A36"/>
                <w:sz w:val="16"/>
              </w:rPr>
              <w:t>44,698</w:t>
            </w:r>
          </w:p>
        </w:tc>
        <w:tc>
          <w:tcPr>
            <w:tcW w:type="dxa" w:w="1426"/>
            <w:shd w:val="clear" w:color="auto" w:fill="F6F1E6"/>
          </w:tcPr>
          <w:p>
            <w:pPr>
              <w:spacing w:after="20"/>
              <w:jc w:val="right"/>
            </w:pPr>
            <w:r>
              <w:rPr>
                <w:b/>
                <w:color w:val="1C3A36"/>
                <w:sz w:val="16"/>
              </w:rPr>
              <w:t>48,531</w:t>
            </w:r>
          </w:p>
        </w:tc>
        <w:tc>
          <w:tcPr>
            <w:tcW w:type="dxa" w:w="1426"/>
            <w:shd w:val="clear" w:color="auto" w:fill="F6F1E6"/>
          </w:tcPr>
          <w:p>
            <w:pPr>
              <w:spacing w:after="20"/>
              <w:jc w:val="right"/>
            </w:pPr>
            <w:r>
              <w:rPr>
                <w:b/>
                <w:color w:val="1C3A36"/>
                <w:sz w:val="16"/>
              </w:rPr>
              <w:t>52,710</w:t>
            </w:r>
          </w:p>
        </w:tc>
        <w:tc>
          <w:tcPr>
            <w:tcW w:type="dxa" w:w="1426"/>
            <w:shd w:val="clear" w:color="auto" w:fill="F6F1E6"/>
          </w:tcPr>
          <w:p>
            <w:pPr>
              <w:spacing w:after="20"/>
              <w:jc w:val="right"/>
            </w:pPr>
            <w:r>
              <w:rPr>
                <w:b/>
                <w:color w:val="1C3A36"/>
                <w:sz w:val="16"/>
              </w:rPr>
              <w:t>57,183</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99,104</w:t>
            </w:r>
          </w:p>
        </w:tc>
        <w:tc>
          <w:tcPr>
            <w:tcW w:type="dxa" w:w="979"/>
          </w:tcPr>
          <w:p>
            <w:pPr>
              <w:spacing w:after="20"/>
              <w:jc w:val="right"/>
            </w:pPr>
            <w:r>
              <w:rPr>
                <w:color w:val="1C3A36"/>
                <w:sz w:val="16"/>
              </w:rPr>
              <w:t>35.3%</w:t>
            </w:r>
          </w:p>
        </w:tc>
        <w:tc>
          <w:tcPr>
            <w:tcW w:type="dxa" w:w="1656"/>
          </w:tcPr>
          <w:p>
            <w:pPr>
              <w:spacing w:after="20"/>
              <w:jc w:val="right"/>
            </w:pPr>
            <w:r>
              <w:rPr>
                <w:color w:val="1C3A36"/>
                <w:sz w:val="16"/>
              </w:rPr>
              <w:t>13.8%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44.3%</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25.4%</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87,553</w:t>
            </w:r>
          </w:p>
        </w:tc>
        <w:tc>
          <w:tcPr>
            <w:tcW w:type="dxa" w:w="979"/>
          </w:tcPr>
          <w:p>
            <w:pPr>
              <w:spacing w:after="20"/>
              <w:jc w:val="right"/>
            </w:pPr>
            <w:r>
              <w:rPr>
                <w:color w:val="1C3A36"/>
                <w:sz w:val="16"/>
              </w:rPr>
              <w:t>31.2%</w:t>
            </w:r>
          </w:p>
        </w:tc>
        <w:tc>
          <w:tcPr>
            <w:tcW w:type="dxa" w:w="1656"/>
          </w:tcPr>
          <w:p>
            <w:pPr>
              <w:spacing w:after="20"/>
              <w:jc w:val="right"/>
            </w:pPr>
            <w:r>
              <w:rPr>
                <w:color w:val="1C3A36"/>
                <w:sz w:val="16"/>
              </w:rPr>
              <w:t>9.8%</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12,255</w:t>
            </w:r>
          </w:p>
        </w:tc>
        <w:tc>
          <w:tcPr>
            <w:tcW w:type="dxa" w:w="979"/>
          </w:tcPr>
          <w:p>
            <w:pPr>
              <w:spacing w:after="20"/>
              <w:jc w:val="right"/>
            </w:pPr>
            <w:r>
              <w:rPr>
                <w:color w:val="1C3A36"/>
                <w:sz w:val="16"/>
              </w:rPr>
              <w:t>4.4%</w:t>
            </w:r>
          </w:p>
        </w:tc>
        <w:tc>
          <w:tcPr>
            <w:tcW w:type="dxa" w:w="1656"/>
          </w:tcPr>
          <w:p>
            <w:pPr>
              <w:spacing w:after="20"/>
              <w:jc w:val="right"/>
            </w:pPr>
            <w:r>
              <w:rPr>
                <w:color w:val="1C3A36"/>
                <w:sz w:val="16"/>
              </w:rPr>
              <w:t>30.1%</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6.5%</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15,562</w:t>
            </w:r>
          </w:p>
        </w:tc>
        <w:tc>
          <w:tcPr>
            <w:tcW w:type="dxa" w:w="979"/>
          </w:tcPr>
          <w:p>
            <w:pPr>
              <w:spacing w:after="20"/>
              <w:jc w:val="right"/>
            </w:pPr>
            <w:r>
              <w:rPr>
                <w:color w:val="1C3A36"/>
                <w:sz w:val="16"/>
              </w:rPr>
              <w:t>5.5%</w:t>
            </w:r>
          </w:p>
        </w:tc>
        <w:tc>
          <w:tcPr>
            <w:tcW w:type="dxa" w:w="1656"/>
          </w:tcPr>
          <w:p>
            <w:pPr>
              <w:spacing w:after="20"/>
              <w:jc w:val="right"/>
            </w:pPr>
            <w:r>
              <w:rPr>
                <w:color w:val="1C3A36"/>
                <w:sz w:val="16"/>
              </w:rPr>
              <w:t>23.8%</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5.5%</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44.3%</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2,920</w:t>
            </w:r>
          </w:p>
        </w:tc>
        <w:tc>
          <w:tcPr>
            <w:tcW w:type="dxa" w:w="979"/>
          </w:tcPr>
          <w:p>
            <w:pPr>
              <w:spacing w:after="20"/>
              <w:jc w:val="right"/>
            </w:pPr>
            <w:r>
              <w:rPr>
                <w:color w:val="1C3A36"/>
                <w:sz w:val="16"/>
              </w:rPr>
              <w:t>1.0%</w:t>
            </w:r>
          </w:p>
        </w:tc>
        <w:tc>
          <w:tcPr>
            <w:tcW w:type="dxa" w:w="1656"/>
          </w:tcPr>
          <w:p>
            <w:pPr>
              <w:spacing w:after="20"/>
              <w:jc w:val="right"/>
            </w:pPr>
            <w:r>
              <w:rPr>
                <w:color w:val="1C3A36"/>
                <w:sz w:val="16"/>
              </w:rPr>
              <w:t>54.0%</w:t>
            </w:r>
          </w:p>
        </w:tc>
        <w:tc>
          <w:tcPr>
            <w:tcW w:type="dxa" w:w="1872"/>
          </w:tcPr>
          <w:p>
            <w:pPr>
              <w:spacing w:after="20"/>
              <w:jc w:val="right"/>
            </w:pPr>
            <w:r>
              <w:rPr>
                <w:color w:val="1C3A36"/>
                <w:sz w:val="16"/>
              </w:rPr>
              <w:t>4,701</w:t>
            </w:r>
          </w:p>
        </w:tc>
        <w:tc>
          <w:tcPr>
            <w:tcW w:type="dxa" w:w="1181"/>
          </w:tcPr>
          <w:p>
            <w:pPr>
              <w:spacing w:after="20"/>
              <w:jc w:val="right"/>
            </w:pPr>
            <w:r>
              <w:rPr>
                <w:color w:val="1C3A36"/>
                <w:sz w:val="16"/>
              </w:rPr>
              <w:t>0.9%</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512,683</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0.874 — a roughly 13%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0.60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82.30</w:t>
            </w:r>
          </w:p>
        </w:tc>
        <w:tc>
          <w:tcPr>
            <w:tcW w:type="dxa" w:w="1541"/>
          </w:tcPr>
          <w:p>
            <w:pPr>
              <w:spacing w:after="20"/>
              <w:jc w:val="right"/>
            </w:pPr>
            <w:r>
              <w:rPr>
                <w:color w:val="1C3A36"/>
                <w:sz w:val="16"/>
              </w:rPr>
              <w:t>79.99</w:t>
            </w:r>
          </w:p>
        </w:tc>
        <w:tc>
          <w:tcPr>
            <w:tcW w:type="dxa" w:w="1541"/>
          </w:tcPr>
          <w:p>
            <w:pPr>
              <w:spacing w:after="20"/>
              <w:jc w:val="right"/>
            </w:pPr>
            <w:r>
              <w:rPr>
                <w:color w:val="1C3A36"/>
                <w:sz w:val="16"/>
              </w:rPr>
              <w:t>77.76</w:t>
            </w:r>
          </w:p>
        </w:tc>
        <w:tc>
          <w:tcPr>
            <w:tcW w:type="dxa" w:w="1541"/>
          </w:tcPr>
          <w:p>
            <w:pPr>
              <w:spacing w:after="20"/>
              <w:jc w:val="right"/>
            </w:pPr>
            <w:r>
              <w:rPr>
                <w:color w:val="1C3A36"/>
                <w:sz w:val="16"/>
              </w:rPr>
              <w:t>75.61</w:t>
            </w:r>
          </w:p>
        </w:tc>
        <w:tc>
          <w:tcPr>
            <w:tcW w:type="dxa" w:w="1541"/>
          </w:tcPr>
          <w:p>
            <w:pPr>
              <w:spacing w:after="20"/>
              <w:jc w:val="right"/>
            </w:pPr>
            <w:r>
              <w:rPr>
                <w:color w:val="1C3A36"/>
                <w:sz w:val="16"/>
              </w:rPr>
              <w:t>73.53</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72.89</w:t>
            </w:r>
          </w:p>
        </w:tc>
        <w:tc>
          <w:tcPr>
            <w:tcW w:type="dxa" w:w="1541"/>
          </w:tcPr>
          <w:p>
            <w:pPr>
              <w:spacing w:after="20"/>
              <w:jc w:val="right"/>
            </w:pPr>
            <w:r>
              <w:rPr>
                <w:color w:val="1C3A36"/>
                <w:sz w:val="16"/>
              </w:rPr>
              <w:t>70.83</w:t>
            </w:r>
          </w:p>
        </w:tc>
        <w:tc>
          <w:tcPr>
            <w:tcW w:type="dxa" w:w="1541"/>
          </w:tcPr>
          <w:p>
            <w:pPr>
              <w:spacing w:after="20"/>
              <w:jc w:val="right"/>
            </w:pPr>
            <w:r>
              <w:rPr>
                <w:color w:val="1C3A36"/>
                <w:sz w:val="16"/>
              </w:rPr>
              <w:t>68.85</w:t>
            </w:r>
          </w:p>
        </w:tc>
        <w:tc>
          <w:tcPr>
            <w:tcW w:type="dxa" w:w="1541"/>
          </w:tcPr>
          <w:p>
            <w:pPr>
              <w:spacing w:after="20"/>
              <w:jc w:val="right"/>
            </w:pPr>
            <w:r>
              <w:rPr>
                <w:color w:val="1C3A36"/>
                <w:sz w:val="16"/>
              </w:rPr>
              <w:t>66.94</w:t>
            </w:r>
          </w:p>
        </w:tc>
        <w:tc>
          <w:tcPr>
            <w:tcW w:type="dxa" w:w="1541"/>
          </w:tcPr>
          <w:p>
            <w:pPr>
              <w:spacing w:after="20"/>
              <w:jc w:val="right"/>
            </w:pPr>
            <w:r>
              <w:rPr>
                <w:color w:val="1C3A36"/>
                <w:sz w:val="16"/>
              </w:rPr>
              <w:t>65.09</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65.33</w:t>
            </w:r>
          </w:p>
        </w:tc>
        <w:tc>
          <w:tcPr>
            <w:tcW w:type="dxa" w:w="1541"/>
          </w:tcPr>
          <w:p>
            <w:pPr>
              <w:spacing w:after="20"/>
              <w:jc w:val="right"/>
            </w:pPr>
            <w:r>
              <w:rPr>
                <w:color w:val="1C3A36"/>
                <w:sz w:val="16"/>
              </w:rPr>
              <w:t>63.49</w:t>
            </w:r>
          </w:p>
        </w:tc>
        <w:tc>
          <w:tcPr>
            <w:tcW w:type="dxa" w:w="1541"/>
          </w:tcPr>
          <w:p>
            <w:pPr>
              <w:spacing w:after="20"/>
              <w:jc w:val="right"/>
            </w:pPr>
            <w:r>
              <w:rPr>
                <w:color w:val="1C3A36"/>
                <w:sz w:val="16"/>
              </w:rPr>
              <w:t>61.70</w:t>
            </w:r>
          </w:p>
        </w:tc>
        <w:tc>
          <w:tcPr>
            <w:tcW w:type="dxa" w:w="1541"/>
          </w:tcPr>
          <w:p>
            <w:pPr>
              <w:spacing w:after="20"/>
              <w:jc w:val="right"/>
            </w:pPr>
            <w:r>
              <w:rPr>
                <w:color w:val="1C3A36"/>
                <w:sz w:val="16"/>
              </w:rPr>
              <w:t>59.98</w:t>
            </w:r>
          </w:p>
        </w:tc>
        <w:tc>
          <w:tcPr>
            <w:tcW w:type="dxa" w:w="1541"/>
          </w:tcPr>
          <w:p>
            <w:pPr>
              <w:spacing w:after="20"/>
              <w:jc w:val="right"/>
            </w:pPr>
            <w:r>
              <w:rPr>
                <w:color w:val="1C3A36"/>
                <w:sz w:val="16"/>
              </w:rPr>
              <w:t>58.32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59.14</w:t>
            </w:r>
          </w:p>
        </w:tc>
        <w:tc>
          <w:tcPr>
            <w:tcW w:type="dxa" w:w="1541"/>
          </w:tcPr>
          <w:p>
            <w:pPr>
              <w:spacing w:after="20"/>
              <w:jc w:val="right"/>
            </w:pPr>
            <w:r>
              <w:rPr>
                <w:color w:val="1C3A36"/>
                <w:sz w:val="16"/>
              </w:rPr>
              <w:t>57.46</w:t>
            </w:r>
          </w:p>
        </w:tc>
        <w:tc>
          <w:tcPr>
            <w:tcW w:type="dxa" w:w="1541"/>
          </w:tcPr>
          <w:p>
            <w:pPr>
              <w:spacing w:after="20"/>
              <w:jc w:val="right"/>
            </w:pPr>
            <w:r>
              <w:rPr>
                <w:color w:val="1C3A36"/>
                <w:sz w:val="16"/>
              </w:rPr>
              <w:t>55.84</w:t>
            </w:r>
          </w:p>
        </w:tc>
        <w:tc>
          <w:tcPr>
            <w:tcW w:type="dxa" w:w="1541"/>
          </w:tcPr>
          <w:p>
            <w:pPr>
              <w:spacing w:after="20"/>
              <w:jc w:val="right"/>
            </w:pPr>
            <w:r>
              <w:rPr>
                <w:color w:val="1C3A36"/>
                <w:sz w:val="16"/>
              </w:rPr>
              <w:t>54.28</w:t>
            </w:r>
          </w:p>
        </w:tc>
        <w:tc>
          <w:tcPr>
            <w:tcW w:type="dxa" w:w="1541"/>
          </w:tcPr>
          <w:p>
            <w:pPr>
              <w:spacing w:after="20"/>
              <w:jc w:val="right"/>
            </w:pPr>
            <w:r>
              <w:rPr>
                <w:color w:val="1C3A36"/>
                <w:sz w:val="16"/>
              </w:rPr>
              <w:t>52.76</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53.97</w:t>
            </w:r>
          </w:p>
        </w:tc>
        <w:tc>
          <w:tcPr>
            <w:tcW w:type="dxa" w:w="1541"/>
          </w:tcPr>
          <w:p>
            <w:pPr>
              <w:spacing w:after="20"/>
              <w:jc w:val="right"/>
            </w:pPr>
            <w:r>
              <w:rPr>
                <w:color w:val="1C3A36"/>
                <w:sz w:val="16"/>
              </w:rPr>
              <w:t>52.43</w:t>
            </w:r>
          </w:p>
        </w:tc>
        <w:tc>
          <w:tcPr>
            <w:tcW w:type="dxa" w:w="1541"/>
          </w:tcPr>
          <w:p>
            <w:pPr>
              <w:spacing w:after="20"/>
              <w:jc w:val="right"/>
            </w:pPr>
            <w:r>
              <w:rPr>
                <w:color w:val="1C3A36"/>
                <w:sz w:val="16"/>
              </w:rPr>
              <w:t>50.95</w:t>
            </w:r>
          </w:p>
        </w:tc>
        <w:tc>
          <w:tcPr>
            <w:tcW w:type="dxa" w:w="1541"/>
          </w:tcPr>
          <w:p>
            <w:pPr>
              <w:spacing w:after="20"/>
              <w:jc w:val="right"/>
            </w:pPr>
            <w:r>
              <w:rPr>
                <w:color w:val="1C3A36"/>
                <w:sz w:val="16"/>
              </w:rPr>
              <w:t>49.51</w:t>
            </w:r>
          </w:p>
        </w:tc>
        <w:tc>
          <w:tcPr>
            <w:tcW w:type="dxa" w:w="1541"/>
          </w:tcPr>
          <w:p>
            <w:pPr>
              <w:spacing w:after="20"/>
              <w:jc w:val="right"/>
            </w:pPr>
            <w:r>
              <w:rPr>
                <w:color w:val="1C3A36"/>
                <w:sz w:val="16"/>
              </w:rPr>
              <w:t>48.13</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50.68 – 84.76</w:t>
            </w:r>
          </w:p>
        </w:tc>
        <w:tc>
          <w:tcPr>
            <w:tcW w:type="dxa" w:w="1944"/>
          </w:tcPr>
          <w:p>
            <w:pPr>
              <w:spacing w:after="20"/>
              <w:jc w:val="right"/>
            </w:pPr>
            <w:r>
              <w:rPr>
                <w:color w:val="1C3A36"/>
                <w:sz w:val="17"/>
              </w:rPr>
              <w:t>34.08</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56.86 – 71.38</w:t>
            </w:r>
          </w:p>
        </w:tc>
        <w:tc>
          <w:tcPr>
            <w:tcW w:type="dxa" w:w="1944"/>
          </w:tcPr>
          <w:p>
            <w:pPr>
              <w:spacing w:after="20"/>
              <w:jc w:val="right"/>
            </w:pPr>
            <w:r>
              <w:rPr>
                <w:color w:val="1C3A36"/>
                <w:sz w:val="17"/>
              </w:rPr>
              <w:t>14.52</w:t>
            </w:r>
          </w:p>
        </w:tc>
      </w:tr>
      <w:tr>
        <w:tc>
          <w:tcPr>
            <w:tcW w:type="dxa" w:w="3168"/>
          </w:tcPr>
          <w:p>
            <w:pPr>
              <w:spacing w:after="20"/>
            </w:pPr>
            <w:r>
              <w:rPr>
                <w:color w:val="1C3A36"/>
                <w:sz w:val="17"/>
              </w:rPr>
              <w:t>EBITDA margin</w:t>
            </w:r>
          </w:p>
        </w:tc>
        <w:tc>
          <w:tcPr>
            <w:tcW w:type="dxa" w:w="2232"/>
          </w:tcPr>
          <w:p>
            <w:pPr>
              <w:spacing w:after="20"/>
              <w:jc w:val="right"/>
            </w:pPr>
            <w:r>
              <w:rPr>
                <w:color w:val="1C3A36"/>
                <w:sz w:val="17"/>
              </w:rPr>
              <w:t>−2pp to +2pp</w:t>
            </w:r>
          </w:p>
        </w:tc>
        <w:tc>
          <w:tcPr>
            <w:tcW w:type="dxa" w:w="2736"/>
          </w:tcPr>
          <w:p>
            <w:pPr>
              <w:spacing w:after="20"/>
              <w:jc w:val="right"/>
            </w:pPr>
            <w:r>
              <w:rPr>
                <w:color w:val="1C3A36"/>
                <w:sz w:val="17"/>
              </w:rPr>
              <w:t>40.71 – 82.70</w:t>
            </w:r>
          </w:p>
        </w:tc>
        <w:tc>
          <w:tcPr>
            <w:tcW w:type="dxa" w:w="1944"/>
          </w:tcPr>
          <w:p>
            <w:pPr>
              <w:spacing w:after="20"/>
              <w:jc w:val="right"/>
            </w:pPr>
            <w:r>
              <w:rPr>
                <w:color w:val="1C3A36"/>
                <w:sz w:val="17"/>
              </w:rPr>
              <w:t>41.99</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59.91 – 63.50</w:t>
            </w:r>
          </w:p>
        </w:tc>
        <w:tc>
          <w:tcPr>
            <w:tcW w:type="dxa" w:w="1944"/>
          </w:tcPr>
          <w:p>
            <w:pPr>
              <w:spacing w:after="20"/>
              <w:jc w:val="right"/>
            </w:pPr>
            <w:r>
              <w:rPr>
                <w:color w:val="1C3A36"/>
                <w:sz w:val="17"/>
              </w:rPr>
              <w:t>3.59</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55.63 – 66.88</w:t>
            </w:r>
          </w:p>
        </w:tc>
        <w:tc>
          <w:tcPr>
            <w:tcW w:type="dxa" w:w="1944"/>
          </w:tcPr>
          <w:p>
            <w:pPr>
              <w:spacing w:after="20"/>
              <w:jc w:val="right"/>
            </w:pPr>
            <w:r>
              <w:rPr>
                <w:color w:val="1C3A36"/>
                <w:sz w:val="17"/>
              </w:rPr>
              <w:t>11.25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57.86 – 67.12</w:t>
            </w:r>
          </w:p>
        </w:tc>
        <w:tc>
          <w:tcPr>
            <w:tcW w:type="dxa" w:w="1944"/>
          </w:tcPr>
          <w:p>
            <w:pPr>
              <w:spacing w:after="20"/>
              <w:jc w:val="right"/>
            </w:pPr>
            <w:r>
              <w:rPr>
                <w:color w:val="1C3A36"/>
                <w:sz w:val="17"/>
              </w:rPr>
              <w:t>9.26</w:t>
            </w:r>
          </w:p>
        </w:tc>
      </w:tr>
    </w:tbl>
    <w:p>
      <w:pPr>
        <w:spacing w:after="40"/>
      </w:pPr>
    </w:p>
    <w:p>
      <w:pPr>
        <w:spacing w:after="200" w:before="0"/>
      </w:pPr>
      <w:r>
        <w:rPr>
          <w:b w:val="0"/>
          <w:i/>
          <w:color w:val="6E7B77"/>
          <w:sz w:val="17"/>
        </w:rPr>
        <w:t>Ranked by swing, the exchange-rate path and the terminal assumptions dominate every operating driver. That is the honest shape of this valuation: it is a bet on the cost of capital and the currency far more than on the company's execution.</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20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78.00;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78.00 central, -26%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61.70, -41%</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108.27, +3%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117.41, +12%</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verdict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108.27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more than 70% of revenue is hard-currency linked, so the translated result moves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78.00</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76%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108.27.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14,101mn from the equity value — roughly 6.59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78.2% and the free float is 20.4%.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364,506</w:t>
            </w:r>
          </w:p>
        </w:tc>
        <w:tc>
          <w:tcPr>
            <w:tcW w:type="dxa" w:w="950"/>
          </w:tcPr>
          <w:p>
            <w:pPr>
              <w:spacing w:after="20"/>
              <w:jc w:val="right"/>
            </w:pPr>
            <w:r>
              <w:rPr>
                <w:color w:val="1C3A36"/>
                <w:sz w:val="15"/>
              </w:rPr>
              <w:t>407,356</w:t>
            </w:r>
          </w:p>
        </w:tc>
        <w:tc>
          <w:tcPr>
            <w:tcW w:type="dxa" w:w="950"/>
          </w:tcPr>
          <w:p>
            <w:pPr>
              <w:spacing w:after="20"/>
              <w:jc w:val="right"/>
            </w:pPr>
            <w:r>
              <w:rPr>
                <w:color w:val="1C3A36"/>
                <w:sz w:val="15"/>
              </w:rPr>
              <w:t>440,970</w:t>
            </w:r>
          </w:p>
        </w:tc>
        <w:tc>
          <w:tcPr>
            <w:tcW w:type="dxa" w:w="950"/>
          </w:tcPr>
          <w:p>
            <w:pPr>
              <w:spacing w:after="20"/>
              <w:jc w:val="right"/>
            </w:pPr>
            <w:r>
              <w:rPr>
                <w:color w:val="1C3A36"/>
                <w:sz w:val="15"/>
              </w:rPr>
              <w:t>475,819</w:t>
            </w:r>
          </w:p>
        </w:tc>
        <w:tc>
          <w:tcPr>
            <w:tcW w:type="dxa" w:w="950"/>
          </w:tcPr>
          <w:p>
            <w:pPr>
              <w:spacing w:after="20"/>
              <w:jc w:val="right"/>
            </w:pPr>
            <w:r>
              <w:rPr>
                <w:color w:val="1C3A36"/>
                <w:sz w:val="15"/>
              </w:rPr>
              <w:t>512,683</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40,976</w:t>
            </w:r>
          </w:p>
        </w:tc>
        <w:tc>
          <w:tcPr>
            <w:tcW w:type="dxa" w:w="950"/>
            <w:shd w:val="clear" w:color="auto" w:fill="F6F1E6"/>
          </w:tcPr>
          <w:p>
            <w:pPr>
              <w:spacing w:after="20"/>
              <w:jc w:val="right"/>
            </w:pPr>
            <w:r>
              <w:rPr>
                <w:b/>
                <w:color w:val="1C3A36"/>
                <w:sz w:val="15"/>
              </w:rPr>
              <w:t>44,698</w:t>
            </w:r>
          </w:p>
        </w:tc>
        <w:tc>
          <w:tcPr>
            <w:tcW w:type="dxa" w:w="950"/>
            <w:shd w:val="clear" w:color="auto" w:fill="F6F1E6"/>
          </w:tcPr>
          <w:p>
            <w:pPr>
              <w:spacing w:after="20"/>
              <w:jc w:val="right"/>
            </w:pPr>
            <w:r>
              <w:rPr>
                <w:b/>
                <w:color w:val="1C3A36"/>
                <w:sz w:val="15"/>
              </w:rPr>
              <w:t>48,531</w:t>
            </w:r>
          </w:p>
        </w:tc>
        <w:tc>
          <w:tcPr>
            <w:tcW w:type="dxa" w:w="950"/>
            <w:shd w:val="clear" w:color="auto" w:fill="F6F1E6"/>
          </w:tcPr>
          <w:p>
            <w:pPr>
              <w:spacing w:after="20"/>
              <w:jc w:val="right"/>
            </w:pPr>
            <w:r>
              <w:rPr>
                <w:b/>
                <w:color w:val="1C3A36"/>
                <w:sz w:val="15"/>
              </w:rPr>
              <w:t>52,710</w:t>
            </w:r>
          </w:p>
        </w:tc>
        <w:tc>
          <w:tcPr>
            <w:tcW w:type="dxa" w:w="950"/>
            <w:shd w:val="clear" w:color="auto" w:fill="F6F1E6"/>
          </w:tcPr>
          <w:p>
            <w:pPr>
              <w:spacing w:after="20"/>
              <w:jc w:val="right"/>
            </w:pPr>
            <w:r>
              <w:rPr>
                <w:b/>
                <w:color w:val="1C3A36"/>
                <w:sz w:val="15"/>
              </w:rPr>
              <w:t>57,183</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(3,827)</w:t>
            </w:r>
          </w:p>
        </w:tc>
        <w:tc>
          <w:tcPr>
            <w:tcW w:type="dxa" w:w="950"/>
          </w:tcPr>
          <w:p>
            <w:pPr>
              <w:spacing w:after="20"/>
              <w:jc w:val="right"/>
            </w:pPr>
            <w:r>
              <w:rPr>
                <w:color w:val="1C3A36"/>
                <w:sz w:val="15"/>
              </w:rPr>
              <w:t>(4,277)</w:t>
            </w:r>
          </w:p>
        </w:tc>
        <w:tc>
          <w:tcPr>
            <w:tcW w:type="dxa" w:w="950"/>
          </w:tcPr>
          <w:p>
            <w:pPr>
              <w:spacing w:after="20"/>
              <w:jc w:val="right"/>
            </w:pPr>
            <w:r>
              <w:rPr>
                <w:color w:val="1C3A36"/>
                <w:sz w:val="15"/>
              </w:rPr>
              <w:t>(4,630)</w:t>
            </w:r>
          </w:p>
        </w:tc>
        <w:tc>
          <w:tcPr>
            <w:tcW w:type="dxa" w:w="950"/>
          </w:tcPr>
          <w:p>
            <w:pPr>
              <w:spacing w:after="20"/>
              <w:jc w:val="right"/>
            </w:pPr>
            <w:r>
              <w:rPr>
                <w:color w:val="1C3A36"/>
                <w:sz w:val="15"/>
              </w:rPr>
              <w:t>(4,996)</w:t>
            </w:r>
          </w:p>
        </w:tc>
        <w:tc>
          <w:tcPr>
            <w:tcW w:type="dxa" w:w="950"/>
          </w:tcPr>
          <w:p>
            <w:pPr>
              <w:spacing w:after="20"/>
              <w:jc w:val="right"/>
            </w:pPr>
            <w:r>
              <w:rPr>
                <w:color w:val="1C3A36"/>
                <w:sz w:val="15"/>
              </w:rPr>
              <w:t>(5,383)</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37,149</w:t>
            </w:r>
          </w:p>
        </w:tc>
        <w:tc>
          <w:tcPr>
            <w:tcW w:type="dxa" w:w="950"/>
            <w:shd w:val="clear" w:color="auto" w:fill="F6F1E6"/>
          </w:tcPr>
          <w:p>
            <w:pPr>
              <w:spacing w:after="20"/>
              <w:jc w:val="right"/>
            </w:pPr>
            <w:r>
              <w:rPr>
                <w:b/>
                <w:color w:val="1C3A36"/>
                <w:sz w:val="15"/>
              </w:rPr>
              <w:t>40,421</w:t>
            </w:r>
          </w:p>
        </w:tc>
        <w:tc>
          <w:tcPr>
            <w:tcW w:type="dxa" w:w="950"/>
            <w:shd w:val="clear" w:color="auto" w:fill="F6F1E6"/>
          </w:tcPr>
          <w:p>
            <w:pPr>
              <w:spacing w:after="20"/>
              <w:jc w:val="right"/>
            </w:pPr>
            <w:r>
              <w:rPr>
                <w:b/>
                <w:color w:val="1C3A36"/>
                <w:sz w:val="15"/>
              </w:rPr>
              <w:t>43,901</w:t>
            </w:r>
          </w:p>
        </w:tc>
        <w:tc>
          <w:tcPr>
            <w:tcW w:type="dxa" w:w="950"/>
            <w:shd w:val="clear" w:color="auto" w:fill="F6F1E6"/>
          </w:tcPr>
          <w:p>
            <w:pPr>
              <w:spacing w:after="20"/>
              <w:jc w:val="right"/>
            </w:pPr>
            <w:r>
              <w:rPr>
                <w:b/>
                <w:color w:val="1C3A36"/>
                <w:sz w:val="15"/>
              </w:rPr>
              <w:t>47,714</w:t>
            </w:r>
          </w:p>
        </w:tc>
        <w:tc>
          <w:tcPr>
            <w:tcW w:type="dxa" w:w="950"/>
            <w:shd w:val="clear" w:color="auto" w:fill="F6F1E6"/>
          </w:tcPr>
          <w:p>
            <w:pPr>
              <w:spacing w:after="20"/>
              <w:jc w:val="right"/>
            </w:pPr>
            <w:r>
              <w:rPr>
                <w:b/>
                <w:color w:val="1C3A36"/>
                <w:sz w:val="15"/>
              </w:rPr>
              <w:t>51,799</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23,330</w:t>
            </w:r>
          </w:p>
        </w:tc>
        <w:tc>
          <w:tcPr>
            <w:tcW w:type="dxa" w:w="950"/>
            <w:shd w:val="clear" w:color="auto" w:fill="F6F1E6"/>
          </w:tcPr>
          <w:p>
            <w:pPr>
              <w:spacing w:after="20"/>
              <w:jc w:val="right"/>
            </w:pPr>
            <w:r>
              <w:rPr>
                <w:b/>
                <w:color w:val="1C3A36"/>
                <w:sz w:val="15"/>
              </w:rPr>
              <w:t>26,012</w:t>
            </w:r>
          </w:p>
        </w:tc>
        <w:tc>
          <w:tcPr>
            <w:tcW w:type="dxa" w:w="950"/>
            <w:shd w:val="clear" w:color="auto" w:fill="F6F1E6"/>
          </w:tcPr>
          <w:p>
            <w:pPr>
              <w:spacing w:after="20"/>
              <w:jc w:val="right"/>
            </w:pPr>
            <w:r>
              <w:rPr>
                <w:b/>
                <w:color w:val="1C3A36"/>
                <w:sz w:val="15"/>
              </w:rPr>
              <w:t>28,793</w:t>
            </w:r>
          </w:p>
        </w:tc>
        <w:tc>
          <w:tcPr>
            <w:tcW w:type="dxa" w:w="950"/>
            <w:shd w:val="clear" w:color="auto" w:fill="F6F1E6"/>
          </w:tcPr>
          <w:p>
            <w:pPr>
              <w:spacing w:after="20"/>
              <w:jc w:val="right"/>
            </w:pPr>
            <w:r>
              <w:rPr>
                <w:b/>
                <w:color w:val="1C3A36"/>
                <w:sz w:val="15"/>
              </w:rPr>
              <w:t>31,708</w:t>
            </w:r>
          </w:p>
        </w:tc>
        <w:tc>
          <w:tcPr>
            <w:tcW w:type="dxa" w:w="950"/>
            <w:shd w:val="clear" w:color="auto" w:fill="F6F1E6"/>
          </w:tcPr>
          <w:p>
            <w:pPr>
              <w:spacing w:after="20"/>
              <w:jc w:val="right"/>
            </w:pPr>
            <w:r>
              <w:rPr>
                <w:b/>
                <w:color w:val="1C3A36"/>
                <w:sz w:val="15"/>
              </w:rPr>
              <w:t>34,767</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10.90</w:t>
            </w:r>
          </w:p>
        </w:tc>
        <w:tc>
          <w:tcPr>
            <w:tcW w:type="dxa" w:w="950"/>
          </w:tcPr>
          <w:p>
            <w:pPr>
              <w:spacing w:after="20"/>
              <w:jc w:val="right"/>
            </w:pPr>
            <w:r>
              <w:rPr>
                <w:color w:val="1C3A36"/>
                <w:sz w:val="15"/>
              </w:rPr>
              <w:t>12.15</w:t>
            </w:r>
          </w:p>
        </w:tc>
        <w:tc>
          <w:tcPr>
            <w:tcW w:type="dxa" w:w="950"/>
          </w:tcPr>
          <w:p>
            <w:pPr>
              <w:spacing w:after="20"/>
              <w:jc w:val="right"/>
            </w:pPr>
            <w:r>
              <w:rPr>
                <w:color w:val="1C3A36"/>
                <w:sz w:val="15"/>
              </w:rPr>
              <w:t>13.45</w:t>
            </w:r>
          </w:p>
        </w:tc>
        <w:tc>
          <w:tcPr>
            <w:tcW w:type="dxa" w:w="950"/>
          </w:tcPr>
          <w:p>
            <w:pPr>
              <w:spacing w:after="20"/>
              <w:jc w:val="right"/>
            </w:pPr>
            <w:r>
              <w:rPr>
                <w:color w:val="1C3A36"/>
                <w:sz w:val="15"/>
              </w:rPr>
              <w:t>14.81</w:t>
            </w:r>
          </w:p>
        </w:tc>
        <w:tc>
          <w:tcPr>
            <w:tcW w:type="dxa" w:w="950"/>
          </w:tcPr>
          <w:p>
            <w:pPr>
              <w:spacing w:after="20"/>
              <w:jc w:val="right"/>
            </w:pPr>
            <w:r>
              <w:rPr>
                <w:color w:val="1C3A36"/>
                <w:sz w:val="15"/>
              </w:rPr>
              <w:t>16.24</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83,836</w:t>
            </w:r>
          </w:p>
        </w:tc>
        <w:tc>
          <w:tcPr>
            <w:tcW w:type="dxa" w:w="1426"/>
          </w:tcPr>
          <w:p>
            <w:pPr>
              <w:spacing w:after="20"/>
              <w:jc w:val="right"/>
            </w:pPr>
            <w:r>
              <w:rPr>
                <w:color w:val="1C3A36"/>
                <w:sz w:val="16"/>
              </w:rPr>
              <w:t>93,692</w:t>
            </w:r>
          </w:p>
        </w:tc>
        <w:tc>
          <w:tcPr>
            <w:tcW w:type="dxa" w:w="1426"/>
          </w:tcPr>
          <w:p>
            <w:pPr>
              <w:spacing w:after="20"/>
              <w:jc w:val="right"/>
            </w:pPr>
            <w:r>
              <w:rPr>
                <w:color w:val="1C3A36"/>
                <w:sz w:val="16"/>
              </w:rPr>
              <w:t>101,423</w:t>
            </w:r>
          </w:p>
        </w:tc>
        <w:tc>
          <w:tcPr>
            <w:tcW w:type="dxa" w:w="1426"/>
          </w:tcPr>
          <w:p>
            <w:pPr>
              <w:spacing w:after="20"/>
              <w:jc w:val="right"/>
            </w:pPr>
            <w:r>
              <w:rPr>
                <w:color w:val="1C3A36"/>
                <w:sz w:val="16"/>
              </w:rPr>
              <w:t>109,438</w:t>
            </w:r>
          </w:p>
        </w:tc>
        <w:tc>
          <w:tcPr>
            <w:tcW w:type="dxa" w:w="1426"/>
          </w:tcPr>
          <w:p>
            <w:pPr>
              <w:spacing w:after="20"/>
              <w:jc w:val="right"/>
            </w:pPr>
            <w:r>
              <w:rPr>
                <w:color w:val="1C3A36"/>
                <w:sz w:val="16"/>
              </w:rPr>
              <w:t>117,917</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40,132</w:t>
            </w:r>
          </w:p>
        </w:tc>
        <w:tc>
          <w:tcPr>
            <w:tcW w:type="dxa" w:w="1426"/>
          </w:tcPr>
          <w:p>
            <w:pPr>
              <w:spacing w:after="20"/>
              <w:jc w:val="right"/>
            </w:pPr>
            <w:r>
              <w:rPr>
                <w:color w:val="1C3A36"/>
                <w:sz w:val="16"/>
              </w:rPr>
              <w:t>47,668</w:t>
            </w:r>
          </w:p>
        </w:tc>
        <w:tc>
          <w:tcPr>
            <w:tcW w:type="dxa" w:w="1426"/>
          </w:tcPr>
          <w:p>
            <w:pPr>
              <w:spacing w:after="20"/>
              <w:jc w:val="right"/>
            </w:pPr>
            <w:r>
              <w:rPr>
                <w:color w:val="1C3A36"/>
                <w:sz w:val="16"/>
              </w:rPr>
              <w:t>55,385</w:t>
            </w:r>
          </w:p>
        </w:tc>
        <w:tc>
          <w:tcPr>
            <w:tcW w:type="dxa" w:w="1426"/>
          </w:tcPr>
          <w:p>
            <w:pPr>
              <w:spacing w:after="20"/>
              <w:jc w:val="right"/>
            </w:pPr>
            <w:r>
              <w:rPr>
                <w:color w:val="1C3A36"/>
                <w:sz w:val="16"/>
              </w:rPr>
              <w:t>62,760</w:t>
            </w:r>
          </w:p>
        </w:tc>
        <w:tc>
          <w:tcPr>
            <w:tcW w:type="dxa" w:w="1426"/>
          </w:tcPr>
          <w:p>
            <w:pPr>
              <w:spacing w:after="20"/>
              <w:jc w:val="right"/>
            </w:pPr>
            <w:r>
              <w:rPr>
                <w:color w:val="1C3A36"/>
                <w:sz w:val="16"/>
              </w:rPr>
              <w:t>69,682</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125,428</w:t>
            </w:r>
          </w:p>
        </w:tc>
        <w:tc>
          <w:tcPr>
            <w:tcW w:type="dxa" w:w="1426"/>
          </w:tcPr>
          <w:p>
            <w:pPr>
              <w:spacing w:after="20"/>
              <w:jc w:val="right"/>
            </w:pPr>
            <w:r>
              <w:rPr>
                <w:color w:val="1C3A36"/>
                <w:sz w:val="16"/>
              </w:rPr>
              <w:t>142,819</w:t>
            </w:r>
          </w:p>
        </w:tc>
        <w:tc>
          <w:tcPr>
            <w:tcW w:type="dxa" w:w="1426"/>
          </w:tcPr>
          <w:p>
            <w:pPr>
              <w:spacing w:after="20"/>
              <w:jc w:val="right"/>
            </w:pPr>
            <w:r>
              <w:rPr>
                <w:color w:val="1C3A36"/>
                <w:sz w:val="16"/>
              </w:rPr>
              <w:t>158,267</w:t>
            </w:r>
          </w:p>
        </w:tc>
        <w:tc>
          <w:tcPr>
            <w:tcW w:type="dxa" w:w="1426"/>
          </w:tcPr>
          <w:p>
            <w:pPr>
              <w:spacing w:after="20"/>
              <w:jc w:val="right"/>
            </w:pPr>
            <w:r>
              <w:rPr>
                <w:color w:val="1C3A36"/>
                <w:sz w:val="16"/>
              </w:rPr>
              <w:t>173,658</w:t>
            </w:r>
          </w:p>
        </w:tc>
        <w:tc>
          <w:tcPr>
            <w:tcW w:type="dxa" w:w="1426"/>
          </w:tcPr>
          <w:p>
            <w:pPr>
              <w:spacing w:after="20"/>
              <w:jc w:val="right"/>
            </w:pPr>
            <w:r>
              <w:rPr>
                <w:color w:val="1C3A36"/>
                <w:sz w:val="16"/>
              </w:rPr>
              <w:t>189,058</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20.5%</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(10,935)</w:t>
            </w:r>
          </w:p>
        </w:tc>
        <w:tc>
          <w:tcPr>
            <w:tcW w:type="dxa" w:w="1426"/>
          </w:tcPr>
          <w:p>
            <w:pPr>
              <w:spacing w:after="20"/>
              <w:jc w:val="right"/>
            </w:pPr>
            <w:r>
              <w:rPr>
                <w:color w:val="1C3A36"/>
                <w:sz w:val="16"/>
              </w:rPr>
              <w:t>(11,813)</w:t>
            </w:r>
          </w:p>
        </w:tc>
        <w:tc>
          <w:tcPr>
            <w:tcW w:type="dxa" w:w="1426"/>
          </w:tcPr>
          <w:p>
            <w:pPr>
              <w:spacing w:after="20"/>
              <w:jc w:val="right"/>
            </w:pPr>
            <w:r>
              <w:rPr>
                <w:color w:val="1C3A36"/>
                <w:sz w:val="16"/>
              </w:rPr>
              <w:t>(12,347)</w:t>
            </w:r>
          </w:p>
        </w:tc>
        <w:tc>
          <w:tcPr>
            <w:tcW w:type="dxa" w:w="1426"/>
          </w:tcPr>
          <w:p>
            <w:pPr>
              <w:spacing w:after="20"/>
              <w:jc w:val="right"/>
            </w:pPr>
            <w:r>
              <w:rPr>
                <w:color w:val="1C3A36"/>
                <w:sz w:val="16"/>
              </w:rPr>
              <w:t>(12,371)</w:t>
            </w:r>
          </w:p>
        </w:tc>
        <w:tc>
          <w:tcPr>
            <w:tcW w:type="dxa" w:w="1426"/>
          </w:tcPr>
          <w:p>
            <w:pPr>
              <w:spacing w:after="20"/>
              <w:jc w:val="right"/>
            </w:pPr>
            <w:r>
              <w:rPr>
                <w:color w:val="1C3A36"/>
                <w:sz w:val="16"/>
              </w:rPr>
              <w:t>(12,304)</w:t>
            </w:r>
          </w:p>
        </w:tc>
      </w:tr>
      <w:tr>
        <w:tc>
          <w:tcPr>
            <w:tcW w:type="dxa" w:w="2952"/>
          </w:tcPr>
          <w:p>
            <w:pPr>
              <w:spacing w:after="20"/>
            </w:pPr>
            <w:r>
              <w:rPr>
                <w:color w:val="1C3A36"/>
                <w:sz w:val="16"/>
              </w:rPr>
              <w:t>Change in working capital</w:t>
            </w:r>
          </w:p>
        </w:tc>
        <w:tc>
          <w:tcPr>
            <w:tcW w:type="dxa" w:w="1426"/>
          </w:tcPr>
          <w:p>
            <w:pPr>
              <w:spacing w:after="20"/>
              <w:jc w:val="right"/>
            </w:pPr>
            <w:r>
              <w:rPr>
                <w:color w:val="1C3A36"/>
                <w:sz w:val="16"/>
              </w:rPr>
              <w:t>(19,195)</w:t>
            </w:r>
          </w:p>
        </w:tc>
        <w:tc>
          <w:tcPr>
            <w:tcW w:type="dxa" w:w="1426"/>
          </w:tcPr>
          <w:p>
            <w:pPr>
              <w:spacing w:after="20"/>
              <w:jc w:val="right"/>
            </w:pPr>
            <w:r>
              <w:rPr>
                <w:color w:val="1C3A36"/>
                <w:sz w:val="16"/>
              </w:rPr>
              <w:t>(9,855)</w:t>
            </w:r>
          </w:p>
        </w:tc>
        <w:tc>
          <w:tcPr>
            <w:tcW w:type="dxa" w:w="1426"/>
          </w:tcPr>
          <w:p>
            <w:pPr>
              <w:spacing w:after="20"/>
              <w:jc w:val="right"/>
            </w:pPr>
            <w:r>
              <w:rPr>
                <w:color w:val="1C3A36"/>
                <w:sz w:val="16"/>
              </w:rPr>
              <w:t>(7,731)</w:t>
            </w:r>
          </w:p>
        </w:tc>
        <w:tc>
          <w:tcPr>
            <w:tcW w:type="dxa" w:w="1426"/>
          </w:tcPr>
          <w:p>
            <w:pPr>
              <w:spacing w:after="20"/>
              <w:jc w:val="right"/>
            </w:pPr>
            <w:r>
              <w:rPr>
                <w:color w:val="1C3A36"/>
                <w:sz w:val="16"/>
              </w:rPr>
              <w:t>(8,015)</w:t>
            </w:r>
          </w:p>
        </w:tc>
        <w:tc>
          <w:tcPr>
            <w:tcW w:type="dxa" w:w="1426"/>
          </w:tcPr>
          <w:p>
            <w:pPr>
              <w:spacing w:after="20"/>
              <w:jc w:val="right"/>
            </w:pPr>
            <w:r>
              <w:rPr>
                <w:color w:val="1C3A36"/>
                <w:sz w:val="16"/>
              </w:rPr>
              <w:t>(8,479)</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1,559</w:t>
            </w:r>
          </w:p>
        </w:tc>
        <w:tc>
          <w:tcPr>
            <w:tcW w:type="dxa" w:w="1426"/>
            <w:shd w:val="clear" w:color="auto" w:fill="F6F1E6"/>
          </w:tcPr>
          <w:p>
            <w:pPr>
              <w:spacing w:after="20"/>
              <w:jc w:val="right"/>
            </w:pPr>
            <w:r>
              <w:rPr>
                <w:b/>
                <w:color w:val="1C3A36"/>
                <w:sz w:val="16"/>
              </w:rPr>
              <w:t>12,924</w:t>
            </w:r>
          </w:p>
        </w:tc>
        <w:tc>
          <w:tcPr>
            <w:tcW w:type="dxa" w:w="1426"/>
            <w:shd w:val="clear" w:color="auto" w:fill="F6F1E6"/>
          </w:tcPr>
          <w:p>
            <w:pPr>
              <w:spacing w:after="20"/>
              <w:jc w:val="right"/>
            </w:pPr>
            <w:r>
              <w:rPr>
                <w:b/>
                <w:color w:val="1C3A36"/>
                <w:sz w:val="16"/>
              </w:rPr>
              <w:t>17,478</w:t>
            </w:r>
          </w:p>
        </w:tc>
        <w:tc>
          <w:tcPr>
            <w:tcW w:type="dxa" w:w="1426"/>
            <w:shd w:val="clear" w:color="auto" w:fill="F6F1E6"/>
          </w:tcPr>
          <w:p>
            <w:pPr>
              <w:spacing w:after="20"/>
              <w:jc w:val="right"/>
            </w:pPr>
            <w:r>
              <w:rPr>
                <w:b/>
                <w:color w:val="1C3A36"/>
                <w:sz w:val="16"/>
              </w:rPr>
              <w:t>20,395</w:t>
            </w:r>
          </w:p>
        </w:tc>
        <w:tc>
          <w:tcPr>
            <w:tcW w:type="dxa" w:w="1426"/>
            <w:shd w:val="clear" w:color="auto" w:fill="F6F1E6"/>
          </w:tcPr>
          <w:p>
            <w:pPr>
              <w:spacing w:after="20"/>
              <w:jc w:val="right"/>
            </w:pPr>
            <w:r>
              <w:rPr>
                <w:b/>
                <w:color w:val="1C3A36"/>
                <w:sz w:val="16"/>
              </w:rPr>
              <w:t>23,450</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87,962</w:t>
            </w:r>
          </w:p>
        </w:tc>
        <w:tc>
          <w:tcPr>
            <w:tcW w:type="dxa" w:w="1426"/>
          </w:tcPr>
          <w:p>
            <w:pPr>
              <w:spacing w:after="20"/>
              <w:jc w:val="right"/>
            </w:pPr>
            <w:r>
              <w:rPr>
                <w:color w:val="1C3A36"/>
                <w:sz w:val="16"/>
              </w:rPr>
              <w:t>107,471</w:t>
            </w:r>
          </w:p>
        </w:tc>
        <w:tc>
          <w:tcPr>
            <w:tcW w:type="dxa" w:w="1426"/>
          </w:tcPr>
          <w:p>
            <w:pPr>
              <w:spacing w:after="20"/>
              <w:jc w:val="right"/>
            </w:pPr>
            <w:r>
              <w:rPr>
                <w:color w:val="1C3A36"/>
                <w:sz w:val="16"/>
              </w:rPr>
              <w:t>129,065</w:t>
            </w:r>
          </w:p>
        </w:tc>
        <w:tc>
          <w:tcPr>
            <w:tcW w:type="dxa" w:w="1426"/>
          </w:tcPr>
          <w:p>
            <w:pPr>
              <w:spacing w:after="20"/>
              <w:jc w:val="right"/>
            </w:pPr>
            <w:r>
              <w:rPr>
                <w:color w:val="1C3A36"/>
                <w:sz w:val="16"/>
              </w:rPr>
              <w:t>152,847</w:t>
            </w:r>
          </w:p>
        </w:tc>
        <w:tc>
          <w:tcPr>
            <w:tcW w:type="dxa" w:w="1426"/>
          </w:tcPr>
          <w:p>
            <w:pPr>
              <w:spacing w:after="20"/>
              <w:jc w:val="right"/>
            </w:pPr>
            <w:r>
              <w:rPr>
                <w:color w:val="1C3A36"/>
                <w:sz w:val="16"/>
              </w:rPr>
              <w:t>178,922</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27,158</w:t>
            </w:r>
          </w:p>
        </w:tc>
        <w:tc>
          <w:tcPr>
            <w:tcW w:type="dxa" w:w="1426"/>
          </w:tcPr>
          <w:p>
            <w:pPr>
              <w:spacing w:after="20"/>
              <w:jc w:val="right"/>
            </w:pPr>
            <w:r>
              <w:rPr>
                <w:color w:val="1C3A36"/>
                <w:sz w:val="16"/>
              </w:rPr>
              <w:t>23,403</w:t>
            </w:r>
          </w:p>
        </w:tc>
        <w:tc>
          <w:tcPr>
            <w:tcW w:type="dxa" w:w="1426"/>
          </w:tcPr>
          <w:p>
            <w:pPr>
              <w:spacing w:after="20"/>
              <w:jc w:val="right"/>
            </w:pPr>
            <w:r>
              <w:rPr>
                <w:color w:val="1C3A36"/>
                <w:sz w:val="16"/>
              </w:rPr>
              <w:t>15,414</w:t>
            </w:r>
          </w:p>
        </w:tc>
        <w:tc>
          <w:tcPr>
            <w:tcW w:type="dxa" w:w="1426"/>
          </w:tcPr>
          <w:p>
            <w:pPr>
              <w:spacing w:after="20"/>
              <w:jc w:val="right"/>
            </w:pPr>
            <w:r>
              <w:rPr>
                <w:color w:val="1C3A36"/>
                <w:sz w:val="16"/>
              </w:rPr>
              <w:t>4,967</w:t>
            </w:r>
          </w:p>
        </w:tc>
        <w:tc>
          <w:tcPr>
            <w:tcW w:type="dxa" w:w="1426"/>
          </w:tcPr>
          <w:p>
            <w:pPr>
              <w:spacing w:after="20"/>
              <w:jc w:val="right"/>
            </w:pPr>
            <w:r>
              <w:rPr>
                <w:color w:val="1C3A36"/>
                <w:sz w:val="16"/>
              </w:rPr>
              <w:t>-7,984</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14.52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34.18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3.59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41.99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11.25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20.4%;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440,970</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47,404</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14.45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137.29</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101.16 – 173.42</w:t>
            </w:r>
          </w:p>
        </w:tc>
      </w:tr>
    </w:tbl>
    <w:p>
      <w:pPr>
        <w:spacing w:after="40"/>
      </w:pPr>
    </w:p>
    <w:p>
      <w:pPr>
        <w:spacing w:after="120" w:before="0"/>
      </w:pPr>
      <w:r>
        <w:rPr>
          <w:b w:val="0"/>
          <w:i w:val="0"/>
          <w:color w:val="1C3A36"/>
          <w:sz w:val="21"/>
        </w:rPr>
        <w:t>Named sensitivity: each one-turn change in the multiple is worth EGP 14.45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20,441</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(1,777)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16,643</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23.0%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45.39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31.52 – 64.98</w:t>
            </w:r>
          </w:p>
        </w:tc>
      </w:tr>
    </w:tbl>
    <w:p>
      <w:pPr>
        <w:spacing w:after="40"/>
      </w:pPr>
    </w:p>
    <w:p>
      <w:pPr>
        <w:spacing w:after="120" w:before="0"/>
      </w:pPr>
      <w:r>
        <w:rPr>
          <w:b w:val="0"/>
          <w:i w:val="0"/>
          <w:color w:val="1C3A36"/>
          <w:sz w:val="21"/>
        </w:rPr>
        <w:t>This is the harshest of the three readings, at EGP 45.39,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1,681</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42,084</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142,890</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55.10</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46.82 – 108.27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20.5%</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+1.3pp</w:t>
            </w:r>
          </w:p>
        </w:tc>
        <w:tc>
          <w:tcPr>
            <w:tcW w:type="dxa" w:w="1426"/>
          </w:tcPr>
          <w:p>
            <w:pPr>
              <w:spacing w:after="20"/>
              <w:jc w:val="right"/>
            </w:pPr>
            <w:r>
              <w:rPr>
                <w:color w:val="1C3A36"/>
                <w:sz w:val="16"/>
              </w:rPr>
              <w:t>+3.5pp</w:t>
            </w:r>
          </w:p>
        </w:tc>
        <w:tc>
          <w:tcPr>
            <w:tcW w:type="dxa" w:w="1426"/>
          </w:tcPr>
          <w:p>
            <w:pPr>
              <w:spacing w:after="20"/>
              <w:jc w:val="right"/>
            </w:pPr>
            <w:r>
              <w:rPr>
                <w:color w:val="1C3A36"/>
                <w:sz w:val="16"/>
              </w:rPr>
              <w:t>+5.4pp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-5,876</w:t>
            </w:r>
          </w:p>
        </w:tc>
        <w:tc>
          <w:tcPr>
            <w:tcW w:type="dxa" w:w="1426"/>
            <w:shd w:val="clear" w:color="auto" w:fill="F6F1E6"/>
          </w:tcPr>
          <w:p>
            <w:pPr>
              <w:spacing w:after="20"/>
              <w:jc w:val="right"/>
            </w:pPr>
            <w:r>
              <w:rPr>
                <w:b/>
                <w:color w:val="1C3A36"/>
                <w:sz w:val="16"/>
              </w:rPr>
              <w:t>-2,503</w:t>
            </w:r>
          </w:p>
        </w:tc>
        <w:tc>
          <w:tcPr>
            <w:tcW w:type="dxa" w:w="1426"/>
            <w:shd w:val="clear" w:color="auto" w:fill="F6F1E6"/>
          </w:tcPr>
          <w:p>
            <w:pPr>
              <w:spacing w:after="20"/>
              <w:jc w:val="right"/>
            </w:pPr>
            <w:r>
              <w:rPr>
                <w:b/>
                <w:color w:val="1C3A36"/>
                <w:sz w:val="16"/>
              </w:rPr>
              <w:t>1,985</w:t>
            </w:r>
          </w:p>
        </w:tc>
        <w:tc>
          <w:tcPr>
            <w:tcW w:type="dxa" w:w="1426"/>
            <w:shd w:val="clear" w:color="auto" w:fill="F6F1E6"/>
          </w:tcPr>
          <w:p>
            <w:pPr>
              <w:spacing w:after="20"/>
              <w:jc w:val="right"/>
            </w:pPr>
            <w:r>
              <w:rPr>
                <w:b/>
                <w:color w:val="1C3A36"/>
                <w:sz w:val="16"/>
              </w:rPr>
              <w:t>6,089</w:t>
            </w:r>
          </w:p>
        </w:tc>
        <w:tc>
          <w:tcPr>
            <w:tcW w:type="dxa" w:w="1426"/>
            <w:shd w:val="clear" w:color="auto" w:fill="F6F1E6"/>
          </w:tcPr>
          <w:p>
            <w:pPr>
              <w:spacing w:after="20"/>
              <w:jc w:val="right"/>
            </w:pPr>
            <w:r>
              <w:rPr>
                <w:b/>
                <w:color w:val="1C3A36"/>
                <w:sz w:val="16"/>
              </w:rPr>
              <w:t>10,224</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55.10; the vertical line is the market price of 105.20.</w:t>
      </w:r>
    </w:p>
    <w:p>
      <w:pPr>
        <w:spacing w:after="120" w:before="0"/>
      </w:pPr>
      <w:r>
        <w:rPr>
          <w:b w:val="0"/>
          <w:i w:val="0"/>
          <w:color w:val="1C3A36"/>
          <w:sz w:val="21"/>
        </w:rPr>
        <w:t>The panel spans EGP 45.39 to 137.29 — a factor of 3.0 between the most and least generous reading. That is a wide disagreement and it is not noise. Expert 1 values earnings and finds the company reasonably priced. Expert 2 values cash and finds it expensive by a wide margin. Expert 3 values the spread between returns and the cost of capital and finds that the answer depends entirely on which cost of capital applies. The panel median of 55.10 sits -48% against the market price and close to the study's own weighted central of 78.00.</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23.0%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76%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