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3.97 and AED 5.57 a share. Because the contested judgement below is carried BOTH ways and the two are never averaged, this study publishes TWO weighted centres: AED 4.67 a share on the normalising reading of inventory movements and AED 4.84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4.74 a share against a traded price of AED 4.07. So the disagreement is not about the windfall. It is about the long run, where 76%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-0.15% a year — a business whose volume base is in permanent, if gentle, decline.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3.97 and AED 5.57, with weighted centres of AED 4.67 and AED 4.84 on the two framings of the inventory judgement. A fifth reading — capitalising the fixed policy dividend — lands at AED 4.14, within a few fils of the traded price. That is not a coincidence, and section 4 explains why: the market appears to be pricing the dividend the company pays rather than the cash the business generates.</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4.79</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terminal value 76.1% of enterprise value — inventory movements normalised to zero from FY2027</w:t>
            </w:r>
          </w:p>
        </w:tc>
      </w:tr>
      <w:t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5.12</w:t>
            </w:r>
          </w:p>
        </w:tc>
        <w:tc>
          <w:tcPr>
            <w:tcW w:type="dxa" w:w="1224"/>
          </w:tcPr>
          <w:p>
            <w:pPr>
              <w:spacing w:after="20"/>
              <w:jc w:val="right"/>
            </w:pPr>
            <w:r>
              <w:rPr>
                <w:color w:val="1C3A36"/>
                <w:sz w:val="17"/>
              </w:rPr>
              <w:t>26%</w:t>
            </w:r>
          </w:p>
        </w:tc>
        <w:tc>
          <w:tcPr>
            <w:tcW w:type="dxa" w:w="3960"/>
          </w:tcPr>
          <w:p>
            <w:pPr>
              <w:spacing w:after="20"/>
              <w:jc w:val="right"/>
            </w:pPr>
            <w:r>
              <w:rPr>
                <w:color w:val="1C3A36"/>
                <w:sz w:val="17"/>
              </w:rPr>
              <w:t>terminal value 76.2% of enterprise value — inventory movements carried at the FY2024–FY2025 average</w:t>
            </w:r>
          </w:p>
        </w:tc>
      </w:tr>
      <w:tr>
        <w:tc>
          <w:tcPr>
            <w:tcW w:type="dxa" w:w="3384"/>
          </w:tcPr>
          <w:p>
            <w:pPr>
              <w:spacing w:after="20"/>
            </w:pPr>
            <w:r>
              <w:rPr>
                <w:color w:val="1C3A36"/>
                <w:sz w:val="17"/>
              </w:rPr>
              <w:t>Normalised earnings power</w:t>
            </w:r>
          </w:p>
        </w:tc>
        <w:tc>
          <w:tcPr>
            <w:tcW w:type="dxa" w:w="1512"/>
          </w:tcPr>
          <w:p>
            <w:pPr>
              <w:spacing w:after="20"/>
              <w:jc w:val="right"/>
            </w:pPr>
            <w:r>
              <w:rPr>
                <w:color w:val="1C3A36"/>
                <w:sz w:val="17"/>
              </w:rPr>
              <w:t>4.89</w:t>
            </w:r>
          </w:p>
        </w:tc>
        <w:tc>
          <w:tcPr>
            <w:tcW w:type="dxa" w:w="1224"/>
          </w:tcPr>
          <w:p>
            <w:pPr>
              <w:spacing w:after="20"/>
              <w:jc w:val="right"/>
            </w:pPr>
            <w:r>
              <w:rPr>
                <w:color w:val="1C3A36"/>
                <w:sz w:val="17"/>
              </w:rPr>
              <w:t>20%</w:t>
            </w:r>
          </w:p>
        </w:tc>
        <w:tc>
          <w:tcPr>
            <w:tcW w:type="dxa" w:w="3960"/>
          </w:tcPr>
          <w:p>
            <w:pPr>
              <w:spacing w:after="20"/>
              <w:jc w:val="right"/>
            </w:pPr>
            <w:r>
              <w:rPr>
                <w:color w:val="1C3A36"/>
                <w:sz w:val="17"/>
              </w:rPr>
              <w:t>structural gross profit only, capitalised at the current cost of capital less long-run growth</w:t>
            </w:r>
          </w:p>
        </w:tc>
      </w:tr>
      <w:t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4.58</w:t>
            </w:r>
          </w:p>
        </w:tc>
        <w:tc>
          <w:tcPr>
            <w:tcW w:type="dxa" w:w="1224"/>
          </w:tcPr>
          <w:p>
            <w:pPr>
              <w:spacing w:after="20"/>
              <w:jc w:val="right"/>
            </w:pPr>
            <w:r>
              <w:rPr>
                <w:color w:val="1C3A36"/>
                <w:sz w:val="17"/>
              </w:rPr>
              <w:t>13%</w:t>
            </w:r>
          </w:p>
        </w:tc>
        <w:tc>
          <w:tcPr>
            <w:tcW w:type="dxa" w:w="3960"/>
          </w:tcPr>
          <w:p>
            <w:pPr>
              <w:spacing w:after="20"/>
              <w:jc w:val="right"/>
            </w:pPr>
            <w:r>
              <w:rPr>
                <w:color w:val="1C3A36"/>
                <w:sz w:val="17"/>
              </w:rPr>
              <w:t>16.0 times the FY2026 forward earnings the model itself produces</w:t>
            </w:r>
          </w:p>
        </w:tc>
      </w:tr>
      <w:t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4.80</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the same multiple on the through-cycle earnings</w:t>
            </w:r>
          </w:p>
        </w:tc>
      </w:tr>
      <w:t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4.07</w:t>
            </w:r>
          </w:p>
        </w:tc>
        <w:tc>
          <w:tcPr>
            <w:tcW w:type="dxa" w:w="1224"/>
          </w:tcPr>
          <w:p>
            <w:pPr>
              <w:spacing w:after="20"/>
              <w:jc w:val="right"/>
            </w:pPr>
            <w:r>
              <w:rPr>
                <w:color w:val="1C3A36"/>
                <w:sz w:val="17"/>
              </w:rPr>
              <w:t>-0%</w:t>
            </w:r>
          </w:p>
        </w:tc>
        <w:tc>
          <w:tcPr>
            <w:tcW w:type="dxa" w:w="3960"/>
          </w:tcPr>
          <w:p>
            <w:pPr>
              <w:spacing w:after="20"/>
              <w:jc w:val="right"/>
            </w:pPr>
            <w:r>
              <w:rPr>
                <w:color w:val="1C3A36"/>
                <w:sz w:val="17"/>
              </w:rPr>
              <w:t>justified 15.7 times a book value of 0.26 a share</w:t>
            </w:r>
          </w:p>
        </w:tc>
      </w:tr>
      <w:t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4.14</w:t>
            </w:r>
          </w:p>
        </w:tc>
        <w:tc>
          <w:tcPr>
            <w:tcW w:type="dxa" w:w="1224"/>
          </w:tcPr>
          <w:p>
            <w:pPr>
              <w:spacing w:after="20"/>
              <w:jc w:val="right"/>
            </w:pPr>
            <w:r>
              <w:rPr>
                <w:color w:val="1C3A36"/>
                <w:sz w:val="17"/>
              </w:rPr>
              <w:t>2%</w:t>
            </w:r>
          </w:p>
        </w:tc>
        <w:tc>
          <w:tcPr>
            <w:tcW w:type="dxa" w:w="3960"/>
          </w:tcPr>
          <w:p>
            <w:pPr>
              <w:spacing w:after="20"/>
              <w:jc w:val="right"/>
            </w:pPr>
            <w:r>
              <w:rPr>
                <w:color w:val="1C3A36"/>
                <w:sz w:val="17"/>
              </w:rPr>
              <w:t>the fixed policy dividend of 0.21 a share grown at 1.5% — a claim on cash paid, not cash earned</w:t>
            </w:r>
          </w:p>
        </w:tc>
      </w:tr>
      <w:t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4.67</w:t>
            </w:r>
          </w:p>
        </w:tc>
        <w:tc>
          <w:tcPr>
            <w:tcW w:type="dxa" w:w="1224"/>
            <w:shd w:val="clear" w:color="auto" w:fill="F6F1E6"/>
          </w:tcPr>
          <w:p>
            <w:pPr>
              <w:spacing w:after="20"/>
              <w:jc w:val="right"/>
            </w:pPr>
            <w:r>
              <w:rPr>
                <w:b/>
                <w:color w:val="1C3A36"/>
                <w:sz w:val="17"/>
              </w:rPr>
              <w:t>15%</w:t>
            </w:r>
          </w:p>
        </w:tc>
        <w:tc>
          <w:tcPr>
            <w:tcW w:type="dxa" w:w="3960"/>
            <w:shd w:val="clear" w:color="auto" w:fill="F6F1E6"/>
          </w:tcPr>
          <w:p>
            <w:pPr>
              <w:spacing w:after="20"/>
              <w:jc w:val="right"/>
            </w:pPr>
            <w:r>
              <w:rPr>
                <w:b/>
                <w:color w:val="1C3A36"/>
                <w:sz w:val="17"/>
              </w:rPr>
              <w:t>cash flow 40%, normalised earnings 25%, relative 20%, book and return 15%</w:t>
            </w:r>
          </w:p>
        </w:tc>
      </w:tr>
      <w:t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4.84</w:t>
            </w:r>
          </w:p>
        </w:tc>
        <w:tc>
          <w:tcPr>
            <w:tcW w:type="dxa" w:w="1224"/>
            <w:shd w:val="clear" w:color="auto" w:fill="F6F1E6"/>
          </w:tcPr>
          <w:p>
            <w:pPr>
              <w:spacing w:after="20"/>
              <w:jc w:val="right"/>
            </w:pPr>
            <w:r>
              <w:rPr>
                <w:b/>
                <w:color w:val="1C3A36"/>
                <w:sz w:val="17"/>
              </w:rPr>
              <w:t>19%</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c>
          <w:tcPr>
            <w:tcW w:type="dxa" w:w="3384"/>
          </w:tcPr>
          <w:p>
            <w:pPr>
              <w:spacing w:after="20"/>
            </w:pPr>
            <w:r>
              <w:rPr>
                <w:color w:val="1C3A36"/>
                <w:sz w:val="17"/>
              </w:rPr>
              <w:t>Field low to field high</w:t>
            </w:r>
          </w:p>
        </w:tc>
        <w:tc>
          <w:tcPr>
            <w:tcW w:type="dxa" w:w="1512"/>
          </w:tcPr>
          <w:p>
            <w:pPr>
              <w:spacing w:after="20"/>
              <w:jc w:val="right"/>
            </w:pPr>
            <w:r>
              <w:rPr>
                <w:color w:val="1C3A36"/>
                <w:sz w:val="17"/>
              </w:rPr>
              <w:t>3.97 – 5.57</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76.1% of enterprise value on Frame A and 76.2%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6.54%</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6.58%</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7.18%</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2016"/>
      </w:tblGrid>
      <w:tr>
        <w:tc>
          <w:tcPr>
            <w:tcW w:type="dxa" w:w="3744"/>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2016"/>
            <w:shd w:val="clear" w:color="auto" w:fill="EAF0EE"/>
          </w:tcPr>
          <w:p>
            <w:pPr>
              <w:spacing w:after="20"/>
            </w:pPr>
            <w:r>
              <w:rPr>
                <w:b/>
                <w:color w:val="1C3A36"/>
                <w:sz w:val="17"/>
              </w:rPr>
              <w:t>Change</w:t>
            </w:r>
          </w:p>
        </w:tc>
      </w:tr>
      <w:tr>
        <w:tc>
          <w:tcPr>
            <w:tcW w:type="dxa" w:w="3744"/>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2016"/>
          </w:tcPr>
          <w:p>
            <w:pPr>
              <w:spacing w:after="20"/>
              <w:jc w:val="right"/>
            </w:pPr>
            <w:r>
              <w:rPr>
                <w:color w:val="1C3A36"/>
                <w:sz w:val="17"/>
              </w:rPr>
              <w:t>11.3%</w:t>
            </w:r>
          </w:p>
        </w:tc>
      </w:tr>
      <w:tr>
        <w:tc>
          <w:tcPr>
            <w:tcW w:type="dxa" w:w="3744"/>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2016"/>
          </w:tcPr>
          <w:p>
            <w:pPr>
              <w:spacing w:after="20"/>
              <w:jc w:val="right"/>
            </w:pPr>
            <w:r>
              <w:rPr>
                <w:color w:val="1C3A36"/>
                <w:sz w:val="17"/>
              </w:rPr>
              <w:t>1.0%</w:t>
            </w:r>
          </w:p>
        </w:tc>
      </w:tr>
      <w:tr>
        <w:tc>
          <w:tcPr>
            <w:tcW w:type="dxa" w:w="3744"/>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2016"/>
          </w:tcPr>
          <w:p>
            <w:pPr>
              <w:spacing w:after="20"/>
              <w:jc w:val="right"/>
            </w:pPr>
            <w:r>
              <w:rPr>
                <w:color w:val="1C3A36"/>
                <w:sz w:val="17"/>
              </w:rPr>
              <w:t>3.1%</w:t>
            </w:r>
          </w:p>
        </w:tc>
      </w:tr>
      <w:tr>
        <w:tc>
          <w:tcPr>
            <w:tcW w:type="dxa" w:w="3744"/>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2016"/>
          </w:tcPr>
          <w:p>
            <w:pPr>
              <w:spacing w:after="20"/>
              <w:jc w:val="right"/>
            </w:pPr>
            <w:r>
              <w:rPr>
                <w:color w:val="1C3A36"/>
                <w:sz w:val="17"/>
              </w:rPr>
              <w:t>-2.6%</w:t>
            </w:r>
          </w:p>
        </w:tc>
      </w:tr>
      <w:tr>
        <w:tc>
          <w:tcPr>
            <w:tcW w:type="dxa" w:w="3744"/>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2016"/>
          </w:tcPr>
          <w:p>
            <w:pPr>
              <w:spacing w:after="20"/>
              <w:jc w:val="right"/>
            </w:pPr>
            <w:r>
              <w:rPr>
                <w:color w:val="1C3A36"/>
                <w:sz w:val="17"/>
              </w:rPr>
              <w:t>53.9%</w:t>
            </w:r>
          </w:p>
        </w:tc>
      </w:tr>
      <w:tr>
        <w:tc>
          <w:tcPr>
            <w:tcW w:type="dxa" w:w="3744"/>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2016"/>
          </w:tcPr>
          <w:p>
            <w:pPr>
              <w:spacing w:after="20"/>
              <w:jc w:val="right"/>
            </w:pPr>
            <w:r>
              <w:rPr>
                <w:color w:val="1C3A36"/>
                <w:sz w:val="17"/>
              </w:rPr>
              <w:t>4.9%</w:t>
            </w:r>
          </w:p>
        </w:tc>
      </w:tr>
      <w:tr>
        <w:tc>
          <w:tcPr>
            <w:tcW w:type="dxa" w:w="3744"/>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2016"/>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43,669</w:t>
            </w:r>
          </w:p>
        </w:tc>
        <w:tc>
          <w:tcPr>
            <w:tcW w:type="dxa" w:w="1325"/>
          </w:tcPr>
          <w:p>
            <w:pPr>
              <w:spacing w:after="20"/>
              <w:jc w:val="right"/>
            </w:pPr>
            <w:r>
              <w:rPr>
                <w:color w:val="1C3A36"/>
                <w:sz w:val="17"/>
              </w:rPr>
              <w:t>43,368</w:t>
            </w:r>
          </w:p>
        </w:tc>
        <w:tc>
          <w:tcPr>
            <w:tcW w:type="dxa" w:w="1325"/>
          </w:tcPr>
          <w:p>
            <w:pPr>
              <w:spacing w:after="20"/>
              <w:jc w:val="right"/>
            </w:pPr>
            <w:r>
              <w:rPr>
                <w:color w:val="1C3A36"/>
                <w:sz w:val="17"/>
              </w:rPr>
              <w:t>44,751</w:t>
            </w:r>
          </w:p>
        </w:tc>
        <w:tc>
          <w:tcPr>
            <w:tcW w:type="dxa" w:w="1325"/>
          </w:tcPr>
          <w:p>
            <w:pPr>
              <w:spacing w:after="20"/>
              <w:jc w:val="right"/>
            </w:pPr>
            <w:r>
              <w:rPr>
                <w:color w:val="1C3A36"/>
                <w:sz w:val="17"/>
              </w:rPr>
              <w:t>46,056</w:t>
            </w:r>
          </w:p>
        </w:tc>
        <w:tc>
          <w:tcPr>
            <w:tcW w:type="dxa" w:w="1325"/>
          </w:tcPr>
          <w:p>
            <w:pPr>
              <w:spacing w:after="20"/>
              <w:jc w:val="right"/>
            </w:pPr>
            <w:r>
              <w:rPr>
                <w:color w:val="1C3A36"/>
                <w:sz w:val="17"/>
              </w:rPr>
              <w:t>47,270</w:t>
            </w:r>
          </w:p>
        </w:tc>
      </w:tr>
      <w:tr>
        <w:tc>
          <w:tcPr>
            <w:tcW w:type="dxa" w:w="3384"/>
          </w:tcPr>
          <w:p>
            <w:pPr>
              <w:spacing w:after="20"/>
            </w:pPr>
            <w:r>
              <w:rPr>
                <w:color w:val="1C3A36"/>
                <w:sz w:val="17"/>
              </w:rPr>
              <w:t>Gross profit</w:t>
            </w:r>
          </w:p>
        </w:tc>
        <w:tc>
          <w:tcPr>
            <w:tcW w:type="dxa" w:w="1325"/>
          </w:tcPr>
          <w:p>
            <w:pPr>
              <w:spacing w:after="20"/>
              <w:jc w:val="right"/>
            </w:pPr>
            <w:r>
              <w:rPr>
                <w:color w:val="1C3A36"/>
                <w:sz w:val="17"/>
              </w:rPr>
              <w:t>7,966</w:t>
            </w:r>
          </w:p>
        </w:tc>
        <w:tc>
          <w:tcPr>
            <w:tcW w:type="dxa" w:w="1325"/>
          </w:tcPr>
          <w:p>
            <w:pPr>
              <w:spacing w:after="20"/>
              <w:jc w:val="right"/>
            </w:pPr>
            <w:r>
              <w:rPr>
                <w:color w:val="1C3A36"/>
                <w:sz w:val="17"/>
              </w:rPr>
              <w:t>7,571</w:t>
            </w:r>
          </w:p>
        </w:tc>
        <w:tc>
          <w:tcPr>
            <w:tcW w:type="dxa" w:w="1325"/>
          </w:tcPr>
          <w:p>
            <w:pPr>
              <w:spacing w:after="20"/>
              <w:jc w:val="right"/>
            </w:pPr>
            <w:r>
              <w:rPr>
                <w:color w:val="1C3A36"/>
                <w:sz w:val="17"/>
              </w:rPr>
              <w:t>7,928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8,615</w:t>
            </w:r>
          </w:p>
        </w:tc>
      </w:tr>
      <w:t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5,129</w:t>
            </w:r>
          </w:p>
        </w:tc>
        <w:tc>
          <w:tcPr>
            <w:tcW w:type="dxa" w:w="1325"/>
            <w:shd w:val="clear" w:color="auto" w:fill="F6F1E6"/>
          </w:tcPr>
          <w:p>
            <w:pPr>
              <w:spacing w:after="20"/>
              <w:jc w:val="right"/>
            </w:pPr>
            <w:r>
              <w:rPr>
                <w:b/>
                <w:color w:val="1C3A36"/>
                <w:sz w:val="17"/>
              </w:rPr>
              <w:t>4,773</w:t>
            </w:r>
          </w:p>
        </w:tc>
        <w:tc>
          <w:tcPr>
            <w:tcW w:type="dxa" w:w="1325"/>
            <w:shd w:val="clear" w:color="auto" w:fill="F6F1E6"/>
          </w:tcPr>
          <w:p>
            <w:pPr>
              <w:spacing w:after="20"/>
              <w:jc w:val="right"/>
            </w:pPr>
            <w:r>
              <w:rPr>
                <w:b/>
                <w:color w:val="1C3A36"/>
                <w:sz w:val="17"/>
              </w:rPr>
              <w:t>5,020</w:t>
            </w:r>
          </w:p>
        </w:tc>
        <w:tc>
          <w:tcPr>
            <w:tcW w:type="dxa" w:w="1325"/>
            <w:shd w:val="clear" w:color="auto" w:fill="F6F1E6"/>
          </w:tcPr>
          <w:p>
            <w:pPr>
              <w:spacing w:after="20"/>
              <w:jc w:val="right"/>
            </w:pPr>
            <w:r>
              <w:rPr>
                <w:b/>
                <w:color w:val="1C3A36"/>
                <w:sz w:val="17"/>
              </w:rPr>
              <w:t>5,252</w:t>
            </w:r>
          </w:p>
        </w:tc>
        <w:tc>
          <w:tcPr>
            <w:tcW w:type="dxa" w:w="1325"/>
            <w:shd w:val="clear" w:color="auto" w:fill="F6F1E6"/>
          </w:tcPr>
          <w:p>
            <w:pPr>
              <w:spacing w:after="20"/>
              <w:jc w:val="right"/>
            </w:pPr>
            <w:r>
              <w:rPr>
                <w:b/>
                <w:color w:val="1C3A36"/>
                <w:sz w:val="17"/>
              </w:rPr>
              <w:t>5,475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11.7%</w:t>
            </w:r>
          </w:p>
        </w:tc>
        <w:tc>
          <w:tcPr>
            <w:tcW w:type="dxa" w:w="1325"/>
          </w:tcPr>
          <w:p>
            <w:pPr>
              <w:spacing w:after="20"/>
              <w:jc w:val="right"/>
            </w:pPr>
            <w:r>
              <w:rPr>
                <w:color w:val="1C3A36"/>
                <w:sz w:val="17"/>
              </w:rPr>
              <w:t>11.0%</w:t>
            </w:r>
          </w:p>
        </w:tc>
        <w:tc>
          <w:tcPr>
            <w:tcW w:type="dxa" w:w="1325"/>
          </w:tcPr>
          <w:p>
            <w:pPr>
              <w:spacing w:after="20"/>
              <w:jc w:val="right"/>
            </w:pPr>
            <w:r>
              <w:rPr>
                <w:color w:val="1C3A36"/>
                <w:sz w:val="17"/>
              </w:rPr>
              <w:t>11.2%</w:t>
            </w:r>
          </w:p>
        </w:tc>
        <w:tc>
          <w:tcPr>
            <w:tcW w:type="dxa" w:w="1325"/>
          </w:tcPr>
          <w:p>
            <w:pPr>
              <w:spacing w:after="20"/>
              <w:jc w:val="right"/>
            </w:pPr>
            <w:r>
              <w:rPr>
                <w:color w:val="1C3A36"/>
                <w:sz w:val="17"/>
              </w:rPr>
              <w:t>11.4%</w:t>
            </w:r>
          </w:p>
        </w:tc>
        <w:tc>
          <w:tcPr>
            <w:tcW w:type="dxa" w:w="1325"/>
          </w:tcPr>
          <w:p>
            <w:pPr>
              <w:spacing w:after="20"/>
              <w:jc w:val="right"/>
            </w:pPr>
            <w:r>
              <w:rPr>
                <w:color w:val="1C3A36"/>
                <w:sz w:val="17"/>
              </w:rPr>
              <w:t>11.6%</w:t>
            </w:r>
          </w:p>
        </w:tc>
      </w:tr>
      <w:t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c>
          <w:tcPr>
            <w:tcW w:type="dxa" w:w="3384"/>
          </w:tcPr>
          <w:p>
            <w:pPr>
              <w:spacing w:after="20"/>
            </w:pPr>
            <w:r>
              <w:rPr>
                <w:color w:val="1C3A36"/>
                <w:sz w:val="17"/>
              </w:rPr>
              <w:t>EBIT</w:t>
            </w:r>
          </w:p>
        </w:tc>
        <w:tc>
          <w:tcPr>
            <w:tcW w:type="dxa" w:w="1325"/>
          </w:tcPr>
          <w:p>
            <w:pPr>
              <w:spacing w:after="20"/>
              <w:jc w:val="right"/>
            </w:pPr>
            <w:r>
              <w:rPr>
                <w:color w:val="1C3A36"/>
                <w:sz w:val="17"/>
              </w:rPr>
              <w:t>4,329</w:t>
            </w:r>
          </w:p>
        </w:tc>
        <w:tc>
          <w:tcPr>
            <w:tcW w:type="dxa" w:w="1325"/>
          </w:tcPr>
          <w:p>
            <w:pPr>
              <w:spacing w:after="20"/>
              <w:jc w:val="right"/>
            </w:pPr>
            <w:r>
              <w:rPr>
                <w:color w:val="1C3A36"/>
                <w:sz w:val="17"/>
              </w:rPr>
              <w:t>3,943</w:t>
            </w:r>
          </w:p>
        </w:tc>
        <w:tc>
          <w:tcPr>
            <w:tcW w:type="dxa" w:w="1325"/>
          </w:tcPr>
          <w:p>
            <w:pPr>
              <w:spacing w:after="20"/>
              <w:jc w:val="right"/>
            </w:pPr>
            <w:r>
              <w:rPr>
                <w:color w:val="1C3A36"/>
                <w:sz w:val="17"/>
              </w:rPr>
              <w:t>4,158</w:t>
            </w:r>
          </w:p>
        </w:tc>
        <w:tc>
          <w:tcPr>
            <w:tcW w:type="dxa" w:w="1325"/>
          </w:tcPr>
          <w:p>
            <w:pPr>
              <w:spacing w:after="20"/>
              <w:jc w:val="right"/>
            </w:pPr>
            <w:r>
              <w:rPr>
                <w:color w:val="1C3A36"/>
                <w:sz w:val="17"/>
              </w:rPr>
              <w:t>4,358</w:t>
            </w:r>
          </w:p>
        </w:tc>
        <w:tc>
          <w:tcPr>
            <w:tcW w:type="dxa" w:w="1325"/>
          </w:tcPr>
          <w:p>
            <w:pPr>
              <w:spacing w:after="20"/>
              <w:jc w:val="right"/>
            </w:pPr>
            <w:r>
              <w:rPr>
                <w:color w:val="1C3A36"/>
                <w:sz w:val="17"/>
              </w:rPr>
              <w:t>4,549</w:t>
            </w:r>
          </w:p>
        </w:tc>
      </w:tr>
      <w:t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3,889</w:t>
            </w:r>
          </w:p>
        </w:tc>
        <w:tc>
          <w:tcPr>
            <w:tcW w:type="dxa" w:w="1325"/>
            <w:shd w:val="clear" w:color="auto" w:fill="F6F1E6"/>
          </w:tcPr>
          <w:p>
            <w:pPr>
              <w:spacing w:after="20"/>
              <w:jc w:val="right"/>
            </w:pPr>
            <w:r>
              <w:rPr>
                <w:b/>
                <w:color w:val="1C3A36"/>
                <w:sz w:val="17"/>
              </w:rPr>
              <w:t>3,542</w:t>
            </w:r>
          </w:p>
        </w:tc>
        <w:tc>
          <w:tcPr>
            <w:tcW w:type="dxa" w:w="1325"/>
            <w:shd w:val="clear" w:color="auto" w:fill="F6F1E6"/>
          </w:tcPr>
          <w:p>
            <w:pPr>
              <w:spacing w:after="20"/>
              <w:jc w:val="right"/>
            </w:pPr>
            <w:r>
              <w:rPr>
                <w:b/>
                <w:color w:val="1C3A36"/>
                <w:sz w:val="17"/>
              </w:rPr>
              <w:t>3,736</w:t>
            </w:r>
          </w:p>
        </w:tc>
        <w:tc>
          <w:tcPr>
            <w:tcW w:type="dxa" w:w="1325"/>
            <w:shd w:val="clear" w:color="auto" w:fill="F6F1E6"/>
          </w:tcPr>
          <w:p>
            <w:pPr>
              <w:spacing w:after="20"/>
              <w:jc w:val="right"/>
            </w:pPr>
            <w:r>
              <w:rPr>
                <w:b/>
                <w:color w:val="1C3A36"/>
                <w:sz w:val="17"/>
              </w:rPr>
              <w:t>3,915</w:t>
            </w:r>
          </w:p>
        </w:tc>
        <w:tc>
          <w:tcPr>
            <w:tcW w:type="dxa" w:w="1325"/>
            <w:shd w:val="clear" w:color="auto" w:fill="F6F1E6"/>
          </w:tcPr>
          <w:p>
            <w:pPr>
              <w:spacing w:after="20"/>
              <w:jc w:val="right"/>
            </w:pPr>
            <w:r>
              <w:rPr>
                <w:b/>
                <w:color w:val="1C3A36"/>
                <w:sz w:val="17"/>
              </w:rPr>
              <w:t>4,087</w:t>
            </w:r>
          </w:p>
        </w:tc>
      </w:tr>
      <w:t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(1,010)</w:t>
            </w:r>
          </w:p>
        </w:tc>
        <w:tc>
          <w:tcPr>
            <w:tcW w:type="dxa" w:w="1325"/>
          </w:tcPr>
          <w:p>
            <w:pPr>
              <w:spacing w:after="20"/>
              <w:jc w:val="right"/>
            </w:pPr>
            <w:r>
              <w:rPr>
                <w:color w:val="1C3A36"/>
                <w:sz w:val="17"/>
              </w:rPr>
              <w:t>(1,060)</w:t>
            </w:r>
          </w:p>
        </w:tc>
        <w:tc>
          <w:tcPr>
            <w:tcW w:type="dxa" w:w="1325"/>
          </w:tcPr>
          <w:p>
            <w:pPr>
              <w:spacing w:after="20"/>
              <w:jc w:val="right"/>
            </w:pPr>
            <w:r>
              <w:rPr>
                <w:color w:val="1C3A36"/>
                <w:sz w:val="17"/>
              </w:rPr>
              <w:t>(1,100)</w:t>
            </w:r>
          </w:p>
        </w:tc>
        <w:tc>
          <w:tcPr>
            <w:tcW w:type="dxa" w:w="1325"/>
          </w:tcPr>
          <w:p>
            <w:pPr>
              <w:spacing w:after="20"/>
              <w:jc w:val="right"/>
            </w:pPr>
            <w:r>
              <w:rPr>
                <w:color w:val="1C3A36"/>
                <w:sz w:val="17"/>
              </w:rPr>
              <w:t>(1,140)</w:t>
            </w:r>
          </w:p>
        </w:tc>
        <w:tc>
          <w:tcPr>
            <w:tcW w:type="dxa" w:w="1325"/>
          </w:tcPr>
          <w:p>
            <w:pPr>
              <w:spacing w:after="20"/>
              <w:jc w:val="right"/>
            </w:pPr>
            <w:r>
              <w:rPr>
                <w:color w:val="1C3A36"/>
                <w:sz w:val="17"/>
              </w:rPr>
              <w:t>(1,180)</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476</w:t>
            </w:r>
          </w:p>
        </w:tc>
        <w:tc>
          <w:tcPr>
            <w:tcW w:type="dxa" w:w="1325"/>
          </w:tcPr>
          <w:p>
            <w:pPr>
              <w:spacing w:after="20"/>
              <w:jc w:val="right"/>
            </w:pPr>
            <w:r>
              <w:rPr>
                <w:color w:val="1C3A36"/>
                <w:sz w:val="17"/>
              </w:rPr>
              <w:t>45</w:t>
            </w:r>
          </w:p>
        </w:tc>
        <w:tc>
          <w:tcPr>
            <w:tcW w:type="dxa" w:w="1325"/>
          </w:tcPr>
          <w:p>
            <w:pPr>
              <w:spacing w:after="20"/>
              <w:jc w:val="right"/>
            </w:pPr>
            <w:r>
              <w:rPr>
                <w:color w:val="1C3A36"/>
                <w:sz w:val="17"/>
              </w:rPr>
              <w:t>53</w:t>
            </w:r>
          </w:p>
        </w:tc>
        <w:tc>
          <w:tcPr>
            <w:tcW w:type="dxa" w:w="1325"/>
          </w:tcPr>
          <w:p>
            <w:pPr>
              <w:spacing w:after="20"/>
              <w:jc w:val="right"/>
            </w:pPr>
            <w:r>
              <w:rPr>
                <w:color w:val="1C3A36"/>
                <w:sz w:val="17"/>
              </w:rPr>
              <w:t>49</w:t>
            </w:r>
          </w:p>
        </w:tc>
        <w:tc>
          <w:tcPr>
            <w:tcW w:type="dxa" w:w="1325"/>
          </w:tcPr>
          <w:p>
            <w:pPr>
              <w:spacing w:after="20"/>
              <w:jc w:val="right"/>
            </w:pPr>
            <w:r>
              <w:rPr>
                <w:color w:val="1C3A36"/>
                <w:sz w:val="17"/>
              </w:rPr>
              <w:t>42</w:t>
            </w:r>
          </w:p>
        </w:tc>
      </w:tr>
      <w:t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4,154</w:t>
            </w:r>
          </w:p>
        </w:tc>
        <w:tc>
          <w:tcPr>
            <w:tcW w:type="dxa" w:w="1325"/>
            <w:shd w:val="clear" w:color="auto" w:fill="F6F1E6"/>
          </w:tcPr>
          <w:p>
            <w:pPr>
              <w:spacing w:after="20"/>
              <w:jc w:val="right"/>
            </w:pPr>
            <w:r>
              <w:rPr>
                <w:b/>
                <w:color w:val="1C3A36"/>
                <w:sz w:val="17"/>
              </w:rPr>
              <w:t>3,357</w:t>
            </w:r>
          </w:p>
        </w:tc>
        <w:tc>
          <w:tcPr>
            <w:tcW w:type="dxa" w:w="1325"/>
            <w:shd w:val="clear" w:color="auto" w:fill="F6F1E6"/>
          </w:tcPr>
          <w:p>
            <w:pPr>
              <w:spacing w:after="20"/>
              <w:jc w:val="right"/>
            </w:pPr>
            <w:r>
              <w:rPr>
                <w:b/>
                <w:color w:val="1C3A36"/>
                <w:sz w:val="17"/>
              </w:rPr>
              <w:t>3,551</w:t>
            </w:r>
          </w:p>
        </w:tc>
        <w:tc>
          <w:tcPr>
            <w:tcW w:type="dxa" w:w="1325"/>
            <w:shd w:val="clear" w:color="auto" w:fill="F6F1E6"/>
          </w:tcPr>
          <w:p>
            <w:pPr>
              <w:spacing w:after="20"/>
              <w:jc w:val="right"/>
            </w:pPr>
            <w:r>
              <w:rPr>
                <w:b/>
                <w:color w:val="1C3A36"/>
                <w:sz w:val="17"/>
              </w:rPr>
              <w:t>3,717</w:t>
            </w:r>
          </w:p>
        </w:tc>
        <w:tc>
          <w:tcPr>
            <w:tcW w:type="dxa" w:w="1325"/>
            <w:shd w:val="clear" w:color="auto" w:fill="F6F1E6"/>
          </w:tcPr>
          <w:p>
            <w:pPr>
              <w:spacing w:after="20"/>
              <w:jc w:val="right"/>
            </w:pPr>
            <w:r>
              <w:rPr>
                <w:b/>
                <w:color w:val="1C3A36"/>
                <w:sz w:val="17"/>
              </w:rPr>
              <w:t>3,874</w:t>
            </w:r>
          </w:p>
        </w:tc>
      </w:tr>
      <w:tr>
        <w:tc>
          <w:tcPr>
            <w:tcW w:type="dxa" w:w="3384"/>
          </w:tcPr>
          <w:p>
            <w:pPr>
              <w:spacing w:after="20"/>
            </w:pPr>
            <w:r>
              <w:rPr>
                <w:color w:val="1C3A36"/>
                <w:sz w:val="17"/>
              </w:rPr>
              <w:t>Discount rate</w:t>
            </w:r>
          </w:p>
        </w:tc>
        <w:tc>
          <w:tcPr>
            <w:tcW w:type="dxa" w:w="1325"/>
          </w:tcPr>
          <w:p>
            <w:pPr>
              <w:spacing w:after="20"/>
              <w:jc w:val="right"/>
            </w:pPr>
            <w:r>
              <w:rPr>
                <w:color w:val="1C3A36"/>
                <w:sz w:val="17"/>
              </w:rPr>
              <w:t>6.58%</w:t>
            </w:r>
          </w:p>
        </w:tc>
        <w:tc>
          <w:tcPr>
            <w:tcW w:type="dxa" w:w="1325"/>
          </w:tcPr>
          <w:p>
            <w:pPr>
              <w:spacing w:after="20"/>
              <w:jc w:val="right"/>
            </w:pPr>
            <w:r>
              <w:rPr>
                <w:color w:val="1C3A36"/>
                <w:sz w:val="17"/>
              </w:rPr>
              <w:t>6.73%</w:t>
            </w:r>
          </w:p>
        </w:tc>
        <w:tc>
          <w:tcPr>
            <w:tcW w:type="dxa" w:w="1325"/>
          </w:tcPr>
          <w:p>
            <w:pPr>
              <w:spacing w:after="20"/>
              <w:jc w:val="right"/>
            </w:pPr>
            <w:r>
              <w:rPr>
                <w:color w:val="1C3A36"/>
                <w:sz w:val="17"/>
              </w:rPr>
              <w:t>6.88%</w:t>
            </w:r>
          </w:p>
        </w:tc>
        <w:tc>
          <w:tcPr>
            <w:tcW w:type="dxa" w:w="1325"/>
          </w:tcPr>
          <w:p>
            <w:pPr>
              <w:spacing w:after="20"/>
              <w:jc w:val="right"/>
            </w:pPr>
            <w:r>
              <w:rPr>
                <w:color w:val="1C3A36"/>
                <w:sz w:val="17"/>
              </w:rPr>
              <w:t>7.03%</w:t>
            </w:r>
          </w:p>
        </w:tc>
        <w:tc>
          <w:tcPr>
            <w:tcW w:type="dxa" w:w="1325"/>
          </w:tcPr>
          <w:p>
            <w:pPr>
              <w:spacing w:after="20"/>
              <w:jc w:val="right"/>
            </w:pPr>
            <w:r>
              <w:rPr>
                <w:color w:val="1C3A36"/>
                <w:sz w:val="17"/>
              </w:rPr>
              <w:t>7.18%</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0.94</w:t>
            </w:r>
          </w:p>
        </w:tc>
        <w:tc>
          <w:tcPr>
            <w:tcW w:type="dxa" w:w="1325"/>
          </w:tcPr>
          <w:p>
            <w:pPr>
              <w:spacing w:after="20"/>
              <w:jc w:val="right"/>
            </w:pPr>
            <w:r>
              <w:rPr>
                <w:color w:val="1C3A36"/>
                <w:sz w:val="17"/>
              </w:rPr>
              <w:t>0.88</w:t>
            </w:r>
          </w:p>
        </w:tc>
        <w:tc>
          <w:tcPr>
            <w:tcW w:type="dxa" w:w="1325"/>
          </w:tcPr>
          <w:p>
            <w:pPr>
              <w:spacing w:after="20"/>
              <w:jc w:val="right"/>
            </w:pPr>
            <w:r>
              <w:rPr>
                <w:color w:val="1C3A36"/>
                <w:sz w:val="17"/>
              </w:rPr>
              <w:t>0.82</w:t>
            </w:r>
          </w:p>
        </w:tc>
        <w:tc>
          <w:tcPr>
            <w:tcW w:type="dxa" w:w="1325"/>
          </w:tcPr>
          <w:p>
            <w:pPr>
              <w:spacing w:after="20"/>
              <w:jc w:val="right"/>
            </w:pPr>
            <w:r>
              <w:rPr>
                <w:color w:val="1C3A36"/>
                <w:sz w:val="17"/>
              </w:rPr>
              <w:t>0.77</w:t>
            </w:r>
          </w:p>
        </w:tc>
        <w:tc>
          <w:tcPr>
            <w:tcW w:type="dxa" w:w="1325"/>
          </w:tcPr>
          <w:p>
            <w:pPr>
              <w:spacing w:after="20"/>
              <w:jc w:val="right"/>
            </w:pPr>
            <w:r>
              <w:rPr>
                <w:color w:val="1C3A36"/>
                <w:sz w:val="17"/>
              </w:rPr>
              <w:t>0.72</w:t>
            </w:r>
          </w:p>
        </w:tc>
      </w:tr>
      <w:t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3,898</w:t>
            </w:r>
          </w:p>
        </w:tc>
        <w:tc>
          <w:tcPr>
            <w:tcW w:type="dxa" w:w="1325"/>
            <w:shd w:val="clear" w:color="auto" w:fill="F6F1E6"/>
          </w:tcPr>
          <w:p>
            <w:pPr>
              <w:spacing w:after="20"/>
              <w:jc w:val="right"/>
            </w:pPr>
            <w:r>
              <w:rPr>
                <w:b/>
                <w:color w:val="1C3A36"/>
                <w:sz w:val="17"/>
              </w:rPr>
              <w:t>2,951</w:t>
            </w:r>
          </w:p>
        </w:tc>
        <w:tc>
          <w:tcPr>
            <w:tcW w:type="dxa" w:w="1325"/>
            <w:shd w:val="clear" w:color="auto" w:fill="F6F1E6"/>
          </w:tcPr>
          <w:p>
            <w:pPr>
              <w:spacing w:after="20"/>
              <w:jc w:val="right"/>
            </w:pPr>
            <w:r>
              <w:rPr>
                <w:b/>
                <w:color w:val="1C3A36"/>
                <w:sz w:val="17"/>
              </w:rPr>
              <w:t>2,920</w:t>
            </w:r>
          </w:p>
        </w:tc>
        <w:tc>
          <w:tcPr>
            <w:tcW w:type="dxa" w:w="1325"/>
            <w:shd w:val="clear" w:color="auto" w:fill="F6F1E6"/>
          </w:tcPr>
          <w:p>
            <w:pPr>
              <w:spacing w:after="20"/>
              <w:jc w:val="right"/>
            </w:pPr>
            <w:r>
              <w:rPr>
                <w:b/>
                <w:color w:val="1C3A36"/>
                <w:sz w:val="17"/>
              </w:rPr>
              <w:t>2,856</w:t>
            </w:r>
          </w:p>
        </w:tc>
        <w:tc>
          <w:tcPr>
            <w:tcW w:type="dxa" w:w="1325"/>
            <w:shd w:val="clear" w:color="auto" w:fill="F6F1E6"/>
          </w:tcPr>
          <w:p>
            <w:pPr>
              <w:spacing w:after="20"/>
              <w:jc w:val="right"/>
            </w:pPr>
            <w:r>
              <w:rPr>
                <w:b/>
                <w:color w:val="1C3A36"/>
                <w:sz w:val="17"/>
              </w:rPr>
              <w:t>2,777</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15,403</w:t>
            </w:r>
          </w:p>
        </w:tc>
        <w:tc>
          <w:tcPr>
            <w:tcW w:type="dxa" w:w="2232"/>
          </w:tcPr>
          <w:p>
            <w:pPr>
              <w:spacing w:after="20"/>
              <w:jc w:val="right"/>
            </w:pPr>
            <w:r>
              <w:rPr>
                <w:color w:val="1C3A36"/>
                <w:sz w:val="18"/>
              </w:rPr>
              <w:t>1.23</w:t>
            </w:r>
          </w:p>
        </w:tc>
      </w:tr>
      <w:tr>
        <w:tc>
          <w:tcPr>
            <w:tcW w:type="dxa" w:w="5112"/>
          </w:tcPr>
          <w:p>
            <w:pPr>
              <w:spacing w:after="20"/>
            </w:pPr>
            <w:r>
              <w:rPr>
                <w:color w:val="1C3A36"/>
                <w:sz w:val="18"/>
              </w:rPr>
              <w:t>Terminal free cash flow</w:t>
            </w:r>
          </w:p>
        </w:tc>
        <w:tc>
          <w:tcPr>
            <w:tcW w:type="dxa" w:w="2304"/>
          </w:tcPr>
          <w:p>
            <w:pPr>
              <w:spacing w:after="20"/>
              <w:jc w:val="right"/>
            </w:pPr>
            <w:r>
              <w:rPr>
                <w:color w:val="1C3A36"/>
                <w:sz w:val="18"/>
              </w:rPr>
              <w:t>3,899</w:t>
            </w:r>
          </w:p>
        </w:tc>
        <w:tc>
          <w:tcPr>
            <w:tcW w:type="dxa" w:w="2232"/>
          </w:tcPr>
          <w:p>
            <w:pPr>
              <w:spacing w:after="20"/>
              <w:jc w:val="right"/>
            </w:pPr>
            <w:r>
              <w:rPr>
                <w:color w:val="1C3A36"/>
                <w:sz w:val="18"/>
              </w:rPr>
            </w:r>
          </w:p>
        </w:tc>
      </w:tr>
      <w:tr>
        <w:tc>
          <w:tcPr>
            <w:tcW w:type="dxa" w:w="5112"/>
          </w:tcPr>
          <w:p>
            <w:pPr>
              <w:spacing w:after="20"/>
            </w:pPr>
            <w:r>
              <w:rPr>
                <w:color w:val="1C3A36"/>
                <w:sz w:val="18"/>
              </w:rPr>
              <w:t>Terminal discount rate less growth: 7.18% − 1.5%</w:t>
            </w:r>
          </w:p>
        </w:tc>
        <w:tc>
          <w:tcPr>
            <w:tcW w:type="dxa" w:w="2304"/>
          </w:tcPr>
          <w:p>
            <w:pPr>
              <w:spacing w:after="20"/>
              <w:jc w:val="right"/>
            </w:pPr>
            <w:r>
              <w:rPr>
                <w:color w:val="1C3A36"/>
                <w:sz w:val="18"/>
              </w:rPr>
              <w:t>5.68%</w:t>
            </w:r>
          </w:p>
        </w:tc>
        <w:tc>
          <w:tcPr>
            <w:tcW w:type="dxa" w:w="2232"/>
          </w:tcPr>
          <w:p>
            <w:pPr>
              <w:spacing w:after="20"/>
              <w:jc w:val="right"/>
            </w:pPr>
            <w:r>
              <w:rPr>
                <w:color w:val="1C3A36"/>
                <w:sz w:val="18"/>
              </w:rPr>
            </w:r>
          </w:p>
        </w:tc>
      </w:tr>
      <w:tr>
        <w:tc>
          <w:tcPr>
            <w:tcW w:type="dxa" w:w="5112"/>
          </w:tcPr>
          <w:p>
            <w:pPr>
              <w:spacing w:after="20"/>
            </w:pPr>
            <w:r>
              <w:rPr>
                <w:color w:val="1C3A36"/>
                <w:sz w:val="18"/>
              </w:rPr>
              <w:t>Terminal value</w:t>
            </w:r>
          </w:p>
        </w:tc>
        <w:tc>
          <w:tcPr>
            <w:tcW w:type="dxa" w:w="2304"/>
          </w:tcPr>
          <w:p>
            <w:pPr>
              <w:spacing w:after="20"/>
              <w:jc w:val="right"/>
            </w:pPr>
            <w:r>
              <w:rPr>
                <w:color w:val="1C3A36"/>
                <w:sz w:val="18"/>
              </w:rPr>
              <w:t>68,592</w:t>
            </w:r>
          </w:p>
        </w:tc>
        <w:tc>
          <w:tcPr>
            <w:tcW w:type="dxa" w:w="2232"/>
          </w:tcPr>
          <w:p>
            <w:pPr>
              <w:spacing w:after="20"/>
              <w:jc w:val="right"/>
            </w:pPr>
            <w:r>
              <w:rPr>
                <w:color w:val="1C3A36"/>
                <w:sz w:val="18"/>
              </w:rPr>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49,172</w:t>
            </w:r>
          </w:p>
        </w:tc>
        <w:tc>
          <w:tcPr>
            <w:tcW w:type="dxa" w:w="2232"/>
          </w:tcPr>
          <w:p>
            <w:pPr>
              <w:spacing w:after="20"/>
              <w:jc w:val="right"/>
            </w:pPr>
            <w:r>
              <w:rPr>
                <w:color w:val="1C3A36"/>
                <w:sz w:val="18"/>
              </w:rPr>
              <w:t>3.93</w:t>
            </w:r>
          </w:p>
        </w:tc>
      </w:tr>
      <w:t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64,575</w:t>
            </w:r>
          </w:p>
        </w:tc>
        <w:tc>
          <w:tcPr>
            <w:tcW w:type="dxa" w:w="2232"/>
            <w:shd w:val="clear" w:color="auto" w:fill="F6F1E6"/>
          </w:tcPr>
          <w:p>
            <w:pPr>
              <w:spacing w:after="20"/>
              <w:jc w:val="right"/>
            </w:pPr>
            <w:r>
              <w:rPr>
                <w:b/>
                <w:color w:val="1C3A36"/>
                <w:sz w:val="18"/>
              </w:rPr>
              <w:t>5.17</w:t>
            </w:r>
          </w:p>
        </w:tc>
      </w:tr>
      <w:t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76.1%</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59,913</w:t>
            </w:r>
          </w:p>
        </w:tc>
        <w:tc>
          <w:tcPr>
            <w:tcW w:type="dxa" w:w="2232"/>
            <w:shd w:val="clear" w:color="auto" w:fill="F6F1E6"/>
          </w:tcPr>
          <w:p>
            <w:pPr>
              <w:spacing w:after="20"/>
              <w:jc w:val="right"/>
            </w:pPr>
            <w:r>
              <w:rPr>
                <w:b/>
                <w:color w:val="1C3A36"/>
                <w:sz w:val="18"/>
              </w:rPr>
              <w:t>4.79</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64,056</w:t>
            </w:r>
          </w:p>
        </w:tc>
        <w:tc>
          <w:tcPr>
            <w:tcW w:type="dxa" w:w="2232"/>
            <w:shd w:val="clear" w:color="auto" w:fill="F6F1E6"/>
          </w:tcPr>
          <w:p>
            <w:pPr>
              <w:spacing w:after="20"/>
              <w:jc w:val="right"/>
            </w:pPr>
            <w:r>
              <w:rPr>
                <w:b/>
                <w:color w:val="1C3A36"/>
                <w:sz w:val="18"/>
              </w:rPr>
              <w:t>5.12</w:t>
            </w:r>
          </w:p>
        </w:tc>
      </w:tr>
    </w:tbl>
    <w:p>
      <w:pPr>
        <w:spacing w:after="40"/>
      </w:pPr>
    </w:p>
    <w:p>
      <w:pPr>
        <w:spacing w:after="200" w:before="0"/>
      </w:pPr>
      <w:r>
        <w:rPr>
          <w:b w:val="0"/>
          <w:i/>
          <w:color w:val="6E7B77"/>
          <w:sz w:val="17"/>
        </w:rPr>
        <w:t>Table 6 — the enterprise-to-equity bridge. The terminal share is a LINE of the bridge rather than a footnote: 76.1%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c>
          <w:tcPr>
            <w:tcW w:type="dxa" w:w="4464"/>
          </w:tcPr>
          <w:p>
            <w:pPr>
              <w:spacing w:after="20"/>
            </w:pPr>
            <w:r>
              <w:rPr>
                <w:color w:val="1C3A36"/>
                <w:sz w:val="17"/>
              </w:rPr>
              <w:t>FY2026 EBITDA (AED m)</w:t>
            </w:r>
          </w:p>
        </w:tc>
        <w:tc>
          <w:tcPr>
            <w:tcW w:type="dxa" w:w="1872"/>
          </w:tcPr>
          <w:p>
            <w:pPr>
              <w:spacing w:after="20"/>
              <w:jc w:val="right"/>
            </w:pPr>
            <w:r>
              <w:rPr>
                <w:color w:val="1C3A36"/>
                <w:sz w:val="17"/>
              </w:rPr>
              <w:t>5,129</w:t>
            </w:r>
          </w:p>
        </w:tc>
        <w:tc>
          <w:tcPr>
            <w:tcW w:type="dxa" w:w="1872"/>
          </w:tcPr>
          <w:p>
            <w:pPr>
              <w:spacing w:after="20"/>
              <w:jc w:val="right"/>
            </w:pPr>
            <w:r>
              <w:rPr>
                <w:color w:val="1C3A36"/>
                <w:sz w:val="17"/>
              </w:rPr>
              <w:t>5,317</w:t>
            </w:r>
          </w:p>
        </w:tc>
        <w:tc>
          <w:tcPr>
            <w:tcW w:type="dxa" w:w="1800"/>
          </w:tcPr>
          <w:p>
            <w:pPr>
              <w:spacing w:after="20"/>
              <w:jc w:val="right"/>
            </w:pPr>
            <w:r>
              <w:rPr>
                <w:color w:val="1C3A36"/>
                <w:sz w:val="17"/>
              </w:rPr>
              <w:t>188</w:t>
            </w:r>
          </w:p>
        </w:tc>
      </w:tr>
      <w:tr>
        <w:tc>
          <w:tcPr>
            <w:tcW w:type="dxa" w:w="4464"/>
          </w:tcPr>
          <w:p>
            <w:pPr>
              <w:spacing w:after="20"/>
            </w:pPr>
            <w:r>
              <w:rPr>
                <w:color w:val="1C3A36"/>
                <w:sz w:val="17"/>
              </w:rPr>
              <w:t>FY2030 EBITDA (AED m)</w:t>
            </w:r>
          </w:p>
        </w:tc>
        <w:tc>
          <w:tcPr>
            <w:tcW w:type="dxa" w:w="1872"/>
          </w:tcPr>
          <w:p>
            <w:pPr>
              <w:spacing w:after="20"/>
              <w:jc w:val="right"/>
            </w:pPr>
            <w:r>
              <w:rPr>
                <w:color w:val="1C3A36"/>
                <w:sz w:val="17"/>
              </w:rPr>
              <w:t>5,475</w:t>
            </w:r>
          </w:p>
        </w:tc>
        <w:tc>
          <w:tcPr>
            <w:tcW w:type="dxa" w:w="1872"/>
          </w:tcPr>
          <w:p>
            <w:pPr>
              <w:spacing w:after="20"/>
              <w:jc w:val="right"/>
            </w:pPr>
            <w:r>
              <w:rPr>
                <w:color w:val="1C3A36"/>
                <w:sz w:val="17"/>
              </w:rPr>
              <w:t>5,770</w:t>
            </w:r>
          </w:p>
        </w:tc>
        <w:tc>
          <w:tcPr>
            <w:tcW w:type="dxa" w:w="1800"/>
          </w:tcPr>
          <w:p>
            <w:pPr>
              <w:spacing w:after="20"/>
              <w:jc w:val="right"/>
            </w:pPr>
            <w:r>
              <w:rPr>
                <w:color w:val="1C3A36"/>
                <w:sz w:val="17"/>
              </w:rPr>
              <w:t>295</w:t>
            </w:r>
          </w:p>
        </w:tc>
      </w:tr>
      <w:t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15,403</w:t>
            </w:r>
          </w:p>
        </w:tc>
        <w:tc>
          <w:tcPr>
            <w:tcW w:type="dxa" w:w="1872"/>
          </w:tcPr>
          <w:p>
            <w:pPr>
              <w:spacing w:after="20"/>
              <w:jc w:val="right"/>
            </w:pPr>
            <w:r>
              <w:rPr>
                <w:color w:val="1C3A36"/>
                <w:sz w:val="17"/>
              </w:rPr>
              <w:t>16,357</w:t>
            </w:r>
          </w:p>
        </w:tc>
        <w:tc>
          <w:tcPr>
            <w:tcW w:type="dxa" w:w="1800"/>
          </w:tcPr>
          <w:p>
            <w:pPr>
              <w:spacing w:after="20"/>
              <w:jc w:val="right"/>
            </w:pPr>
            <w:r>
              <w:rPr>
                <w:color w:val="1C3A36"/>
                <w:sz w:val="17"/>
              </w:rPr>
              <w:t>954</w:t>
            </w:r>
          </w:p>
        </w:tc>
      </w:tr>
      <w:t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49,172</w:t>
            </w:r>
          </w:p>
        </w:tc>
        <w:tc>
          <w:tcPr>
            <w:tcW w:type="dxa" w:w="1872"/>
          </w:tcPr>
          <w:p>
            <w:pPr>
              <w:spacing w:after="20"/>
              <w:jc w:val="right"/>
            </w:pPr>
            <w:r>
              <w:rPr>
                <w:color w:val="1C3A36"/>
                <w:sz w:val="17"/>
              </w:rPr>
              <w:t>52,361</w:t>
            </w:r>
          </w:p>
        </w:tc>
        <w:tc>
          <w:tcPr>
            <w:tcW w:type="dxa" w:w="1800"/>
          </w:tcPr>
          <w:p>
            <w:pPr>
              <w:spacing w:after="20"/>
              <w:jc w:val="right"/>
            </w:pPr>
            <w:r>
              <w:rPr>
                <w:color w:val="1C3A36"/>
                <w:sz w:val="17"/>
              </w:rPr>
              <w:t>3,189</w:t>
            </w:r>
          </w:p>
        </w:tc>
      </w:tr>
      <w:t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76.1%</w:t>
            </w:r>
          </w:p>
        </w:tc>
        <w:tc>
          <w:tcPr>
            <w:tcW w:type="dxa" w:w="1872"/>
          </w:tcPr>
          <w:p>
            <w:pPr>
              <w:spacing w:after="20"/>
              <w:jc w:val="right"/>
            </w:pPr>
            <w:r>
              <w:rPr>
                <w:color w:val="1C3A36"/>
                <w:sz w:val="17"/>
              </w:rPr>
              <w:t>76.2%</w:t>
            </w:r>
          </w:p>
        </w:tc>
        <w:tc>
          <w:tcPr>
            <w:tcW w:type="dxa" w:w="1800"/>
          </w:tcPr>
          <w:p>
            <w:pPr>
              <w:spacing w:after="20"/>
              <w:jc w:val="right"/>
            </w:pPr>
            <w:r>
              <w:rPr>
                <w:color w:val="1C3A36"/>
                <w:sz w:val="17"/>
              </w:rPr>
              <w:t>0.0%</w:t>
            </w:r>
          </w:p>
        </w:tc>
      </w:tr>
      <w:t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4.79</w:t>
            </w:r>
          </w:p>
        </w:tc>
        <w:tc>
          <w:tcPr>
            <w:tcW w:type="dxa" w:w="1872"/>
            <w:shd w:val="clear" w:color="auto" w:fill="F6F1E6"/>
          </w:tcPr>
          <w:p>
            <w:pPr>
              <w:spacing w:after="20"/>
              <w:jc w:val="right"/>
            </w:pPr>
            <w:r>
              <w:rPr>
                <w:b/>
                <w:color w:val="1C3A36"/>
                <w:sz w:val="17"/>
              </w:rPr>
              <w:t>5.12</w:t>
            </w:r>
          </w:p>
        </w:tc>
        <w:tc>
          <w:tcPr>
            <w:tcW w:type="dxa" w:w="1800"/>
            <w:shd w:val="clear" w:color="auto" w:fill="F6F1E6"/>
          </w:tcPr>
          <w:p>
            <w:pPr>
              <w:spacing w:after="20"/>
              <w:jc w:val="right"/>
            </w:pPr>
            <w:r>
              <w:rPr>
                <w:b/>
                <w:color w:val="1C3A36"/>
                <w:sz w:val="17"/>
              </w:rPr>
              <w:t>0.33</w:t>
            </w:r>
          </w:p>
        </w:tc>
      </w:tr>
    </w:tbl>
    <w:p>
      <w:pPr>
        <w:spacing w:after="40"/>
      </w:pPr>
    </w:p>
    <w:p>
      <w:pPr>
        <w:spacing w:after="200" w:before="0"/>
      </w:pPr>
      <w:r>
        <w:rPr>
          <w:b w:val="0"/>
          <w:i/>
          <w:color w:val="6E7B77"/>
          <w:sz w:val="17"/>
        </w:rPr>
        <w:t>Table 7 — the contested judgement isolated. Everything else in the two models is identical, so the AED 0.33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6.54% is worth a large multiple of its book. The multiple that relationship justifies is (return less growth) divided by (cost of equity less growth): (80.8% − 1.5%) ÷ (6.54% − 1.5%) = 15.7 times book, or AED 4.07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Book value and sustainable return</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 (AED m)</w:t>
            </w:r>
          </w:p>
        </w:tc>
        <w:tc>
          <w:tcPr>
            <w:tcW w:type="dxa" w:w="2448"/>
          </w:tcPr>
          <w:p>
            <w:pPr>
              <w:spacing w:after="20"/>
              <w:jc w:val="right"/>
            </w:pPr>
            <w:r>
              <w:rPr>
                <w:color w:val="1C3A36"/>
                <w:sz w:val="17"/>
              </w:rPr>
              <w:t>3,230</w:t>
            </w:r>
          </w:p>
        </w:tc>
      </w:tr>
      <w:tr>
        <w:tc>
          <w:tcPr>
            <w:tcW w:type="dxa" w:w="6624"/>
          </w:tcPr>
          <w:p>
            <w:pPr>
              <w:spacing w:after="20"/>
            </w:pPr>
            <w:r>
              <w:rPr>
                <w:color w:val="1C3A36"/>
                <w:sz w:val="17"/>
              </w:rPr>
              <w:t>Shares in issue (millions)</w:t>
            </w:r>
          </w:p>
        </w:tc>
        <w:tc>
          <w:tcPr>
            <w:tcW w:type="dxa" w:w="2448"/>
          </w:tcPr>
          <w:p>
            <w:pPr>
              <w:spacing w:after="20"/>
              <w:jc w:val="right"/>
            </w:pPr>
            <w:r>
              <w:rPr>
                <w:color w:val="1C3A36"/>
                <w:sz w:val="17"/>
              </w:rPr>
              <w:t>12,500</w:t>
            </w:r>
          </w:p>
        </w:tc>
      </w:tr>
      <w:tr>
        <w:tc>
          <w:tcPr>
            <w:tcW w:type="dxa" w:w="6624"/>
          </w:tcPr>
          <w:p>
            <w:pPr>
              <w:spacing w:after="20"/>
            </w:pPr>
            <w:r>
              <w:rPr>
                <w:color w:val="1C3A36"/>
                <w:sz w:val="17"/>
              </w:rPr>
              <w:t>Book value per share (AED)</w:t>
            </w:r>
          </w:p>
        </w:tc>
        <w:tc>
          <w:tcPr>
            <w:tcW w:type="dxa" w:w="2448"/>
          </w:tcPr>
          <w:p>
            <w:pPr>
              <w:spacing w:after="20"/>
              <w:jc w:val="right"/>
            </w:pPr>
            <w:r>
              <w:rPr>
                <w:color w:val="1C3A36"/>
                <w:sz w:val="17"/>
              </w:rPr>
              <w:t>0.26</w:t>
            </w:r>
          </w:p>
        </w:tc>
      </w:tr>
      <w:tr>
        <w:tc>
          <w:tcPr>
            <w:tcW w:type="dxa" w:w="6624"/>
          </w:tcPr>
          <w:p>
            <w:pPr>
              <w:spacing w:after="20"/>
            </w:pPr>
            <w:r>
              <w:rPr>
                <w:color w:val="1C3A36"/>
                <w:sz w:val="17"/>
              </w:rPr>
              <w:t>Return on equity, FY2023</w:t>
            </w:r>
          </w:p>
        </w:tc>
        <w:tc>
          <w:tcPr>
            <w:tcW w:type="dxa" w:w="2448"/>
          </w:tcPr>
          <w:p>
            <w:pPr>
              <w:spacing w:after="20"/>
              <w:jc w:val="right"/>
            </w:pPr>
            <w:r>
              <w:rPr>
                <w:color w:val="1C3A36"/>
                <w:sz w:val="17"/>
              </w:rPr>
              <w:t>74.9%</w:t>
            </w:r>
          </w:p>
        </w:tc>
      </w:tr>
      <w:tr>
        <w:tc>
          <w:tcPr>
            <w:tcW w:type="dxa" w:w="6624"/>
          </w:tcPr>
          <w:p>
            <w:pPr>
              <w:spacing w:after="20"/>
            </w:pPr>
            <w:r>
              <w:rPr>
                <w:color w:val="1C3A36"/>
                <w:sz w:val="17"/>
              </w:rPr>
              <w:t>Return on equity, FY2024</w:t>
            </w:r>
          </w:p>
        </w:tc>
        <w:tc>
          <w:tcPr>
            <w:tcW w:type="dxa" w:w="2448"/>
          </w:tcPr>
          <w:p>
            <w:pPr>
              <w:spacing w:after="20"/>
              <w:jc w:val="right"/>
            </w:pPr>
            <w:r>
              <w:rPr>
                <w:color w:val="1C3A36"/>
                <w:sz w:val="17"/>
              </w:rPr>
              <w:t>80.9%</w:t>
            </w:r>
          </w:p>
        </w:tc>
      </w:tr>
      <w:tr>
        <w:tc>
          <w:tcPr>
            <w:tcW w:type="dxa" w:w="6624"/>
          </w:tcPr>
          <w:p>
            <w:pPr>
              <w:spacing w:after="20"/>
            </w:pPr>
            <w:r>
              <w:rPr>
                <w:color w:val="1C3A36"/>
                <w:sz w:val="17"/>
              </w:rPr>
              <w:t>Return on equity, FY2025</w:t>
            </w:r>
          </w:p>
        </w:tc>
        <w:tc>
          <w:tcPr>
            <w:tcW w:type="dxa" w:w="2448"/>
          </w:tcPr>
          <w:p>
            <w:pPr>
              <w:spacing w:after="20"/>
              <w:jc w:val="right"/>
            </w:pPr>
            <w:r>
              <w:rPr>
                <w:color w:val="1C3A36"/>
                <w:sz w:val="17"/>
              </w:rPr>
              <w:t>86.5%</w:t>
            </w:r>
          </w:p>
        </w:tc>
      </w:tr>
      <w:tr>
        <w:tc>
          <w:tcPr>
            <w:tcW w:type="dxa" w:w="6624"/>
          </w:tcPr>
          <w:p>
            <w:pPr>
              <w:spacing w:after="20"/>
            </w:pPr>
            <w:r>
              <w:rPr>
                <w:color w:val="1C3A36"/>
                <w:sz w:val="17"/>
              </w:rPr>
              <w:t>Sustainable return — the three-year mean</w:t>
            </w:r>
          </w:p>
        </w:tc>
        <w:tc>
          <w:tcPr>
            <w:tcW w:type="dxa" w:w="2448"/>
          </w:tcPr>
          <w:p>
            <w:pPr>
              <w:spacing w:after="20"/>
              <w:jc w:val="right"/>
            </w:pPr>
            <w:r>
              <w:rPr>
                <w:color w:val="1C3A36"/>
                <w:sz w:val="17"/>
              </w:rPr>
              <w:t>80.8%</w:t>
            </w:r>
          </w:p>
        </w:tc>
      </w:tr>
      <w:tr>
        <w:tc>
          <w:tcPr>
            <w:tcW w:type="dxa" w:w="6624"/>
          </w:tcPr>
          <w:p>
            <w:pPr>
              <w:spacing w:after="20"/>
            </w:pPr>
            <w:r>
              <w:rPr>
                <w:color w:val="1C3A36"/>
                <w:sz w:val="17"/>
              </w:rPr>
              <w:t>Cost of equity</w:t>
            </w:r>
          </w:p>
        </w:tc>
        <w:tc>
          <w:tcPr>
            <w:tcW w:type="dxa" w:w="2448"/>
          </w:tcPr>
          <w:p>
            <w:pPr>
              <w:spacing w:after="20"/>
              <w:jc w:val="right"/>
            </w:pPr>
            <w:r>
              <w:rPr>
                <w:color w:val="1C3A36"/>
                <w:sz w:val="17"/>
              </w:rPr>
              <w:t>6.54%</w:t>
            </w:r>
          </w:p>
        </w:tc>
      </w:tr>
      <w:tr>
        <w:tc>
          <w:tcPr>
            <w:tcW w:type="dxa" w:w="6624"/>
          </w:tcPr>
          <w:p>
            <w:pPr>
              <w:spacing w:after="20"/>
            </w:pPr>
            <w:r>
              <w:rPr>
                <w:color w:val="1C3A36"/>
                <w:sz w:val="17"/>
              </w:rPr>
              <w:t>Long-run growth</w:t>
            </w:r>
          </w:p>
        </w:tc>
        <w:tc>
          <w:tcPr>
            <w:tcW w:type="dxa" w:w="2448"/>
          </w:tcPr>
          <w:p>
            <w:pPr>
              <w:spacing w:after="20"/>
              <w:jc w:val="right"/>
            </w:pPr>
            <w:r>
              <w:rPr>
                <w:color w:val="1C3A36"/>
                <w:sz w:val="17"/>
              </w:rPr>
              <w:t>1.5%</w:t>
            </w:r>
          </w:p>
        </w:tc>
      </w:tr>
      <w:tr>
        <w:tc>
          <w:tcPr>
            <w:tcW w:type="dxa" w:w="6624"/>
          </w:tcPr>
          <w:p>
            <w:pPr>
              <w:spacing w:after="20"/>
            </w:pPr>
            <w:r>
              <w:rPr>
                <w:color w:val="1C3A36"/>
                <w:sz w:val="17"/>
              </w:rPr>
              <w:t>Justified multiple of book</w:t>
            </w:r>
          </w:p>
        </w:tc>
        <w:tc>
          <w:tcPr>
            <w:tcW w:type="dxa" w:w="2448"/>
          </w:tcPr>
          <w:p>
            <w:pPr>
              <w:spacing w:after="20"/>
              <w:jc w:val="right"/>
            </w:pPr>
            <w:r>
              <w:rPr>
                <w:color w:val="1C3A36"/>
                <w:sz w:val="17"/>
              </w:rPr>
              <w:t>15.7x</w:t>
            </w:r>
          </w:p>
        </w:tc>
      </w:tr>
      <w:tr>
        <w:tc>
          <w:tcPr>
            <w:tcW w:type="dxa" w:w="6624"/>
            <w:shd w:val="clear" w:color="auto" w:fill="F6F1E6"/>
          </w:tcPr>
          <w:p>
            <w:pPr>
              <w:spacing w:after="20"/>
            </w:pPr>
            <w:r>
              <w:rPr>
                <w:b/>
                <w:color w:val="1C3A36"/>
                <w:sz w:val="17"/>
              </w:rPr>
              <w:t>Value per share (AED)</w:t>
            </w:r>
          </w:p>
        </w:tc>
        <w:tc>
          <w:tcPr>
            <w:tcW w:type="dxa" w:w="2448"/>
            <w:shd w:val="clear" w:color="auto" w:fill="F6F1E6"/>
          </w:tcPr>
          <w:p>
            <w:pPr>
              <w:spacing w:after="20"/>
              <w:jc w:val="right"/>
            </w:pPr>
            <w:r>
              <w:rPr>
                <w:b/>
                <w:color w:val="1C3A36"/>
                <w:sz w:val="17"/>
              </w:rPr>
              <w:t>4.07</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16.0 times forward earnings. On the model's own FY2026 earnings of AED 0.29 a share on Frame A and AED 0.30 on Frame B, that gives AED 4.58 and AED 4.80.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16.0x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close to the middle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4,367 million and EBIT of AED 3,567 million. Taxed at the statutory 9% it is AED 3,246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Normalised earnings power</w:t>
            </w:r>
          </w:p>
        </w:tc>
        <w:tc>
          <w:tcPr>
            <w:tcW w:type="dxa" w:w="2448"/>
            <w:shd w:val="clear" w:color="auto" w:fill="EAF0EE"/>
          </w:tcPr>
          <w:p>
            <w:pPr>
              <w:spacing w:after="20"/>
            </w:pPr>
            <w:r>
              <w:rPr>
                <w:b/>
                <w:color w:val="1C3A36"/>
                <w:sz w:val="17"/>
              </w:rPr>
              <w:t>AED million</w:t>
            </w:r>
          </w:p>
        </w:tc>
      </w:tr>
      <w:tr>
        <w:tc>
          <w:tcPr>
            <w:tcW w:type="dxa" w:w="6624"/>
          </w:tcPr>
          <w:p>
            <w:pPr>
              <w:spacing w:after="20"/>
            </w:pPr>
            <w:r>
              <w:rPr>
                <w:color w:val="1C3A36"/>
                <w:sz w:val="17"/>
              </w:rPr>
              <w:t>Structural gross profit, FY2026 run rate</w:t>
            </w:r>
          </w:p>
        </w:tc>
        <w:tc>
          <w:tcPr>
            <w:tcW w:type="dxa" w:w="2448"/>
          </w:tcPr>
          <w:p>
            <w:pPr>
              <w:spacing w:after="20"/>
              <w:jc w:val="right"/>
            </w:pPr>
            <w:r>
              <w:rPr>
                <w:color w:val="1C3A36"/>
                <w:sz w:val="17"/>
              </w:rPr>
              <w:t>7,204</w:t>
            </w:r>
          </w:p>
        </w:tc>
      </w:tr>
      <w:tr>
        <w:tc>
          <w:tcPr>
            <w:tcW w:type="dxa" w:w="6624"/>
          </w:tcPr>
          <w:p>
            <w:pPr>
              <w:spacing w:after="20"/>
            </w:pPr>
            <w:r>
              <w:rPr>
                <w:color w:val="1C3A36"/>
                <w:sz w:val="17"/>
              </w:rPr>
              <w:t>Less cash operating expenses</w:t>
            </w:r>
          </w:p>
        </w:tc>
        <w:tc>
          <w:tcPr>
            <w:tcW w:type="dxa" w:w="2448"/>
          </w:tcPr>
          <w:p>
            <w:pPr>
              <w:spacing w:after="20"/>
              <w:jc w:val="right"/>
            </w:pPr>
            <w:r>
              <w:rPr>
                <w:color w:val="1C3A36"/>
                <w:sz w:val="17"/>
              </w:rPr>
              <w:t>(2,650)</w:t>
            </w:r>
          </w:p>
        </w:tc>
      </w:tr>
      <w:tr>
        <w:tc>
          <w:tcPr>
            <w:tcW w:type="dxa" w:w="6624"/>
          </w:tcPr>
          <w:p>
            <w:pPr>
              <w:spacing w:after="20"/>
            </w:pPr>
            <w:r>
              <w:rPr>
                <w:color w:val="1C3A36"/>
                <w:sz w:val="17"/>
              </w:rPr>
              <w:t>Add other income</w:t>
            </w:r>
          </w:p>
        </w:tc>
        <w:tc>
          <w:tcPr>
            <w:tcW w:type="dxa" w:w="2448"/>
          </w:tcPr>
          <w:p>
            <w:pPr>
              <w:spacing w:after="20"/>
              <w:jc w:val="right"/>
            </w:pPr>
            <w:r>
              <w:rPr>
                <w:color w:val="1C3A36"/>
                <w:sz w:val="17"/>
              </w:rPr>
              <w:t>173</w:t>
            </w:r>
          </w:p>
        </w:tc>
      </w:tr>
      <w:tr>
        <w:tc>
          <w:tcPr>
            <w:tcW w:type="dxa" w:w="6624"/>
          </w:tcPr>
          <w:p>
            <w:pPr>
              <w:spacing w:after="20"/>
            </w:pPr>
            <w:r>
              <w:rPr>
                <w:color w:val="1C3A36"/>
                <w:sz w:val="17"/>
              </w:rPr>
              <w:t>Less impairment and credit losses</w:t>
            </w:r>
          </w:p>
        </w:tc>
        <w:tc>
          <w:tcPr>
            <w:tcW w:type="dxa" w:w="2448"/>
          </w:tcPr>
          <w:p>
            <w:pPr>
              <w:spacing w:after="20"/>
              <w:jc w:val="right"/>
            </w:pPr>
            <w:r>
              <w:rPr>
                <w:color w:val="1C3A36"/>
                <w:sz w:val="17"/>
              </w:rPr>
              <w:t>(360)</w:t>
            </w:r>
          </w:p>
        </w:tc>
      </w:tr>
      <w:tr>
        <w:tc>
          <w:tcPr>
            <w:tcW w:type="dxa" w:w="6624"/>
            <w:shd w:val="clear" w:color="auto" w:fill="F6F1E6"/>
          </w:tcPr>
          <w:p>
            <w:pPr>
              <w:spacing w:after="20"/>
            </w:pPr>
            <w:r>
              <w:rPr>
                <w:b/>
                <w:color w:val="1C3A36"/>
                <w:sz w:val="17"/>
              </w:rPr>
              <w:t>NORMALISED EBITDA</w:t>
            </w:r>
          </w:p>
        </w:tc>
        <w:tc>
          <w:tcPr>
            <w:tcW w:type="dxa" w:w="2448"/>
            <w:shd w:val="clear" w:color="auto" w:fill="F6F1E6"/>
          </w:tcPr>
          <w:p>
            <w:pPr>
              <w:spacing w:after="20"/>
              <w:jc w:val="right"/>
            </w:pPr>
            <w:r>
              <w:rPr>
                <w:b/>
                <w:color w:val="1C3A36"/>
                <w:sz w:val="17"/>
              </w:rPr>
              <w:t>4,367</w:t>
            </w:r>
          </w:p>
        </w:tc>
      </w:tr>
      <w:tr>
        <w:tc>
          <w:tcPr>
            <w:tcW w:type="dxa" w:w="6624"/>
          </w:tcPr>
          <w:p>
            <w:pPr>
              <w:spacing w:after="20"/>
            </w:pPr>
            <w:r>
              <w:rPr>
                <w:color w:val="1C3A36"/>
                <w:sz w:val="17"/>
              </w:rPr>
              <w:t>Less depreciation and amortisation</w:t>
            </w:r>
          </w:p>
        </w:tc>
        <w:tc>
          <w:tcPr>
            <w:tcW w:type="dxa" w:w="2448"/>
          </w:tcPr>
          <w:p>
            <w:pPr>
              <w:spacing w:after="20"/>
              <w:jc w:val="right"/>
            </w:pPr>
            <w:r>
              <w:rPr>
                <w:color w:val="1C3A36"/>
                <w:sz w:val="17"/>
              </w:rPr>
              <w:t>(800)</w:t>
            </w:r>
          </w:p>
        </w:tc>
      </w:tr>
      <w:tr>
        <w:tc>
          <w:tcPr>
            <w:tcW w:type="dxa" w:w="6624"/>
          </w:tcPr>
          <w:p>
            <w:pPr>
              <w:spacing w:after="20"/>
            </w:pPr>
            <w:r>
              <w:rPr>
                <w:color w:val="1C3A36"/>
                <w:sz w:val="17"/>
              </w:rPr>
              <w:t>Normalised EBIT</w:t>
            </w:r>
          </w:p>
        </w:tc>
        <w:tc>
          <w:tcPr>
            <w:tcW w:type="dxa" w:w="2448"/>
          </w:tcPr>
          <w:p>
            <w:pPr>
              <w:spacing w:after="20"/>
              <w:jc w:val="right"/>
            </w:pPr>
            <w:r>
              <w:rPr>
                <w:color w:val="1C3A36"/>
                <w:sz w:val="17"/>
              </w:rPr>
              <w:t>3,567</w:t>
            </w:r>
          </w:p>
        </w:tc>
      </w:tr>
      <w:tr>
        <w:tc>
          <w:tcPr>
            <w:tcW w:type="dxa" w:w="6624"/>
          </w:tcPr>
          <w:p>
            <w:pPr>
              <w:spacing w:after="20"/>
            </w:pPr>
            <w:r>
              <w:rPr>
                <w:color w:val="1C3A36"/>
                <w:sz w:val="17"/>
              </w:rPr>
              <w:t>Tax at the statutory rate of 9%</w:t>
            </w:r>
          </w:p>
        </w:tc>
        <w:tc>
          <w:tcPr>
            <w:tcW w:type="dxa" w:w="2448"/>
          </w:tcPr>
          <w:p>
            <w:pPr>
              <w:spacing w:after="20"/>
              <w:jc w:val="right"/>
            </w:pPr>
            <w:r>
              <w:rPr>
                <w:color w:val="1C3A36"/>
                <w:sz w:val="17"/>
              </w:rPr>
              <w:t>(321)</w:t>
            </w:r>
          </w:p>
        </w:tc>
      </w:tr>
      <w:tr>
        <w:tc>
          <w:tcPr>
            <w:tcW w:type="dxa" w:w="6624"/>
          </w:tcPr>
          <w:p>
            <w:pPr>
              <w:spacing w:after="20"/>
            </w:pPr>
            <w:r>
              <w:rPr>
                <w:color w:val="1C3A36"/>
                <w:sz w:val="17"/>
              </w:rPr>
              <w:t>Normalised operating profit after tax</w:t>
            </w:r>
          </w:p>
        </w:tc>
        <w:tc>
          <w:tcPr>
            <w:tcW w:type="dxa" w:w="2448"/>
          </w:tcPr>
          <w:p>
            <w:pPr>
              <w:spacing w:after="20"/>
              <w:jc w:val="right"/>
            </w:pPr>
            <w:r>
              <w:rPr>
                <w:color w:val="1C3A36"/>
                <w:sz w:val="17"/>
              </w:rPr>
              <w:t>3,246</w:t>
            </w:r>
          </w:p>
        </w:tc>
      </w:tr>
      <w:tr>
        <w:tc>
          <w:tcPr>
            <w:tcW w:type="dxa" w:w="6624"/>
          </w:tcPr>
          <w:p>
            <w:pPr>
              <w:spacing w:after="20"/>
            </w:pPr>
            <w:r>
              <w:rPr>
                <w:color w:val="1C3A36"/>
                <w:sz w:val="17"/>
              </w:rPr>
              <w:t>Capitalised at 6.43% less 1.5% growth</w:t>
            </w:r>
          </w:p>
        </w:tc>
        <w:tc>
          <w:tcPr>
            <w:tcW w:type="dxa" w:w="2448"/>
          </w:tcPr>
          <w:p>
            <w:pPr>
              <w:spacing w:after="20"/>
              <w:jc w:val="right"/>
            </w:pPr>
            <w:r>
              <w:rPr>
                <w:color w:val="1C3A36"/>
                <w:sz w:val="17"/>
              </w:rPr>
              <w:t>65,803</w:t>
            </w:r>
          </w:p>
        </w:tc>
      </w:tr>
      <w:tr>
        <w:tc>
          <w:tcPr>
            <w:tcW w:type="dxa" w:w="6624"/>
          </w:tcPr>
          <w:p>
            <w:pPr>
              <w:spacing w:after="20"/>
            </w:pPr>
            <w:r>
              <w:rPr>
                <w:color w:val="1C3A36"/>
                <w:sz w:val="17"/>
              </w:rPr>
              <w:t>Less net debt, leases and minorities</w:t>
            </w:r>
          </w:p>
        </w:tc>
        <w:tc>
          <w:tcPr>
            <w:tcW w:type="dxa" w:w="2448"/>
          </w:tcPr>
          <w:p>
            <w:pPr>
              <w:spacing w:after="20"/>
              <w:jc w:val="right"/>
            </w:pPr>
            <w:r>
              <w:rPr>
                <w:color w:val="1C3A36"/>
                <w:sz w:val="17"/>
              </w:rPr>
              <w:t>(4,662)</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61,141</w:t>
            </w:r>
          </w:p>
        </w:tc>
      </w:tr>
      <w:tr>
        <w:tc>
          <w:tcPr>
            <w:tcW w:type="dxa" w:w="6624"/>
            <w:shd w:val="clear" w:color="auto" w:fill="F6F1E6"/>
          </w:tcPr>
          <w:p>
            <w:pPr>
              <w:spacing w:after="20"/>
            </w:pPr>
            <w:r>
              <w:rPr>
                <w:b/>
                <w:color w:val="1C3A36"/>
                <w:sz w:val="17"/>
              </w:rPr>
              <w:t>VALUE PER SHARE (AED)</w:t>
            </w:r>
          </w:p>
        </w:tc>
        <w:tc>
          <w:tcPr>
            <w:tcW w:type="dxa" w:w="2448"/>
            <w:shd w:val="clear" w:color="auto" w:fill="F6F1E6"/>
          </w:tcPr>
          <w:p>
            <w:pPr>
              <w:spacing w:after="20"/>
              <w:jc w:val="right"/>
            </w:pPr>
            <w:r>
              <w:rPr>
                <w:b/>
                <w:color w:val="1C3A36"/>
                <w:sz w:val="17"/>
              </w:rPr>
              <w:t>4.89</w:t>
            </w:r>
          </w:p>
        </w:tc>
      </w:tr>
    </w:tbl>
    <w:p>
      <w:pPr>
        <w:spacing w:after="40"/>
      </w:pPr>
    </w:p>
    <w:p>
      <w:pPr>
        <w:spacing w:after="200" w:before="0"/>
      </w:pPr>
      <w:r>
        <w:rPr>
          <w:b w:val="0"/>
          <w:i/>
          <w:color w:val="6E7B77"/>
          <w:sz w:val="17"/>
        </w:rPr>
        <w:t>Table 10 — normalised earnings power. This reading is capitalised at TODAY's cost of capital of 6.43% rather than the terminal 7.18% the cash-flow model glides to, which is why it lands above the Frame A cash-flow reading despite crediting no growth at all.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c>
          <w:tcPr>
            <w:tcW w:type="dxa" w:w="2808"/>
          </w:tcPr>
          <w:p>
            <w:pPr>
              <w:spacing w:after="20"/>
            </w:pPr>
            <w:r>
              <w:rPr>
                <w:color w:val="1C3A36"/>
                <w:sz w:val="17"/>
              </w:rPr>
              <w:t>Discounted cash flow</w:t>
            </w:r>
          </w:p>
        </w:tc>
        <w:tc>
          <w:tcPr>
            <w:tcW w:type="dxa" w:w="1440"/>
          </w:tcPr>
          <w:p>
            <w:pPr>
              <w:spacing w:after="20"/>
              <w:jc w:val="right"/>
            </w:pPr>
            <w:r>
              <w:rPr>
                <w:color w:val="1C3A36"/>
                <w:sz w:val="17"/>
              </w:rPr>
              <w:t>4.79</w:t>
            </w:r>
          </w:p>
        </w:tc>
        <w:tc>
          <w:tcPr>
            <w:tcW w:type="dxa" w:w="1440"/>
          </w:tcPr>
          <w:p>
            <w:pPr>
              <w:spacing w:after="20"/>
              <w:jc w:val="right"/>
            </w:pPr>
            <w:r>
              <w:rPr>
                <w:color w:val="1C3A36"/>
                <w:sz w:val="17"/>
              </w:rPr>
              <w:t>5.12</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c>
          <w:tcPr>
            <w:tcW w:type="dxa" w:w="2808"/>
          </w:tcPr>
          <w:p>
            <w:pPr>
              <w:spacing w:after="20"/>
            </w:pPr>
            <w:r>
              <w:rPr>
                <w:color w:val="1C3A36"/>
                <w:sz w:val="17"/>
              </w:rPr>
              <w:t>Normalised earnings power</w:t>
            </w:r>
          </w:p>
        </w:tc>
        <w:tc>
          <w:tcPr>
            <w:tcW w:type="dxa" w:w="1440"/>
          </w:tcPr>
          <w:p>
            <w:pPr>
              <w:spacing w:after="20"/>
              <w:jc w:val="right"/>
            </w:pPr>
            <w:r>
              <w:rPr>
                <w:color w:val="1C3A36"/>
                <w:sz w:val="17"/>
              </w:rPr>
              <w:t>4.89</w:t>
            </w:r>
          </w:p>
        </w:tc>
        <w:tc>
          <w:tcPr>
            <w:tcW w:type="dxa" w:w="1440"/>
          </w:tcPr>
          <w:p>
            <w:pPr>
              <w:spacing w:after="20"/>
              <w:jc w:val="right"/>
            </w:pPr>
            <w:r>
              <w:rPr>
                <w:color w:val="1C3A36"/>
                <w:sz w:val="17"/>
              </w:rPr>
              <w:t>4.89</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if it never grows again</w:t>
            </w:r>
          </w:p>
        </w:tc>
      </w:tr>
      <w:tr>
        <w:tc>
          <w:tcPr>
            <w:tcW w:type="dxa" w:w="2808"/>
          </w:tcPr>
          <w:p>
            <w:pPr>
              <w:spacing w:after="20"/>
            </w:pPr>
            <w:r>
              <w:rPr>
                <w:color w:val="1C3A36"/>
                <w:sz w:val="17"/>
              </w:rPr>
              <w:t>Relative multiples</w:t>
            </w:r>
          </w:p>
        </w:tc>
        <w:tc>
          <w:tcPr>
            <w:tcW w:type="dxa" w:w="1440"/>
          </w:tcPr>
          <w:p>
            <w:pPr>
              <w:spacing w:after="20"/>
              <w:jc w:val="right"/>
            </w:pPr>
            <w:r>
              <w:rPr>
                <w:color w:val="1C3A36"/>
                <w:sz w:val="17"/>
              </w:rPr>
              <w:t>4.58</w:t>
            </w:r>
          </w:p>
        </w:tc>
        <w:tc>
          <w:tcPr>
            <w:tcW w:type="dxa" w:w="1440"/>
          </w:tcPr>
          <w:p>
            <w:pPr>
              <w:spacing w:after="20"/>
              <w:jc w:val="right"/>
            </w:pPr>
            <w:r>
              <w:rPr>
                <w:color w:val="1C3A36"/>
                <w:sz w:val="17"/>
              </w:rPr>
              <w:t>4.80</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4.07</w:t>
            </w:r>
          </w:p>
        </w:tc>
        <w:tc>
          <w:tcPr>
            <w:tcW w:type="dxa" w:w="1440"/>
          </w:tcPr>
          <w:p>
            <w:pPr>
              <w:spacing w:after="20"/>
              <w:jc w:val="right"/>
            </w:pPr>
            <w:r>
              <w:rPr>
                <w:color w:val="1C3A36"/>
                <w:sz w:val="17"/>
              </w:rPr>
              <w:t>4.07</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4.67</w:t>
            </w:r>
          </w:p>
        </w:tc>
        <w:tc>
          <w:tcPr>
            <w:tcW w:type="dxa" w:w="1440"/>
            <w:shd w:val="clear" w:color="auto" w:fill="F6F1E6"/>
          </w:tcPr>
          <w:p>
            <w:pPr>
              <w:spacing w:after="20"/>
              <w:jc w:val="right"/>
            </w:pPr>
            <w:r>
              <w:rPr>
                <w:b/>
                <w:color w:val="1C3A36"/>
                <w:sz w:val="17"/>
              </w:rPr>
              <w:t>4.84</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c>
          <w:tcPr>
            <w:tcW w:type="dxa" w:w="2808"/>
          </w:tcPr>
          <w:p>
            <w:pPr>
              <w:spacing w:after="20"/>
            </w:pPr>
            <w:r>
              <w:rPr>
                <w:color w:val="1C3A36"/>
                <w:sz w:val="17"/>
              </w:rPr>
              <w:t>Dividend capitalisation</w:t>
            </w:r>
          </w:p>
        </w:tc>
        <w:tc>
          <w:tcPr>
            <w:tcW w:type="dxa" w:w="1440"/>
          </w:tcPr>
          <w:p>
            <w:pPr>
              <w:spacing w:after="20"/>
              <w:jc w:val="right"/>
            </w:pPr>
            <w:r>
              <w:rPr>
                <w:color w:val="1C3A36"/>
                <w:sz w:val="17"/>
              </w:rPr>
              <w:t>4.14</w:t>
            </w:r>
          </w:p>
        </w:tc>
        <w:tc>
          <w:tcPr>
            <w:tcW w:type="dxa" w:w="1440"/>
          </w:tcPr>
          <w:p>
            <w:pPr>
              <w:spacing w:after="20"/>
              <w:jc w:val="right"/>
            </w:pPr>
            <w:r>
              <w:rPr>
                <w:color w:val="1C3A36"/>
                <w:sz w:val="17"/>
              </w:rPr>
              <w:t>4.14</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4.07 to AED 5.12 across the individual readings; the published low and high of AED 3.97 to AED 5.57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never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11,175</w:t>
            </w:r>
          </w:p>
        </w:tc>
        <w:tc>
          <w:tcPr>
            <w:tcW w:type="dxa" w:w="1138"/>
          </w:tcPr>
          <w:p>
            <w:pPr>
              <w:spacing w:after="20"/>
              <w:jc w:val="right"/>
            </w:pPr>
            <w:r>
              <w:rPr>
                <w:color w:val="1C3A36"/>
                <w:sz w:val="16"/>
              </w:rPr>
              <w:t>11,398</w:t>
            </w:r>
          </w:p>
        </w:tc>
        <w:tc>
          <w:tcPr>
            <w:tcW w:type="dxa" w:w="1138"/>
          </w:tcPr>
          <w:p>
            <w:pPr>
              <w:spacing w:after="20"/>
              <w:jc w:val="right"/>
            </w:pPr>
            <w:r>
              <w:rPr>
                <w:color w:val="1C3A36"/>
                <w:sz w:val="16"/>
              </w:rPr>
              <w:t>11,603</w:t>
            </w:r>
          </w:p>
        </w:tc>
        <w:tc>
          <w:tcPr>
            <w:tcW w:type="dxa" w:w="1138"/>
          </w:tcPr>
          <w:p>
            <w:pPr>
              <w:spacing w:after="20"/>
              <w:jc w:val="right"/>
            </w:pPr>
            <w:r>
              <w:rPr>
                <w:color w:val="1C3A36"/>
                <w:sz w:val="16"/>
              </w:rPr>
              <w:t>11,777</w:t>
            </w:r>
          </w:p>
        </w:tc>
        <w:tc>
          <w:tcPr>
            <w:tcW w:type="dxa" w:w="1138"/>
          </w:tcPr>
          <w:p>
            <w:pPr>
              <w:spacing w:after="20"/>
              <w:jc w:val="right"/>
            </w:pPr>
            <w:r>
              <w:rPr>
                <w:color w:val="1C3A36"/>
                <w:sz w:val="16"/>
              </w:rPr>
              <w:t>11,919</w:t>
            </w:r>
          </w:p>
        </w:tc>
      </w:tr>
      <w:t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4,808</w:t>
            </w:r>
          </w:p>
        </w:tc>
        <w:tc>
          <w:tcPr>
            <w:tcW w:type="dxa" w:w="1138"/>
          </w:tcPr>
          <w:p>
            <w:pPr>
              <w:spacing w:after="20"/>
              <w:jc w:val="right"/>
            </w:pPr>
            <w:r>
              <w:rPr>
                <w:color w:val="1C3A36"/>
                <w:sz w:val="16"/>
              </w:rPr>
              <w:t>4,928</w:t>
            </w:r>
          </w:p>
        </w:tc>
        <w:tc>
          <w:tcPr>
            <w:tcW w:type="dxa" w:w="1138"/>
          </w:tcPr>
          <w:p>
            <w:pPr>
              <w:spacing w:after="20"/>
              <w:jc w:val="right"/>
            </w:pPr>
            <w:r>
              <w:rPr>
                <w:color w:val="1C3A36"/>
                <w:sz w:val="16"/>
              </w:rPr>
              <w:t>5,027</w:t>
            </w:r>
          </w:p>
        </w:tc>
        <w:tc>
          <w:tcPr>
            <w:tcW w:type="dxa" w:w="1138"/>
          </w:tcPr>
          <w:p>
            <w:pPr>
              <w:spacing w:after="20"/>
              <w:jc w:val="right"/>
            </w:pPr>
            <w:r>
              <w:rPr>
                <w:color w:val="1C3A36"/>
                <w:sz w:val="16"/>
              </w:rPr>
              <w:t>5,117</w:t>
            </w:r>
          </w:p>
        </w:tc>
        <w:tc>
          <w:tcPr>
            <w:tcW w:type="dxa" w:w="1138"/>
          </w:tcPr>
          <w:p>
            <w:pPr>
              <w:spacing w:after="20"/>
              <w:jc w:val="right"/>
            </w:pPr>
            <w:r>
              <w:rPr>
                <w:color w:val="1C3A36"/>
                <w:sz w:val="16"/>
              </w:rPr>
              <w:t>5,194</w:t>
            </w:r>
          </w:p>
        </w:tc>
      </w:tr>
      <w:t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354.3</w:t>
            </w:r>
          </w:p>
        </w:tc>
        <w:tc>
          <w:tcPr>
            <w:tcW w:type="dxa" w:w="1138"/>
          </w:tcPr>
          <w:p>
            <w:pPr>
              <w:spacing w:after="20"/>
              <w:jc w:val="right"/>
            </w:pPr>
            <w:r>
              <w:rPr>
                <w:color w:val="1C3A36"/>
                <w:sz w:val="16"/>
              </w:rPr>
              <w:t>361.4</w:t>
            </w:r>
          </w:p>
        </w:tc>
        <w:tc>
          <w:tcPr>
            <w:tcW w:type="dxa" w:w="1138"/>
          </w:tcPr>
          <w:p>
            <w:pPr>
              <w:spacing w:after="20"/>
              <w:jc w:val="right"/>
            </w:pPr>
            <w:r>
              <w:rPr>
                <w:color w:val="1C3A36"/>
                <w:sz w:val="16"/>
              </w:rPr>
              <w:t>368.6</w:t>
            </w:r>
          </w:p>
        </w:tc>
        <w:tc>
          <w:tcPr>
            <w:tcW w:type="dxa" w:w="1138"/>
          </w:tcPr>
          <w:p>
            <w:pPr>
              <w:spacing w:after="20"/>
              <w:jc w:val="right"/>
            </w:pPr>
            <w:r>
              <w:rPr>
                <w:color w:val="1C3A36"/>
                <w:sz w:val="16"/>
              </w:rPr>
              <w:t>376.0</w:t>
            </w:r>
          </w:p>
        </w:tc>
        <w:tc>
          <w:tcPr>
            <w:tcW w:type="dxa" w:w="1138"/>
          </w:tcPr>
          <w:p>
            <w:pPr>
              <w:spacing w:after="20"/>
              <w:jc w:val="right"/>
            </w:pPr>
            <w:r>
              <w:rPr>
                <w:color w:val="1C3A36"/>
                <w:sz w:val="16"/>
              </w:rPr>
              <w:t>383.5</w:t>
            </w:r>
          </w:p>
        </w:tc>
        <w:tc>
          <w:tcPr>
            <w:tcW w:type="dxa" w:w="1138"/>
          </w:tcPr>
          <w:p>
            <w:pPr>
              <w:spacing w:after="20"/>
              <w:jc w:val="right"/>
            </w:pPr>
            <w:r>
              <w:rPr>
                <w:color w:val="1C3A36"/>
                <w:sz w:val="16"/>
              </w:rPr>
              <w:t>391.2</w:t>
            </w:r>
          </w:p>
        </w:tc>
      </w:tr>
      <w:t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367.4</w:t>
            </w:r>
          </w:p>
        </w:tc>
        <w:tc>
          <w:tcPr>
            <w:tcW w:type="dxa" w:w="1138"/>
          </w:tcPr>
          <w:p>
            <w:pPr>
              <w:spacing w:after="20"/>
              <w:jc w:val="right"/>
            </w:pPr>
            <w:r>
              <w:rPr>
                <w:color w:val="1C3A36"/>
                <w:sz w:val="16"/>
              </w:rPr>
              <w:t>429.9</w:t>
            </w:r>
          </w:p>
        </w:tc>
        <w:tc>
          <w:tcPr>
            <w:tcW w:type="dxa" w:w="1138"/>
          </w:tcPr>
          <w:p>
            <w:pPr>
              <w:spacing w:after="20"/>
              <w:jc w:val="right"/>
            </w:pPr>
            <w:r>
              <w:rPr>
                <w:color w:val="1C3A36"/>
                <w:sz w:val="16"/>
              </w:rPr>
              <w:t>438.4</w:t>
            </w:r>
          </w:p>
        </w:tc>
        <w:tc>
          <w:tcPr>
            <w:tcW w:type="dxa" w:w="1138"/>
          </w:tcPr>
          <w:p>
            <w:pPr>
              <w:spacing w:after="20"/>
              <w:jc w:val="right"/>
            </w:pPr>
            <w:r>
              <w:rPr>
                <w:color w:val="1C3A36"/>
                <w:sz w:val="16"/>
              </w:rPr>
              <w:t>447.2</w:t>
            </w:r>
          </w:p>
        </w:tc>
        <w:tc>
          <w:tcPr>
            <w:tcW w:type="dxa" w:w="1138"/>
          </w:tcPr>
          <w:p>
            <w:pPr>
              <w:spacing w:after="20"/>
              <w:jc w:val="right"/>
            </w:pPr>
            <w:r>
              <w:rPr>
                <w:color w:val="1C3A36"/>
                <w:sz w:val="16"/>
              </w:rPr>
              <w:t>456.2</w:t>
            </w:r>
          </w:p>
        </w:tc>
        <w:tc>
          <w:tcPr>
            <w:tcW w:type="dxa" w:w="1138"/>
          </w:tcPr>
          <w:p>
            <w:pPr>
              <w:spacing w:after="20"/>
              <w:jc w:val="right"/>
            </w:pPr>
            <w:r>
              <w:rPr>
                <w:color w:val="1C3A36"/>
                <w:sz w:val="16"/>
              </w:rPr>
              <w:t>465.3</w:t>
            </w:r>
          </w:p>
        </w:tc>
      </w:tr>
      <w:t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3.05</w:t>
            </w:r>
          </w:p>
        </w:tc>
        <w:tc>
          <w:tcPr>
            <w:tcW w:type="dxa" w:w="1138"/>
          </w:tcPr>
          <w:p>
            <w:pPr>
              <w:spacing w:after="20"/>
              <w:jc w:val="right"/>
            </w:pPr>
            <w:r>
              <w:rPr>
                <w:color w:val="1C3A36"/>
                <w:sz w:val="16"/>
              </w:rPr>
              <w:t>2.95</w:t>
            </w:r>
          </w:p>
        </w:tc>
        <w:tc>
          <w:tcPr>
            <w:tcW w:type="dxa" w:w="1138"/>
          </w:tcPr>
          <w:p>
            <w:pPr>
              <w:spacing w:after="20"/>
              <w:jc w:val="right"/>
            </w:pPr>
            <w:r>
              <w:rPr>
                <w:color w:val="1C3A36"/>
                <w:sz w:val="16"/>
              </w:rPr>
              <w:t>2.98</w:t>
            </w:r>
          </w:p>
        </w:tc>
        <w:tc>
          <w:tcPr>
            <w:tcW w:type="dxa" w:w="1138"/>
          </w:tcPr>
          <w:p>
            <w:pPr>
              <w:spacing w:after="20"/>
              <w:jc w:val="right"/>
            </w:pPr>
            <w:r>
              <w:rPr>
                <w:color w:val="1C3A36"/>
                <w:sz w:val="16"/>
              </w:rPr>
              <w:t>3.01</w:t>
            </w:r>
          </w:p>
        </w:tc>
        <w:tc>
          <w:tcPr>
            <w:tcW w:type="dxa" w:w="1138"/>
          </w:tcPr>
          <w:p>
            <w:pPr>
              <w:spacing w:after="20"/>
              <w:jc w:val="right"/>
            </w:pPr>
            <w:r>
              <w:rPr>
                <w:color w:val="1C3A36"/>
                <w:sz w:val="16"/>
              </w:rPr>
              <w:t>3.04</w:t>
            </w:r>
          </w:p>
        </w:tc>
      </w:tr>
    </w:tbl>
    <w:p>
      <w:pPr>
        <w:spacing w:after="40"/>
      </w:pPr>
    </w:p>
    <w:p>
      <w:pPr>
        <w:spacing w:after="200" w:before="0"/>
      </w:pPr>
      <w:r>
        <w:rPr>
          <w:b w:val="0"/>
          <w:i/>
          <w:color w:val="6E7B77"/>
          <w:sz w:val="17"/>
        </w:rPr>
        <w:t>Table 12 — the physical build. Retail margin per litre begins at 354.3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4,038</w:t>
            </w:r>
          </w:p>
        </w:tc>
        <w:tc>
          <w:tcPr>
            <w:tcW w:type="dxa" w:w="1224"/>
          </w:tcPr>
          <w:p>
            <w:pPr>
              <w:spacing w:after="20"/>
              <w:jc w:val="right"/>
            </w:pPr>
            <w:r>
              <w:rPr>
                <w:color w:val="1C3A36"/>
                <w:sz w:val="16"/>
              </w:rPr>
              <w:t>4,201</w:t>
            </w:r>
          </w:p>
        </w:tc>
        <w:tc>
          <w:tcPr>
            <w:tcW w:type="dxa" w:w="1224"/>
          </w:tcPr>
          <w:p>
            <w:pPr>
              <w:spacing w:after="20"/>
              <w:jc w:val="right"/>
            </w:pPr>
            <w:r>
              <w:rPr>
                <w:color w:val="1C3A36"/>
                <w:sz w:val="16"/>
              </w:rPr>
              <w:t>4,362</w:t>
            </w:r>
          </w:p>
        </w:tc>
        <w:tc>
          <w:tcPr>
            <w:tcW w:type="dxa" w:w="1224"/>
          </w:tcPr>
          <w:p>
            <w:pPr>
              <w:spacing w:after="20"/>
              <w:jc w:val="right"/>
            </w:pPr>
            <w:r>
              <w:rPr>
                <w:color w:val="1C3A36"/>
                <w:sz w:val="16"/>
              </w:rPr>
              <w:t>4,516</w:t>
            </w:r>
          </w:p>
        </w:tc>
        <w:tc>
          <w:tcPr>
            <w:tcW w:type="dxa" w:w="1224"/>
          </w:tcPr>
          <w:p>
            <w:pPr>
              <w:spacing w:after="20"/>
              <w:jc w:val="right"/>
            </w:pPr>
            <w:r>
              <w:rPr>
                <w:color w:val="1C3A36"/>
                <w:sz w:val="16"/>
              </w:rPr>
              <w:t>4,662</w:t>
            </w:r>
          </w:p>
        </w:tc>
      </w:tr>
      <w:t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2,067</w:t>
            </w:r>
          </w:p>
        </w:tc>
        <w:tc>
          <w:tcPr>
            <w:tcW w:type="dxa" w:w="1224"/>
          </w:tcPr>
          <w:p>
            <w:pPr>
              <w:spacing w:after="20"/>
              <w:jc w:val="right"/>
            </w:pPr>
            <w:r>
              <w:rPr>
                <w:color w:val="1C3A36"/>
                <w:sz w:val="16"/>
              </w:rPr>
              <w:t>2,161</w:t>
            </w:r>
          </w:p>
        </w:tc>
        <w:tc>
          <w:tcPr>
            <w:tcW w:type="dxa" w:w="1224"/>
          </w:tcPr>
          <w:p>
            <w:pPr>
              <w:spacing w:after="20"/>
              <w:jc w:val="right"/>
            </w:pPr>
            <w:r>
              <w:rPr>
                <w:color w:val="1C3A36"/>
                <w:sz w:val="16"/>
              </w:rPr>
              <w:t>2,248</w:t>
            </w:r>
          </w:p>
        </w:tc>
        <w:tc>
          <w:tcPr>
            <w:tcW w:type="dxa" w:w="1224"/>
          </w:tcPr>
          <w:p>
            <w:pPr>
              <w:spacing w:after="20"/>
              <w:jc w:val="right"/>
            </w:pPr>
            <w:r>
              <w:rPr>
                <w:color w:val="1C3A36"/>
                <w:sz w:val="16"/>
              </w:rPr>
              <w:t>2,334</w:t>
            </w:r>
          </w:p>
        </w:tc>
        <w:tc>
          <w:tcPr>
            <w:tcW w:type="dxa" w:w="1224"/>
          </w:tcPr>
          <w:p>
            <w:pPr>
              <w:spacing w:after="20"/>
              <w:jc w:val="right"/>
            </w:pPr>
            <w:r>
              <w:rPr>
                <w:color w:val="1C3A36"/>
                <w:sz w:val="16"/>
              </w:rPr>
              <w:t>2,417</w:t>
            </w:r>
          </w:p>
        </w:tc>
      </w:tr>
      <w:t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1,099</w:t>
            </w:r>
          </w:p>
        </w:tc>
        <w:tc>
          <w:tcPr>
            <w:tcW w:type="dxa" w:w="1224"/>
          </w:tcPr>
          <w:p>
            <w:pPr>
              <w:spacing w:after="20"/>
              <w:jc w:val="right"/>
            </w:pPr>
            <w:r>
              <w:rPr>
                <w:color w:val="1C3A36"/>
                <w:sz w:val="16"/>
              </w:rPr>
              <w:t>1,209</w:t>
            </w:r>
          </w:p>
        </w:tc>
        <w:tc>
          <w:tcPr>
            <w:tcW w:type="dxa" w:w="1224"/>
          </w:tcPr>
          <w:p>
            <w:pPr>
              <w:spacing w:after="20"/>
              <w:jc w:val="right"/>
            </w:pPr>
            <w:r>
              <w:rPr>
                <w:color w:val="1C3A36"/>
                <w:sz w:val="16"/>
              </w:rPr>
              <w:t>1,317</w:t>
            </w:r>
          </w:p>
        </w:tc>
        <w:tc>
          <w:tcPr>
            <w:tcW w:type="dxa" w:w="1224"/>
          </w:tcPr>
          <w:p>
            <w:pPr>
              <w:spacing w:after="20"/>
              <w:jc w:val="right"/>
            </w:pPr>
            <w:r>
              <w:rPr>
                <w:color w:val="1C3A36"/>
                <w:sz w:val="16"/>
              </w:rPr>
              <w:t>1,423</w:t>
            </w:r>
          </w:p>
        </w:tc>
        <w:tc>
          <w:tcPr>
            <w:tcW w:type="dxa" w:w="1224"/>
          </w:tcPr>
          <w:p>
            <w:pPr>
              <w:spacing w:after="20"/>
              <w:jc w:val="right"/>
            </w:pPr>
            <w:r>
              <w:rPr>
                <w:color w:val="1C3A36"/>
                <w:sz w:val="16"/>
              </w:rPr>
              <w:t>1,537</w:t>
            </w:r>
          </w:p>
        </w:tc>
      </w:tr>
      <w:t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7,204</w:t>
            </w:r>
          </w:p>
        </w:tc>
        <w:tc>
          <w:tcPr>
            <w:tcW w:type="dxa" w:w="1224"/>
            <w:shd w:val="clear" w:color="auto" w:fill="F6F1E6"/>
          </w:tcPr>
          <w:p>
            <w:pPr>
              <w:spacing w:after="20"/>
              <w:jc w:val="right"/>
            </w:pPr>
            <w:r>
              <w:rPr>
                <w:b/>
                <w:color w:val="1C3A36"/>
                <w:sz w:val="16"/>
              </w:rPr>
              <w:t>7,571</w:t>
            </w:r>
          </w:p>
        </w:tc>
        <w:tc>
          <w:tcPr>
            <w:tcW w:type="dxa" w:w="1224"/>
            <w:shd w:val="clear" w:color="auto" w:fill="F6F1E6"/>
          </w:tcPr>
          <w:p>
            <w:pPr>
              <w:spacing w:after="20"/>
              <w:jc w:val="right"/>
            </w:pPr>
            <w:r>
              <w:rPr>
                <w:b/>
                <w:color w:val="1C3A36"/>
                <w:sz w:val="16"/>
              </w:rPr>
              <w:t>7,928</w:t>
            </w:r>
          </w:p>
        </w:tc>
        <w:tc>
          <w:tcPr>
            <w:tcW w:type="dxa" w:w="1224"/>
            <w:shd w:val="clear" w:color="auto" w:fill="F6F1E6"/>
          </w:tcPr>
          <w:p>
            <w:pPr>
              <w:spacing w:after="20"/>
              <w:jc w:val="right"/>
            </w:pPr>
            <w:r>
              <w:rPr>
                <w:b/>
                <w:color w:val="1C3A36"/>
                <w:sz w:val="16"/>
              </w:rPr>
              <w:t>8,274</w:t>
            </w:r>
          </w:p>
        </w:tc>
        <w:tc>
          <w:tcPr>
            <w:tcW w:type="dxa" w:w="1224"/>
            <w:shd w:val="clear" w:color="auto" w:fill="F6F1E6"/>
          </w:tcPr>
          <w:p>
            <w:pPr>
              <w:spacing w:after="20"/>
              <w:jc w:val="right"/>
            </w:pPr>
            <w:r>
              <w:rPr>
                <w:b/>
                <w:color w:val="1C3A36"/>
                <w:sz w:val="16"/>
              </w:rPr>
              <w:t>8,615</w:t>
            </w:r>
          </w:p>
        </w:tc>
      </w:tr>
      <w:t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c>
          <w:tcPr>
            <w:tcW w:type="dxa" w:w="3816"/>
          </w:tcPr>
          <w:p>
            <w:pPr>
              <w:spacing w:after="20"/>
            </w:pPr>
            <w:r>
              <w:rPr>
                <w:color w:val="1C3A36"/>
                <w:sz w:val="16"/>
              </w:rPr>
              <w:t>Gross profit — Frame A</w:t>
            </w:r>
          </w:p>
        </w:tc>
        <w:tc>
          <w:tcPr>
            <w:tcW w:type="dxa" w:w="1224"/>
          </w:tcPr>
          <w:p>
            <w:pPr>
              <w:spacing w:after="20"/>
              <w:jc w:val="right"/>
            </w:pPr>
            <w:r>
              <w:rPr>
                <w:color w:val="1C3A36"/>
                <w:sz w:val="16"/>
              </w:rPr>
              <w:t>7,966</w:t>
            </w:r>
          </w:p>
        </w:tc>
        <w:tc>
          <w:tcPr>
            <w:tcW w:type="dxa" w:w="1224"/>
          </w:tcPr>
          <w:p>
            <w:pPr>
              <w:spacing w:after="20"/>
              <w:jc w:val="right"/>
            </w:pPr>
            <w:r>
              <w:rPr>
                <w:color w:val="1C3A36"/>
                <w:sz w:val="16"/>
              </w:rPr>
              <w:t>7,571</w:t>
            </w:r>
          </w:p>
        </w:tc>
        <w:tc>
          <w:tcPr>
            <w:tcW w:type="dxa" w:w="1224"/>
          </w:tcPr>
          <w:p>
            <w:pPr>
              <w:spacing w:after="20"/>
              <w:jc w:val="right"/>
            </w:pPr>
            <w:r>
              <w:rPr>
                <w:color w:val="1C3A36"/>
                <w:sz w:val="16"/>
              </w:rPr>
              <w:t>7,928</w:t>
            </w:r>
          </w:p>
        </w:tc>
        <w:tc>
          <w:tcPr>
            <w:tcW w:type="dxa" w:w="1224"/>
          </w:tcPr>
          <w:p>
            <w:pPr>
              <w:spacing w:after="20"/>
              <w:jc w:val="right"/>
            </w:pPr>
            <w:r>
              <w:rPr>
                <w:color w:val="1C3A36"/>
                <w:sz w:val="16"/>
              </w:rPr>
              <w:t>8,274</w:t>
            </w:r>
          </w:p>
        </w:tc>
        <w:tc>
          <w:tcPr>
            <w:tcW w:type="dxa" w:w="1224"/>
          </w:tcPr>
          <w:p>
            <w:pPr>
              <w:spacing w:after="20"/>
              <w:jc w:val="right"/>
            </w:pPr>
            <w:r>
              <w:rPr>
                <w:color w:val="1C3A36"/>
                <w:sz w:val="16"/>
              </w:rPr>
              <w:t>8,615</w:t>
            </w:r>
          </w:p>
        </w:tc>
      </w:tr>
      <w:t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17.5%</w:t>
            </w:r>
          </w:p>
        </w:tc>
        <w:tc>
          <w:tcPr>
            <w:tcW w:type="dxa" w:w="1224"/>
          </w:tcPr>
          <w:p>
            <w:pPr>
              <w:spacing w:after="20"/>
              <w:jc w:val="right"/>
            </w:pPr>
            <w:r>
              <w:rPr>
                <w:color w:val="1C3A36"/>
                <w:sz w:val="16"/>
              </w:rPr>
              <w:t>17.7%</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r>
      <w:t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c>
          <w:tcPr>
            <w:tcW w:type="dxa" w:w="3816"/>
          </w:tcPr>
          <w:p>
            <w:pPr>
              <w:spacing w:after="20"/>
            </w:pPr>
            <w:r>
              <w:rPr>
                <w:color w:val="1C3A36"/>
                <w:sz w:val="16"/>
              </w:rPr>
              <w:t>Gross profit — Frame B</w:t>
            </w:r>
          </w:p>
        </w:tc>
        <w:tc>
          <w:tcPr>
            <w:tcW w:type="dxa" w:w="1224"/>
          </w:tcPr>
          <w:p>
            <w:pPr>
              <w:spacing w:after="20"/>
              <w:jc w:val="right"/>
            </w:pPr>
            <w:r>
              <w:rPr>
                <w:color w:val="1C3A36"/>
                <w:sz w:val="16"/>
              </w:rPr>
              <w:t>8,154</w:t>
            </w:r>
          </w:p>
        </w:tc>
        <w:tc>
          <w:tcPr>
            <w:tcW w:type="dxa" w:w="1224"/>
          </w:tcPr>
          <w:p>
            <w:pPr>
              <w:spacing w:after="20"/>
              <w:jc w:val="right"/>
            </w:pPr>
            <w:r>
              <w:rPr>
                <w:color w:val="1C3A36"/>
                <w:sz w:val="16"/>
              </w:rPr>
              <w:t>7,866</w:t>
            </w:r>
          </w:p>
        </w:tc>
        <w:tc>
          <w:tcPr>
            <w:tcW w:type="dxa" w:w="1224"/>
          </w:tcPr>
          <w:p>
            <w:pPr>
              <w:spacing w:after="20"/>
              <w:jc w:val="right"/>
            </w:pPr>
            <w:r>
              <w:rPr>
                <w:color w:val="1C3A36"/>
                <w:sz w:val="16"/>
              </w:rPr>
              <w:t>8,223</w:t>
            </w:r>
          </w:p>
        </w:tc>
        <w:tc>
          <w:tcPr>
            <w:tcW w:type="dxa" w:w="1224"/>
          </w:tcPr>
          <w:p>
            <w:pPr>
              <w:spacing w:after="20"/>
              <w:jc w:val="right"/>
            </w:pPr>
            <w:r>
              <w:rPr>
                <w:color w:val="1C3A36"/>
                <w:sz w:val="16"/>
              </w:rPr>
              <w:t>8,569</w:t>
            </w:r>
          </w:p>
        </w:tc>
        <w:tc>
          <w:tcPr>
            <w:tcW w:type="dxa" w:w="1224"/>
          </w:tcPr>
          <w:p>
            <w:pPr>
              <w:spacing w:after="20"/>
              <w:jc w:val="right"/>
            </w:pPr>
            <w:r>
              <w:rPr>
                <w:color w:val="1C3A36"/>
                <w:sz w:val="16"/>
              </w:rPr>
              <w:t>8,910</w:t>
            </w:r>
          </w:p>
        </w:tc>
      </w:tr>
      <w:t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18.1%</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18.6%</w:t>
            </w:r>
          </w:p>
        </w:tc>
        <w:tc>
          <w:tcPr>
            <w:tcW w:type="dxa" w:w="1224"/>
          </w:tcPr>
          <w:p>
            <w:pPr>
              <w:spacing w:after="20"/>
              <w:jc w:val="right"/>
            </w:pPr>
            <w:r>
              <w:rPr>
                <w:color w:val="1C3A36"/>
                <w:sz w:val="16"/>
              </w:rPr>
              <w:t>18.9%</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83.5% of the cost base and is a globally traded input: it escalates on its own crude-linked realised-price path through the committee's formula, never on a domestic inflation series. Staff, utilities, repairs and marketing are 6.1%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bl>
    <w:p>
      <w:pPr>
        <w:spacing w:after="40"/>
      </w:pPr>
    </w:p>
    <w:p>
      <w:pPr>
        <w:spacing w:after="200" w:before="0"/>
      </w:pPr>
      <w:r>
        <w:rPr>
          <w:b w:val="0"/>
          <w:i/>
          <w:color w:val="6E7B77"/>
          <w:sz w:val="17"/>
        </w:rPr>
        <w:t>Table 14 — every external driver in the model, with the evidence behind it and the place it enters. 23 of the 55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-0.15% — a NEGATIVE number. Against the model's 1.5%, the market is not pricing a slower-growing fuel retailer. It is pricing one whose real volume base shrinks a little every year, forever.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-0.15%</w:t>
            </w:r>
          </w:p>
        </w:tc>
      </w:tr>
      <w:tr>
        <w:tc>
          <w:tcPr>
            <w:tcW w:type="dxa" w:w="4752"/>
          </w:tcPr>
          <w:p>
            <w:pPr>
              <w:spacing w:after="20"/>
            </w:pPr>
            <w:r>
              <w:rPr>
                <w:color w:val="1C3A36"/>
                <w:sz w:val="18"/>
              </w:rPr>
              <w:t>Terminal discount rate</w:t>
            </w:r>
          </w:p>
        </w:tc>
        <w:tc>
          <w:tcPr>
            <w:tcW w:type="dxa" w:w="2520"/>
          </w:tcPr>
          <w:p>
            <w:pPr>
              <w:spacing w:after="20"/>
              <w:jc w:val="right"/>
            </w:pPr>
            <w:r>
              <w:rPr>
                <w:color w:val="1C3A36"/>
                <w:sz w:val="18"/>
              </w:rPr>
              <w:t>7.18%</w:t>
            </w:r>
          </w:p>
        </w:tc>
        <w:tc>
          <w:tcPr>
            <w:tcW w:type="dxa" w:w="2664"/>
          </w:tcPr>
          <w:p>
            <w:pPr>
              <w:spacing w:after="20"/>
              <w:jc w:val="right"/>
            </w:pPr>
            <w:r>
              <w:rPr>
                <w:color w:val="1C3A36"/>
                <w:sz w:val="18"/>
              </w:rPr>
              <w:t>8.23%</w:t>
            </w:r>
          </w:p>
        </w:tc>
      </w:tr>
      <w:tr>
        <w:tc>
          <w:tcPr>
            <w:tcW w:type="dxa" w:w="4752"/>
          </w:tcPr>
          <w:p>
            <w:pPr>
              <w:spacing w:after="20"/>
            </w:pPr>
            <w:r>
              <w:rPr>
                <w:color w:val="1C3A36"/>
                <w:sz w:val="18"/>
              </w:rPr>
              <w:t>Beta</w:t>
            </w:r>
          </w:p>
        </w:tc>
        <w:tc>
          <w:tcPr>
            <w:tcW w:type="dxa" w:w="2520"/>
          </w:tcPr>
          <w:p>
            <w:pPr>
              <w:spacing w:after="20"/>
              <w:jc w:val="right"/>
            </w:pPr>
            <w:r>
              <w:rPr>
                <w:color w:val="1C3A36"/>
                <w:sz w:val="18"/>
              </w:rPr>
              <w:t>0.51</w:t>
            </w:r>
          </w:p>
        </w:tc>
        <w:tc>
          <w:tcPr>
            <w:tcW w:type="dxa" w:w="2664"/>
          </w:tcPr>
          <w:p>
            <w:pPr>
              <w:spacing w:after="20"/>
              <w:jc w:val="right"/>
            </w:pPr>
            <w:r>
              <w:rPr>
                <w:color w:val="1C3A36"/>
                <w:sz w:val="18"/>
              </w:rPr>
              <w:t>0.72</w:t>
            </w:r>
          </w:p>
        </w:tc>
      </w:tr>
      <w:t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4.79</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0.72 — close to the market average — is the right one has a complete and internally consistent case for the traded price without needing volumes to decline at all.</w:t>
      </w:r>
    </w:p>
    <w:p>
      <w:pPr>
        <w:spacing w:after="40"/>
        <w:jc w:val="center"/>
      </w:pPr>
      <w:r>
        <w:drawing>
          <wp:inline xmlns:a="http://schemas.openxmlformats.org/drawingml/2006/main" xmlns:pic="http://schemas.openxmlformats.org/drawingml/2006/picture">
            <wp:extent cx="6035040" cy="272888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28888"/>
                    </a:xfrm>
                    <a:prstGeom prst="rect"/>
                  </pic:spPr>
                </pic:pic>
              </a:graphicData>
            </a:graphic>
          </wp:inline>
        </w:drawing>
      </w:r>
    </w:p>
    <w:p>
      <w:pPr>
        <w:spacing w:after="200" w:before="0"/>
      </w:pPr>
      <w:r>
        <w:rPr>
          <w:b w:val="0"/>
          <w:i/>
          <w:color w:val="6E7B77"/>
          <w:sz w:val="17"/>
        </w:rPr>
        <w:t>Figure 5 — the crux. Value per share against terminal growth; the traded price crosses the curve below zero.</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implied growth rate means in observable units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FY2025 retail fuel volume</w:t>
            </w:r>
          </w:p>
        </w:tc>
        <w:tc>
          <w:tcPr>
            <w:tcW w:type="dxa" w:w="2448"/>
          </w:tcPr>
          <w:p>
            <w:pPr>
              <w:spacing w:after="20"/>
              <w:jc w:val="right"/>
            </w:pPr>
            <w:r>
              <w:rPr>
                <w:color w:val="1C3A36"/>
                <w:sz w:val="17"/>
              </w:rPr>
              <w:t>11,042m litres</w:t>
            </w:r>
          </w:p>
        </w:tc>
      </w:tr>
      <w:tr>
        <w:tc>
          <w:tcPr>
            <w:tcW w:type="dxa" w:w="6624"/>
          </w:tcPr>
          <w:p>
            <w:pPr>
              <w:spacing w:after="20"/>
            </w:pPr>
            <w:r>
              <w:rPr>
                <w:color w:val="1C3A36"/>
                <w:sz w:val="17"/>
              </w:rPr>
              <w:t>Implied perpetual rate of change in the volume base</w:t>
            </w:r>
          </w:p>
        </w:tc>
        <w:tc>
          <w:tcPr>
            <w:tcW w:type="dxa" w:w="2448"/>
          </w:tcPr>
          <w:p>
            <w:pPr>
              <w:spacing w:after="20"/>
              <w:jc w:val="right"/>
            </w:pPr>
            <w:r>
              <w:rPr>
                <w:color w:val="1C3A36"/>
                <w:sz w:val="17"/>
              </w:rPr>
              <w:t>-0.15%</w:t>
            </w:r>
          </w:p>
        </w:tc>
      </w:tr>
      <w:tr>
        <w:tc>
          <w:tcPr>
            <w:tcW w:type="dxa" w:w="6624"/>
          </w:tcPr>
          <w:p>
            <w:pPr>
              <w:spacing w:after="20"/>
            </w:pPr>
            <w:r>
              <w:rPr>
                <w:color w:val="1C3A36"/>
                <w:sz w:val="17"/>
              </w:rPr>
              <w:t>Litres of retail fuel lost in the first such year</w:t>
            </w:r>
          </w:p>
        </w:tc>
        <w:tc>
          <w:tcPr>
            <w:tcW w:type="dxa" w:w="2448"/>
          </w:tcPr>
          <w:p>
            <w:pPr>
              <w:spacing w:after="20"/>
              <w:jc w:val="right"/>
            </w:pPr>
            <w:r>
              <w:rPr>
                <w:color w:val="1C3A36"/>
                <w:sz w:val="17"/>
              </w:rPr>
              <w:t>16m litres</w:t>
            </w:r>
          </w:p>
        </w:tc>
      </w:tr>
      <w:tr>
        <w:tc>
          <w:tcPr>
            <w:tcW w:type="dxa" w:w="6624"/>
          </w:tcPr>
          <w:p>
            <w:pPr>
              <w:spacing w:after="20"/>
            </w:pPr>
            <w:r>
              <w:rPr>
                <w:color w:val="1C3A36"/>
                <w:sz w:val="17"/>
              </w:rPr>
              <w:t>Litres per fuel transaction, first half of 2026</w:t>
            </w:r>
          </w:p>
        </w:tc>
        <w:tc>
          <w:tcPr>
            <w:tcW w:type="dxa" w:w="2448"/>
          </w:tcPr>
          <w:p>
            <w:pPr>
              <w:spacing w:after="20"/>
              <w:jc w:val="right"/>
            </w:pPr>
            <w:r>
              <w:rPr>
                <w:color w:val="1C3A36"/>
                <w:sz w:val="17"/>
              </w:rPr>
              <w:t>53.3 litres</w:t>
            </w:r>
          </w:p>
        </w:tc>
      </w:tr>
      <w:tr>
        <w:tc>
          <w:tcPr>
            <w:tcW w:type="dxa" w:w="6624"/>
          </w:tcPr>
          <w:p>
            <w:pPr>
              <w:spacing w:after="20"/>
            </w:pPr>
            <w:r>
              <w:rPr>
                <w:color w:val="1C3A36"/>
                <w:sz w:val="17"/>
              </w:rPr>
              <w:t>Fuel transactions that disappear, per year</w:t>
            </w:r>
          </w:p>
        </w:tc>
        <w:tc>
          <w:tcPr>
            <w:tcW w:type="dxa" w:w="2448"/>
          </w:tcPr>
          <w:p>
            <w:pPr>
              <w:spacing w:after="20"/>
              <w:jc w:val="right"/>
            </w:pPr>
            <w:r>
              <w:rPr>
                <w:color w:val="1C3A36"/>
                <w:sz w:val="17"/>
              </w:rPr>
              <w:t>0.3m</w:t>
            </w:r>
          </w:p>
        </w:tc>
      </w:tr>
      <w:tr>
        <w:tc>
          <w:tcPr>
            <w:tcW w:type="dxa" w:w="6624"/>
          </w:tcPr>
          <w:p>
            <w:pPr>
              <w:spacing w:after="20"/>
            </w:pPr>
            <w:r>
              <w:rPr>
                <w:color w:val="1C3A36"/>
                <w:sz w:val="17"/>
              </w:rPr>
              <w:t xml:space="preserve">   against fuel transactions in the first half of 2026</w:t>
            </w:r>
          </w:p>
        </w:tc>
        <w:tc>
          <w:tcPr>
            <w:tcW w:type="dxa" w:w="2448"/>
          </w:tcPr>
          <w:p>
            <w:pPr>
              <w:spacing w:after="20"/>
              <w:jc w:val="right"/>
            </w:pPr>
            <w:r>
              <w:rPr>
                <w:color w:val="1C3A36"/>
                <w:sz w:val="17"/>
              </w:rPr>
              <w:t>100.9m</w:t>
            </w:r>
          </w:p>
        </w:tc>
      </w:tr>
      <w:tr>
        <w:tc>
          <w:tcPr>
            <w:tcW w:type="dxa" w:w="6624"/>
          </w:tcPr>
          <w:p>
            <w:pPr>
              <w:spacing w:after="20"/>
            </w:pPr>
            <w:r>
              <w:rPr>
                <w:color w:val="1C3A36"/>
                <w:sz w:val="17"/>
              </w:rPr>
              <w:t xml:space="preserve">   so, as a share of the half-year transaction base</w:t>
            </w:r>
          </w:p>
        </w:tc>
        <w:tc>
          <w:tcPr>
            <w:tcW w:type="dxa" w:w="2448"/>
          </w:tcPr>
          <w:p>
            <w:pPr>
              <w:spacing w:after="20"/>
              <w:jc w:val="right"/>
            </w:pPr>
            <w:r>
              <w:rPr>
                <w:color w:val="1C3A36"/>
                <w:sz w:val="17"/>
              </w:rPr>
              <w:t>0.30%</w:t>
            </w:r>
          </w:p>
        </w:tc>
      </w:tr>
      <w:tr>
        <w:tc>
          <w:tcPr>
            <w:tcW w:type="dxa" w:w="6624"/>
          </w:tcPr>
          <w:p>
            <w:pPr>
              <w:spacing w:after="20"/>
            </w:pPr>
            <w:r>
              <w:rPr>
                <w:color w:val="1C3A36"/>
                <w:sz w:val="17"/>
              </w:rPr>
              <w:t>UAE registered vehicles, mid-2025</w:t>
            </w:r>
          </w:p>
        </w:tc>
        <w:tc>
          <w:tcPr>
            <w:tcW w:type="dxa" w:w="2448"/>
          </w:tcPr>
          <w:p>
            <w:pPr>
              <w:spacing w:after="20"/>
              <w:jc w:val="right"/>
            </w:pPr>
            <w:r>
              <w:rPr>
                <w:color w:val="1C3A36"/>
                <w:sz w:val="17"/>
              </w:rPr>
              <w:t>4.6 million</w:t>
            </w:r>
          </w:p>
        </w:tc>
      </w:tr>
      <w:tr>
        <w:tc>
          <w:tcPr>
            <w:tcW w:type="dxa" w:w="6624"/>
          </w:tcPr>
          <w:p>
            <w:pPr>
              <w:spacing w:after="20"/>
            </w:pPr>
            <w:r>
              <w:rPr>
                <w:color w:val="1C3A36"/>
                <w:sz w:val="17"/>
              </w:rPr>
              <w:t xml:space="preserve">   growing at</w:t>
            </w:r>
          </w:p>
        </w:tc>
        <w:tc>
          <w:tcPr>
            <w:tcW w:type="dxa" w:w="2448"/>
          </w:tcPr>
          <w:p>
            <w:pPr>
              <w:spacing w:after="20"/>
              <w:jc w:val="right"/>
            </w:pPr>
            <w:r>
              <w:rPr>
                <w:color w:val="1C3A36"/>
                <w:sz w:val="17"/>
              </w:rPr>
              <w:t>million registered vehicles (UAE, June 2025); +9.35% y/y</w:t>
            </w:r>
          </w:p>
        </w:tc>
      </w:tr>
      <w:tr>
        <w:tc>
          <w:tcPr>
            <w:tcW w:type="dxa" w:w="6624"/>
          </w:tcPr>
          <w:p>
            <w:pPr>
              <w:spacing w:after="20"/>
            </w:pPr>
            <w:r>
              <w:rPr>
                <w:color w:val="1C3A36"/>
                <w:sz w:val="17"/>
              </w:rPr>
              <w:t>UAE policy target for electric vehicles on the road by 2030</w:t>
            </w:r>
          </w:p>
        </w:tc>
        <w:tc>
          <w:tcPr>
            <w:tcW w:type="dxa" w:w="2448"/>
          </w:tcPr>
          <w:p>
            <w:pPr>
              <w:spacing w:after="20"/>
              <w:jc w:val="right"/>
            </w:pPr>
            <w:r>
              <w:rPr>
                <w:color w:val="1C3A36"/>
                <w:sz w:val="17"/>
              </w:rPr>
              <w:t>10%</w:t>
            </w:r>
          </w:p>
        </w:tc>
      </w:tr>
      <w:tr>
        <w:tc>
          <w:tcPr>
            <w:tcW w:type="dxa" w:w="6624"/>
          </w:tcPr>
          <w:p>
            <w:pPr>
              <w:spacing w:after="20"/>
            </w:pPr>
            <w:r>
              <w:rPr>
                <w:color w:val="1C3A36"/>
                <w:sz w:val="17"/>
              </w:rPr>
              <w:t>Global electric share of new car sales, 2026 forecast</w:t>
            </w:r>
          </w:p>
        </w:tc>
        <w:tc>
          <w:tcPr>
            <w:tcW w:type="dxa" w:w="2448"/>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lose roughly 0.3 million fuel transactions a year,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4.79 to AED 4.56, which does NOT reach the traded price. Volume alone cannot explain the gap inside the explicit window — it has to be the terminal. Second, sensitivity to margin per litre: a 10% cut to the margin growth path across both fuel legs takes it to AED 4.26.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c>
          <w:tcPr>
            <w:tcW w:type="dxa" w:w="3744"/>
          </w:tcPr>
          <w:p>
            <w:pPr>
              <w:spacing w:after="20"/>
            </w:pPr>
            <w:r>
              <w:rPr>
                <w:color w:val="1C3A36"/>
                <w:sz w:val="17"/>
              </w:rPr>
              <w:t>-2.0%</w:t>
            </w:r>
          </w:p>
        </w:tc>
        <w:tc>
          <w:tcPr>
            <w:tcW w:type="dxa" w:w="3024"/>
          </w:tcPr>
          <w:p>
            <w:pPr>
              <w:spacing w:after="20"/>
              <w:jc w:val="right"/>
            </w:pPr>
            <w:r>
              <w:rPr>
                <w:color w:val="1C3A36"/>
                <w:sz w:val="17"/>
              </w:rPr>
              <w:t>3.56</w:t>
            </w:r>
          </w:p>
        </w:tc>
        <w:tc>
          <w:tcPr>
            <w:tcW w:type="dxa" w:w="2304"/>
          </w:tcPr>
          <w:p>
            <w:pPr>
              <w:spacing w:after="20"/>
              <w:jc w:val="right"/>
            </w:pPr>
            <w:r>
              <w:rPr>
                <w:color w:val="1C3A36"/>
                <w:sz w:val="17"/>
              </w:rPr>
              <w:t>-13%</w:t>
            </w:r>
          </w:p>
        </w:tc>
      </w:tr>
      <w:tr>
        <w:tc>
          <w:tcPr>
            <w:tcW w:type="dxa" w:w="3744"/>
          </w:tcPr>
          <w:p>
            <w:pPr>
              <w:spacing w:after="20"/>
            </w:pPr>
            <w:r>
              <w:rPr>
                <w:color w:val="1C3A36"/>
                <w:sz w:val="17"/>
              </w:rPr>
              <w:t>-1.0%</w:t>
            </w:r>
          </w:p>
        </w:tc>
        <w:tc>
          <w:tcPr>
            <w:tcW w:type="dxa" w:w="3024"/>
          </w:tcPr>
          <w:p>
            <w:pPr>
              <w:spacing w:after="20"/>
              <w:jc w:val="right"/>
            </w:pPr>
            <w:r>
              <w:rPr>
                <w:color w:val="1C3A36"/>
                <w:sz w:val="17"/>
              </w:rPr>
              <w:t>3.81</w:t>
            </w:r>
          </w:p>
        </w:tc>
        <w:tc>
          <w:tcPr>
            <w:tcW w:type="dxa" w:w="2304"/>
          </w:tcPr>
          <w:p>
            <w:pPr>
              <w:spacing w:after="20"/>
              <w:jc w:val="right"/>
            </w:pPr>
            <w:r>
              <w:rPr>
                <w:color w:val="1C3A36"/>
                <w:sz w:val="17"/>
              </w:rPr>
              <w:t>-6%</w:t>
            </w:r>
          </w:p>
        </w:tc>
      </w:tr>
      <w:tr>
        <w:tc>
          <w:tcPr>
            <w:tcW w:type="dxa" w:w="3744"/>
          </w:tcPr>
          <w:p>
            <w:pPr>
              <w:spacing w:after="20"/>
            </w:pPr>
            <w:r>
              <w:rPr>
                <w:color w:val="1C3A36"/>
                <w:sz w:val="17"/>
              </w:rPr>
              <w:t>0.0%</w:t>
            </w:r>
          </w:p>
        </w:tc>
        <w:tc>
          <w:tcPr>
            <w:tcW w:type="dxa" w:w="3024"/>
          </w:tcPr>
          <w:p>
            <w:pPr>
              <w:spacing w:after="20"/>
              <w:jc w:val="right"/>
            </w:pPr>
            <w:r>
              <w:rPr>
                <w:color w:val="1C3A36"/>
                <w:sz w:val="17"/>
              </w:rPr>
              <w:t>4.12</w:t>
            </w:r>
          </w:p>
        </w:tc>
        <w:tc>
          <w:tcPr>
            <w:tcW w:type="dxa" w:w="2304"/>
          </w:tcPr>
          <w:p>
            <w:pPr>
              <w:spacing w:after="20"/>
              <w:jc w:val="right"/>
            </w:pPr>
            <w:r>
              <w:rPr>
                <w:color w:val="1C3A36"/>
                <w:sz w:val="17"/>
              </w:rPr>
              <w:t>1%</w:t>
            </w:r>
          </w:p>
        </w:tc>
      </w:tr>
      <w:tr>
        <w:tc>
          <w:tcPr>
            <w:tcW w:type="dxa" w:w="3744"/>
          </w:tcPr>
          <w:p>
            <w:pPr>
              <w:spacing w:after="20"/>
            </w:pPr>
            <w:r>
              <w:rPr>
                <w:color w:val="1C3A36"/>
                <w:sz w:val="17"/>
              </w:rPr>
              <w:t>1.0%</w:t>
            </w:r>
          </w:p>
        </w:tc>
        <w:tc>
          <w:tcPr>
            <w:tcW w:type="dxa" w:w="3024"/>
          </w:tcPr>
          <w:p>
            <w:pPr>
              <w:spacing w:after="20"/>
              <w:jc w:val="right"/>
            </w:pPr>
            <w:r>
              <w:rPr>
                <w:color w:val="1C3A36"/>
                <w:sz w:val="17"/>
              </w:rPr>
              <w:t>4.53</w:t>
            </w:r>
          </w:p>
        </w:tc>
        <w:tc>
          <w:tcPr>
            <w:tcW w:type="dxa" w:w="2304"/>
          </w:tcPr>
          <w:p>
            <w:pPr>
              <w:spacing w:after="20"/>
              <w:jc w:val="right"/>
            </w:pPr>
            <w:r>
              <w:rPr>
                <w:color w:val="1C3A36"/>
                <w:sz w:val="17"/>
              </w:rPr>
              <w:t>11%</w:t>
            </w:r>
          </w:p>
        </w:tc>
      </w:tr>
      <w:tr>
        <w:tc>
          <w:tcPr>
            <w:tcW w:type="dxa" w:w="3744"/>
          </w:tcPr>
          <w:p>
            <w:pPr>
              <w:spacing w:after="20"/>
            </w:pPr>
            <w:r>
              <w:rPr>
                <w:color w:val="1C3A36"/>
                <w:sz w:val="17"/>
              </w:rPr>
              <w:t>1.5%</w:t>
            </w:r>
          </w:p>
        </w:tc>
        <w:tc>
          <w:tcPr>
            <w:tcW w:type="dxa" w:w="3024"/>
          </w:tcPr>
          <w:p>
            <w:pPr>
              <w:spacing w:after="20"/>
              <w:jc w:val="right"/>
            </w:pPr>
            <w:r>
              <w:rPr>
                <w:color w:val="1C3A36"/>
                <w:sz w:val="17"/>
              </w:rPr>
              <w:t>4.79</w:t>
            </w:r>
          </w:p>
        </w:tc>
        <w:tc>
          <w:tcPr>
            <w:tcW w:type="dxa" w:w="2304"/>
          </w:tcPr>
          <w:p>
            <w:pPr>
              <w:spacing w:after="20"/>
              <w:jc w:val="right"/>
            </w:pPr>
            <w:r>
              <w:rPr>
                <w:color w:val="1C3A36"/>
                <w:sz w:val="17"/>
              </w:rPr>
              <w:t>18%</w:t>
            </w:r>
          </w:p>
        </w:tc>
      </w:tr>
    </w:tbl>
    <w:p>
      <w:pPr>
        <w:spacing w:after="40"/>
      </w:pPr>
    </w:p>
    <w:p>
      <w:pPr>
        <w:spacing w:after="200" w:before="0"/>
      </w:pPr>
      <w:r>
        <w:rPr>
          <w:b w:val="0"/>
          <w:i/>
          <w:color w:val="6E7B77"/>
          <w:sz w:val="17"/>
        </w:rPr>
        <w:t>Table 17 — the whole curve, published rather than its comfortable half. The traded price of AED 4.07 sits between the -1.0% and 0.0%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0.32 a share. Carrying the first-half 2026 rate of AED 762 million in perpetuity — which nobody should believe, and which is shown only to bound the question — is worth AED 0.83 a share. Setting them to zero in every year including FY2026 gives AED 4.74,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c>
          <w:tcPr>
            <w:tcW w:type="dxa" w:w="4320"/>
          </w:tcPr>
          <w:p>
            <w:pPr>
              <w:spacing w:after="20"/>
            </w:pPr>
            <w:r>
              <w:rPr>
                <w:color w:val="1C3A36"/>
                <w:sz w:val="17"/>
              </w:rPr>
              <w:t>0</w:t>
            </w:r>
          </w:p>
        </w:tc>
        <w:tc>
          <w:tcPr>
            <w:tcW w:type="dxa" w:w="2880"/>
          </w:tcPr>
          <w:p>
            <w:pPr>
              <w:spacing w:after="20"/>
              <w:jc w:val="right"/>
            </w:pPr>
            <w:r>
              <w:rPr>
                <w:color w:val="1C3A36"/>
                <w:sz w:val="17"/>
              </w:rPr>
              <w:t>4.79</w:t>
            </w:r>
          </w:p>
        </w:tc>
        <w:tc>
          <w:tcPr>
            <w:tcW w:type="dxa" w:w="2016"/>
          </w:tcPr>
          <w:p>
            <w:pPr>
              <w:spacing w:after="20"/>
              <w:jc w:val="right"/>
            </w:pPr>
            <w:r>
              <w:rPr>
                <w:color w:val="1C3A36"/>
                <w:sz w:val="17"/>
              </w:rPr>
              <w:t>18%</w:t>
            </w:r>
          </w:p>
        </w:tc>
      </w:tr>
      <w:tr>
        <w:tc>
          <w:tcPr>
            <w:tcW w:type="dxa" w:w="4320"/>
          </w:tcPr>
          <w:p>
            <w:pPr>
              <w:spacing w:after="20"/>
            </w:pPr>
            <w:r>
              <w:rPr>
                <w:color w:val="1C3A36"/>
                <w:sz w:val="17"/>
              </w:rPr>
              <w:t>150</w:t>
            </w:r>
          </w:p>
        </w:tc>
        <w:tc>
          <w:tcPr>
            <w:tcW w:type="dxa" w:w="2880"/>
          </w:tcPr>
          <w:p>
            <w:pPr>
              <w:spacing w:after="20"/>
              <w:jc w:val="right"/>
            </w:pPr>
            <w:r>
              <w:rPr>
                <w:color w:val="1C3A36"/>
                <w:sz w:val="17"/>
              </w:rPr>
              <w:t>4.96</w:t>
            </w:r>
          </w:p>
        </w:tc>
        <w:tc>
          <w:tcPr>
            <w:tcW w:type="dxa" w:w="2016"/>
          </w:tcPr>
          <w:p>
            <w:pPr>
              <w:spacing w:after="20"/>
              <w:jc w:val="right"/>
            </w:pPr>
            <w:r>
              <w:rPr>
                <w:color w:val="1C3A36"/>
                <w:sz w:val="17"/>
              </w:rPr>
              <w:t>22%</w:t>
            </w:r>
          </w:p>
        </w:tc>
      </w:tr>
      <w:tr>
        <w:tc>
          <w:tcPr>
            <w:tcW w:type="dxa" w:w="4320"/>
          </w:tcPr>
          <w:p>
            <w:pPr>
              <w:spacing w:after="20"/>
            </w:pPr>
            <w:r>
              <w:rPr>
                <w:color w:val="1C3A36"/>
                <w:sz w:val="17"/>
              </w:rPr>
              <w:t>295</w:t>
            </w:r>
          </w:p>
        </w:tc>
        <w:tc>
          <w:tcPr>
            <w:tcW w:type="dxa" w:w="2880"/>
          </w:tcPr>
          <w:p>
            <w:pPr>
              <w:spacing w:after="20"/>
              <w:jc w:val="right"/>
            </w:pPr>
            <w:r>
              <w:rPr>
                <w:color w:val="1C3A36"/>
                <w:sz w:val="17"/>
              </w:rPr>
              <w:t>5.12</w:t>
            </w:r>
          </w:p>
        </w:tc>
        <w:tc>
          <w:tcPr>
            <w:tcW w:type="dxa" w:w="2016"/>
          </w:tcPr>
          <w:p>
            <w:pPr>
              <w:spacing w:after="20"/>
              <w:jc w:val="right"/>
            </w:pPr>
            <w:r>
              <w:rPr>
                <w:color w:val="1C3A36"/>
                <w:sz w:val="17"/>
              </w:rPr>
              <w:t>26%</w:t>
            </w:r>
          </w:p>
        </w:tc>
      </w:tr>
      <w:tr>
        <w:tc>
          <w:tcPr>
            <w:tcW w:type="dxa" w:w="4320"/>
          </w:tcPr>
          <w:p>
            <w:pPr>
              <w:spacing w:after="20"/>
            </w:pPr>
            <w:r>
              <w:rPr>
                <w:color w:val="1C3A36"/>
                <w:sz w:val="17"/>
              </w:rPr>
              <w:t>500</w:t>
            </w:r>
          </w:p>
        </w:tc>
        <w:tc>
          <w:tcPr>
            <w:tcW w:type="dxa" w:w="2880"/>
          </w:tcPr>
          <w:p>
            <w:pPr>
              <w:spacing w:after="20"/>
              <w:jc w:val="right"/>
            </w:pPr>
            <w:r>
              <w:rPr>
                <w:color w:val="1C3A36"/>
                <w:sz w:val="17"/>
              </w:rPr>
              <w:t>5.34</w:t>
            </w:r>
          </w:p>
        </w:tc>
        <w:tc>
          <w:tcPr>
            <w:tcW w:type="dxa" w:w="2016"/>
          </w:tcPr>
          <w:p>
            <w:pPr>
              <w:spacing w:after="20"/>
              <w:jc w:val="right"/>
            </w:pPr>
            <w:r>
              <w:rPr>
                <w:color w:val="1C3A36"/>
                <w:sz w:val="17"/>
              </w:rPr>
              <w:t>31%</w:t>
            </w:r>
          </w:p>
        </w:tc>
      </w:tr>
      <w:tr>
        <w:tc>
          <w:tcPr>
            <w:tcW w:type="dxa" w:w="4320"/>
          </w:tcPr>
          <w:p>
            <w:pPr>
              <w:spacing w:after="20"/>
            </w:pPr>
            <w:r>
              <w:rPr>
                <w:color w:val="1C3A36"/>
                <w:sz w:val="17"/>
              </w:rPr>
              <w:t>762</w:t>
            </w:r>
          </w:p>
        </w:tc>
        <w:tc>
          <w:tcPr>
            <w:tcW w:type="dxa" w:w="2880"/>
          </w:tcPr>
          <w:p>
            <w:pPr>
              <w:spacing w:after="20"/>
              <w:jc w:val="right"/>
            </w:pPr>
            <w:r>
              <w:rPr>
                <w:color w:val="1C3A36"/>
                <w:sz w:val="17"/>
              </w:rPr>
              <w:t>5.63</w:t>
            </w:r>
          </w:p>
        </w:tc>
        <w:tc>
          <w:tcPr>
            <w:tcW w:type="dxa" w:w="2016"/>
          </w:tcPr>
          <w:p>
            <w:pPr>
              <w:spacing w:after="20"/>
              <w:jc w:val="right"/>
            </w:pPr>
            <w:r>
              <w:rPr>
                <w:color w:val="1C3A36"/>
                <w:sz w:val="17"/>
              </w:rPr>
              <w:t>38%</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0.42% to 4.06%,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(0.42%)</w:t>
            </w:r>
          </w:p>
        </w:tc>
        <w:tc>
          <w:tcPr>
            <w:tcW w:type="dxa" w:w="4320"/>
          </w:tcPr>
          <w:p>
            <w:pPr>
              <w:spacing w:after="20"/>
              <w:jc w:val="right"/>
            </w:pPr>
            <w:r>
              <w:rPr>
                <w:color w:val="1C3A36"/>
                <w:sz w:val="16"/>
              </w:rPr>
              <w:t>UAE row, rated Aa2 / stable</w:t>
            </w:r>
          </w:p>
        </w:tc>
      </w:tr>
      <w:t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4.06%</w:t>
            </w:r>
          </w:p>
        </w:tc>
        <w:tc>
          <w:tcPr>
            <w:tcW w:type="dxa" w:w="4320"/>
            <w:shd w:val="clear" w:color="auto" w:fill="F6F1E6"/>
          </w:tcPr>
          <w:p>
            <w:pPr>
              <w:spacing w:after="20"/>
              <w:jc w:val="right"/>
            </w:pPr>
            <w:r>
              <w:rPr>
                <w:b/>
                <w:color w:val="1C3A36"/>
                <w:sz w:val="16"/>
              </w:rPr>
              <w:t>country risk removed here so it can enter once, inside the premium below</w:t>
            </w:r>
          </w:p>
        </w:tc>
      </w:tr>
      <w:t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c>
          <w:tcPr>
            <w:tcW w:type="dxa" w:w="4104"/>
          </w:tcPr>
          <w:p>
            <w:pPr>
              <w:spacing w:after="20"/>
            </w:pPr>
            <w:r>
              <w:rPr>
                <w:color w:val="1C3A36"/>
                <w:sz w:val="16"/>
              </w:rPr>
              <w:t>Beta</w:t>
            </w:r>
          </w:p>
        </w:tc>
        <w:tc>
          <w:tcPr>
            <w:tcW w:type="dxa" w:w="1368"/>
          </w:tcPr>
          <w:p>
            <w:pPr>
              <w:spacing w:after="20"/>
              <w:jc w:val="right"/>
            </w:pPr>
            <w:r>
              <w:rPr>
                <w:color w:val="1C3A36"/>
                <w:sz w:val="16"/>
              </w:rPr>
              <w:t>0.51</w:t>
            </w:r>
          </w:p>
        </w:tc>
        <w:tc>
          <w:tcPr>
            <w:tcW w:type="dxa" w:w="4320"/>
          </w:tcPr>
          <w:p>
            <w:pPr>
              <w:spacing w:after="20"/>
              <w:jc w:val="right"/>
            </w:pPr>
            <w:r>
              <w:rPr>
                <w:color w:val="1C3A36"/>
                <w:sz w:val="16"/>
              </w:rPr>
              <w:t>5-year weekly (W-FRI) regression of this share against its own local index</w:t>
            </w:r>
          </w:p>
        </w:tc>
      </w:tr>
      <w:t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6.54%</w:t>
            </w:r>
          </w:p>
        </w:tc>
        <w:tc>
          <w:tcPr>
            <w:tcW w:type="dxa" w:w="4320"/>
            <w:shd w:val="clear" w:color="auto" w:fill="F6F1E6"/>
          </w:tcPr>
          <w:p>
            <w:pPr>
              <w:spacing w:after="20"/>
              <w:jc w:val="right"/>
            </w:pPr>
            <w:r>
              <w:rPr>
                <w:b/>
                <w:color w:val="1C3A36"/>
                <w:sz w:val="16"/>
              </w:rPr>
              <w:t>4.06% + 0.51 x 4.87%</w:t>
            </w:r>
          </w:p>
        </w:tc>
      </w:tr>
      <w:t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6.43%</w:t>
            </w:r>
          </w:p>
        </w:tc>
        <w:tc>
          <w:tcPr>
            <w:tcW w:type="dxa" w:w="4320"/>
            <w:shd w:val="clear" w:color="auto" w:fill="F6F1E6"/>
          </w:tcPr>
          <w:p>
            <w:pPr>
              <w:spacing w:after="20"/>
              <w:jc w:val="right"/>
            </w:pPr>
            <w:r>
              <w:rPr>
                <w:b/>
                <w:color w:val="1C3A36"/>
                <w:sz w:val="16"/>
              </w:rPr>
            </w:r>
          </w:p>
        </w:tc>
      </w:tr>
      <w:tr>
        <w:tc>
          <w:tcPr>
            <w:tcW w:type="dxa" w:w="4104"/>
          </w:tcPr>
          <w:p>
            <w:pPr>
              <w:spacing w:after="20"/>
            </w:pPr>
            <w:r>
              <w:rPr>
                <w:color w:val="1C3A36"/>
                <w:sz w:val="16"/>
              </w:rPr>
              <w:t>Terminal beta</w:t>
            </w:r>
          </w:p>
        </w:tc>
        <w:tc>
          <w:tcPr>
            <w:tcW w:type="dxa" w:w="1368"/>
          </w:tcPr>
          <w:p>
            <w:pPr>
              <w:spacing w:after="20"/>
              <w:jc w:val="right"/>
            </w:pPr>
            <w:r>
              <w:rPr>
                <w:color w:val="1C3A36"/>
                <w:sz w:val="16"/>
              </w:rPr>
              <w:t>0.70</w:t>
            </w:r>
          </w:p>
        </w:tc>
        <w:tc>
          <w:tcPr>
            <w:tcW w:type="dxa" w:w="4320"/>
          </w:tcPr>
          <w:p>
            <w:pPr>
              <w:spacing w:after="20"/>
              <w:jc w:val="right"/>
            </w:pPr>
            <w:r>
              <w:rPr>
                <w:color w:val="1C3A36"/>
                <w:sz w:val="16"/>
              </w:rPr>
              <w:t>glided toward the market as the regulated-margin advantage is assumed to erode</w:t>
            </w:r>
          </w:p>
        </w:tc>
      </w:tr>
      <w:tr>
        <w:tc>
          <w:tcPr>
            <w:tcW w:type="dxa" w:w="4104"/>
          </w:tcPr>
          <w:p>
            <w:pPr>
              <w:spacing w:after="20"/>
            </w:pPr>
            <w:r>
              <w:rPr>
                <w:color w:val="1C3A36"/>
                <w:sz w:val="16"/>
              </w:rPr>
              <w:t>Terminal weight of debt</w:t>
            </w:r>
          </w:p>
        </w:tc>
        <w:tc>
          <w:tcPr>
            <w:tcW w:type="dxa" w:w="1368"/>
          </w:tcPr>
          <w:p>
            <w:pPr>
              <w:spacing w:after="20"/>
              <w:jc w:val="right"/>
            </w:pPr>
            <w:r>
              <w:rPr>
                <w:color w:val="1C3A36"/>
                <w:sz w:val="16"/>
              </w:rPr>
              <w:t>10%</w:t>
            </w:r>
          </w:p>
        </w:tc>
        <w:tc>
          <w:tcPr>
            <w:tcW w:type="dxa" w:w="4320"/>
          </w:tcPr>
          <w:p>
            <w:pPr>
              <w:spacing w:after="20"/>
              <w:jc w:val="right"/>
            </w:pPr>
            <w:r>
              <w:rPr>
                <w:color w:val="1C3A36"/>
                <w:sz w:val="16"/>
              </w:rPr>
              <w:t>a normalised structure rather than today's near-ungeared one</w:t>
            </w:r>
          </w:p>
        </w:tc>
      </w:tr>
      <w:t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7.18%</w:t>
            </w:r>
          </w:p>
        </w:tc>
        <w:tc>
          <w:tcPr>
            <w:tcW w:type="dxa" w:w="4320"/>
            <w:shd w:val="clear" w:color="auto" w:fill="F6F1E6"/>
          </w:tcPr>
          <w:p>
            <w:pPr>
              <w:spacing w:after="20"/>
              <w:jc w:val="right"/>
            </w:pPr>
            <w:r>
              <w:rPr>
                <w:b/>
                <w:color w:val="1C3A36"/>
                <w:sz w:val="16"/>
              </w:rPr>
              <w:t>the rate that discounts 76.1% of the value</w:t>
            </w:r>
          </w:p>
        </w:tc>
      </w:tr>
    </w:tbl>
    <w:p>
      <w:pPr>
        <w:spacing w:after="40"/>
      </w:pPr>
    </w:p>
    <w:p>
      <w:pPr>
        <w:spacing w:after="200" w:before="0"/>
      </w:pPr>
      <w:r>
        <w:rPr>
          <w:b w:val="0"/>
          <w:i/>
          <w:color w:val="6E7B77"/>
          <w:sz w:val="17"/>
        </w:rPr>
        <w:t>Table 19 — the cost of capital. The discount rate is not held at 6.43%: it glides linearly to 7.18% across the five explicit years, because today's reading rests on a beta of 0.51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ADX composite (ex-subject), it is 0.51 with a standard error of 0.06 and an r-squared of 19.4% over 257 observations — a 90% interval of 0.40 to 0.62. The regression EXCLUDES the subject from the index, because a large constituent regressed against an index containing itself is mechanically pulled toward one. Including it gives 0.63; regressing against the broader all-UAE composite gives 0.51. All three are published. A beta of 0.51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0.28 a share, or 5.8% of the Frame A value. At 15% the reading falls from AED 4.79 to AED 4.51. This is the single largest identifiable downside construction in the study and it is published as a line, not a footnote</w:t>
            </w:r>
          </w:p>
        </w:tc>
      </w:tr>
      <w:t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0.70 — arithmetically the same effect as a premium about forty per cent higher — gives AED 4.13</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c>
          <w:tcPr>
            <w:tcW w:type="dxa" w:w="3168"/>
          </w:tcPr>
          <w:p>
            <w:pPr>
              <w:spacing w:after="20"/>
            </w:pPr>
            <w:r>
              <w:rPr>
                <w:color w:val="1C3A36"/>
                <w:sz w:val="17"/>
              </w:rPr>
              <w:t>Beta</w:t>
            </w:r>
          </w:p>
        </w:tc>
        <w:tc>
          <w:tcPr>
            <w:tcW w:type="dxa" w:w="1944"/>
          </w:tcPr>
          <w:p>
            <w:pPr>
              <w:spacing w:after="20"/>
              <w:jc w:val="right"/>
            </w:pPr>
            <w:r>
              <w:rPr>
                <w:color w:val="1C3A36"/>
                <w:sz w:val="17"/>
              </w:rPr>
              <w:t>0.35 → 5.52</w:t>
            </w:r>
          </w:p>
        </w:tc>
        <w:tc>
          <w:tcPr>
            <w:tcW w:type="dxa" w:w="1224"/>
          </w:tcPr>
          <w:p>
            <w:pPr>
              <w:spacing w:after="20"/>
              <w:jc w:val="right"/>
            </w:pPr>
            <w:r>
              <w:rPr>
                <w:color w:val="1C3A36"/>
                <w:sz w:val="17"/>
              </w:rPr>
              <w:t>0.51</w:t>
            </w:r>
          </w:p>
        </w:tc>
        <w:tc>
          <w:tcPr>
            <w:tcW w:type="dxa" w:w="1944"/>
          </w:tcPr>
          <w:p>
            <w:pPr>
              <w:spacing w:after="20"/>
              <w:jc w:val="right"/>
            </w:pPr>
            <w:r>
              <w:rPr>
                <w:color w:val="1C3A36"/>
                <w:sz w:val="17"/>
              </w:rPr>
              <w:t>1.00 → 3.37</w:t>
            </w:r>
          </w:p>
        </w:tc>
        <w:tc>
          <w:tcPr>
            <w:tcW w:type="dxa" w:w="1800"/>
          </w:tcPr>
          <w:p>
            <w:pPr>
              <w:spacing w:after="20"/>
              <w:jc w:val="right"/>
            </w:pPr>
            <w:r>
              <w:rPr>
                <w:color w:val="1C3A36"/>
                <w:sz w:val="17"/>
              </w:rPr>
              <w:t>2.15</w:t>
            </w:r>
          </w:p>
        </w:tc>
      </w:tr>
      <w:tr>
        <w:tc>
          <w:tcPr>
            <w:tcW w:type="dxa" w:w="3168"/>
          </w:tcPr>
          <w:p>
            <w:pPr>
              <w:spacing w:after="20"/>
            </w:pPr>
            <w:r>
              <w:rPr>
                <w:color w:val="1C3A36"/>
                <w:sz w:val="17"/>
              </w:rPr>
              <w:t>Terminal cost of capital</w:t>
            </w:r>
          </w:p>
        </w:tc>
        <w:tc>
          <w:tcPr>
            <w:tcW w:type="dxa" w:w="1944"/>
          </w:tcPr>
          <w:p>
            <w:pPr>
              <w:spacing w:after="20"/>
              <w:jc w:val="right"/>
            </w:pPr>
            <w:r>
              <w:rPr>
                <w:color w:val="1C3A36"/>
                <w:sz w:val="17"/>
              </w:rPr>
              <w:t>6.18% → 5.78</w:t>
            </w:r>
          </w:p>
        </w:tc>
        <w:tc>
          <w:tcPr>
            <w:tcW w:type="dxa" w:w="1224"/>
          </w:tcPr>
          <w:p>
            <w:pPr>
              <w:spacing w:after="20"/>
              <w:jc w:val="right"/>
            </w:pPr>
            <w:r>
              <w:rPr>
                <w:color w:val="1C3A36"/>
                <w:sz w:val="17"/>
              </w:rPr>
              <w:t>7.18%</w:t>
            </w:r>
          </w:p>
        </w:tc>
        <w:tc>
          <w:tcPr>
            <w:tcW w:type="dxa" w:w="1944"/>
          </w:tcPr>
          <w:p>
            <w:pPr>
              <w:spacing w:after="20"/>
              <w:jc w:val="right"/>
            </w:pPr>
            <w:r>
              <w:rPr>
                <w:color w:val="1C3A36"/>
                <w:sz w:val="17"/>
              </w:rPr>
              <w:t>8.18% → 4.10</w:t>
            </w:r>
          </w:p>
        </w:tc>
        <w:tc>
          <w:tcPr>
            <w:tcW w:type="dxa" w:w="1800"/>
          </w:tcPr>
          <w:p>
            <w:pPr>
              <w:spacing w:after="20"/>
              <w:jc w:val="right"/>
            </w:pPr>
            <w:r>
              <w:rPr>
                <w:color w:val="1C3A36"/>
                <w:sz w:val="17"/>
              </w:rPr>
              <w:t>1.69</w:t>
            </w:r>
          </w:p>
        </w:tc>
      </w:tr>
      <w:tr>
        <w:tc>
          <w:tcPr>
            <w:tcW w:type="dxa" w:w="3168"/>
          </w:tcPr>
          <w:p>
            <w:pPr>
              <w:spacing w:after="20"/>
            </w:pPr>
            <w:r>
              <w:rPr>
                <w:color w:val="1C3A36"/>
                <w:sz w:val="17"/>
              </w:rPr>
              <w:t>Terminal growth rate</w:t>
            </w:r>
          </w:p>
        </w:tc>
        <w:tc>
          <w:tcPr>
            <w:tcW w:type="dxa" w:w="1944"/>
          </w:tcPr>
          <w:p>
            <w:pPr>
              <w:spacing w:after="20"/>
              <w:jc w:val="right"/>
            </w:pPr>
            <w:r>
              <w:rPr>
                <w:color w:val="1C3A36"/>
                <w:sz w:val="17"/>
              </w:rPr>
              <w:t>0.5% → 4.31</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5.47</w:t>
            </w:r>
          </w:p>
        </w:tc>
        <w:tc>
          <w:tcPr>
            <w:tcW w:type="dxa" w:w="1800"/>
          </w:tcPr>
          <w:p>
            <w:pPr>
              <w:spacing w:after="20"/>
              <w:jc w:val="right"/>
            </w:pPr>
            <w:r>
              <w:rPr>
                <w:color w:val="1C3A36"/>
                <w:sz w:val="17"/>
              </w:rPr>
              <w:t>1.16</w:t>
            </w:r>
          </w:p>
        </w:tc>
      </w:tr>
      <w:t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4.26</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5.32</w:t>
            </w:r>
          </w:p>
        </w:tc>
        <w:tc>
          <w:tcPr>
            <w:tcW w:type="dxa" w:w="1800"/>
          </w:tcPr>
          <w:p>
            <w:pPr>
              <w:spacing w:after="20"/>
              <w:jc w:val="right"/>
            </w:pPr>
            <w:r>
              <w:rPr>
                <w:color w:val="1C3A36"/>
                <w:sz w:val="17"/>
              </w:rPr>
              <w:t>1.06</w:t>
            </w:r>
          </w:p>
        </w:tc>
      </w:tr>
      <w:t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4.79</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5.45</w:t>
            </w:r>
          </w:p>
        </w:tc>
        <w:tc>
          <w:tcPr>
            <w:tcW w:type="dxa" w:w="1800"/>
          </w:tcPr>
          <w:p>
            <w:pPr>
              <w:spacing w:after="20"/>
              <w:jc w:val="right"/>
            </w:pPr>
            <w:r>
              <w:rPr>
                <w:color w:val="1C3A36"/>
                <w:sz w:val="17"/>
              </w:rPr>
              <w:t>0.66</w:t>
            </w:r>
          </w:p>
        </w:tc>
      </w:tr>
      <w:tr>
        <w:tc>
          <w:tcPr>
            <w:tcW w:type="dxa" w:w="3168"/>
          </w:tcPr>
          <w:p>
            <w:pPr>
              <w:spacing w:after="20"/>
            </w:pPr>
            <w:r>
              <w:rPr>
                <w:color w:val="1C3A36"/>
                <w:sz w:val="17"/>
              </w:rPr>
              <w:t>Effective tax rate</w:t>
            </w:r>
          </w:p>
        </w:tc>
        <w:tc>
          <w:tcPr>
            <w:tcW w:type="dxa" w:w="1944"/>
          </w:tcPr>
          <w:p>
            <w:pPr>
              <w:spacing w:after="20"/>
              <w:jc w:val="right"/>
            </w:pPr>
            <w:r>
              <w:rPr>
                <w:color w:val="1C3A36"/>
                <w:sz w:val="17"/>
              </w:rPr>
              <w:t>9.00% → 4.86</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4.34</w:t>
            </w:r>
          </w:p>
        </w:tc>
        <w:tc>
          <w:tcPr>
            <w:tcW w:type="dxa" w:w="1800"/>
          </w:tcPr>
          <w:p>
            <w:pPr>
              <w:spacing w:after="20"/>
              <w:jc w:val="right"/>
            </w:pPr>
            <w:r>
              <w:rPr>
                <w:color w:val="1C3A36"/>
                <w:sz w:val="17"/>
              </w:rPr>
              <w:t>0.52</w:t>
            </w:r>
          </w:p>
        </w:tc>
      </w:tr>
      <w:tr>
        <w:tc>
          <w:tcPr>
            <w:tcW w:type="dxa" w:w="3168"/>
          </w:tcPr>
          <w:p>
            <w:pPr>
              <w:spacing w:after="20"/>
            </w:pPr>
            <w:r>
              <w:rPr>
                <w:color w:val="1C3A36"/>
                <w:sz w:val="17"/>
              </w:rPr>
              <w:t>Volume growth path</w:t>
            </w:r>
          </w:p>
        </w:tc>
        <w:tc>
          <w:tcPr>
            <w:tcW w:type="dxa" w:w="1944"/>
          </w:tcPr>
          <w:p>
            <w:pPr>
              <w:spacing w:after="20"/>
              <w:jc w:val="right"/>
            </w:pPr>
            <w:r>
              <w:rPr>
                <w:color w:val="1C3A36"/>
                <w:sz w:val="17"/>
              </w:rPr>
              <w:t>-1.0% → 4.56</w:t>
            </w:r>
          </w:p>
        </w:tc>
        <w:tc>
          <w:tcPr>
            <w:tcW w:type="dxa" w:w="1224"/>
          </w:tcPr>
          <w:p>
            <w:pPr>
              <w:spacing w:after="20"/>
              <w:jc w:val="right"/>
            </w:pPr>
            <w:r>
              <w:rPr>
                <w:color w:val="1C3A36"/>
                <w:sz w:val="17"/>
              </w:rPr>
              <w:t>0.0%</w:t>
            </w:r>
          </w:p>
        </w:tc>
        <w:tc>
          <w:tcPr>
            <w:tcW w:type="dxa" w:w="1944"/>
          </w:tcPr>
          <w:p>
            <w:pPr>
              <w:spacing w:after="20"/>
              <w:jc w:val="right"/>
            </w:pPr>
            <w:r>
              <w:rPr>
                <w:color w:val="1C3A36"/>
                <w:sz w:val="17"/>
              </w:rPr>
              <w:t>1.0% → 5.03</w:t>
            </w:r>
          </w:p>
        </w:tc>
        <w:tc>
          <w:tcPr>
            <w:tcW w:type="dxa" w:w="1800"/>
          </w:tcPr>
          <w:p>
            <w:pPr>
              <w:spacing w:after="20"/>
              <w:jc w:val="right"/>
            </w:pPr>
            <w:r>
              <w:rPr>
                <w:color w:val="1C3A36"/>
                <w:sz w:val="17"/>
              </w:rPr>
              <w:t>0.47</w:t>
            </w:r>
          </w:p>
        </w:tc>
      </w:tr>
      <w:tr>
        <w:tc>
          <w:tcPr>
            <w:tcW w:type="dxa" w:w="3168"/>
          </w:tcPr>
          <w:p>
            <w:pPr>
              <w:spacing w:after="20"/>
            </w:pPr>
            <w:r>
              <w:rPr>
                <w:color w:val="1C3A36"/>
                <w:sz w:val="17"/>
              </w:rPr>
              <w:t>Capital expenditure</w:t>
            </w:r>
          </w:p>
        </w:tc>
        <w:tc>
          <w:tcPr>
            <w:tcW w:type="dxa" w:w="1944"/>
          </w:tcPr>
          <w:p>
            <w:pPr>
              <w:spacing w:after="20"/>
              <w:jc w:val="right"/>
            </w:pPr>
            <w:r>
              <w:rPr>
                <w:color w:val="1C3A36"/>
                <w:sz w:val="17"/>
              </w:rPr>
              <w:t>-20% → 4.87</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4.72</w:t>
            </w:r>
          </w:p>
        </w:tc>
        <w:tc>
          <w:tcPr>
            <w:tcW w:type="dxa" w:w="1800"/>
          </w:tcPr>
          <w:p>
            <w:pPr>
              <w:spacing w:after="20"/>
              <w:jc w:val="right"/>
            </w:pPr>
            <w:r>
              <w:rPr>
                <w:color w:val="1C3A36"/>
                <w:sz w:val="17"/>
              </w:rPr>
              <w:t>0.14</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76.1%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c>
          <w:tcPr>
            <w:tcW w:type="dxa" w:w="2592"/>
          </w:tcPr>
          <w:p>
            <w:pPr>
              <w:spacing w:after="20"/>
            </w:pPr>
            <w:r>
              <w:rPr>
                <w:color w:val="1C3A36"/>
                <w:sz w:val="17"/>
              </w:rPr>
              <w:t>6.18%</w:t>
            </w:r>
          </w:p>
        </w:tc>
        <w:tc>
          <w:tcPr>
            <w:tcW w:type="dxa" w:w="1469"/>
          </w:tcPr>
          <w:p>
            <w:pPr>
              <w:spacing w:after="20"/>
              <w:jc w:val="right"/>
            </w:pPr>
            <w:r>
              <w:rPr>
                <w:color w:val="1C3A36"/>
                <w:sz w:val="17"/>
              </w:rPr>
              <w:t>5.05</w:t>
            </w:r>
          </w:p>
        </w:tc>
        <w:tc>
          <w:tcPr>
            <w:tcW w:type="dxa" w:w="1469"/>
          </w:tcPr>
          <w:p>
            <w:pPr>
              <w:spacing w:after="20"/>
              <w:jc w:val="right"/>
            </w:pPr>
            <w:r>
              <w:rPr>
                <w:color w:val="1C3A36"/>
                <w:sz w:val="17"/>
              </w:rPr>
              <w:t>5.38</w:t>
            </w:r>
          </w:p>
        </w:tc>
        <w:tc>
          <w:tcPr>
            <w:tcW w:type="dxa" w:w="1469"/>
          </w:tcPr>
          <w:p>
            <w:pPr>
              <w:spacing w:after="20"/>
              <w:jc w:val="right"/>
            </w:pPr>
            <w:r>
              <w:rPr>
                <w:color w:val="1C3A36"/>
                <w:sz w:val="17"/>
              </w:rPr>
              <w:t>5.78</w:t>
            </w:r>
          </w:p>
        </w:tc>
        <w:tc>
          <w:tcPr>
            <w:tcW w:type="dxa" w:w="1469"/>
          </w:tcPr>
          <w:p>
            <w:pPr>
              <w:spacing w:after="20"/>
              <w:jc w:val="right"/>
            </w:pPr>
            <w:r>
              <w:rPr>
                <w:color w:val="1C3A36"/>
                <w:sz w:val="17"/>
              </w:rPr>
              <w:t>6.28</w:t>
            </w:r>
          </w:p>
        </w:tc>
        <w:tc>
          <w:tcPr>
            <w:tcW w:type="dxa" w:w="1469"/>
          </w:tcPr>
          <w:p>
            <w:pPr>
              <w:spacing w:after="20"/>
              <w:jc w:val="right"/>
            </w:pPr>
            <w:r>
              <w:rPr>
                <w:color w:val="1C3A36"/>
                <w:sz w:val="17"/>
              </w:rPr>
              <w:t>6.91</w:t>
            </w:r>
          </w:p>
        </w:tc>
      </w:tr>
      <w:tr>
        <w:tc>
          <w:tcPr>
            <w:tcW w:type="dxa" w:w="2592"/>
          </w:tcPr>
          <w:p>
            <w:pPr>
              <w:spacing w:after="20"/>
            </w:pPr>
            <w:r>
              <w:rPr>
                <w:color w:val="1C3A36"/>
                <w:sz w:val="17"/>
              </w:rPr>
              <w:t>6.68%</w:t>
            </w:r>
          </w:p>
        </w:tc>
        <w:tc>
          <w:tcPr>
            <w:tcW w:type="dxa" w:w="1469"/>
          </w:tcPr>
          <w:p>
            <w:pPr>
              <w:spacing w:after="20"/>
              <w:jc w:val="right"/>
            </w:pPr>
            <w:r>
              <w:rPr>
                <w:color w:val="1C3A36"/>
                <w:sz w:val="17"/>
              </w:rPr>
              <w:t>4.65</w:t>
            </w:r>
          </w:p>
        </w:tc>
        <w:tc>
          <w:tcPr>
            <w:tcW w:type="dxa" w:w="1469"/>
          </w:tcPr>
          <w:p>
            <w:pPr>
              <w:spacing w:after="20"/>
              <w:jc w:val="right"/>
            </w:pPr>
            <w:r>
              <w:rPr>
                <w:color w:val="1C3A36"/>
                <w:sz w:val="17"/>
              </w:rPr>
              <w:t>4.92</w:t>
            </w:r>
          </w:p>
        </w:tc>
        <w:tc>
          <w:tcPr>
            <w:tcW w:type="dxa" w:w="1469"/>
          </w:tcPr>
          <w:p>
            <w:pPr>
              <w:spacing w:after="20"/>
              <w:jc w:val="right"/>
            </w:pPr>
            <w:r>
              <w:rPr>
                <w:color w:val="1C3A36"/>
                <w:sz w:val="17"/>
              </w:rPr>
              <w:t>5.24</w:t>
            </w:r>
          </w:p>
        </w:tc>
        <w:tc>
          <w:tcPr>
            <w:tcW w:type="dxa" w:w="1469"/>
          </w:tcPr>
          <w:p>
            <w:pPr>
              <w:spacing w:after="20"/>
              <w:jc w:val="right"/>
            </w:pPr>
            <w:r>
              <w:rPr>
                <w:color w:val="1C3A36"/>
                <w:sz w:val="17"/>
              </w:rPr>
              <w:t>5.63</w:t>
            </w:r>
          </w:p>
        </w:tc>
        <w:tc>
          <w:tcPr>
            <w:tcW w:type="dxa" w:w="1469"/>
          </w:tcPr>
          <w:p>
            <w:pPr>
              <w:spacing w:after="20"/>
              <w:jc w:val="right"/>
            </w:pPr>
            <w:r>
              <w:rPr>
                <w:color w:val="1C3A36"/>
                <w:sz w:val="17"/>
              </w:rPr>
              <w:t>6.11</w:t>
            </w:r>
          </w:p>
        </w:tc>
      </w:tr>
      <w:tr>
        <w:tc>
          <w:tcPr>
            <w:tcW w:type="dxa" w:w="2592"/>
          </w:tcPr>
          <w:p>
            <w:pPr>
              <w:spacing w:after="20"/>
            </w:pPr>
            <w:r>
              <w:rPr>
                <w:color w:val="1C3A36"/>
                <w:sz w:val="17"/>
              </w:rPr>
              <w:t>7.18%</w:t>
            </w:r>
          </w:p>
        </w:tc>
        <w:tc>
          <w:tcPr>
            <w:tcW w:type="dxa" w:w="1469"/>
          </w:tcPr>
          <w:p>
            <w:pPr>
              <w:spacing w:after="20"/>
              <w:jc w:val="right"/>
            </w:pPr>
            <w:r>
              <w:rPr>
                <w:color w:val="1C3A36"/>
                <w:sz w:val="17"/>
              </w:rPr>
              <w:t>4.31</w:t>
            </w:r>
          </w:p>
        </w:tc>
        <w:tc>
          <w:tcPr>
            <w:tcW w:type="dxa" w:w="1469"/>
          </w:tcPr>
          <w:p>
            <w:pPr>
              <w:spacing w:after="20"/>
              <w:jc w:val="right"/>
            </w:pPr>
            <w:r>
              <w:rPr>
                <w:color w:val="1C3A36"/>
                <w:sz w:val="17"/>
              </w:rPr>
              <w:t>4.53</w:t>
            </w:r>
          </w:p>
        </w:tc>
        <w:tc>
          <w:tcPr>
            <w:tcW w:type="dxa" w:w="1469"/>
          </w:tcPr>
          <w:p>
            <w:pPr>
              <w:spacing w:after="20"/>
              <w:jc w:val="right"/>
            </w:pPr>
            <w:r>
              <w:rPr>
                <w:color w:val="1C3A36"/>
                <w:sz w:val="17"/>
              </w:rPr>
              <w:t>4.79</w:t>
            </w:r>
          </w:p>
        </w:tc>
        <w:tc>
          <w:tcPr>
            <w:tcW w:type="dxa" w:w="1469"/>
          </w:tcPr>
          <w:p>
            <w:pPr>
              <w:spacing w:after="20"/>
              <w:jc w:val="right"/>
            </w:pPr>
            <w:r>
              <w:rPr>
                <w:color w:val="1C3A36"/>
                <w:sz w:val="17"/>
              </w:rPr>
              <w:t>5.10</w:t>
            </w:r>
          </w:p>
        </w:tc>
        <w:tc>
          <w:tcPr>
            <w:tcW w:type="dxa" w:w="1469"/>
          </w:tcPr>
          <w:p>
            <w:pPr>
              <w:spacing w:after="20"/>
              <w:jc w:val="right"/>
            </w:pPr>
            <w:r>
              <w:rPr>
                <w:color w:val="1C3A36"/>
                <w:sz w:val="17"/>
              </w:rPr>
              <w:t>5.47</w:t>
            </w:r>
          </w:p>
        </w:tc>
      </w:tr>
      <w:tr>
        <w:tc>
          <w:tcPr>
            <w:tcW w:type="dxa" w:w="2592"/>
          </w:tcPr>
          <w:p>
            <w:pPr>
              <w:spacing w:after="20"/>
            </w:pPr>
            <w:r>
              <w:rPr>
                <w:color w:val="1C3A36"/>
                <w:sz w:val="17"/>
              </w:rPr>
              <w:t>7.68%</w:t>
            </w:r>
          </w:p>
        </w:tc>
        <w:tc>
          <w:tcPr>
            <w:tcW w:type="dxa" w:w="1469"/>
          </w:tcPr>
          <w:p>
            <w:pPr>
              <w:spacing w:after="20"/>
              <w:jc w:val="right"/>
            </w:pPr>
            <w:r>
              <w:rPr>
                <w:color w:val="1C3A36"/>
                <w:sz w:val="17"/>
              </w:rPr>
              <w:t>4.02</w:t>
            </w:r>
          </w:p>
        </w:tc>
        <w:tc>
          <w:tcPr>
            <w:tcW w:type="dxa" w:w="1469"/>
          </w:tcPr>
          <w:p>
            <w:pPr>
              <w:spacing w:after="20"/>
              <w:jc w:val="right"/>
            </w:pPr>
            <w:r>
              <w:rPr>
                <w:color w:val="1C3A36"/>
                <w:sz w:val="17"/>
              </w:rPr>
              <w:t>4.20</w:t>
            </w:r>
          </w:p>
        </w:tc>
        <w:tc>
          <w:tcPr>
            <w:tcW w:type="dxa" w:w="1469"/>
          </w:tcPr>
          <w:p>
            <w:pPr>
              <w:spacing w:after="20"/>
              <w:jc w:val="right"/>
            </w:pPr>
            <w:r>
              <w:rPr>
                <w:color w:val="1C3A36"/>
                <w:sz w:val="17"/>
              </w:rPr>
              <w:t>4.42</w:t>
            </w:r>
          </w:p>
        </w:tc>
        <w:tc>
          <w:tcPr>
            <w:tcW w:type="dxa" w:w="1469"/>
          </w:tcPr>
          <w:p>
            <w:pPr>
              <w:spacing w:after="20"/>
              <w:jc w:val="right"/>
            </w:pPr>
            <w:r>
              <w:rPr>
                <w:color w:val="1C3A36"/>
                <w:sz w:val="17"/>
              </w:rPr>
              <w:t>4.67</w:t>
            </w:r>
          </w:p>
        </w:tc>
        <w:tc>
          <w:tcPr>
            <w:tcW w:type="dxa" w:w="1469"/>
          </w:tcPr>
          <w:p>
            <w:pPr>
              <w:spacing w:after="20"/>
              <w:jc w:val="right"/>
            </w:pPr>
            <w:r>
              <w:rPr>
                <w:color w:val="1C3A36"/>
                <w:sz w:val="17"/>
              </w:rPr>
              <w:t>4.96</w:t>
            </w:r>
          </w:p>
        </w:tc>
      </w:tr>
      <w:tr>
        <w:tc>
          <w:tcPr>
            <w:tcW w:type="dxa" w:w="2592"/>
          </w:tcPr>
          <w:p>
            <w:pPr>
              <w:spacing w:after="20"/>
            </w:pPr>
            <w:r>
              <w:rPr>
                <w:color w:val="1C3A36"/>
                <w:sz w:val="17"/>
              </w:rPr>
              <w:t>8.18%</w:t>
            </w:r>
          </w:p>
        </w:tc>
        <w:tc>
          <w:tcPr>
            <w:tcW w:type="dxa" w:w="1469"/>
          </w:tcPr>
          <w:p>
            <w:pPr>
              <w:spacing w:after="20"/>
              <w:jc w:val="right"/>
            </w:pPr>
            <w:r>
              <w:rPr>
                <w:color w:val="1C3A36"/>
                <w:sz w:val="17"/>
              </w:rPr>
              <w:t>3.77</w:t>
            </w:r>
          </w:p>
        </w:tc>
        <w:tc>
          <w:tcPr>
            <w:tcW w:type="dxa" w:w="1469"/>
          </w:tcPr>
          <w:p>
            <w:pPr>
              <w:spacing w:after="20"/>
              <w:jc w:val="right"/>
            </w:pPr>
            <w:r>
              <w:rPr>
                <w:color w:val="1C3A36"/>
                <w:sz w:val="17"/>
              </w:rPr>
              <w:t>3.92</w:t>
            </w:r>
          </w:p>
        </w:tc>
        <w:tc>
          <w:tcPr>
            <w:tcW w:type="dxa" w:w="1469"/>
          </w:tcPr>
          <w:p>
            <w:pPr>
              <w:spacing w:after="20"/>
              <w:jc w:val="right"/>
            </w:pPr>
            <w:r>
              <w:rPr>
                <w:color w:val="1C3A36"/>
                <w:sz w:val="17"/>
              </w:rPr>
              <w:t>4.10</w:t>
            </w:r>
          </w:p>
        </w:tc>
        <w:tc>
          <w:tcPr>
            <w:tcW w:type="dxa" w:w="1469"/>
          </w:tcPr>
          <w:p>
            <w:pPr>
              <w:spacing w:after="20"/>
              <w:jc w:val="right"/>
            </w:pPr>
            <w:r>
              <w:rPr>
                <w:color w:val="1C3A36"/>
                <w:sz w:val="17"/>
              </w:rPr>
              <w:t>4.30</w:t>
            </w:r>
          </w:p>
        </w:tc>
        <w:tc>
          <w:tcPr>
            <w:tcW w:type="dxa" w:w="1469"/>
          </w:tcPr>
          <w:p>
            <w:pPr>
              <w:spacing w:after="20"/>
              <w:jc w:val="right"/>
            </w:pPr>
            <w:r>
              <w:rPr>
                <w:color w:val="1C3A36"/>
                <w:sz w:val="17"/>
              </w:rPr>
              <w:t>4.54</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3.77 to AED 6.91 — and the WHOLE of it is published, including the corner that sits below the traded price. The model's own combination, 7.18%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4.79</w:t>
            </w:r>
          </w:p>
        </w:tc>
        <w:tc>
          <w:tcPr>
            <w:tcW w:type="dxa" w:w="2736"/>
          </w:tcPr>
          <w:p>
            <w:pPr>
              <w:spacing w:after="20"/>
              <w:jc w:val="right"/>
            </w:pPr>
            <w:r>
              <w:rPr>
                <w:color w:val="1C3A36"/>
                <w:sz w:val="16"/>
              </w:rPr>
              <w:t>the terminal discount rate and growth — 76.1%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5.12</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c>
          <w:tcPr>
            <w:tcW w:type="dxa" w:w="2808"/>
          </w:tcPr>
          <w:p>
            <w:pPr>
              <w:spacing w:after="20"/>
            </w:pPr>
            <w:r>
              <w:rPr>
                <w:color w:val="1C3A36"/>
                <w:sz w:val="16"/>
              </w:rPr>
              <w:t>Normalised earnings power</w:t>
            </w:r>
          </w:p>
        </w:tc>
        <w:tc>
          <w:tcPr>
            <w:tcW w:type="dxa" w:w="1152"/>
          </w:tcPr>
          <w:p>
            <w:pPr>
              <w:spacing w:after="20"/>
              <w:jc w:val="right"/>
            </w:pPr>
            <w:r>
              <w:rPr>
                <w:color w:val="1C3A36"/>
                <w:sz w:val="16"/>
              </w:rPr>
              <w:t>4.89</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c>
          <w:tcPr>
            <w:tcW w:type="dxa" w:w="2808"/>
          </w:tcPr>
          <w:p>
            <w:pPr>
              <w:spacing w:after="20"/>
            </w:pPr>
            <w:r>
              <w:rPr>
                <w:color w:val="1C3A36"/>
                <w:sz w:val="16"/>
              </w:rPr>
              <w:t>Relative multiples</w:t>
            </w:r>
          </w:p>
        </w:tc>
        <w:tc>
          <w:tcPr>
            <w:tcW w:type="dxa" w:w="1152"/>
          </w:tcPr>
          <w:p>
            <w:pPr>
              <w:spacing w:after="20"/>
              <w:jc w:val="right"/>
            </w:pPr>
            <w:r>
              <w:rPr>
                <w:color w:val="1C3A36"/>
                <w:sz w:val="16"/>
              </w:rPr>
              <w:t>4.58</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4.07</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c>
          <w:tcPr>
            <w:tcW w:type="dxa" w:w="2808"/>
          </w:tcPr>
          <w:p>
            <w:pPr>
              <w:spacing w:after="20"/>
            </w:pPr>
            <w:r>
              <w:rPr>
                <w:color w:val="1C3A36"/>
                <w:sz w:val="16"/>
              </w:rPr>
              <w:t>Dividend capitalisation</w:t>
            </w:r>
          </w:p>
        </w:tc>
        <w:tc>
          <w:tcPr>
            <w:tcW w:type="dxa" w:w="1152"/>
          </w:tcPr>
          <w:p>
            <w:pPr>
              <w:spacing w:after="20"/>
              <w:jc w:val="right"/>
            </w:pPr>
            <w:r>
              <w:rPr>
                <w:color w:val="1C3A36"/>
                <w:sz w:val="16"/>
              </w:rPr>
              <w:t>4.14</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4.14 — within AED 0.07 of the traded price of AED 4.07. The cash-flow model lands at AED 4.79. The gap between those two numbers, AED 0.65 a share,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4,154 million to AED 3,874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4.89 sits ABOVE the Frame A cash-flow reading despite crediting no growth whatever, because it capitalises at today's 6.43% instead of gliding to 7.18%. The relative reading at AED 4.58 and the book reading at AED 4.07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permanent volume decline;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0.28 a share on the arithmetic in section 1.8</w:t>
            </w:r>
          </w:p>
        </w:tc>
        <w:tc>
          <w:tcPr>
            <w:tcW w:type="dxa" w:w="2160"/>
          </w:tcPr>
          <w:p>
            <w:pPr>
              <w:spacing w:after="20"/>
              <w:jc w:val="right"/>
            </w:pPr>
            <w:r>
              <w:rPr>
                <w:color w:val="1C3A36"/>
                <w:sz w:val="16"/>
              </w:rPr>
              <w:t>FY2026 results</w:t>
            </w:r>
          </w:p>
        </w:tc>
      </w:tr>
      <w:t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c>
          <w:tcPr>
            <w:tcW w:type="dxa" w:w="2304"/>
          </w:tcPr>
          <w:p>
            <w:pPr>
              <w:spacing w:after="20"/>
            </w:pPr>
            <w:r>
              <w:rPr>
                <w:color w:val="1C3A36"/>
                <w:sz w:val="16"/>
              </w:rPr>
              <w:t>Terminal weight</w:t>
            </w:r>
          </w:p>
        </w:tc>
        <w:tc>
          <w:tcPr>
            <w:tcW w:type="dxa" w:w="3960"/>
          </w:tcPr>
          <w:p>
            <w:pPr>
              <w:spacing w:after="20"/>
              <w:jc w:val="right"/>
            </w:pPr>
            <w:r>
              <w:rPr>
                <w:color w:val="1C3A36"/>
                <w:sz w:val="16"/>
              </w:rPr>
              <w:t>76.1%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3.77 to AED 6.91 and the whole of it is published</w:t>
            </w:r>
          </w:p>
        </w:tc>
      </w:tr>
      <w:t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0.51 with an r-squared of 19.4% produces a cost of equity of 6.54%. The 90% interval on that regression runs 0.40 to 0.62</w:t>
            </w:r>
          </w:p>
        </w:tc>
        <w:tc>
          <w:tcPr>
            <w:tcW w:type="dxa" w:w="3672"/>
          </w:tcPr>
          <w:p>
            <w:pPr>
              <w:spacing w:after="20"/>
              <w:jc w:val="right"/>
            </w:pPr>
            <w:r>
              <w:rPr>
                <w:color w:val="1C3A36"/>
                <w:sz w:val="16"/>
              </w:rPr>
              <w:t>a beta at the top of its own confidence interval. The model already glides to 0.70 in the terminal; at 0.70 throughout, the value is AED 4.13</w:t>
            </w:r>
          </w:p>
        </w:tc>
      </w:tr>
      <w:t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43,669</w:t>
            </w:r>
          </w:p>
        </w:tc>
        <w:tc>
          <w:tcPr>
            <w:tcW w:type="dxa" w:w="1037"/>
          </w:tcPr>
          <w:p>
            <w:pPr>
              <w:spacing w:after="20"/>
              <w:jc w:val="right"/>
            </w:pPr>
            <w:r>
              <w:rPr>
                <w:color w:val="1C3A36"/>
                <w:sz w:val="16"/>
              </w:rPr>
              <w:t>43,368</w:t>
            </w:r>
          </w:p>
        </w:tc>
        <w:tc>
          <w:tcPr>
            <w:tcW w:type="dxa" w:w="1037"/>
          </w:tcPr>
          <w:p>
            <w:pPr>
              <w:spacing w:after="20"/>
              <w:jc w:val="right"/>
            </w:pPr>
            <w:r>
              <w:rPr>
                <w:color w:val="1C3A36"/>
                <w:sz w:val="16"/>
              </w:rPr>
              <w:t>44,751</w:t>
            </w:r>
          </w:p>
        </w:tc>
        <w:tc>
          <w:tcPr>
            <w:tcW w:type="dxa" w:w="1037"/>
          </w:tcPr>
          <w:p>
            <w:pPr>
              <w:spacing w:after="20"/>
              <w:jc w:val="right"/>
            </w:pPr>
            <w:r>
              <w:rPr>
                <w:color w:val="1C3A36"/>
                <w:sz w:val="16"/>
              </w:rPr>
              <w:t>46,056</w:t>
            </w:r>
          </w:p>
        </w:tc>
        <w:tc>
          <w:tcPr>
            <w:tcW w:type="dxa" w:w="1037"/>
          </w:tcPr>
          <w:p>
            <w:pPr>
              <w:spacing w:after="20"/>
              <w:jc w:val="right"/>
            </w:pPr>
            <w:r>
              <w:rPr>
                <w:color w:val="1C3A36"/>
                <w:sz w:val="16"/>
              </w:rPr>
              <w:t>47,270</w:t>
            </w:r>
          </w:p>
        </w:tc>
      </w:tr>
      <w:t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35,703</w:t>
            </w:r>
          </w:p>
        </w:tc>
        <w:tc>
          <w:tcPr>
            <w:tcW w:type="dxa" w:w="1037"/>
          </w:tcPr>
          <w:p>
            <w:pPr>
              <w:spacing w:after="20"/>
              <w:jc w:val="right"/>
            </w:pPr>
            <w:r>
              <w:rPr>
                <w:color w:val="1C3A36"/>
                <w:sz w:val="16"/>
              </w:rPr>
              <w:t>35,797</w:t>
            </w:r>
          </w:p>
        </w:tc>
        <w:tc>
          <w:tcPr>
            <w:tcW w:type="dxa" w:w="1037"/>
          </w:tcPr>
          <w:p>
            <w:pPr>
              <w:spacing w:after="20"/>
              <w:jc w:val="right"/>
            </w:pPr>
            <w:r>
              <w:rPr>
                <w:color w:val="1C3A36"/>
                <w:sz w:val="16"/>
              </w:rPr>
              <w:t>36,823</w:t>
            </w:r>
          </w:p>
        </w:tc>
        <w:tc>
          <w:tcPr>
            <w:tcW w:type="dxa" w:w="1037"/>
          </w:tcPr>
          <w:p>
            <w:pPr>
              <w:spacing w:after="20"/>
              <w:jc w:val="right"/>
            </w:pPr>
            <w:r>
              <w:rPr>
                <w:color w:val="1C3A36"/>
                <w:sz w:val="16"/>
              </w:rPr>
              <w:t>37,782</w:t>
            </w:r>
          </w:p>
        </w:tc>
        <w:tc>
          <w:tcPr>
            <w:tcW w:type="dxa" w:w="1037"/>
          </w:tcPr>
          <w:p>
            <w:pPr>
              <w:spacing w:after="20"/>
              <w:jc w:val="right"/>
            </w:pPr>
            <w:r>
              <w:rPr>
                <w:color w:val="1C3A36"/>
                <w:sz w:val="16"/>
              </w:rPr>
              <w:t>38,654</w:t>
            </w:r>
          </w:p>
        </w:tc>
      </w:tr>
      <w:t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7,966</w:t>
            </w:r>
          </w:p>
        </w:tc>
        <w:tc>
          <w:tcPr>
            <w:tcW w:type="dxa" w:w="1037"/>
            <w:shd w:val="clear" w:color="auto" w:fill="F6F1E6"/>
          </w:tcPr>
          <w:p>
            <w:pPr>
              <w:spacing w:after="20"/>
              <w:jc w:val="right"/>
            </w:pPr>
            <w:r>
              <w:rPr>
                <w:b/>
                <w:color w:val="1C3A36"/>
                <w:sz w:val="16"/>
              </w:rPr>
              <w:t>7,571</w:t>
            </w:r>
          </w:p>
        </w:tc>
        <w:tc>
          <w:tcPr>
            <w:tcW w:type="dxa" w:w="1037"/>
            <w:shd w:val="clear" w:color="auto" w:fill="F6F1E6"/>
          </w:tcPr>
          <w:p>
            <w:pPr>
              <w:spacing w:after="20"/>
              <w:jc w:val="right"/>
            </w:pPr>
            <w:r>
              <w:rPr>
                <w:b/>
                <w:color w:val="1C3A36"/>
                <w:sz w:val="16"/>
              </w:rPr>
              <w:t>7,928</w:t>
            </w:r>
          </w:p>
        </w:tc>
        <w:tc>
          <w:tcPr>
            <w:tcW w:type="dxa" w:w="1037"/>
            <w:shd w:val="clear" w:color="auto" w:fill="F6F1E6"/>
          </w:tcPr>
          <w:p>
            <w:pPr>
              <w:spacing w:after="20"/>
              <w:jc w:val="right"/>
            </w:pPr>
            <w:r>
              <w:rPr>
                <w:b/>
                <w:color w:val="1C3A36"/>
                <w:sz w:val="16"/>
              </w:rPr>
              <w:t>8,274</w:t>
            </w:r>
          </w:p>
        </w:tc>
        <w:tc>
          <w:tcPr>
            <w:tcW w:type="dxa" w:w="1037"/>
            <w:shd w:val="clear" w:color="auto" w:fill="F6F1E6"/>
          </w:tcPr>
          <w:p>
            <w:pPr>
              <w:spacing w:after="20"/>
              <w:jc w:val="right"/>
            </w:pPr>
            <w:r>
              <w:rPr>
                <w:b/>
                <w:color w:val="1C3A36"/>
                <w:sz w:val="16"/>
              </w:rPr>
              <w:t>8,615</w:t>
            </w:r>
          </w:p>
        </w:tc>
      </w:tr>
      <w:t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17.7%</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r>
      <w:t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5,129</w:t>
            </w:r>
          </w:p>
        </w:tc>
        <w:tc>
          <w:tcPr>
            <w:tcW w:type="dxa" w:w="1037"/>
            <w:shd w:val="clear" w:color="auto" w:fill="F6F1E6"/>
          </w:tcPr>
          <w:p>
            <w:pPr>
              <w:spacing w:after="20"/>
              <w:jc w:val="right"/>
            </w:pPr>
            <w:r>
              <w:rPr>
                <w:b/>
                <w:color w:val="1C3A36"/>
                <w:sz w:val="16"/>
              </w:rPr>
              <w:t>4,773</w:t>
            </w:r>
          </w:p>
        </w:tc>
        <w:tc>
          <w:tcPr>
            <w:tcW w:type="dxa" w:w="1037"/>
            <w:shd w:val="clear" w:color="auto" w:fill="F6F1E6"/>
          </w:tcPr>
          <w:p>
            <w:pPr>
              <w:spacing w:after="20"/>
              <w:jc w:val="right"/>
            </w:pPr>
            <w:r>
              <w:rPr>
                <w:b/>
                <w:color w:val="1C3A36"/>
                <w:sz w:val="16"/>
              </w:rPr>
              <w:t>5,020</w:t>
            </w:r>
          </w:p>
        </w:tc>
        <w:tc>
          <w:tcPr>
            <w:tcW w:type="dxa" w:w="1037"/>
            <w:shd w:val="clear" w:color="auto" w:fill="F6F1E6"/>
          </w:tcPr>
          <w:p>
            <w:pPr>
              <w:spacing w:after="20"/>
              <w:jc w:val="right"/>
            </w:pPr>
            <w:r>
              <w:rPr>
                <w:b/>
                <w:color w:val="1C3A36"/>
                <w:sz w:val="16"/>
              </w:rPr>
              <w:t>5,252</w:t>
            </w:r>
          </w:p>
        </w:tc>
        <w:tc>
          <w:tcPr>
            <w:tcW w:type="dxa" w:w="1037"/>
            <w:shd w:val="clear" w:color="auto" w:fill="F6F1E6"/>
          </w:tcPr>
          <w:p>
            <w:pPr>
              <w:spacing w:after="20"/>
              <w:jc w:val="right"/>
            </w:pPr>
            <w:r>
              <w:rPr>
                <w:b/>
                <w:color w:val="1C3A36"/>
                <w:sz w:val="16"/>
              </w:rPr>
              <w:t>5,475</w:t>
            </w:r>
          </w:p>
        </w:tc>
      </w:tr>
      <w:t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11.7%</w:t>
            </w:r>
          </w:p>
        </w:tc>
        <w:tc>
          <w:tcPr>
            <w:tcW w:type="dxa" w:w="1037"/>
          </w:tcPr>
          <w:p>
            <w:pPr>
              <w:spacing w:after="20"/>
              <w:jc w:val="right"/>
            </w:pPr>
            <w:r>
              <w:rPr>
                <w:color w:val="1C3A36"/>
                <w:sz w:val="16"/>
              </w:rPr>
              <w:t>11.0%</w:t>
            </w:r>
          </w:p>
        </w:tc>
        <w:tc>
          <w:tcPr>
            <w:tcW w:type="dxa" w:w="1037"/>
          </w:tcPr>
          <w:p>
            <w:pPr>
              <w:spacing w:after="20"/>
              <w:jc w:val="right"/>
            </w:pPr>
            <w:r>
              <w:rPr>
                <w:color w:val="1C3A36"/>
                <w:sz w:val="16"/>
              </w:rPr>
              <w:t>11.2%</w:t>
            </w:r>
          </w:p>
        </w:tc>
        <w:tc>
          <w:tcPr>
            <w:tcW w:type="dxa" w:w="1037"/>
          </w:tcPr>
          <w:p>
            <w:pPr>
              <w:spacing w:after="20"/>
              <w:jc w:val="right"/>
            </w:pPr>
            <w:r>
              <w:rPr>
                <w:color w:val="1C3A36"/>
                <w:sz w:val="16"/>
              </w:rPr>
              <w:t>11.4%</w:t>
            </w:r>
          </w:p>
        </w:tc>
        <w:tc>
          <w:tcPr>
            <w:tcW w:type="dxa" w:w="1037"/>
          </w:tcPr>
          <w:p>
            <w:pPr>
              <w:spacing w:after="20"/>
              <w:jc w:val="right"/>
            </w:pPr>
            <w:r>
              <w:rPr>
                <w:color w:val="1C3A36"/>
                <w:sz w:val="16"/>
              </w:rPr>
              <w:t>11.6%</w:t>
            </w:r>
          </w:p>
        </w:tc>
      </w:tr>
      <w:t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800</w:t>
            </w:r>
          </w:p>
        </w:tc>
        <w:tc>
          <w:tcPr>
            <w:tcW w:type="dxa" w:w="1037"/>
          </w:tcPr>
          <w:p>
            <w:pPr>
              <w:spacing w:after="20"/>
              <w:jc w:val="right"/>
            </w:pPr>
            <w:r>
              <w:rPr>
                <w:color w:val="1C3A36"/>
                <w:sz w:val="16"/>
              </w:rPr>
              <w:t>830</w:t>
            </w:r>
          </w:p>
        </w:tc>
        <w:tc>
          <w:tcPr>
            <w:tcW w:type="dxa" w:w="1037"/>
          </w:tcPr>
          <w:p>
            <w:pPr>
              <w:spacing w:after="20"/>
              <w:jc w:val="right"/>
            </w:pPr>
            <w:r>
              <w:rPr>
                <w:color w:val="1C3A36"/>
                <w:sz w:val="16"/>
              </w:rPr>
              <w:t>862</w:t>
            </w:r>
          </w:p>
        </w:tc>
        <w:tc>
          <w:tcPr>
            <w:tcW w:type="dxa" w:w="1037"/>
          </w:tcPr>
          <w:p>
            <w:pPr>
              <w:spacing w:after="20"/>
              <w:jc w:val="right"/>
            </w:pPr>
            <w:r>
              <w:rPr>
                <w:color w:val="1C3A36"/>
                <w:sz w:val="16"/>
              </w:rPr>
              <w:t>894</w:t>
            </w:r>
          </w:p>
        </w:tc>
        <w:tc>
          <w:tcPr>
            <w:tcW w:type="dxa" w:w="1037"/>
          </w:tcPr>
          <w:p>
            <w:pPr>
              <w:spacing w:after="20"/>
              <w:jc w:val="right"/>
            </w:pPr>
            <w:r>
              <w:rPr>
                <w:color w:val="1C3A36"/>
                <w:sz w:val="16"/>
              </w:rPr>
              <w:t>926</w:t>
            </w:r>
          </w:p>
        </w:tc>
      </w:tr>
      <w:t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4,329</w:t>
            </w:r>
          </w:p>
        </w:tc>
        <w:tc>
          <w:tcPr>
            <w:tcW w:type="dxa" w:w="1037"/>
            <w:shd w:val="clear" w:color="auto" w:fill="F6F1E6"/>
          </w:tcPr>
          <w:p>
            <w:pPr>
              <w:spacing w:after="20"/>
              <w:jc w:val="right"/>
            </w:pPr>
            <w:r>
              <w:rPr>
                <w:b/>
                <w:color w:val="1C3A36"/>
                <w:sz w:val="16"/>
              </w:rPr>
              <w:t>3,943</w:t>
            </w:r>
          </w:p>
        </w:tc>
        <w:tc>
          <w:tcPr>
            <w:tcW w:type="dxa" w:w="1037"/>
            <w:shd w:val="clear" w:color="auto" w:fill="F6F1E6"/>
          </w:tcPr>
          <w:p>
            <w:pPr>
              <w:spacing w:after="20"/>
              <w:jc w:val="right"/>
            </w:pPr>
            <w:r>
              <w:rPr>
                <w:b/>
                <w:color w:val="1C3A36"/>
                <w:sz w:val="16"/>
              </w:rPr>
              <w:t>4,158</w:t>
            </w:r>
          </w:p>
        </w:tc>
        <w:tc>
          <w:tcPr>
            <w:tcW w:type="dxa" w:w="1037"/>
            <w:shd w:val="clear" w:color="auto" w:fill="F6F1E6"/>
          </w:tcPr>
          <w:p>
            <w:pPr>
              <w:spacing w:after="20"/>
              <w:jc w:val="right"/>
            </w:pPr>
            <w:r>
              <w:rPr>
                <w:b/>
                <w:color w:val="1C3A36"/>
                <w:sz w:val="16"/>
              </w:rPr>
              <w:t>4,358</w:t>
            </w:r>
          </w:p>
        </w:tc>
        <w:tc>
          <w:tcPr>
            <w:tcW w:type="dxa" w:w="1037"/>
            <w:shd w:val="clear" w:color="auto" w:fill="F6F1E6"/>
          </w:tcPr>
          <w:p>
            <w:pPr>
              <w:spacing w:after="20"/>
              <w:jc w:val="right"/>
            </w:pPr>
            <w:r>
              <w:rPr>
                <w:b/>
                <w:color w:val="1C3A36"/>
                <w:sz w:val="16"/>
              </w:rPr>
              <w:t>4,549</w:t>
            </w:r>
          </w:p>
        </w:tc>
      </w:tr>
      <w:t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3,997</w:t>
            </w:r>
          </w:p>
        </w:tc>
        <w:tc>
          <w:tcPr>
            <w:tcW w:type="dxa" w:w="1037"/>
          </w:tcPr>
          <w:p>
            <w:pPr>
              <w:spacing w:after="20"/>
              <w:jc w:val="right"/>
            </w:pPr>
            <w:r>
              <w:rPr>
                <w:color w:val="1C3A36"/>
                <w:sz w:val="16"/>
              </w:rPr>
              <w:t>3,611</w:t>
            </w:r>
          </w:p>
        </w:tc>
        <w:tc>
          <w:tcPr>
            <w:tcW w:type="dxa" w:w="1037"/>
          </w:tcPr>
          <w:p>
            <w:pPr>
              <w:spacing w:after="20"/>
              <w:jc w:val="right"/>
            </w:pPr>
            <w:r>
              <w:rPr>
                <w:color w:val="1C3A36"/>
                <w:sz w:val="16"/>
              </w:rPr>
              <w:t>3,827</w:t>
            </w:r>
          </w:p>
        </w:tc>
        <w:tc>
          <w:tcPr>
            <w:tcW w:type="dxa" w:w="1037"/>
          </w:tcPr>
          <w:p>
            <w:pPr>
              <w:spacing w:after="20"/>
              <w:jc w:val="right"/>
            </w:pPr>
            <w:r>
              <w:rPr>
                <w:color w:val="1C3A36"/>
                <w:sz w:val="16"/>
              </w:rPr>
              <w:t>4,026</w:t>
            </w:r>
          </w:p>
        </w:tc>
        <w:tc>
          <w:tcPr>
            <w:tcW w:type="dxa" w:w="1037"/>
          </w:tcPr>
          <w:p>
            <w:pPr>
              <w:spacing w:after="20"/>
              <w:jc w:val="right"/>
            </w:pPr>
            <w:r>
              <w:rPr>
                <w:color w:val="1C3A36"/>
                <w:sz w:val="16"/>
              </w:rPr>
              <w:t>4,218</w:t>
            </w:r>
          </w:p>
        </w:tc>
      </w:tr>
      <w:t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407</w:t>
            </w:r>
          </w:p>
        </w:tc>
        <w:tc>
          <w:tcPr>
            <w:tcW w:type="dxa" w:w="1037"/>
          </w:tcPr>
          <w:p>
            <w:pPr>
              <w:spacing w:after="20"/>
              <w:jc w:val="right"/>
            </w:pPr>
            <w:r>
              <w:rPr>
                <w:color w:val="1C3A36"/>
                <w:sz w:val="16"/>
              </w:rPr>
              <w:t>367</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409</w:t>
            </w:r>
          </w:p>
        </w:tc>
        <w:tc>
          <w:tcPr>
            <w:tcW w:type="dxa" w:w="1037"/>
          </w:tcPr>
          <w:p>
            <w:pPr>
              <w:spacing w:after="20"/>
              <w:jc w:val="right"/>
            </w:pPr>
            <w:r>
              <w:rPr>
                <w:color w:val="1C3A36"/>
                <w:sz w:val="16"/>
              </w:rPr>
              <w:t>429</w:t>
            </w:r>
          </w:p>
        </w:tc>
      </w:tr>
      <w:t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3,591</w:t>
            </w:r>
          </w:p>
        </w:tc>
        <w:tc>
          <w:tcPr>
            <w:tcW w:type="dxa" w:w="1037"/>
          </w:tcPr>
          <w:p>
            <w:pPr>
              <w:spacing w:after="20"/>
              <w:jc w:val="right"/>
            </w:pPr>
            <w:r>
              <w:rPr>
                <w:color w:val="1C3A36"/>
                <w:sz w:val="16"/>
              </w:rPr>
              <w:t>3,244</w:t>
            </w:r>
          </w:p>
        </w:tc>
        <w:tc>
          <w:tcPr>
            <w:tcW w:type="dxa" w:w="1037"/>
          </w:tcPr>
          <w:p>
            <w:pPr>
              <w:spacing w:after="20"/>
              <w:jc w:val="right"/>
            </w:pPr>
            <w:r>
              <w:rPr>
                <w:color w:val="1C3A36"/>
                <w:sz w:val="16"/>
              </w:rPr>
              <w:t>3,438</w:t>
            </w:r>
          </w:p>
        </w:tc>
        <w:tc>
          <w:tcPr>
            <w:tcW w:type="dxa" w:w="1037"/>
          </w:tcPr>
          <w:p>
            <w:pPr>
              <w:spacing w:after="20"/>
              <w:jc w:val="right"/>
            </w:pPr>
            <w:r>
              <w:rPr>
                <w:color w:val="1C3A36"/>
                <w:sz w:val="16"/>
              </w:rPr>
              <w:t>3,617</w:t>
            </w:r>
          </w:p>
        </w:tc>
        <w:tc>
          <w:tcPr>
            <w:tcW w:type="dxa" w:w="1037"/>
          </w:tcPr>
          <w:p>
            <w:pPr>
              <w:spacing w:after="20"/>
              <w:jc w:val="right"/>
            </w:pPr>
            <w:r>
              <w:rPr>
                <w:color w:val="1C3A36"/>
                <w:sz w:val="16"/>
              </w:rPr>
              <w:t>3,789</w:t>
            </w:r>
          </w:p>
        </w:tc>
      </w:tr>
      <w:t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3,534</w:t>
            </w:r>
          </w:p>
        </w:tc>
        <w:tc>
          <w:tcPr>
            <w:tcW w:type="dxa" w:w="1037"/>
            <w:shd w:val="clear" w:color="auto" w:fill="F6F1E6"/>
          </w:tcPr>
          <w:p>
            <w:pPr>
              <w:spacing w:after="20"/>
              <w:jc w:val="right"/>
            </w:pPr>
            <w:r>
              <w:rPr>
                <w:b/>
                <w:color w:val="1C3A36"/>
                <w:sz w:val="16"/>
              </w:rPr>
              <w:t>3,187</w:t>
            </w:r>
          </w:p>
        </w:tc>
        <w:tc>
          <w:tcPr>
            <w:tcW w:type="dxa" w:w="1037"/>
            <w:shd w:val="clear" w:color="auto" w:fill="F6F1E6"/>
          </w:tcPr>
          <w:p>
            <w:pPr>
              <w:spacing w:after="20"/>
              <w:jc w:val="right"/>
            </w:pPr>
            <w:r>
              <w:rPr>
                <w:b/>
                <w:color w:val="1C3A36"/>
                <w:sz w:val="16"/>
              </w:rPr>
              <w:t>3,381</w:t>
            </w:r>
          </w:p>
        </w:tc>
        <w:tc>
          <w:tcPr>
            <w:tcW w:type="dxa" w:w="1037"/>
            <w:shd w:val="clear" w:color="auto" w:fill="F6F1E6"/>
          </w:tcPr>
          <w:p>
            <w:pPr>
              <w:spacing w:after="20"/>
              <w:jc w:val="right"/>
            </w:pPr>
            <w:r>
              <w:rPr>
                <w:b/>
                <w:color w:val="1C3A36"/>
                <w:sz w:val="16"/>
              </w:rPr>
              <w:t>3,560</w:t>
            </w:r>
          </w:p>
        </w:tc>
        <w:tc>
          <w:tcPr>
            <w:tcW w:type="dxa" w:w="1037"/>
            <w:shd w:val="clear" w:color="auto" w:fill="F6F1E6"/>
          </w:tcPr>
          <w:p>
            <w:pPr>
              <w:spacing w:after="20"/>
              <w:jc w:val="right"/>
            </w:pPr>
            <w:r>
              <w:rPr>
                <w:b/>
                <w:color w:val="1C3A36"/>
                <w:sz w:val="16"/>
              </w:rPr>
              <w:t>3,732</w:t>
            </w:r>
          </w:p>
        </w:tc>
      </w:tr>
      <w:t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0.25</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r>
      <w:t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10,359</w:t>
            </w:r>
          </w:p>
        </w:tc>
        <w:tc>
          <w:tcPr>
            <w:tcW w:type="dxa" w:w="1037"/>
          </w:tcPr>
          <w:p>
            <w:pPr>
              <w:spacing w:after="20"/>
              <w:jc w:val="right"/>
            </w:pPr>
            <w:r>
              <w:rPr>
                <w:color w:val="1C3A36"/>
                <w:sz w:val="16"/>
              </w:rPr>
              <w:t>10,589</w:t>
            </w:r>
          </w:p>
        </w:tc>
        <w:tc>
          <w:tcPr>
            <w:tcW w:type="dxa" w:w="1037"/>
          </w:tcPr>
          <w:p>
            <w:pPr>
              <w:spacing w:after="20"/>
              <w:jc w:val="right"/>
            </w:pPr>
            <w:r>
              <w:rPr>
                <w:color w:val="1C3A36"/>
                <w:sz w:val="16"/>
              </w:rPr>
              <w:t>10,827</w:t>
            </w:r>
          </w:p>
        </w:tc>
        <w:tc>
          <w:tcPr>
            <w:tcW w:type="dxa" w:w="1037"/>
          </w:tcPr>
          <w:p>
            <w:pPr>
              <w:spacing w:after="20"/>
              <w:jc w:val="right"/>
            </w:pPr>
            <w:r>
              <w:rPr>
                <w:color w:val="1C3A36"/>
                <w:sz w:val="16"/>
              </w:rPr>
              <w:t>11,073</w:t>
            </w:r>
          </w:p>
        </w:tc>
        <w:tc>
          <w:tcPr>
            <w:tcW w:type="dxa" w:w="1037"/>
          </w:tcPr>
          <w:p>
            <w:pPr>
              <w:spacing w:after="20"/>
              <w:jc w:val="right"/>
            </w:pPr>
            <w:r>
              <w:rPr>
                <w:color w:val="1C3A36"/>
                <w:sz w:val="16"/>
              </w:rPr>
              <w:t>11,327</w:t>
            </w:r>
          </w:p>
        </w:tc>
      </w:tr>
      <w:t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1,941</w:t>
            </w:r>
          </w:p>
        </w:tc>
        <w:tc>
          <w:tcPr>
            <w:tcW w:type="dxa" w:w="1037"/>
          </w:tcPr>
          <w:p>
            <w:pPr>
              <w:spacing w:after="20"/>
              <w:jc w:val="right"/>
            </w:pPr>
            <w:r>
              <w:rPr>
                <w:color w:val="1C3A36"/>
                <w:sz w:val="16"/>
              </w:rPr>
              <w:t>1,947</w:t>
            </w:r>
          </w:p>
        </w:tc>
        <w:tc>
          <w:tcPr>
            <w:tcW w:type="dxa" w:w="1037"/>
          </w:tcPr>
          <w:p>
            <w:pPr>
              <w:spacing w:after="20"/>
              <w:jc w:val="right"/>
            </w:pPr>
            <w:r>
              <w:rPr>
                <w:color w:val="1C3A36"/>
                <w:sz w:val="16"/>
              </w:rPr>
              <w:t>2,002</w:t>
            </w:r>
          </w:p>
        </w:tc>
        <w:tc>
          <w:tcPr>
            <w:tcW w:type="dxa" w:w="1037"/>
          </w:tcPr>
          <w:p>
            <w:pPr>
              <w:spacing w:after="20"/>
              <w:jc w:val="right"/>
            </w:pPr>
            <w:r>
              <w:rPr>
                <w:color w:val="1C3A36"/>
                <w:sz w:val="16"/>
              </w:rPr>
              <w:t>2,054</w:t>
            </w:r>
          </w:p>
        </w:tc>
        <w:tc>
          <w:tcPr>
            <w:tcW w:type="dxa" w:w="1037"/>
          </w:tcPr>
          <w:p>
            <w:pPr>
              <w:spacing w:after="20"/>
              <w:jc w:val="right"/>
            </w:pPr>
            <w:r>
              <w:rPr>
                <w:color w:val="1C3A36"/>
                <w:sz w:val="16"/>
              </w:rPr>
              <w:t>2,102</w:t>
            </w:r>
          </w:p>
        </w:tc>
      </w:tr>
      <w:t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4,125</w:t>
            </w:r>
          </w:p>
        </w:tc>
        <w:tc>
          <w:tcPr>
            <w:tcW w:type="dxa" w:w="1037"/>
          </w:tcPr>
          <w:p>
            <w:pPr>
              <w:spacing w:after="20"/>
              <w:jc w:val="right"/>
            </w:pPr>
            <w:r>
              <w:rPr>
                <w:color w:val="1C3A36"/>
                <w:sz w:val="16"/>
              </w:rPr>
              <w:t>4,097</w:t>
            </w:r>
          </w:p>
        </w:tc>
        <w:tc>
          <w:tcPr>
            <w:tcW w:type="dxa" w:w="1037"/>
          </w:tcPr>
          <w:p>
            <w:pPr>
              <w:spacing w:after="20"/>
              <w:jc w:val="right"/>
            </w:pPr>
            <w:r>
              <w:rPr>
                <w:color w:val="1C3A36"/>
                <w:sz w:val="16"/>
              </w:rPr>
              <w:t>4,227</w:t>
            </w:r>
          </w:p>
        </w:tc>
        <w:tc>
          <w:tcPr>
            <w:tcW w:type="dxa" w:w="1037"/>
          </w:tcPr>
          <w:p>
            <w:pPr>
              <w:spacing w:after="20"/>
              <w:jc w:val="right"/>
            </w:pPr>
            <w:r>
              <w:rPr>
                <w:color w:val="1C3A36"/>
                <w:sz w:val="16"/>
              </w:rPr>
              <w:t>4,351</w:t>
            </w:r>
          </w:p>
        </w:tc>
        <w:tc>
          <w:tcPr>
            <w:tcW w:type="dxa" w:w="1037"/>
          </w:tcPr>
          <w:p>
            <w:pPr>
              <w:spacing w:after="20"/>
              <w:jc w:val="right"/>
            </w:pPr>
            <w:r>
              <w:rPr>
                <w:color w:val="1C3A36"/>
                <w:sz w:val="16"/>
              </w:rPr>
              <w:t>4,465</w:t>
            </w:r>
          </w:p>
        </w:tc>
      </w:tr>
      <w:t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3,789</w:t>
            </w:r>
          </w:p>
        </w:tc>
        <w:tc>
          <w:tcPr>
            <w:tcW w:type="dxa" w:w="1037"/>
          </w:tcPr>
          <w:p>
            <w:pPr>
              <w:spacing w:after="20"/>
              <w:jc w:val="right"/>
            </w:pPr>
            <w:r>
              <w:rPr>
                <w:color w:val="1C3A36"/>
                <w:sz w:val="16"/>
              </w:rPr>
              <w:t>4,220</w:t>
            </w:r>
          </w:p>
        </w:tc>
        <w:tc>
          <w:tcPr>
            <w:tcW w:type="dxa" w:w="1037"/>
          </w:tcPr>
          <w:p>
            <w:pPr>
              <w:spacing w:after="20"/>
              <w:jc w:val="right"/>
            </w:pPr>
            <w:r>
              <w:rPr>
                <w:color w:val="1C3A36"/>
                <w:sz w:val="16"/>
              </w:rPr>
              <w:t>4,845</w:t>
            </w:r>
          </w:p>
        </w:tc>
        <w:tc>
          <w:tcPr>
            <w:tcW w:type="dxa" w:w="1037"/>
          </w:tcPr>
          <w:p>
            <w:pPr>
              <w:spacing w:after="20"/>
              <w:jc w:val="right"/>
            </w:pPr>
            <w:r>
              <w:rPr>
                <w:color w:val="1C3A36"/>
                <w:sz w:val="16"/>
              </w:rPr>
              <w:t>5,636</w:t>
            </w:r>
          </w:p>
        </w:tc>
        <w:tc>
          <w:tcPr>
            <w:tcW w:type="dxa" w:w="1037"/>
          </w:tcPr>
          <w:p>
            <w:pPr>
              <w:spacing w:after="20"/>
              <w:jc w:val="right"/>
            </w:pPr>
            <w:r>
              <w:rPr>
                <w:color w:val="1C3A36"/>
                <w:sz w:val="16"/>
              </w:rPr>
              <w:t>6,584</w:t>
            </w:r>
          </w:p>
        </w:tc>
      </w:tr>
      <w:t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8,339</w:t>
            </w:r>
          </w:p>
        </w:tc>
        <w:tc>
          <w:tcPr>
            <w:tcW w:type="dxa" w:w="1037"/>
          </w:tcPr>
          <w:p>
            <w:pPr>
              <w:spacing w:after="20"/>
              <w:jc w:val="right"/>
            </w:pPr>
            <w:r>
              <w:rPr>
                <w:color w:val="1C3A36"/>
                <w:sz w:val="16"/>
              </w:rPr>
              <w:t>8,361</w:t>
            </w:r>
          </w:p>
        </w:tc>
        <w:tc>
          <w:tcPr>
            <w:tcW w:type="dxa" w:w="1037"/>
          </w:tcPr>
          <w:p>
            <w:pPr>
              <w:spacing w:after="20"/>
              <w:jc w:val="right"/>
            </w:pPr>
            <w:r>
              <w:rPr>
                <w:color w:val="1C3A36"/>
                <w:sz w:val="16"/>
              </w:rPr>
              <w:t>8,601</w:t>
            </w:r>
          </w:p>
        </w:tc>
        <w:tc>
          <w:tcPr>
            <w:tcW w:type="dxa" w:w="1037"/>
          </w:tcPr>
          <w:p>
            <w:pPr>
              <w:spacing w:after="20"/>
              <w:jc w:val="right"/>
            </w:pPr>
            <w:r>
              <w:rPr>
                <w:color w:val="1C3A36"/>
                <w:sz w:val="16"/>
              </w:rPr>
              <w:t>8,825</w:t>
            </w:r>
          </w:p>
        </w:tc>
        <w:tc>
          <w:tcPr>
            <w:tcW w:type="dxa" w:w="1037"/>
          </w:tcPr>
          <w:p>
            <w:pPr>
              <w:spacing w:after="20"/>
              <w:jc w:val="right"/>
            </w:pPr>
            <w:r>
              <w:rPr>
                <w:color w:val="1C3A36"/>
                <w:sz w:val="16"/>
              </w:rPr>
              <w:t>9,029</w:t>
            </w:r>
          </w:p>
        </w:tc>
      </w:tr>
      <w:t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15,792</w:t>
            </w:r>
          </w:p>
        </w:tc>
        <w:tc>
          <w:tcPr>
            <w:tcW w:type="dxa" w:w="1037"/>
          </w:tcPr>
          <w:p>
            <w:pPr>
              <w:spacing w:after="20"/>
              <w:jc w:val="right"/>
            </w:pPr>
            <w:r>
              <w:rPr>
                <w:color w:val="1C3A36"/>
                <w:sz w:val="16"/>
              </w:rPr>
              <w:t>15,814</w:t>
            </w:r>
          </w:p>
        </w:tc>
        <w:tc>
          <w:tcPr>
            <w:tcW w:type="dxa" w:w="1037"/>
          </w:tcPr>
          <w:p>
            <w:pPr>
              <w:spacing w:after="20"/>
              <w:jc w:val="right"/>
            </w:pPr>
            <w:r>
              <w:rPr>
                <w:color w:val="1C3A36"/>
                <w:sz w:val="16"/>
              </w:rPr>
              <w:t>16,053</w:t>
            </w:r>
          </w:p>
        </w:tc>
        <w:tc>
          <w:tcPr>
            <w:tcW w:type="dxa" w:w="1037"/>
          </w:tcPr>
          <w:p>
            <w:pPr>
              <w:spacing w:after="20"/>
              <w:jc w:val="right"/>
            </w:pPr>
            <w:r>
              <w:rPr>
                <w:color w:val="1C3A36"/>
                <w:sz w:val="16"/>
              </w:rPr>
              <w:t>16,277</w:t>
            </w:r>
          </w:p>
        </w:tc>
        <w:tc>
          <w:tcPr>
            <w:tcW w:type="dxa" w:w="1037"/>
          </w:tcPr>
          <w:p>
            <w:pPr>
              <w:spacing w:after="20"/>
              <w:jc w:val="right"/>
            </w:pPr>
            <w:r>
              <w:rPr>
                <w:color w:val="1C3A36"/>
                <w:sz w:val="16"/>
              </w:rPr>
              <w:t>16,481</w:t>
            </w:r>
          </w:p>
        </w:tc>
      </w:tr>
      <w:t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4,193</w:t>
            </w:r>
          </w:p>
        </w:tc>
        <w:tc>
          <w:tcPr>
            <w:tcW w:type="dxa" w:w="1037"/>
          </w:tcPr>
          <w:p>
            <w:pPr>
              <w:spacing w:after="20"/>
              <w:jc w:val="right"/>
            </w:pPr>
            <w:r>
              <w:rPr>
                <w:color w:val="1C3A36"/>
                <w:sz w:val="16"/>
              </w:rPr>
              <w:t>4,809</w:t>
            </w:r>
          </w:p>
        </w:tc>
        <w:tc>
          <w:tcPr>
            <w:tcW w:type="dxa" w:w="1037"/>
          </w:tcPr>
          <w:p>
            <w:pPr>
              <w:spacing w:after="20"/>
              <w:jc w:val="right"/>
            </w:pPr>
            <w:r>
              <w:rPr>
                <w:color w:val="1C3A36"/>
                <w:sz w:val="16"/>
              </w:rPr>
              <w:t>5,618</w:t>
            </w:r>
          </w:p>
        </w:tc>
        <w:tc>
          <w:tcPr>
            <w:tcW w:type="dxa" w:w="1037"/>
          </w:tcPr>
          <w:p>
            <w:pPr>
              <w:spacing w:after="20"/>
              <w:jc w:val="right"/>
            </w:pPr>
            <w:r>
              <w:rPr>
                <w:color w:val="1C3A36"/>
                <w:sz w:val="16"/>
              </w:rPr>
              <w:t>6,606</w:t>
            </w:r>
          </w:p>
        </w:tc>
        <w:tc>
          <w:tcPr>
            <w:tcW w:type="dxa" w:w="1037"/>
          </w:tcPr>
          <w:p>
            <w:pPr>
              <w:spacing w:after="20"/>
              <w:jc w:val="right"/>
            </w:pPr>
            <w:r>
              <w:rPr>
                <w:color w:val="1C3A36"/>
                <w:sz w:val="16"/>
              </w:rPr>
              <w:t>7,767</w:t>
            </w:r>
          </w:p>
        </w:tc>
      </w:tr>
      <w:t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3,203</w:t>
            </w:r>
          </w:p>
        </w:tc>
        <w:tc>
          <w:tcPr>
            <w:tcW w:type="dxa" w:w="1037"/>
          </w:tcPr>
          <w:p>
            <w:pPr>
              <w:spacing w:after="20"/>
              <w:jc w:val="right"/>
            </w:pPr>
            <w:r>
              <w:rPr>
                <w:color w:val="1C3A36"/>
                <w:sz w:val="16"/>
              </w:rPr>
              <w:t>2,772</w:t>
            </w:r>
          </w:p>
        </w:tc>
        <w:tc>
          <w:tcPr>
            <w:tcW w:type="dxa" w:w="1037"/>
          </w:tcPr>
          <w:p>
            <w:pPr>
              <w:spacing w:after="20"/>
              <w:jc w:val="right"/>
            </w:pPr>
            <w:r>
              <w:rPr>
                <w:color w:val="1C3A36"/>
                <w:sz w:val="16"/>
              </w:rPr>
              <w:t>2,148</w:t>
            </w:r>
          </w:p>
        </w:tc>
        <w:tc>
          <w:tcPr>
            <w:tcW w:type="dxa" w:w="1037"/>
          </w:tcPr>
          <w:p>
            <w:pPr>
              <w:spacing w:after="20"/>
              <w:jc w:val="right"/>
            </w:pPr>
            <w:r>
              <w:rPr>
                <w:color w:val="1C3A36"/>
                <w:sz w:val="16"/>
              </w:rPr>
              <w:t>1,357</w:t>
            </w:r>
          </w:p>
        </w:tc>
        <w:tc>
          <w:tcPr>
            <w:tcW w:type="dxa" w:w="1037"/>
          </w:tcPr>
          <w:p>
            <w:pPr>
              <w:spacing w:after="20"/>
              <w:jc w:val="right"/>
            </w:pPr>
            <w:r>
              <w:rPr>
                <w:color w:val="1C3A36"/>
                <w:sz w:val="16"/>
              </w:rPr>
              <w:t>409</w:t>
            </w:r>
          </w:p>
        </w:tc>
      </w:tr>
      <w:t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0.34</w:t>
            </w:r>
          </w:p>
        </w:tc>
        <w:tc>
          <w:tcPr>
            <w:tcW w:type="dxa" w:w="1037"/>
          </w:tcPr>
          <w:p>
            <w:pPr>
              <w:spacing w:after="20"/>
              <w:jc w:val="right"/>
            </w:pPr>
            <w:r>
              <w:rPr>
                <w:color w:val="1C3A36"/>
                <w:sz w:val="16"/>
              </w:rPr>
              <w:t>0.38</w:t>
            </w:r>
          </w:p>
        </w:tc>
        <w:tc>
          <w:tcPr>
            <w:tcW w:type="dxa" w:w="1037"/>
          </w:tcPr>
          <w:p>
            <w:pPr>
              <w:spacing w:after="20"/>
              <w:jc w:val="right"/>
            </w:pPr>
            <w:r>
              <w:rPr>
                <w:color w:val="1C3A36"/>
                <w:sz w:val="16"/>
              </w:rPr>
              <w:t>0.45</w:t>
            </w:r>
          </w:p>
        </w:tc>
        <w:tc>
          <w:tcPr>
            <w:tcW w:type="dxa" w:w="1037"/>
          </w:tcPr>
          <w:p>
            <w:pPr>
              <w:spacing w:after="20"/>
              <w:jc w:val="right"/>
            </w:pPr>
            <w:r>
              <w:rPr>
                <w:color w:val="1C3A36"/>
                <w:sz w:val="16"/>
              </w:rPr>
              <w:t>0.53</w:t>
            </w:r>
          </w:p>
        </w:tc>
        <w:tc>
          <w:tcPr>
            <w:tcW w:type="dxa" w:w="1037"/>
          </w:tcPr>
          <w:p>
            <w:pPr>
              <w:spacing w:after="20"/>
              <w:jc w:val="right"/>
            </w:pPr>
            <w:r>
              <w:rPr>
                <w:color w:val="1C3A36"/>
                <w:sz w:val="16"/>
              </w:rPr>
              <w:t>0.62</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-2,273</w:t>
            </w:r>
          </w:p>
        </w:tc>
        <w:tc>
          <w:tcPr>
            <w:tcW w:type="dxa" w:w="950"/>
          </w:tcPr>
          <w:p>
            <w:pPr>
              <w:spacing w:after="20"/>
              <w:jc w:val="right"/>
            </w:pPr>
            <w:r>
              <w:rPr>
                <w:color w:val="1C3A36"/>
                <w:sz w:val="16"/>
              </w:rPr>
              <w:t>-2,318</w:t>
            </w:r>
          </w:p>
        </w:tc>
        <w:tc>
          <w:tcPr>
            <w:tcW w:type="dxa" w:w="950"/>
          </w:tcPr>
          <w:p>
            <w:pPr>
              <w:spacing w:after="20"/>
              <w:jc w:val="right"/>
            </w:pPr>
            <w:r>
              <w:rPr>
                <w:color w:val="1C3A36"/>
                <w:sz w:val="16"/>
              </w:rPr>
              <w:t>-2,371</w:t>
            </w:r>
          </w:p>
        </w:tc>
        <w:tc>
          <w:tcPr>
            <w:tcW w:type="dxa" w:w="950"/>
          </w:tcPr>
          <w:p>
            <w:pPr>
              <w:spacing w:after="20"/>
              <w:jc w:val="right"/>
            </w:pPr>
            <w:r>
              <w:rPr>
                <w:color w:val="1C3A36"/>
                <w:sz w:val="16"/>
              </w:rPr>
              <w:t>-2,420</w:t>
            </w:r>
          </w:p>
        </w:tc>
        <w:tc>
          <w:tcPr>
            <w:tcW w:type="dxa" w:w="950"/>
          </w:tcPr>
          <w:p>
            <w:pPr>
              <w:spacing w:after="20"/>
              <w:jc w:val="right"/>
            </w:pPr>
            <w:r>
              <w:rPr>
                <w:color w:val="1C3A36"/>
                <w:sz w:val="16"/>
              </w:rPr>
              <w:t>-2,461</w:t>
            </w:r>
          </w:p>
        </w:tc>
      </w:tr>
      <w:t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-476</w:t>
            </w:r>
          </w:p>
        </w:tc>
        <w:tc>
          <w:tcPr>
            <w:tcW w:type="dxa" w:w="950"/>
          </w:tcPr>
          <w:p>
            <w:pPr>
              <w:spacing w:after="20"/>
              <w:jc w:val="right"/>
            </w:pPr>
            <w:r>
              <w:rPr>
                <w:color w:val="1C3A36"/>
                <w:sz w:val="16"/>
              </w:rPr>
              <w:t>-45</w:t>
            </w:r>
          </w:p>
        </w:tc>
        <w:tc>
          <w:tcPr>
            <w:tcW w:type="dxa" w:w="950"/>
          </w:tcPr>
          <w:p>
            <w:pPr>
              <w:spacing w:after="20"/>
              <w:jc w:val="right"/>
            </w:pPr>
            <w:r>
              <w:rPr>
                <w:color w:val="1C3A36"/>
                <w:sz w:val="16"/>
              </w:rPr>
              <w:t>-53</w:t>
            </w:r>
          </w:p>
        </w:tc>
        <w:tc>
          <w:tcPr>
            <w:tcW w:type="dxa" w:w="950"/>
          </w:tcPr>
          <w:p>
            <w:pPr>
              <w:spacing w:after="20"/>
              <w:jc w:val="right"/>
            </w:pPr>
            <w:r>
              <w:rPr>
                <w:color w:val="1C3A36"/>
                <w:sz w:val="16"/>
              </w:rPr>
              <w:t>-49</w:t>
            </w:r>
          </w:p>
        </w:tc>
        <w:tc>
          <w:tcPr>
            <w:tcW w:type="dxa" w:w="950"/>
          </w:tcPr>
          <w:p>
            <w:pPr>
              <w:spacing w:after="20"/>
              <w:jc w:val="right"/>
            </w:pPr>
            <w:r>
              <w:rPr>
                <w:color w:val="1C3A36"/>
                <w:sz w:val="16"/>
              </w:rPr>
              <w:t>-42</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4,866</w:t>
            </w:r>
          </w:p>
        </w:tc>
        <w:tc>
          <w:tcPr>
            <w:tcW w:type="dxa" w:w="1037"/>
          </w:tcPr>
          <w:p>
            <w:pPr>
              <w:spacing w:after="20"/>
              <w:jc w:val="right"/>
            </w:pPr>
            <w:r>
              <w:rPr>
                <w:color w:val="1C3A36"/>
                <w:sz w:val="16"/>
              </w:rPr>
              <w:t>4,119</w:t>
            </w:r>
          </w:p>
        </w:tc>
        <w:tc>
          <w:tcPr>
            <w:tcW w:type="dxa" w:w="1037"/>
          </w:tcPr>
          <w:p>
            <w:pPr>
              <w:spacing w:after="20"/>
              <w:jc w:val="right"/>
            </w:pPr>
            <w:r>
              <w:rPr>
                <w:color w:val="1C3A36"/>
                <w:sz w:val="16"/>
              </w:rPr>
              <w:t>4,353</w:t>
            </w:r>
          </w:p>
        </w:tc>
        <w:tc>
          <w:tcPr>
            <w:tcW w:type="dxa" w:w="1037"/>
          </w:tcPr>
          <w:p>
            <w:pPr>
              <w:spacing w:after="20"/>
              <w:jc w:val="right"/>
            </w:pPr>
            <w:r>
              <w:rPr>
                <w:color w:val="1C3A36"/>
                <w:sz w:val="16"/>
              </w:rPr>
              <w:t>4,559</w:t>
            </w:r>
          </w:p>
        </w:tc>
        <w:tc>
          <w:tcPr>
            <w:tcW w:type="dxa" w:w="1037"/>
          </w:tcPr>
          <w:p>
            <w:pPr>
              <w:spacing w:after="20"/>
              <w:jc w:val="right"/>
            </w:pPr>
            <w:r>
              <w:rPr>
                <w:color w:val="1C3A36"/>
                <w:sz w:val="16"/>
              </w:rPr>
              <w:t>4,756</w:t>
            </w:r>
          </w:p>
        </w:tc>
      </w:tr>
      <w:t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(1,010)</w:t>
            </w:r>
          </w:p>
        </w:tc>
        <w:tc>
          <w:tcPr>
            <w:tcW w:type="dxa" w:w="1037"/>
          </w:tcPr>
          <w:p>
            <w:pPr>
              <w:spacing w:after="20"/>
              <w:jc w:val="right"/>
            </w:pPr>
            <w:r>
              <w:rPr>
                <w:color w:val="1C3A36"/>
                <w:sz w:val="16"/>
              </w:rPr>
              <w:t>(1,060)</w:t>
            </w:r>
          </w:p>
        </w:tc>
        <w:tc>
          <w:tcPr>
            <w:tcW w:type="dxa" w:w="1037"/>
          </w:tcPr>
          <w:p>
            <w:pPr>
              <w:spacing w:after="20"/>
              <w:jc w:val="right"/>
            </w:pPr>
            <w:r>
              <w:rPr>
                <w:color w:val="1C3A36"/>
                <w:sz w:val="16"/>
              </w:rPr>
              <w:t>(1,100)</w:t>
            </w:r>
          </w:p>
        </w:tc>
        <w:tc>
          <w:tcPr>
            <w:tcW w:type="dxa" w:w="1037"/>
          </w:tcPr>
          <w:p>
            <w:pPr>
              <w:spacing w:after="20"/>
              <w:jc w:val="right"/>
            </w:pPr>
            <w:r>
              <w:rPr>
                <w:color w:val="1C3A36"/>
                <w:sz w:val="16"/>
              </w:rPr>
              <w:t>(1,140)</w:t>
            </w:r>
          </w:p>
        </w:tc>
        <w:tc>
          <w:tcPr>
            <w:tcW w:type="dxa" w:w="1037"/>
          </w:tcPr>
          <w:p>
            <w:pPr>
              <w:spacing w:after="20"/>
              <w:jc w:val="right"/>
            </w:pPr>
            <w:r>
              <w:rPr>
                <w:color w:val="1C3A36"/>
                <w:sz w:val="16"/>
              </w:rPr>
              <w:t>(1,180)</w:t>
            </w:r>
          </w:p>
        </w:tc>
      </w:tr>
      <w:t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3,856</w:t>
            </w:r>
          </w:p>
        </w:tc>
        <w:tc>
          <w:tcPr>
            <w:tcW w:type="dxa" w:w="1037"/>
          </w:tcPr>
          <w:p>
            <w:pPr>
              <w:spacing w:after="20"/>
              <w:jc w:val="right"/>
            </w:pPr>
            <w:r>
              <w:rPr>
                <w:color w:val="1C3A36"/>
                <w:sz w:val="16"/>
              </w:rPr>
              <w:t>3,059</w:t>
            </w:r>
          </w:p>
        </w:tc>
        <w:tc>
          <w:tcPr>
            <w:tcW w:type="dxa" w:w="1037"/>
          </w:tcPr>
          <w:p>
            <w:pPr>
              <w:spacing w:after="20"/>
              <w:jc w:val="right"/>
            </w:pPr>
            <w:r>
              <w:rPr>
                <w:color w:val="1C3A36"/>
                <w:sz w:val="16"/>
              </w:rPr>
              <w:t>3,253</w:t>
            </w:r>
          </w:p>
        </w:tc>
        <w:tc>
          <w:tcPr>
            <w:tcW w:type="dxa" w:w="1037"/>
          </w:tcPr>
          <w:p>
            <w:pPr>
              <w:spacing w:after="20"/>
              <w:jc w:val="right"/>
            </w:pPr>
            <w:r>
              <w:rPr>
                <w:color w:val="1C3A36"/>
                <w:sz w:val="16"/>
              </w:rPr>
              <w:t>3,419</w:t>
            </w:r>
          </w:p>
        </w:tc>
        <w:tc>
          <w:tcPr>
            <w:tcW w:type="dxa" w:w="1037"/>
          </w:tcPr>
          <w:p>
            <w:pPr>
              <w:spacing w:after="20"/>
              <w:jc w:val="right"/>
            </w:pPr>
            <w:r>
              <w:rPr>
                <w:color w:val="1C3A36"/>
                <w:sz w:val="16"/>
              </w:rPr>
              <w:t>3,576</w:t>
            </w:r>
          </w:p>
        </w:tc>
      </w:tr>
      <w:t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4,154</w:t>
            </w:r>
          </w:p>
        </w:tc>
        <w:tc>
          <w:tcPr>
            <w:tcW w:type="dxa" w:w="1037"/>
            <w:shd w:val="clear" w:color="auto" w:fill="F6F1E6"/>
          </w:tcPr>
          <w:p>
            <w:pPr>
              <w:spacing w:after="20"/>
              <w:jc w:val="right"/>
            </w:pPr>
            <w:r>
              <w:rPr>
                <w:b/>
                <w:color w:val="1C3A36"/>
                <w:sz w:val="16"/>
              </w:rPr>
              <w:t>3,357</w:t>
            </w:r>
          </w:p>
        </w:tc>
        <w:tc>
          <w:tcPr>
            <w:tcW w:type="dxa" w:w="1037"/>
            <w:shd w:val="clear" w:color="auto" w:fill="F6F1E6"/>
          </w:tcPr>
          <w:p>
            <w:pPr>
              <w:spacing w:after="20"/>
              <w:jc w:val="right"/>
            </w:pPr>
            <w:r>
              <w:rPr>
                <w:b/>
                <w:color w:val="1C3A36"/>
                <w:sz w:val="16"/>
              </w:rPr>
              <w:t>3,551</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3,874</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c>
          <w:tcPr>
            <w:tcW w:type="dxa" w:w="2664"/>
          </w:tcPr>
          <w:p>
            <w:pPr>
              <w:spacing w:after="20"/>
            </w:pPr>
            <w:r>
              <w:rPr>
                <w:color w:val="1C3A36"/>
                <w:sz w:val="16"/>
              </w:rPr>
              <w:t>Permanent volume decline</w:t>
            </w:r>
          </w:p>
        </w:tc>
        <w:tc>
          <w:tcPr>
            <w:tcW w:type="dxa" w:w="5112"/>
          </w:tcPr>
          <w:p>
            <w:pPr>
              <w:spacing w:after="20"/>
              <w:jc w:val="right"/>
            </w:pPr>
            <w:r>
              <w:rPr>
                <w:color w:val="1C3A36"/>
                <w:sz w:val="16"/>
              </w:rPr>
              <w:t>the risk the market is already pricing. Section 1.7 shows the traded price embeds -0.15% terminal growth</w:t>
            </w:r>
          </w:p>
        </w:tc>
        <w:tc>
          <w:tcPr>
            <w:tcW w:type="dxa" w:w="1368"/>
          </w:tcPr>
          <w:p>
            <w:pPr>
              <w:spacing w:after="20"/>
              <w:jc w:val="right"/>
            </w:pPr>
            <w:r>
              <w:rPr>
                <w:color w:val="1C3A36"/>
                <w:sz w:val="16"/>
              </w:rPr>
              <w:t>High</w:t>
            </w:r>
          </w:p>
        </w:tc>
      </w:tr>
      <w:t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0.28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55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979"/>
        <w:gridCol w:w="4104"/>
        <w:gridCol w:w="2160"/>
        <w:gridCol w:w="1037"/>
      </w:tblGrid>
      <w:t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979"/>
            <w:shd w:val="clear" w:color="auto" w:fill="EAF0EE"/>
          </w:tcPr>
          <w:p>
            <w:pPr>
              <w:spacing w:after="20"/>
            </w:pPr>
            <w:r>
              <w:rPr>
                <w:b/>
                <w:color w:val="1C3A36"/>
                <w:sz w:val="14"/>
              </w:rPr>
              <w:t>Use</w:t>
            </w:r>
          </w:p>
        </w:tc>
        <w:tc>
          <w:tcPr>
            <w:tcW w:type="dxa" w:w="4104"/>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Saudi Automotive Services Company / SASCO (Tadawul: 4050) — CROSS-CHECK ONLY — Market cap SAR 2.66bn; enterprise value SAR 7.27bn; trailing P/E 73.32;…</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Alimentation Couche-Tard (TSX: ATD) — CROSS-CHECK ONLY — Market cap CAD 85.65bn; enterprise value CAD 104.17bn; trailing P/E 20.23; forward P/E 20.19;…</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Casey's General Stores (NASDAQ: CASY) — CROSS-CHECK ONLY — Market cap USD 30.86bn; enterprise value USD 33.24bn; trailing P/E 43.53; forward P/E 39.11;…</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Murphy USA (NYSE: MUSA) — CROSS-CHECK ONLY — Market cap USD 9.56bn; enterprise value USD 12.12bn; trailing P/E 15.88; forward P/E 17.22; EV/EBITDA 10.03;…</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OMV Petrom (BVB: SNP) — CROSS-CHECK ONLY — Market cap RON 79.14bn; enterprise value RON 75.63bn; trailing P/E 28.56; forward P/E 14.61; EV/EBITDA 9.91;…</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Vibra Energia (B3: VBBR3) — CROSS-CHECK ONLY — Market cap BRL 40.82bn; enterprise value BRL 59.81bn; trailing P/E 13.79; forward P/E 6.34; EV/EBITDA 7.70;…</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Ultrapar Participacoes (NYSE: UGP, ADR of UGPA3) — CROSS-CHECK ONLY — Market cap USD 6.56bn; enterprise value USD 9.71bn; trailing P/E 11.43; forward P/E…</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Sell-side / analyst commentary — CROSS-CHECK ONLY, NEVER A BUILD SOURCE — Sixteen analysts covering ADNOC Distribution carry a consensus 'Buy' rating with an average…</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bl>
    <w:p>
      <w:pPr>
        <w:spacing w:after="40"/>
      </w:pPr>
    </w:p>
    <w:p>
      <w:pPr>
        <w:spacing w:after="200" w:before="0"/>
      </w:pPr>
      <w:r>
        <w:rPr>
          <w:b w:val="0"/>
          <w:i/>
          <w:color w:val="6E7B77"/>
          <w:sz w:val="17"/>
        </w:rPr>
        <w:t>Table 37 — the full external research record: 55 items, of which 23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STOP-AND-INFORM candidate. Read the tax note and any DMTT disclosure from the audited FY2025 statements and H1-2026 interims before fixing the forecast tax rate. Treat 9% vs 15% as a dual-framing candidate if the filings leave…</w:t>
            </w:r>
          </w:p>
        </w:tc>
      </w:tr>
      <w:t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Per SIGCM clause 3, read the full balance-sheet debt from the filings and split local-currency versus foreign-currency tranches. Build Kd marginal and in AED, above the 4.48% sovereign.</w:t>
            </w:r>
          </w:p>
        </w:tc>
      </w:tr>
      <w:t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risk register. None is individually load-bearing, but the volume driver should not lean on the stale parc figure without the reconciliation described in C-04.</w:t>
            </w:r>
          </w:p>
        </w:tc>
      </w:tr>
      <w:t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76.1%,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 — Frame A</w:t>
            </w:r>
          </w:p>
        </w:tc>
        <w:tc>
          <w:tcPr>
            <w:tcW w:type="dxa" w:w="2448"/>
            <w:shd w:val="clear" w:color="auto" w:fill="EAF0EE"/>
          </w:tcPr>
          <w:p>
            <w:pPr>
              <w:spacing w:after="20"/>
            </w:pPr>
            <w:r>
              <w:rPr>
                <w:b/>
                <w:color w:val="1C3A36"/>
                <w:sz w:val="17"/>
              </w:rPr>
              <w:t>AED million</w:t>
            </w:r>
          </w:p>
        </w:tc>
      </w:tr>
      <w:tr>
        <w:tc>
          <w:tcPr>
            <w:tcW w:type="dxa" w:w="6624"/>
          </w:tcPr>
          <w:p>
            <w:pPr>
              <w:spacing w:after="20"/>
            </w:pPr>
            <w:r>
              <w:rPr>
                <w:color w:val="1C3A36"/>
                <w:sz w:val="17"/>
              </w:rPr>
              <w:t>Free cash flow to the firm, FY2026</w:t>
            </w:r>
          </w:p>
        </w:tc>
        <w:tc>
          <w:tcPr>
            <w:tcW w:type="dxa" w:w="2448"/>
          </w:tcPr>
          <w:p>
            <w:pPr>
              <w:spacing w:after="20"/>
              <w:jc w:val="right"/>
            </w:pPr>
            <w:r>
              <w:rPr>
                <w:color w:val="1C3A36"/>
                <w:sz w:val="17"/>
              </w:rPr>
              <w:t>4,154</w:t>
            </w:r>
          </w:p>
        </w:tc>
      </w:tr>
      <w:tr>
        <w:tc>
          <w:tcPr>
            <w:tcW w:type="dxa" w:w="6624"/>
          </w:tcPr>
          <w:p>
            <w:pPr>
              <w:spacing w:after="20"/>
            </w:pPr>
            <w:r>
              <w:rPr>
                <w:color w:val="1C3A36"/>
                <w:sz w:val="17"/>
              </w:rPr>
              <w:t>Free cash flow to the firm, FY2027</w:t>
            </w:r>
          </w:p>
        </w:tc>
        <w:tc>
          <w:tcPr>
            <w:tcW w:type="dxa" w:w="2448"/>
          </w:tcPr>
          <w:p>
            <w:pPr>
              <w:spacing w:after="20"/>
              <w:jc w:val="right"/>
            </w:pPr>
            <w:r>
              <w:rPr>
                <w:color w:val="1C3A36"/>
                <w:sz w:val="17"/>
              </w:rPr>
              <w:t>3,357</w:t>
            </w:r>
          </w:p>
        </w:tc>
      </w:tr>
      <w:tr>
        <w:tc>
          <w:tcPr>
            <w:tcW w:type="dxa" w:w="6624"/>
          </w:tcPr>
          <w:p>
            <w:pPr>
              <w:spacing w:after="20"/>
            </w:pPr>
            <w:r>
              <w:rPr>
                <w:color w:val="1C3A36"/>
                <w:sz w:val="17"/>
              </w:rPr>
              <w:t>Free cash flow to the firm, FY2028</w:t>
            </w:r>
          </w:p>
        </w:tc>
        <w:tc>
          <w:tcPr>
            <w:tcW w:type="dxa" w:w="2448"/>
          </w:tcPr>
          <w:p>
            <w:pPr>
              <w:spacing w:after="20"/>
              <w:jc w:val="right"/>
            </w:pPr>
            <w:r>
              <w:rPr>
                <w:color w:val="1C3A36"/>
                <w:sz w:val="17"/>
              </w:rPr>
              <w:t>3,551</w:t>
            </w:r>
          </w:p>
        </w:tc>
      </w:tr>
      <w:tr>
        <w:tc>
          <w:tcPr>
            <w:tcW w:type="dxa" w:w="6624"/>
          </w:tcPr>
          <w:p>
            <w:pPr>
              <w:spacing w:after="20"/>
            </w:pPr>
            <w:r>
              <w:rPr>
                <w:color w:val="1C3A36"/>
                <w:sz w:val="17"/>
              </w:rPr>
              <w:t>Free cash flow to the firm, FY2029</w:t>
            </w:r>
          </w:p>
        </w:tc>
        <w:tc>
          <w:tcPr>
            <w:tcW w:type="dxa" w:w="2448"/>
          </w:tcPr>
          <w:p>
            <w:pPr>
              <w:spacing w:after="20"/>
              <w:jc w:val="right"/>
            </w:pPr>
            <w:r>
              <w:rPr>
                <w:color w:val="1C3A36"/>
                <w:sz w:val="17"/>
              </w:rPr>
              <w:t>3,717</w:t>
            </w:r>
          </w:p>
        </w:tc>
      </w:tr>
      <w:tr>
        <w:tc>
          <w:tcPr>
            <w:tcW w:type="dxa" w:w="6624"/>
          </w:tcPr>
          <w:p>
            <w:pPr>
              <w:spacing w:after="20"/>
            </w:pPr>
            <w:r>
              <w:rPr>
                <w:color w:val="1C3A36"/>
                <w:sz w:val="17"/>
              </w:rPr>
              <w:t>Free cash flow to the firm, FY2030</w:t>
            </w:r>
          </w:p>
        </w:tc>
        <w:tc>
          <w:tcPr>
            <w:tcW w:type="dxa" w:w="2448"/>
          </w:tcPr>
          <w:p>
            <w:pPr>
              <w:spacing w:after="20"/>
              <w:jc w:val="right"/>
            </w:pPr>
            <w:r>
              <w:rPr>
                <w:color w:val="1C3A36"/>
                <w:sz w:val="17"/>
              </w:rPr>
              <w:t>3,874</w:t>
            </w:r>
          </w:p>
        </w:tc>
      </w:tr>
      <w:tr>
        <w:tc>
          <w:tcPr>
            <w:tcW w:type="dxa" w:w="6624"/>
          </w:tcPr>
          <w:p>
            <w:pPr>
              <w:spacing w:after="20"/>
            </w:pPr>
            <w:r>
              <w:rPr>
                <w:color w:val="1C3A36"/>
                <w:sz w:val="17"/>
              </w:rPr>
              <w:t>Present value of the five years at 6.58% rising to 7.18%</w:t>
            </w:r>
          </w:p>
        </w:tc>
        <w:tc>
          <w:tcPr>
            <w:tcW w:type="dxa" w:w="2448"/>
          </w:tcPr>
          <w:p>
            <w:pPr>
              <w:spacing w:after="20"/>
              <w:jc w:val="right"/>
            </w:pPr>
            <w:r>
              <w:rPr>
                <w:color w:val="1C3A36"/>
                <w:sz w:val="17"/>
              </w:rPr>
              <w:t>15,403</w:t>
            </w:r>
          </w:p>
        </w:tc>
      </w:tr>
      <w:tr>
        <w:tc>
          <w:tcPr>
            <w:tcW w:type="dxa" w:w="6624"/>
          </w:tcPr>
          <w:p>
            <w:pPr>
              <w:spacing w:after="20"/>
            </w:pPr>
            <w:r>
              <w:rPr>
                <w:color w:val="1C3A36"/>
                <w:sz w:val="17"/>
              </w:rPr>
              <w:t>Terminal NOPAT</w:t>
            </w:r>
          </w:p>
        </w:tc>
        <w:tc>
          <w:tcPr>
            <w:tcW w:type="dxa" w:w="2448"/>
          </w:tcPr>
          <w:p>
            <w:pPr>
              <w:spacing w:after="20"/>
              <w:jc w:val="right"/>
            </w:pPr>
            <w:r>
              <w:rPr>
                <w:color w:val="1C3A36"/>
                <w:sz w:val="17"/>
              </w:rPr>
              <w:t>4,148</w:t>
            </w:r>
          </w:p>
        </w:tc>
      </w:tr>
      <w:tr>
        <w:tc>
          <w:tcPr>
            <w:tcW w:type="dxa" w:w="6624"/>
          </w:tcPr>
          <w:p>
            <w:pPr>
              <w:spacing w:after="20"/>
            </w:pPr>
            <w:r>
              <w:rPr>
                <w:color w:val="1C3A36"/>
                <w:sz w:val="17"/>
              </w:rPr>
              <w:t>Less terminal reinvestment at growth ÷ return on capital = 1.5% ÷ 25% = 6.0%</w:t>
            </w:r>
          </w:p>
        </w:tc>
        <w:tc>
          <w:tcPr>
            <w:tcW w:type="dxa" w:w="2448"/>
          </w:tcPr>
          <w:p>
            <w:pPr>
              <w:spacing w:after="20"/>
              <w:jc w:val="right"/>
            </w:pPr>
            <w:r>
              <w:rPr>
                <w:color w:val="1C3A36"/>
                <w:sz w:val="17"/>
              </w:rPr>
              <w:t>(249)</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3,899</w:t>
            </w:r>
          </w:p>
        </w:tc>
      </w:tr>
      <w:tr>
        <w:tc>
          <w:tcPr>
            <w:tcW w:type="dxa" w:w="6624"/>
            <w:shd w:val="clear" w:color="auto" w:fill="F6F1E6"/>
          </w:tcPr>
          <w:p>
            <w:pPr>
              <w:spacing w:after="20"/>
            </w:pPr>
            <w:r>
              <w:rPr>
                <w:b/>
                <w:color w:val="1C3A36"/>
                <w:sz w:val="17"/>
              </w:rPr>
              <w:t>Divided by (7.18% − 1.5%) = 5.68%</w:t>
            </w:r>
          </w:p>
        </w:tc>
        <w:tc>
          <w:tcPr>
            <w:tcW w:type="dxa" w:w="2448"/>
            <w:shd w:val="clear" w:color="auto" w:fill="F6F1E6"/>
          </w:tcPr>
          <w:p>
            <w:pPr>
              <w:spacing w:after="20"/>
              <w:jc w:val="right"/>
            </w:pPr>
            <w:r>
              <w:rPr>
                <w:b/>
                <w:color w:val="1C3A36"/>
                <w:sz w:val="17"/>
              </w:rPr>
              <w:t>68,592</w:t>
            </w:r>
          </w:p>
        </w:tc>
      </w:tr>
      <w:tr>
        <w:tc>
          <w:tcPr>
            <w:tcW w:type="dxa" w:w="6624"/>
          </w:tcPr>
          <w:p>
            <w:pPr>
              <w:spacing w:after="20"/>
            </w:pPr>
            <w:r>
              <w:rPr>
                <w:color w:val="1C3A36"/>
                <w:sz w:val="17"/>
              </w:rPr>
              <w:t>Discounted back at the terminal-year factor</w:t>
            </w:r>
          </w:p>
        </w:tc>
        <w:tc>
          <w:tcPr>
            <w:tcW w:type="dxa" w:w="2448"/>
          </w:tcPr>
          <w:p>
            <w:pPr>
              <w:spacing w:after="20"/>
              <w:jc w:val="right"/>
            </w:pPr>
            <w:r>
              <w:rPr>
                <w:color w:val="1C3A36"/>
                <w:sz w:val="17"/>
              </w:rPr>
              <w:t>49,172</w:t>
            </w:r>
          </w:p>
        </w:tc>
      </w:tr>
      <w:tr>
        <w:tc>
          <w:tcPr>
            <w:tcW w:type="dxa" w:w="6624"/>
          </w:tcPr>
          <w:p>
            <w:pPr>
              <w:spacing w:after="20"/>
            </w:pPr>
            <w:r>
              <w:rPr>
                <w:color w:val="1C3A36"/>
                <w:sz w:val="17"/>
              </w:rPr>
              <w:t>ENTERPRISE VALUE</w:t>
            </w:r>
          </w:p>
        </w:tc>
        <w:tc>
          <w:tcPr>
            <w:tcW w:type="dxa" w:w="2448"/>
          </w:tcPr>
          <w:p>
            <w:pPr>
              <w:spacing w:after="20"/>
              <w:jc w:val="right"/>
            </w:pPr>
            <w:r>
              <w:rPr>
                <w:color w:val="1C3A36"/>
                <w:sz w:val="17"/>
              </w:rPr>
              <w:t>64,575</w:t>
            </w:r>
          </w:p>
        </w:tc>
      </w:tr>
      <w:tr>
        <w:tc>
          <w:tcPr>
            <w:tcW w:type="dxa" w:w="6624"/>
            <w:shd w:val="clear" w:color="auto" w:fill="F6F1E6"/>
          </w:tcPr>
          <w:p>
            <w:pPr>
              <w:spacing w:after="20"/>
            </w:pPr>
            <w:r>
              <w:rPr>
                <w:b/>
                <w:color w:val="1C3A36"/>
                <w:sz w:val="17"/>
              </w:rPr>
              <w:t>Less net debt, leases and minorities</w:t>
            </w:r>
          </w:p>
        </w:tc>
        <w:tc>
          <w:tcPr>
            <w:tcW w:type="dxa" w:w="2448"/>
            <w:shd w:val="clear" w:color="auto" w:fill="F6F1E6"/>
          </w:tcPr>
          <w:p>
            <w:pPr>
              <w:spacing w:after="20"/>
              <w:jc w:val="right"/>
            </w:pPr>
            <w:r>
              <w:rPr>
                <w:b/>
                <w:color w:val="1C3A36"/>
                <w:sz w:val="17"/>
              </w:rPr>
              <w:t>(4,662)</w:t>
            </w:r>
          </w:p>
        </w:tc>
      </w:tr>
      <w:tr>
        <w:tc>
          <w:tcPr>
            <w:tcW w:type="dxa" w:w="6624"/>
            <w:shd w:val="clear" w:color="auto" w:fill="F6F1E6"/>
          </w:tcPr>
          <w:p>
            <w:pPr>
              <w:spacing w:after="20"/>
            </w:pPr>
            <w:r>
              <w:rPr>
                <w:b/>
                <w:color w:val="1C3A36"/>
                <w:sz w:val="17"/>
              </w:rPr>
              <w:t>Equity value</w:t>
            </w:r>
          </w:p>
        </w:tc>
        <w:tc>
          <w:tcPr>
            <w:tcW w:type="dxa" w:w="2448"/>
            <w:shd w:val="clear" w:color="auto" w:fill="F6F1E6"/>
          </w:tcPr>
          <w:p>
            <w:pPr>
              <w:spacing w:after="20"/>
              <w:jc w:val="right"/>
            </w:pPr>
            <w:r>
              <w:rPr>
                <w:b/>
                <w:color w:val="1C3A36"/>
                <w:sz w:val="17"/>
              </w:rPr>
              <w:t>59,913</w:t>
            </w:r>
          </w:p>
        </w:tc>
      </w:tr>
      <w:tr>
        <w:tc>
          <w:tcPr>
            <w:tcW w:type="dxa" w:w="6624"/>
          </w:tcPr>
          <w:p>
            <w:pPr>
              <w:spacing w:after="20"/>
            </w:pPr>
            <w:r>
              <w:rPr>
                <w:color w:val="1C3A36"/>
                <w:sz w:val="17"/>
              </w:rPr>
              <w:t>VALUE PER SHARE (AED)</w:t>
            </w:r>
          </w:p>
        </w:tc>
        <w:tc>
          <w:tcPr>
            <w:tcW w:type="dxa" w:w="2448"/>
          </w:tcPr>
          <w:p>
            <w:pPr>
              <w:spacing w:after="20"/>
              <w:jc w:val="right"/>
            </w:pPr>
            <w:r>
              <w:rPr>
                <w:color w:val="1C3A36"/>
                <w:sz w:val="17"/>
              </w:rPr>
              <w:t>4.79</w:t>
            </w:r>
          </w:p>
        </w:tc>
      </w:tr>
      <w:tr>
        <w:tc>
          <w:tcPr>
            <w:tcW w:type="dxa" w:w="6624"/>
          </w:tcPr>
          <w:p>
            <w:pPr>
              <w:spacing w:after="20"/>
            </w:pPr>
            <w:r>
              <w:rPr>
                <w:color w:val="1C3A36"/>
                <w:sz w:val="17"/>
              </w:rPr>
              <w:t>The same working on Frame B (AED)</w:t>
            </w:r>
          </w:p>
        </w:tc>
        <w:tc>
          <w:tcPr>
            <w:tcW w:type="dxa" w:w="2448"/>
          </w:tcPr>
          <w:p>
            <w:pPr>
              <w:spacing w:after="20"/>
              <w:jc w:val="right"/>
            </w:pPr>
            <w:r>
              <w:rPr>
                <w:color w:val="1C3A36"/>
                <w:sz w:val="17"/>
              </w:rPr>
              <w:t>5.12</w:t>
            </w:r>
          </w:p>
        </w:tc>
      </w:tr>
    </w:tbl>
    <w:p>
      <w:pPr>
        <w:spacing w:after="40"/>
      </w:pPr>
    </w:p>
    <w:p>
      <w:pPr>
        <w:spacing w:after="120" w:before="0"/>
      </w:pPr>
      <w:r>
        <w:rPr>
          <w:b w:val="0"/>
          <w:i w:val="0"/>
          <w:color w:val="1C3A36"/>
          <w:sz w:val="21"/>
        </w:rPr>
        <w:t>Named sensitivity: the terminal discount rate, and it is not close. Every fifty basis points on it is worth roughly AED 0.38 a share — moving from 7.18% to 8.18% takes the answer from AED 4.79 to AED 4.10, below the traded price. At 76.1% terminal weight this expert is mostly forecasting one number, and says so.</w:t>
      </w:r>
    </w:p>
    <w:p>
      <w:pPr>
        <w:spacing w:after="120" w:before="0"/>
      </w:pPr>
      <w:r>
        <w:rPr>
          <w:b w:val="0"/>
          <w:i w:val="0"/>
          <w:color w:val="1C3A36"/>
          <w:sz w:val="21"/>
        </w:rPr>
        <w:t>Falsifier, stated in advance: "If total fuel volume in FY2027 comes in below 15,836 million litres — three per cent below my forecast of 16,326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 (AED m)</w:t>
            </w:r>
          </w:p>
        </w:tc>
        <w:tc>
          <w:tcPr>
            <w:tcW w:type="dxa" w:w="2448"/>
          </w:tcPr>
          <w:p>
            <w:pPr>
              <w:spacing w:after="20"/>
              <w:jc w:val="right"/>
            </w:pPr>
            <w:r>
              <w:rPr>
                <w:color w:val="1C3A36"/>
                <w:sz w:val="17"/>
              </w:rPr>
              <w:t>3,230</w:t>
            </w:r>
          </w:p>
        </w:tc>
      </w:tr>
      <w:tr>
        <w:tc>
          <w:tcPr>
            <w:tcW w:type="dxa" w:w="6624"/>
          </w:tcPr>
          <w:p>
            <w:pPr>
              <w:spacing w:after="20"/>
            </w:pPr>
            <w:r>
              <w:rPr>
                <w:color w:val="1C3A36"/>
                <w:sz w:val="17"/>
              </w:rPr>
              <w:t>Shares in issue (millions)</w:t>
            </w:r>
          </w:p>
        </w:tc>
        <w:tc>
          <w:tcPr>
            <w:tcW w:type="dxa" w:w="2448"/>
          </w:tcPr>
          <w:p>
            <w:pPr>
              <w:spacing w:after="20"/>
              <w:jc w:val="right"/>
            </w:pPr>
            <w:r>
              <w:rPr>
                <w:color w:val="1C3A36"/>
                <w:sz w:val="17"/>
              </w:rPr>
              <w:t>12,500</w:t>
            </w:r>
          </w:p>
        </w:tc>
      </w:tr>
      <w:tr>
        <w:tc>
          <w:tcPr>
            <w:tcW w:type="dxa" w:w="6624"/>
          </w:tcPr>
          <w:p>
            <w:pPr>
              <w:spacing w:after="20"/>
            </w:pPr>
            <w:r>
              <w:rPr>
                <w:color w:val="1C3A36"/>
                <w:sz w:val="17"/>
              </w:rPr>
              <w:t>Book value per share (AED)</w:t>
            </w:r>
          </w:p>
        </w:tc>
        <w:tc>
          <w:tcPr>
            <w:tcW w:type="dxa" w:w="2448"/>
          </w:tcPr>
          <w:p>
            <w:pPr>
              <w:spacing w:after="20"/>
              <w:jc w:val="right"/>
            </w:pPr>
            <w:r>
              <w:rPr>
                <w:color w:val="1C3A36"/>
                <w:sz w:val="17"/>
              </w:rPr>
              <w:t>0.26</w:t>
            </w:r>
          </w:p>
        </w:tc>
      </w:tr>
      <w:tr>
        <w:tc>
          <w:tcPr>
            <w:tcW w:type="dxa" w:w="6624"/>
          </w:tcPr>
          <w:p>
            <w:pPr>
              <w:spacing w:after="20"/>
            </w:pPr>
            <w:r>
              <w:rPr>
                <w:color w:val="1C3A36"/>
                <w:sz w:val="17"/>
              </w:rPr>
              <w:t>Return on equity, FY2023</w:t>
            </w:r>
          </w:p>
        </w:tc>
        <w:tc>
          <w:tcPr>
            <w:tcW w:type="dxa" w:w="2448"/>
          </w:tcPr>
          <w:p>
            <w:pPr>
              <w:spacing w:after="20"/>
              <w:jc w:val="right"/>
            </w:pPr>
            <w:r>
              <w:rPr>
                <w:color w:val="1C3A36"/>
                <w:sz w:val="17"/>
              </w:rPr>
              <w:t>74.9%</w:t>
            </w:r>
          </w:p>
        </w:tc>
      </w:tr>
      <w:tr>
        <w:tc>
          <w:tcPr>
            <w:tcW w:type="dxa" w:w="6624"/>
          </w:tcPr>
          <w:p>
            <w:pPr>
              <w:spacing w:after="20"/>
            </w:pPr>
            <w:r>
              <w:rPr>
                <w:color w:val="1C3A36"/>
                <w:sz w:val="17"/>
              </w:rPr>
              <w:t>Return on equity, FY2024</w:t>
            </w:r>
          </w:p>
        </w:tc>
        <w:tc>
          <w:tcPr>
            <w:tcW w:type="dxa" w:w="2448"/>
          </w:tcPr>
          <w:p>
            <w:pPr>
              <w:spacing w:after="20"/>
              <w:jc w:val="right"/>
            </w:pPr>
            <w:r>
              <w:rPr>
                <w:color w:val="1C3A36"/>
                <w:sz w:val="17"/>
              </w:rPr>
              <w:t>80.9%</w:t>
            </w:r>
          </w:p>
        </w:tc>
      </w:tr>
      <w:tr>
        <w:tc>
          <w:tcPr>
            <w:tcW w:type="dxa" w:w="6624"/>
          </w:tcPr>
          <w:p>
            <w:pPr>
              <w:spacing w:after="20"/>
            </w:pPr>
            <w:r>
              <w:rPr>
                <w:color w:val="1C3A36"/>
                <w:sz w:val="17"/>
              </w:rPr>
              <w:t>Return on equity, FY2025</w:t>
            </w:r>
          </w:p>
        </w:tc>
        <w:tc>
          <w:tcPr>
            <w:tcW w:type="dxa" w:w="2448"/>
          </w:tcPr>
          <w:p>
            <w:pPr>
              <w:spacing w:after="20"/>
              <w:jc w:val="right"/>
            </w:pPr>
            <w:r>
              <w:rPr>
                <w:color w:val="1C3A36"/>
                <w:sz w:val="17"/>
              </w:rPr>
              <w:t>86.5%</w:t>
            </w:r>
          </w:p>
        </w:tc>
      </w:tr>
      <w:tr>
        <w:tc>
          <w:tcPr>
            <w:tcW w:type="dxa" w:w="6624"/>
          </w:tcPr>
          <w:p>
            <w:pPr>
              <w:spacing w:after="20"/>
            </w:pPr>
            <w:r>
              <w:rPr>
                <w:color w:val="1C3A36"/>
                <w:sz w:val="17"/>
              </w:rPr>
              <w:t>Sustainable return — the three-year mean</w:t>
            </w:r>
          </w:p>
        </w:tc>
        <w:tc>
          <w:tcPr>
            <w:tcW w:type="dxa" w:w="2448"/>
          </w:tcPr>
          <w:p>
            <w:pPr>
              <w:spacing w:after="20"/>
              <w:jc w:val="right"/>
            </w:pPr>
            <w:r>
              <w:rPr>
                <w:color w:val="1C3A36"/>
                <w:sz w:val="17"/>
              </w:rPr>
              <w:t>80.8%</w:t>
            </w:r>
          </w:p>
        </w:tc>
      </w:tr>
      <w:tr>
        <w:tc>
          <w:tcPr>
            <w:tcW w:type="dxa" w:w="6624"/>
          </w:tcPr>
          <w:p>
            <w:pPr>
              <w:spacing w:after="20"/>
            </w:pPr>
            <w:r>
              <w:rPr>
                <w:color w:val="1C3A36"/>
                <w:sz w:val="17"/>
              </w:rPr>
              <w:t>Cost of equity</w:t>
            </w:r>
          </w:p>
        </w:tc>
        <w:tc>
          <w:tcPr>
            <w:tcW w:type="dxa" w:w="2448"/>
          </w:tcPr>
          <w:p>
            <w:pPr>
              <w:spacing w:after="20"/>
              <w:jc w:val="right"/>
            </w:pPr>
            <w:r>
              <w:rPr>
                <w:color w:val="1C3A36"/>
                <w:sz w:val="17"/>
              </w:rPr>
              <w:t>6.54%</w:t>
            </w:r>
          </w:p>
        </w:tc>
      </w:tr>
      <w:tr>
        <w:tc>
          <w:tcPr>
            <w:tcW w:type="dxa" w:w="6624"/>
          </w:tcPr>
          <w:p>
            <w:pPr>
              <w:spacing w:after="20"/>
            </w:pPr>
            <w:r>
              <w:rPr>
                <w:color w:val="1C3A36"/>
                <w:sz w:val="17"/>
              </w:rPr>
              <w:t>Long-run growth</w:t>
            </w:r>
          </w:p>
        </w:tc>
        <w:tc>
          <w:tcPr>
            <w:tcW w:type="dxa" w:w="2448"/>
          </w:tcPr>
          <w:p>
            <w:pPr>
              <w:spacing w:after="20"/>
              <w:jc w:val="right"/>
            </w:pPr>
            <w:r>
              <w:rPr>
                <w:color w:val="1C3A36"/>
                <w:sz w:val="17"/>
              </w:rPr>
              <w:t>1.5%</w:t>
            </w:r>
          </w:p>
        </w:tc>
      </w:tr>
      <w:tr>
        <w:tc>
          <w:tcPr>
            <w:tcW w:type="dxa" w:w="6624"/>
          </w:tcPr>
          <w:p>
            <w:pPr>
              <w:spacing w:after="20"/>
            </w:pPr>
            <w:r>
              <w:rPr>
                <w:color w:val="1C3A36"/>
                <w:sz w:val="17"/>
              </w:rPr>
              <w:t>Numerator: return less growth</w:t>
            </w:r>
          </w:p>
        </w:tc>
        <w:tc>
          <w:tcPr>
            <w:tcW w:type="dxa" w:w="2448"/>
          </w:tcPr>
          <w:p>
            <w:pPr>
              <w:spacing w:after="20"/>
              <w:jc w:val="right"/>
            </w:pPr>
            <w:r>
              <w:rPr>
                <w:color w:val="1C3A36"/>
                <w:sz w:val="17"/>
              </w:rPr>
              <w:t>79.27%</w:t>
            </w:r>
          </w:p>
        </w:tc>
      </w:tr>
      <w:tr>
        <w:tc>
          <w:tcPr>
            <w:tcW w:type="dxa" w:w="6624"/>
          </w:tcPr>
          <w:p>
            <w:pPr>
              <w:spacing w:after="20"/>
            </w:pPr>
            <w:r>
              <w:rPr>
                <w:color w:val="1C3A36"/>
                <w:sz w:val="17"/>
              </w:rPr>
              <w:t>Denominator: cost of equity less growth</w:t>
            </w:r>
          </w:p>
        </w:tc>
        <w:tc>
          <w:tcPr>
            <w:tcW w:type="dxa" w:w="2448"/>
          </w:tcPr>
          <w:p>
            <w:pPr>
              <w:spacing w:after="20"/>
              <w:jc w:val="right"/>
            </w:pPr>
            <w:r>
              <w:rPr>
                <w:color w:val="1C3A36"/>
                <w:sz w:val="17"/>
              </w:rPr>
              <w:t>5.04%</w:t>
            </w:r>
          </w:p>
        </w:tc>
      </w:tr>
      <w:tr>
        <w:tc>
          <w:tcPr>
            <w:tcW w:type="dxa" w:w="6624"/>
          </w:tcPr>
          <w:p>
            <w:pPr>
              <w:spacing w:after="20"/>
            </w:pPr>
            <w:r>
              <w:rPr>
                <w:color w:val="1C3A36"/>
                <w:sz w:val="17"/>
              </w:rPr>
              <w:t>Justified multiple of book</w:t>
            </w:r>
          </w:p>
        </w:tc>
        <w:tc>
          <w:tcPr>
            <w:tcW w:type="dxa" w:w="2448"/>
          </w:tcPr>
          <w:p>
            <w:pPr>
              <w:spacing w:after="20"/>
              <w:jc w:val="right"/>
            </w:pPr>
            <w:r>
              <w:rPr>
                <w:color w:val="1C3A36"/>
                <w:sz w:val="17"/>
              </w:rPr>
              <w:t>15.7x</w:t>
            </w:r>
          </w:p>
        </w:tc>
      </w:tr>
      <w:tr>
        <w:tc>
          <w:tcPr>
            <w:tcW w:type="dxa" w:w="6624"/>
            <w:shd w:val="clear" w:color="auto" w:fill="F6F1E6"/>
          </w:tcPr>
          <w:p>
            <w:pPr>
              <w:spacing w:after="20"/>
            </w:pPr>
            <w:r>
              <w:rPr>
                <w:b/>
                <w:color w:val="1C3A36"/>
                <w:sz w:val="17"/>
              </w:rPr>
              <w:t>VALUE PER SHARE (AED)</w:t>
            </w:r>
          </w:p>
        </w:tc>
        <w:tc>
          <w:tcPr>
            <w:tcW w:type="dxa" w:w="2448"/>
            <w:shd w:val="clear" w:color="auto" w:fill="F6F1E6"/>
          </w:tcPr>
          <w:p>
            <w:pPr>
              <w:spacing w:after="20"/>
              <w:jc w:val="right"/>
            </w:pPr>
            <w:r>
              <w:rPr>
                <w:b/>
                <w:color w:val="1C3A36"/>
                <w:sz w:val="17"/>
              </w:rPr>
              <w:t>4.07</w:t>
            </w:r>
          </w:p>
        </w:tc>
      </w:tr>
      <w:tr>
        <w:tc>
          <w:tcPr>
            <w:tcW w:type="dxa" w:w="6624"/>
            <w:shd w:val="clear" w:color="auto" w:fill="F6F1E6"/>
          </w:tcPr>
          <w:p>
            <w:pPr>
              <w:spacing w:after="20"/>
            </w:pPr>
            <w:r>
              <w:rPr>
                <w:b/>
                <w:color w:val="1C3A36"/>
                <w:sz w:val="17"/>
              </w:rPr>
              <w:t>Cross-check: return on capital employed, FY2025</w:t>
            </w:r>
          </w:p>
        </w:tc>
        <w:tc>
          <w:tcPr>
            <w:tcW w:type="dxa" w:w="2448"/>
            <w:shd w:val="clear" w:color="auto" w:fill="F6F1E6"/>
          </w:tcPr>
          <w:p>
            <w:pPr>
              <w:spacing w:after="20"/>
              <w:jc w:val="right"/>
            </w:pPr>
            <w:r>
              <w:rPr>
                <w:b/>
                <w:color w:val="1C3A36"/>
                <w:sz w:val="17"/>
              </w:rPr>
              <w:t>54.4%</w:t>
            </w:r>
          </w:p>
        </w:tc>
      </w:tr>
      <w:tr>
        <w:tc>
          <w:tcPr>
            <w:tcW w:type="dxa" w:w="6624"/>
          </w:tcPr>
          <w:p>
            <w:pPr>
              <w:spacing w:after="20"/>
            </w:pPr>
            <w:r>
              <w:rPr>
                <w:color w:val="1C3A36"/>
                <w:sz w:val="17"/>
              </w:rPr>
              <w:t>Cross-check: the traded price as a multiple of book</w:t>
            </w:r>
          </w:p>
        </w:tc>
        <w:tc>
          <w:tcPr>
            <w:tcW w:type="dxa" w:w="2448"/>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15.7 to 14.6 times and the value from AED 4.07 to AED 3.77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8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76.1%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traded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 (AED)</w:t>
            </w:r>
          </w:p>
        </w:tc>
        <w:tc>
          <w:tcPr>
            <w:tcW w:type="dxa" w:w="2448"/>
          </w:tcPr>
          <w:p>
            <w:pPr>
              <w:spacing w:after="20"/>
              <w:jc w:val="right"/>
            </w:pPr>
            <w:r>
              <w:rPr>
                <w:color w:val="1C3A36"/>
                <w:sz w:val="17"/>
              </w:rPr>
              <w:t>4.07</w:t>
            </w:r>
          </w:p>
        </w:tc>
      </w:tr>
      <w:tr>
        <w:tc>
          <w:tcPr>
            <w:tcW w:type="dxa" w:w="6624"/>
          </w:tcPr>
          <w:p>
            <w:pPr>
              <w:spacing w:after="20"/>
            </w:pPr>
            <w:r>
              <w:rPr>
                <w:color w:val="1C3A36"/>
                <w:sz w:val="17"/>
              </w:rPr>
              <w:t>Value from the cash-flow model, Frame A (AED)</w:t>
            </w:r>
          </w:p>
        </w:tc>
        <w:tc>
          <w:tcPr>
            <w:tcW w:type="dxa" w:w="2448"/>
          </w:tcPr>
          <w:p>
            <w:pPr>
              <w:spacing w:after="20"/>
              <w:jc w:val="right"/>
            </w:pPr>
            <w:r>
              <w:rPr>
                <w:color w:val="1C3A36"/>
                <w:sz w:val="17"/>
              </w:rPr>
              <w:t>4.79</w:t>
            </w:r>
          </w:p>
        </w:tc>
      </w:tr>
      <w:tr>
        <w:tc>
          <w:tcPr>
            <w:tcW w:type="dxa" w:w="6624"/>
          </w:tcPr>
          <w:p>
            <w:pPr>
              <w:spacing w:after="20"/>
            </w:pPr>
            <w:r>
              <w:rPr>
                <w:color w:val="1C3A36"/>
                <w:sz w:val="17"/>
              </w:rPr>
              <w:t>Gap to be explained (AED a share)</w:t>
            </w:r>
          </w:p>
        </w:tc>
        <w:tc>
          <w:tcPr>
            <w:tcW w:type="dxa" w:w="2448"/>
          </w:tcPr>
          <w:p>
            <w:pPr>
              <w:spacing w:after="20"/>
              <w:jc w:val="right"/>
            </w:pPr>
            <w:r>
              <w:rPr>
                <w:color w:val="1C3A36"/>
                <w:sz w:val="17"/>
              </w:rPr>
              <w:t>0.72</w:t>
            </w:r>
          </w:p>
        </w:tc>
      </w:tr>
      <w:tr>
        <w:tc>
          <w:tcPr>
            <w:tcW w:type="dxa" w:w="6624"/>
          </w:tcPr>
          <w:p>
            <w:pPr>
              <w:spacing w:after="20"/>
            </w:pPr>
            <w:r>
              <w:rPr>
                <w:color w:val="1C3A36"/>
                <w:sz w:val="17"/>
              </w:rPr>
              <w:t>Equity value of that gap (AED m)</w:t>
            </w:r>
          </w:p>
        </w:tc>
        <w:tc>
          <w:tcPr>
            <w:tcW w:type="dxa" w:w="2448"/>
          </w:tcPr>
          <w:p>
            <w:pPr>
              <w:spacing w:after="20"/>
              <w:jc w:val="right"/>
            </w:pPr>
            <w:r>
              <w:rPr>
                <w:color w:val="1C3A36"/>
                <w:sz w:val="17"/>
              </w:rPr>
              <w:t>9,038</w:t>
            </w:r>
          </w:p>
        </w:tc>
      </w:tr>
      <w:tr>
        <w:tc>
          <w:tcPr>
            <w:tcW w:type="dxa" w:w="6624"/>
          </w:tcPr>
          <w:p>
            <w:pPr>
              <w:spacing w:after="20"/>
            </w:pPr>
            <w:r>
              <w:rPr>
                <w:color w:val="1C3A36"/>
                <w:sz w:val="17"/>
              </w:rPr>
              <w:t>EXPLANATION 1 — terminal growth. The model assumes</w:t>
            </w:r>
          </w:p>
        </w:tc>
        <w:tc>
          <w:tcPr>
            <w:tcW w:type="dxa" w:w="2448"/>
          </w:tcPr>
          <w:p>
            <w:pPr>
              <w:spacing w:after="20"/>
              <w:jc w:val="right"/>
            </w:pPr>
            <w:r>
              <w:rPr>
                <w:color w:val="1C3A36"/>
                <w:sz w:val="17"/>
              </w:rPr>
              <w:t>1.50%</w:t>
            </w:r>
          </w:p>
        </w:tc>
      </w:tr>
      <w:tr>
        <w:tc>
          <w:tcPr>
            <w:tcW w:type="dxa" w:w="6624"/>
            <w:shd w:val="clear" w:color="auto" w:fill="F6F1E6"/>
          </w:tcPr>
          <w:p>
            <w:pPr>
              <w:spacing w:after="20"/>
            </w:pPr>
            <w:r>
              <w:rPr>
                <w:b/>
                <w:color w:val="1C3A36"/>
                <w:sz w:val="17"/>
              </w:rPr>
              <w:t xml:space="preserve">   the price requires</w:t>
            </w:r>
          </w:p>
        </w:tc>
        <w:tc>
          <w:tcPr>
            <w:tcW w:type="dxa" w:w="2448"/>
            <w:shd w:val="clear" w:color="auto" w:fill="F6F1E6"/>
          </w:tcPr>
          <w:p>
            <w:pPr>
              <w:spacing w:after="20"/>
              <w:jc w:val="right"/>
            </w:pPr>
            <w:r>
              <w:rPr>
                <w:b/>
                <w:color w:val="1C3A36"/>
                <w:sz w:val="17"/>
              </w:rPr>
              <w:t>-0.15%</w:t>
            </w:r>
          </w:p>
        </w:tc>
      </w:tr>
      <w:tr>
        <w:tc>
          <w:tcPr>
            <w:tcW w:type="dxa" w:w="6624"/>
          </w:tcPr>
          <w:p>
            <w:pPr>
              <w:spacing w:after="20"/>
            </w:pPr>
            <w:r>
              <w:rPr>
                <w:color w:val="1C3A36"/>
                <w:sz w:val="17"/>
              </w:rPr>
              <w:t xml:space="preserve">   which in the first year is a volume loss of</w:t>
            </w:r>
          </w:p>
        </w:tc>
        <w:tc>
          <w:tcPr>
            <w:tcW w:type="dxa" w:w="2448"/>
          </w:tcPr>
          <w:p>
            <w:pPr>
              <w:spacing w:after="20"/>
              <w:jc w:val="right"/>
            </w:pPr>
            <w:r>
              <w:rPr>
                <w:color w:val="1C3A36"/>
                <w:sz w:val="17"/>
              </w:rPr>
              <w:t>16m litres</w:t>
            </w:r>
          </w:p>
        </w:tc>
      </w:tr>
      <w:tr>
        <w:tc>
          <w:tcPr>
            <w:tcW w:type="dxa" w:w="6624"/>
          </w:tcPr>
          <w:p>
            <w:pPr>
              <w:spacing w:after="20"/>
            </w:pPr>
            <w:r>
              <w:rPr>
                <w:color w:val="1C3A36"/>
                <w:sz w:val="17"/>
              </w:rPr>
              <w:t xml:space="preserve">   or, at the disclosed litres per transaction, fewer fills per year</w:t>
            </w:r>
          </w:p>
        </w:tc>
        <w:tc>
          <w:tcPr>
            <w:tcW w:type="dxa" w:w="2448"/>
          </w:tcPr>
          <w:p>
            <w:pPr>
              <w:spacing w:after="20"/>
              <w:jc w:val="right"/>
            </w:pPr>
            <w:r>
              <w:rPr>
                <w:color w:val="1C3A36"/>
                <w:sz w:val="17"/>
              </w:rPr>
              <w:t>0.3m</w:t>
            </w:r>
          </w:p>
        </w:tc>
      </w:tr>
      <w:tr>
        <w:tc>
          <w:tcPr>
            <w:tcW w:type="dxa" w:w="6624"/>
          </w:tcPr>
          <w:p>
            <w:pPr>
              <w:spacing w:after="20"/>
            </w:pPr>
            <w:r>
              <w:rPr>
                <w:color w:val="1C3A36"/>
                <w:sz w:val="17"/>
              </w:rPr>
              <w:t>EXPLANATION 2 — the terminal discount rate. The model assumes</w:t>
            </w:r>
          </w:p>
        </w:tc>
        <w:tc>
          <w:tcPr>
            <w:tcW w:type="dxa" w:w="2448"/>
          </w:tcPr>
          <w:p>
            <w:pPr>
              <w:spacing w:after="20"/>
              <w:jc w:val="right"/>
            </w:pPr>
            <w:r>
              <w:rPr>
                <w:color w:val="1C3A36"/>
                <w:sz w:val="17"/>
              </w:rPr>
              <w:t>7.18%</w:t>
            </w:r>
          </w:p>
        </w:tc>
      </w:tr>
      <w:tr>
        <w:tc>
          <w:tcPr>
            <w:tcW w:type="dxa" w:w="6624"/>
            <w:shd w:val="clear" w:color="auto" w:fill="F6F1E6"/>
          </w:tcPr>
          <w:p>
            <w:pPr>
              <w:spacing w:after="20"/>
            </w:pPr>
            <w:r>
              <w:rPr>
                <w:b/>
                <w:color w:val="1C3A36"/>
                <w:sz w:val="17"/>
              </w:rPr>
              <w:t xml:space="preserve">   the price requires</w:t>
            </w:r>
          </w:p>
        </w:tc>
        <w:tc>
          <w:tcPr>
            <w:tcW w:type="dxa" w:w="2448"/>
            <w:shd w:val="clear" w:color="auto" w:fill="F6F1E6"/>
          </w:tcPr>
          <w:p>
            <w:pPr>
              <w:spacing w:after="20"/>
              <w:jc w:val="right"/>
            </w:pPr>
            <w:r>
              <w:rPr>
                <w:b/>
                <w:color w:val="1C3A36"/>
                <w:sz w:val="17"/>
              </w:rPr>
              <w:t>8.23%</w:t>
            </w:r>
          </w:p>
        </w:tc>
      </w:tr>
      <w:tr>
        <w:tc>
          <w:tcPr>
            <w:tcW w:type="dxa" w:w="6624"/>
          </w:tcPr>
          <w:p>
            <w:pPr>
              <w:spacing w:after="20"/>
            </w:pPr>
            <w:r>
              <w:rPr>
                <w:color w:val="1C3A36"/>
                <w:sz w:val="17"/>
              </w:rPr>
              <w:t>EXPLANATION 3 — beta. The model assumes</w:t>
            </w:r>
          </w:p>
        </w:tc>
        <w:tc>
          <w:tcPr>
            <w:tcW w:type="dxa" w:w="2448"/>
          </w:tcPr>
          <w:p>
            <w:pPr>
              <w:spacing w:after="20"/>
              <w:jc w:val="right"/>
            </w:pPr>
            <w:r>
              <w:rPr>
                <w:color w:val="1C3A36"/>
                <w:sz w:val="17"/>
              </w:rPr>
              <w:t>0.51</w:t>
            </w:r>
          </w:p>
        </w:tc>
      </w:tr>
      <w:tr>
        <w:tc>
          <w:tcPr>
            <w:tcW w:type="dxa" w:w="6624"/>
            <w:shd w:val="clear" w:color="auto" w:fill="F6F1E6"/>
          </w:tcPr>
          <w:p>
            <w:pPr>
              <w:spacing w:after="20"/>
            </w:pPr>
            <w:r>
              <w:rPr>
                <w:b/>
                <w:color w:val="1C3A36"/>
                <w:sz w:val="17"/>
              </w:rPr>
              <w:t xml:space="preserve">   the price requires</w:t>
            </w:r>
          </w:p>
        </w:tc>
        <w:tc>
          <w:tcPr>
            <w:tcW w:type="dxa" w:w="2448"/>
            <w:shd w:val="clear" w:color="auto" w:fill="F6F1E6"/>
          </w:tcPr>
          <w:p>
            <w:pPr>
              <w:spacing w:after="20"/>
              <w:jc w:val="right"/>
            </w:pPr>
            <w:r>
              <w:rPr>
                <w:b/>
                <w:color w:val="1C3A36"/>
                <w:sz w:val="17"/>
              </w:rPr>
              <w:t>0.72</w:t>
            </w:r>
          </w:p>
        </w:tc>
      </w:tr>
      <w:tr>
        <w:tc>
          <w:tcPr>
            <w:tcW w:type="dxa" w:w="6624"/>
          </w:tcPr>
          <w:p>
            <w:pPr>
              <w:spacing w:after="20"/>
            </w:pPr>
            <w:r>
              <w:rPr>
                <w:color w:val="1C3A36"/>
                <w:sz w:val="17"/>
              </w:rPr>
              <w:t xml:space="preserve">   against the regression's own 90% upper bound of</w:t>
            </w:r>
          </w:p>
        </w:tc>
        <w:tc>
          <w:tcPr>
            <w:tcW w:type="dxa" w:w="2448"/>
          </w:tcPr>
          <w:p>
            <w:pPr>
              <w:spacing w:after="20"/>
              <w:jc w:val="right"/>
            </w:pPr>
            <w:r>
              <w:rPr>
                <w:color w:val="1C3A36"/>
                <w:sz w:val="17"/>
              </w:rPr>
              <w:t>0.62</w:t>
            </w:r>
          </w:p>
        </w:tc>
      </w:tr>
      <w:tr>
        <w:tc>
          <w:tcPr>
            <w:tcW w:type="dxa" w:w="6624"/>
          </w:tcPr>
          <w:p>
            <w:pPr>
              <w:spacing w:after="20"/>
            </w:pPr>
            <w:r>
              <w:rPr>
                <w:color w:val="1C3A36"/>
                <w:sz w:val="17"/>
              </w:rPr>
              <w:t>Value if any ONE of the three is true (AED)</w:t>
            </w:r>
          </w:p>
        </w:tc>
        <w:tc>
          <w:tcPr>
            <w:tcW w:type="dxa" w:w="2448"/>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0.72 sits ABOVE the 90% upper bound of the regression, 0.62, so on the evidence available it is the least likely of the three. The implied terminal discount rate of 8.23%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permanent decline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76.1% terminal weight makes this mostly a terminal valuation and points to the published grid as the only honest response: across the plausible combinations of terminal cost of capital and growth the answer runs AED 3.77 to AED 6.91, and the whole of that range is published including the corner below the traded price.</w:t>
            </w:r>
          </w:p>
        </w:tc>
      </w:tr>
      <w:t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0.3 million fewer fills a year — that a reader can check against the company's own volume disclosure each quarter.</w:t>
            </w:r>
          </w:p>
        </w:tc>
      </w:tr>
      <w:t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c>
          <w:tcPr>
            <w:tcW w:type="dxa" w:w="3816"/>
          </w:tcPr>
          <w:p>
            <w:pPr>
              <w:spacing w:after="20"/>
            </w:pPr>
            <w:r>
              <w:rPr>
                <w:color w:val="1C3A36"/>
                <w:sz w:val="16"/>
              </w:rPr>
              <w:t>Expert 3 to Expert 1: "Your Frame A and Frame B differ by AED 0.33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4.79 from Expert 1 on Frame A, AED 5.12 on Frame B, AED 4.07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-0.15%, a permanently shrinking volume base, which in observable units is roughly 0.3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0.73</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-0.33</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0.72</w:t>
            </w:r>
          </w:p>
        </w:tc>
        <w:tc>
          <w:tcPr>
            <w:tcW w:type="dxa" w:w="4824"/>
          </w:tcPr>
          <w:p>
            <w:pPr>
              <w:spacing w:after="20"/>
              <w:jc w:val="right"/>
            </w:pPr>
            <w:r>
              <w:rPr>
                <w:color w:val="1C3A36"/>
                <w:sz w:val="16"/>
              </w:rPr>
              <w:t>terminal growth: 1.50% against the -0.15% the price implies. The explicit five years contribute only 23.9% of the value, so they cannot carry this gap</w:t>
            </w:r>
          </w:p>
        </w:tc>
      </w:tr>
      <w:t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-0.00</w:t>
            </w:r>
          </w:p>
        </w:tc>
        <w:tc>
          <w:tcPr>
            <w:tcW w:type="dxa" w:w="4824"/>
          </w:tcPr>
          <w:p>
            <w:pPr>
              <w:spacing w:after="20"/>
              <w:jc w:val="right"/>
            </w:pPr>
            <w:r>
              <w:rPr>
                <w:color w:val="1C3A36"/>
                <w:sz w:val="16"/>
              </w:rPr>
              <w:t>the sustainable return on equity of 80.8% against the cost of equity of 6.54%. At a sustainable return of 74.9% this gap closes entirely</w:t>
            </w:r>
          </w:p>
        </w:tc>
      </w:tr>
      <w:t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0.10</w:t>
            </w:r>
          </w:p>
        </w:tc>
        <w:tc>
          <w:tcPr>
            <w:tcW w:type="dxa" w:w="4824"/>
          </w:tcPr>
          <w:p>
            <w:pPr>
              <w:spacing w:after="20"/>
              <w:jc w:val="right"/>
            </w:pPr>
            <w:r>
              <w:rPr>
                <w:color w:val="1C3A36"/>
                <w:sz w:val="16"/>
              </w:rPr>
              <w:t>the discount rate and nothing else: 6.43% held flat against a glide to 7.18%. The normalised reading credits NO growth and still lands higher</w:t>
            </w:r>
          </w:p>
        </w:tc>
      </w:tr>
      <w:t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-0.65</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-0.18</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