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618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582</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176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series code FADGI, taken as of 24 Jul 2026: 3,883 daily sessions from 2 Jan 2011 to 24 Jul 2026, checked session by session against the exchange's own trading calendar before use. This is the capitalisation-weighted index of the exchange the share is listed on, which is the market measurement the method calls for, and it is resolved from that listing rather than selected here. Regressed on it, the stock's weekly returns give a slope of 1.103.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159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618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582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9,164/day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2.74x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126.4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1.103</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share's own returns on the FTSE ADX General Index (FADGI), the published index of the exchange the share is listed on — the market series is resolved from that listing rather than chosen by this study, and it is taken as of 2026-07-24. 159 weekly observations measured Friday close to Friday close on the exchange's own trading week, from 2023-06-16 to 2026-07-17, with both series screened for data quality before they are paired. The slope is a lead-lag sum — one lag, the contemporaneous return and one lead, added together. R-squared 0.1814, standard error 0.3147</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0.315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0.181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blume</w:t>
            </w:r>
          </w:p>
        </w:tc>
        <w:tc>
          <w:tcPr>
            <w:tcW w:type="dxa" w:w="1238"/>
          </w:tcPr>
          <w:p>
            <w:pPr>
              <w:spacing w:after="20" w:before="0" w:line="240" w:lineRule="auto"/>
              <w:jc w:val="right"/>
            </w:pPr>
            <w:r>
              <w:rPr>
                <w:color w:val="1C3A36"/>
                <w:sz w:val="14"/>
              </w:rPr>
              <w:t>1.069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Blume cross-check reported with the same regression — two-thirds of the measured slope plus one-third of 1.0, the standard adjustment for the tendency of a measured beta to drift toward the market over time. Published as a check on the adopted figure; the study does not discount at it</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share's own returns regressed against an equal-weight composite of the exchange's own listed names instead of the published index — a basket assembled for this study alone, published for comparison and never adopted, because a hand-built basket is not the market this share is listed against.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0.586</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1.621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6.40 a share, rates settling 30% above that gives AED 7.94.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126.4, not the 108.4 that receivables over REPORTED 2025 revenue gives. The two differ because 2025 revenue carries a gross-up of 2.74x over the owned tanker fleet's own charter-equivalent revenue, from chartered-in and relet trading, while the forecast revenue line is built at 1.60x.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7%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338.3m.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338.3m, and applying the profit share to the whole equity value with nothing netted off would make it USD 1,165.2m.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It is resolved from the exchange the share is listed on rather than chosen here, and it is the FADGI series taken as of 2026-07-24. Weekly returns from 2023-06-16 to 2026-07-17, measured on that exchange's own trading week, give a slope of 1.103 (159 paired observations, R-squared 0.181, standard error 0.315) and a cost of equity of 9.43%. The slope is a lead-lag sum — one lag, the contemporaneous return and one lead — so the co-movement a thinly traded share books late is inside it rather than added to it afterwards. The same returns measured against an equal-weight composite of that exchange's own names instead, a basket assembled for this study and never adopted, give 0.705, a cost of equity of 7.49% and a central figure of AED 8.24 against the published AED 7.05.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paired record is only 3.09 years (2023-06-16 to 2026-07-17),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1.621 in the low case and 0.586 in the high case. A higher slope discounts harder, so the upper bound is what belongs in the low case. On the cash-flow lens those give AED 3.42 and AED 12.24 a share against a base of AED 6.40.</w:t>
            </w:r>
          </w:p>
        </w:tc>
        <w:tc>
          <w:tcPr>
            <w:tcW w:type="dxa" w:w="4262"/>
          </w:tcPr>
          <w:p>
            <w:pPr>
              <w:spacing w:after="20" w:before="0" w:line="240" w:lineRule="auto"/>
            </w:pPr>
            <w:r>
              <w:rPr>
                <w:color w:val="1C3A36"/>
                <w:sz w:val="15"/>
              </w:rPr>
              <w:t>A tighter interval, which only more observations give. The standard error is 0.315 on a slope of 1.103, so the two bounds are 94% of the estimate apart and the cases inherit that width honestly. Round betas chosen by hand would look tidier and would be telling the reader less. This interval is WIDER than the one the previous edition of this study published, because the regression was re-measured on the exchange's own trading week; the low and high cases widened with it, which is the width the evidence supports rather than a loss of precision. The same slope shrunk toward the market on the Blume adjustment, 1.069,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6.90 a share against the published AED 7.05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8.56% and the terminal rate to 7.80%.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75%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9,164/day,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29.3%,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126.4,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comparators' own filings, for the multiples used in the comparison lens</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and not attempted at the level the subject's own accounts were. The three comparator multiples come from data-aggregator statistics pages, each named and dated in the external documents table above. Rebuilding them would mean three more sets of filings on three reporting conventions in three currencies. The rule that admits only a company's own issued documents governs the SUBJECT's reported history and is met in full for it; the comparators sit outside that rule and the consequence is specific rather than rhetorical — the study cannot show that a comparator's earnings are struck on the same definition as the subject's, which is why the comparison lens is presented as evidence about relative pricing rather than as an independent valuation. It is the largest block of non-company data behind the study, and the two lenses that use it carry 45% of the weighted central between them.</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2.74x gross-up, and applied to a forecast revenue line built at 1.60x. Re-based onto the basis the forecast uses, 108.4 days becomes 126.4,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5.82%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(5.69%), and the midpoint of the disclosed third-party bank range (7.33%). The genuinely balance-weighted construction is 5.69%,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1.103 on the same returns over the same window (R-squared 0.181, standard error 0.315, 159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2,021.3m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The tests behind the price map, window by window</w:t>
      </w:r>
    </w:p>
    <w:p>
      <w:pPr>
        <w:spacing w:after="100" w:before="0"/>
      </w:pPr>
      <w:r>
        <w:rPr>
          <w:b w:val="0"/>
          <w:i w:val="0"/>
          <w:color w:val="1C3A36"/>
          <w:sz w:val="19"/>
        </w:rPr>
        <w:t>Section 3 of the study states that the price map is tested before it is allowed to publish a range, and gives the summary scores. A summary score is not evidence a reader can check. The record below is every independent three-month window the test ran on: the date the map was struck from, the date it was scored on, the price at each, and whether the outcome fell inside the middle 50%, 80% and 90% of the distribution the map produced. Each window uses only data available on the day it was struck.</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1440"/>
        <w:gridCol w:w="1512"/>
        <w:gridCol w:w="1512"/>
        <w:gridCol w:w="1656"/>
        <w:gridCol w:w="1296"/>
        <w:gridCol w:w="1368"/>
      </w:tblGrid>
      <w:tr>
        <w:trPr>
          <w:cantSplit w:val="true"/>
          <w:tblHeader w:val="true"/>
        </w:trPr>
        <w:tc>
          <w:tcPr>
            <w:tcW w:type="dxa" w:w="1440"/>
            <w:shd w:val="clear" w:color="auto" w:fill="EAF0EE"/>
          </w:tcPr>
          <w:p>
            <w:pPr>
              <w:spacing w:after="20" w:before="0" w:line="240" w:lineRule="auto"/>
            </w:pPr>
            <w:r>
              <w:rPr>
                <w:b/>
                <w:color w:val="1C3A36"/>
                <w:sz w:val="15"/>
              </w:rPr>
              <w:t>Struck from</w:t>
            </w:r>
          </w:p>
        </w:tc>
        <w:tc>
          <w:tcPr>
            <w:tcW w:type="dxa" w:w="1440"/>
            <w:shd w:val="clear" w:color="auto" w:fill="EAF0EE"/>
          </w:tcPr>
          <w:p>
            <w:pPr>
              <w:spacing w:after="20" w:before="0" w:line="240" w:lineRule="auto"/>
            </w:pPr>
            <w:r>
              <w:rPr>
                <w:b/>
                <w:color w:val="1C3A36"/>
                <w:sz w:val="15"/>
              </w:rPr>
              <w:t>Scored on</w:t>
            </w:r>
          </w:p>
        </w:tc>
        <w:tc>
          <w:tcPr>
            <w:tcW w:type="dxa" w:w="1512"/>
            <w:shd w:val="clear" w:color="auto" w:fill="EAF0EE"/>
          </w:tcPr>
          <w:p>
            <w:pPr>
              <w:spacing w:after="20" w:before="0" w:line="240" w:lineRule="auto"/>
            </w:pPr>
            <w:r>
              <w:rPr>
                <w:b/>
                <w:color w:val="1C3A36"/>
                <w:sz w:val="15"/>
              </w:rPr>
              <w:t>Price when struck</w:t>
            </w:r>
          </w:p>
        </w:tc>
        <w:tc>
          <w:tcPr>
            <w:tcW w:type="dxa" w:w="1512"/>
            <w:shd w:val="clear" w:color="auto" w:fill="EAF0EE"/>
          </w:tcPr>
          <w:p>
            <w:pPr>
              <w:spacing w:after="20" w:before="0" w:line="240" w:lineRule="auto"/>
            </w:pPr>
            <w:r>
              <w:rPr>
                <w:b/>
                <w:color w:val="1C3A36"/>
                <w:sz w:val="15"/>
              </w:rPr>
              <w:t>Price when scored</w:t>
            </w:r>
          </w:p>
        </w:tc>
        <w:tc>
          <w:tcPr>
            <w:tcW w:type="dxa" w:w="1656"/>
            <w:shd w:val="clear" w:color="auto" w:fill="EAF0EE"/>
          </w:tcPr>
          <w:p>
            <w:pPr>
              <w:spacing w:after="20" w:before="0" w:line="240" w:lineRule="auto"/>
            </w:pPr>
            <w:r>
              <w:rPr>
                <w:b/>
                <w:color w:val="1C3A36"/>
                <w:sz w:val="15"/>
              </w:rPr>
              <w:t>Inside the middle 50%</w:t>
            </w:r>
          </w:p>
        </w:tc>
        <w:tc>
          <w:tcPr>
            <w:tcW w:type="dxa" w:w="1296"/>
            <w:shd w:val="clear" w:color="auto" w:fill="EAF0EE"/>
          </w:tcPr>
          <w:p>
            <w:pPr>
              <w:spacing w:after="20" w:before="0" w:line="240" w:lineRule="auto"/>
            </w:pPr>
            <w:r>
              <w:rPr>
                <w:b/>
                <w:color w:val="1C3A36"/>
                <w:sz w:val="15"/>
              </w:rPr>
              <w:t>Inside 80%</w:t>
            </w:r>
          </w:p>
        </w:tc>
        <w:tc>
          <w:tcPr>
            <w:tcW w:type="dxa" w:w="1368"/>
            <w:shd w:val="clear" w:color="auto" w:fill="EAF0EE"/>
          </w:tcPr>
          <w:p>
            <w:pPr>
              <w:spacing w:after="20" w:before="0" w:line="240" w:lineRule="auto"/>
            </w:pPr>
            <w:r>
              <w:rPr>
                <w:b/>
                <w:color w:val="1C3A36"/>
                <w:sz w:val="15"/>
              </w:rPr>
              <w:t>Inside 90%</w:t>
            </w:r>
          </w:p>
        </w:tc>
      </w:tr>
      <w:tr>
        <w:trPr>
          <w:cantSplit w:val="true"/>
        </w:trPr>
        <w:tc>
          <w:tcPr>
            <w:tcW w:type="dxa" w:w="1440"/>
          </w:tcPr>
          <w:p>
            <w:pPr>
              <w:spacing w:after="20" w:before="0" w:line="240" w:lineRule="auto"/>
            </w:pPr>
            <w:r>
              <w:rPr>
                <w:color w:val="1C3A36"/>
                <w:sz w:val="15"/>
              </w:rPr>
              <w:t>21 Jun 2024</w:t>
            </w:r>
          </w:p>
        </w:tc>
        <w:tc>
          <w:tcPr>
            <w:tcW w:type="dxa" w:w="1440"/>
          </w:tcPr>
          <w:p>
            <w:pPr>
              <w:spacing w:after="20" w:before="0" w:line="240" w:lineRule="auto"/>
            </w:pPr>
            <w:r>
              <w:rPr>
                <w:color w:val="1C3A36"/>
                <w:sz w:val="15"/>
              </w:rPr>
              <w:t>23 Sep 2024</w:t>
            </w:r>
          </w:p>
        </w:tc>
        <w:tc>
          <w:tcPr>
            <w:tcW w:type="dxa" w:w="1512"/>
          </w:tcPr>
          <w:p>
            <w:pPr>
              <w:spacing w:after="20" w:before="0" w:line="240" w:lineRule="auto"/>
              <w:jc w:val="right"/>
            </w:pPr>
            <w:r>
              <w:rPr>
                <w:color w:val="1C3A36"/>
                <w:sz w:val="15"/>
              </w:rPr>
              <w:t>4.03</w:t>
            </w:r>
          </w:p>
        </w:tc>
        <w:tc>
          <w:tcPr>
            <w:tcW w:type="dxa" w:w="1512"/>
          </w:tcPr>
          <w:p>
            <w:pPr>
              <w:spacing w:after="20" w:before="0" w:line="240" w:lineRule="auto"/>
              <w:jc w:val="right"/>
            </w:pPr>
            <w:r>
              <w:rPr>
                <w:color w:val="1C3A36"/>
                <w:sz w:val="15"/>
              </w:rPr>
              <w:t>5.42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no</w:t>
            </w:r>
          </w:p>
        </w:tc>
      </w:tr>
      <w:tr>
        <w:trPr>
          <w:cantSplit w:val="true"/>
        </w:trPr>
        <w:tc>
          <w:tcPr>
            <w:tcW w:type="dxa" w:w="1440"/>
          </w:tcPr>
          <w:p>
            <w:pPr>
              <w:spacing w:after="20" w:before="0" w:line="240" w:lineRule="auto"/>
            </w:pPr>
            <w:r>
              <w:rPr>
                <w:color w:val="1C3A36"/>
                <w:sz w:val="15"/>
              </w:rPr>
              <w:t>23 Sep 2024</w:t>
            </w:r>
          </w:p>
        </w:tc>
        <w:tc>
          <w:tcPr>
            <w:tcW w:type="dxa" w:w="1440"/>
          </w:tcPr>
          <w:p>
            <w:pPr>
              <w:spacing w:after="20" w:before="0" w:line="240" w:lineRule="auto"/>
            </w:pPr>
            <w:r>
              <w:rPr>
                <w:color w:val="1C3A36"/>
                <w:sz w:val="15"/>
              </w:rPr>
              <w:t>23 Dec 2024</w:t>
            </w:r>
          </w:p>
        </w:tc>
        <w:tc>
          <w:tcPr>
            <w:tcW w:type="dxa" w:w="1512"/>
          </w:tcPr>
          <w:p>
            <w:pPr>
              <w:spacing w:after="20" w:before="0" w:line="240" w:lineRule="auto"/>
              <w:jc w:val="right"/>
            </w:pPr>
            <w:r>
              <w:rPr>
                <w:color w:val="1C3A36"/>
                <w:sz w:val="15"/>
              </w:rPr>
              <w:t>5.42</w:t>
            </w:r>
          </w:p>
        </w:tc>
        <w:tc>
          <w:tcPr>
            <w:tcW w:type="dxa" w:w="1512"/>
          </w:tcPr>
          <w:p>
            <w:pPr>
              <w:spacing w:after="20" w:before="0" w:line="240" w:lineRule="auto"/>
              <w:jc w:val="right"/>
            </w:pPr>
            <w:r>
              <w:rPr>
                <w:color w:val="1C3A36"/>
                <w:sz w:val="15"/>
              </w:rPr>
              <w:t>5.46</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23 Dec 2024</w:t>
            </w:r>
          </w:p>
        </w:tc>
        <w:tc>
          <w:tcPr>
            <w:tcW w:type="dxa" w:w="1440"/>
          </w:tcPr>
          <w:p>
            <w:pPr>
              <w:spacing w:after="20" w:before="0" w:line="240" w:lineRule="auto"/>
            </w:pPr>
            <w:r>
              <w:rPr>
                <w:color w:val="1C3A36"/>
                <w:sz w:val="15"/>
              </w:rPr>
              <w:t>24 Mar 2025</w:t>
            </w:r>
          </w:p>
        </w:tc>
        <w:tc>
          <w:tcPr>
            <w:tcW w:type="dxa" w:w="1512"/>
          </w:tcPr>
          <w:p>
            <w:pPr>
              <w:spacing w:after="20" w:before="0" w:line="240" w:lineRule="auto"/>
              <w:jc w:val="right"/>
            </w:pPr>
            <w:r>
              <w:rPr>
                <w:color w:val="1C3A36"/>
                <w:sz w:val="15"/>
              </w:rPr>
              <w:t>5.46</w:t>
            </w:r>
          </w:p>
        </w:tc>
        <w:tc>
          <w:tcPr>
            <w:tcW w:type="dxa" w:w="1512"/>
          </w:tcPr>
          <w:p>
            <w:pPr>
              <w:spacing w:after="20" w:before="0" w:line="240" w:lineRule="auto"/>
              <w:jc w:val="right"/>
            </w:pPr>
            <w:r>
              <w:rPr>
                <w:color w:val="1C3A36"/>
                <w:sz w:val="15"/>
              </w:rPr>
              <w:t>4.92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2025</w:t>
            </w:r>
          </w:p>
        </w:tc>
        <w:tc>
          <w:tcPr>
            <w:tcW w:type="dxa" w:w="1440"/>
          </w:tcPr>
          <w:p>
            <w:pPr>
              <w:spacing w:after="20" w:before="0" w:line="240" w:lineRule="auto"/>
            </w:pPr>
            <w:r>
              <w:rPr>
                <w:color w:val="1C3A36"/>
                <w:sz w:val="15"/>
              </w:rPr>
              <w:t>24 Jun 2025</w:t>
            </w:r>
          </w:p>
        </w:tc>
        <w:tc>
          <w:tcPr>
            <w:tcW w:type="dxa" w:w="1512"/>
          </w:tcPr>
          <w:p>
            <w:pPr>
              <w:spacing w:after="20" w:before="0" w:line="240" w:lineRule="auto"/>
              <w:jc w:val="right"/>
            </w:pPr>
            <w:r>
              <w:rPr>
                <w:color w:val="1C3A36"/>
                <w:sz w:val="15"/>
              </w:rPr>
              <w:t>4.92</w:t>
            </w:r>
          </w:p>
        </w:tc>
        <w:tc>
          <w:tcPr>
            <w:tcW w:type="dxa" w:w="1512"/>
          </w:tcPr>
          <w:p>
            <w:pPr>
              <w:spacing w:after="20" w:before="0" w:line="240" w:lineRule="auto"/>
              <w:jc w:val="right"/>
            </w:pPr>
            <w:r>
              <w:rPr>
                <w:color w:val="1C3A36"/>
                <w:sz w:val="15"/>
              </w:rPr>
              <w:t>4.65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Jun 2025</w:t>
            </w:r>
          </w:p>
        </w:tc>
        <w:tc>
          <w:tcPr>
            <w:tcW w:type="dxa" w:w="1440"/>
          </w:tcPr>
          <w:p>
            <w:pPr>
              <w:spacing w:after="20" w:before="0" w:line="240" w:lineRule="auto"/>
            </w:pPr>
            <w:r>
              <w:rPr>
                <w:color w:val="1C3A36"/>
                <w:sz w:val="15"/>
              </w:rPr>
              <w:t>24 Sep 2025</w:t>
            </w:r>
          </w:p>
        </w:tc>
        <w:tc>
          <w:tcPr>
            <w:tcW w:type="dxa" w:w="1512"/>
          </w:tcPr>
          <w:p>
            <w:pPr>
              <w:spacing w:after="20" w:before="0" w:line="240" w:lineRule="auto"/>
              <w:jc w:val="right"/>
            </w:pPr>
            <w:r>
              <w:rPr>
                <w:color w:val="1C3A36"/>
                <w:sz w:val="15"/>
              </w:rPr>
              <w:t>4.65</w:t>
            </w:r>
          </w:p>
        </w:tc>
        <w:tc>
          <w:tcPr>
            <w:tcW w:type="dxa" w:w="1512"/>
          </w:tcPr>
          <w:p>
            <w:pPr>
              <w:spacing w:after="20" w:before="0" w:line="240" w:lineRule="auto"/>
              <w:jc w:val="right"/>
            </w:pPr>
            <w:r>
              <w:rPr>
                <w:color w:val="1C3A36"/>
                <w:sz w:val="15"/>
              </w:rPr>
              <w:t>5.73</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Sep 2025</w:t>
            </w:r>
          </w:p>
        </w:tc>
        <w:tc>
          <w:tcPr>
            <w:tcW w:type="dxa" w:w="1440"/>
          </w:tcPr>
          <w:p>
            <w:pPr>
              <w:spacing w:after="20" w:before="0" w:line="240" w:lineRule="auto"/>
            </w:pPr>
            <w:r>
              <w:rPr>
                <w:color w:val="1C3A36"/>
                <w:sz w:val="15"/>
              </w:rPr>
              <w:t>24 Dec 2025</w:t>
            </w:r>
          </w:p>
        </w:tc>
        <w:tc>
          <w:tcPr>
            <w:tcW w:type="dxa" w:w="1512"/>
          </w:tcPr>
          <w:p>
            <w:pPr>
              <w:spacing w:after="20" w:before="0" w:line="240" w:lineRule="auto"/>
              <w:jc w:val="right"/>
            </w:pPr>
            <w:r>
              <w:rPr>
                <w:color w:val="1C3A36"/>
                <w:sz w:val="15"/>
              </w:rPr>
              <w:t>5.73</w:t>
            </w:r>
          </w:p>
        </w:tc>
        <w:tc>
          <w:tcPr>
            <w:tcW w:type="dxa" w:w="1512"/>
          </w:tcPr>
          <w:p>
            <w:pPr>
              <w:spacing w:after="20" w:before="0" w:line="240" w:lineRule="auto"/>
              <w:jc w:val="right"/>
            </w:pPr>
            <w:r>
              <w:rPr>
                <w:color w:val="1C3A36"/>
                <w:sz w:val="15"/>
              </w:rPr>
              <w:t>5.85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Dec 2025</w:t>
            </w:r>
          </w:p>
        </w:tc>
        <w:tc>
          <w:tcPr>
            <w:tcW w:type="dxa" w:w="1440"/>
          </w:tcPr>
          <w:p>
            <w:pPr>
              <w:spacing w:after="20" w:before="0" w:line="240" w:lineRule="auto"/>
            </w:pPr>
            <w:r>
              <w:rPr>
                <w:color w:val="1C3A36"/>
                <w:sz w:val="15"/>
              </w:rPr>
              <w:t>24 Mar 2026</w:t>
            </w:r>
          </w:p>
        </w:tc>
        <w:tc>
          <w:tcPr>
            <w:tcW w:type="dxa" w:w="1512"/>
          </w:tcPr>
          <w:p>
            <w:pPr>
              <w:spacing w:after="20" w:before="0" w:line="240" w:lineRule="auto"/>
              <w:jc w:val="right"/>
            </w:pPr>
            <w:r>
              <w:rPr>
                <w:color w:val="1C3A36"/>
                <w:sz w:val="15"/>
              </w:rPr>
              <w:t>5.85</w:t>
            </w:r>
          </w:p>
        </w:tc>
        <w:tc>
          <w:tcPr>
            <w:tcW w:type="dxa" w:w="1512"/>
          </w:tcPr>
          <w:p>
            <w:pPr>
              <w:spacing w:after="20" w:before="0" w:line="240" w:lineRule="auto"/>
              <w:jc w:val="right"/>
            </w:pPr>
            <w:r>
              <w:rPr>
                <w:color w:val="1C3A36"/>
                <w:sz w:val="15"/>
              </w:rPr>
              <w:t>4.99</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2026</w:t>
            </w:r>
          </w:p>
        </w:tc>
        <w:tc>
          <w:tcPr>
            <w:tcW w:type="dxa" w:w="1440"/>
          </w:tcPr>
          <w:p>
            <w:pPr>
              <w:spacing w:after="20" w:before="0" w:line="240" w:lineRule="auto"/>
            </w:pPr>
            <w:r>
              <w:rPr>
                <w:color w:val="1C3A36"/>
                <w:sz w:val="15"/>
              </w:rPr>
              <w:t>24 Jun 2026</w:t>
            </w:r>
          </w:p>
        </w:tc>
        <w:tc>
          <w:tcPr>
            <w:tcW w:type="dxa" w:w="1512"/>
          </w:tcPr>
          <w:p>
            <w:pPr>
              <w:spacing w:after="20" w:before="0" w:line="240" w:lineRule="auto"/>
              <w:jc w:val="right"/>
            </w:pPr>
            <w:r>
              <w:rPr>
                <w:color w:val="1C3A36"/>
                <w:sz w:val="15"/>
              </w:rPr>
              <w:t>4.99</w:t>
            </w:r>
          </w:p>
        </w:tc>
        <w:tc>
          <w:tcPr>
            <w:tcW w:type="dxa" w:w="1512"/>
          </w:tcPr>
          <w:p>
            <w:pPr>
              <w:spacing w:after="20" w:before="0" w:line="240" w:lineRule="auto"/>
              <w:jc w:val="right"/>
            </w:pPr>
            <w:r>
              <w:rPr>
                <w:color w:val="1C3A36"/>
                <w:sz w:val="15"/>
              </w:rPr>
              <w:t>5.97</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8 windows</w:t>
            </w:r>
          </w:p>
        </w:tc>
        <w:tc>
          <w:tcPr>
            <w:tcW w:type="dxa" w:w="1440"/>
          </w:tcPr>
          <w:p>
            <w:pPr>
              <w:spacing w:after="20" w:before="0" w:line="240" w:lineRule="auto"/>
            </w:pPr>
            <w:r>
              <w:rPr>
                <w:color w:val="1C3A36"/>
                <w:sz w:val="15"/>
              </w:rPr>
            </w:r>
          </w:p>
        </w:tc>
        <w:tc>
          <w:tcPr>
            <w:tcW w:type="dxa" w:w="1512"/>
          </w:tcPr>
          <w:p>
            <w:pPr>
              <w:spacing w:after="20" w:before="0" w:line="240" w:lineRule="auto"/>
              <w:jc w:val="right"/>
            </w:pPr>
            <w:r>
              <w:rPr>
                <w:color w:val="1C3A36"/>
                <w:sz w:val="15"/>
              </w:rPr>
            </w:r>
          </w:p>
        </w:tc>
        <w:tc>
          <w:tcPr>
            <w:tcW w:type="dxa" w:w="1512"/>
          </w:tcPr>
          <w:p>
            <w:pPr>
              <w:spacing w:after="20" w:before="0" w:line="240" w:lineRule="auto"/>
              <w:jc w:val="right"/>
            </w:pPr>
            <w:r>
              <w:rPr>
                <w:color w:val="1C3A36"/>
                <w:sz w:val="15"/>
              </w:rPr>
            </w:r>
          </w:p>
        </w:tc>
        <w:tc>
          <w:tcPr>
            <w:tcW w:type="dxa" w:w="1656"/>
          </w:tcPr>
          <w:p>
            <w:pPr>
              <w:spacing w:after="20" w:before="0" w:line="240" w:lineRule="auto"/>
              <w:jc w:val="right"/>
            </w:pPr>
            <w:r>
              <w:rPr>
                <w:color w:val="1C3A36"/>
                <w:sz w:val="15"/>
              </w:rPr>
              <w:t>3 of 8</w:t>
            </w:r>
          </w:p>
        </w:tc>
        <w:tc>
          <w:tcPr>
            <w:tcW w:type="dxa" w:w="1296"/>
          </w:tcPr>
          <w:p>
            <w:pPr>
              <w:spacing w:after="20" w:before="0" w:line="240" w:lineRule="auto"/>
              <w:jc w:val="right"/>
            </w:pPr>
            <w:r>
              <w:rPr>
                <w:color w:val="1C3A36"/>
                <w:sz w:val="15"/>
              </w:rPr>
              <w:t>6 of 8</w:t>
            </w:r>
          </w:p>
        </w:tc>
        <w:tc>
          <w:tcPr>
            <w:tcW w:type="dxa" w:w="1368"/>
          </w:tcPr>
          <w:p>
            <w:pPr>
              <w:spacing w:after="20" w:before="0" w:line="240" w:lineRule="auto"/>
              <w:jc w:val="right"/>
            </w:pPr>
            <w:r>
              <w:rPr>
                <w:color w:val="1C3A36"/>
                <w:sz w:val="15"/>
              </w:rPr>
              <w:t>7 of 8</w:t>
            </w:r>
          </w:p>
        </w:tc>
      </w:tr>
    </w:tbl>
    <w:p>
      <w:pPr>
        <w:spacing w:after="40"/>
      </w:pPr>
    </w:p>
    <w:p>
      <w:pPr>
        <w:spacing w:after="100" w:before="0"/>
      </w:pPr>
      <w:r>
        <w:rPr>
          <w:b w:val="0"/>
          <w:i w:val="0"/>
          <w:color w:val="1C3A36"/>
          <w:sz w:val="19"/>
        </w:rPr>
        <w:t>Prices are in dirhams. The share listed in June 2023, so there are only 8 independent three-month windows to be had — that is the binding limit on this test and no arrangement of the data removes it. The counts in the last row are the coverage figures quoted in the study, and they are small-sample counts rather than percentages that mean anything on their own: one window either way moves the middle figure by more than a tenth. The one-month horizon has three times as many windows and behaves better, and the width setting itself rests on a much larger group of Abu Dhabi names rather than on this share alone. Both of those are stated in the study.</w:t>
      </w:r>
    </w:p>
    <w:p>
      <w:pPr>
        <w:spacing w:after="100" w:before="0"/>
      </w:pPr>
      <w:r>
        <w:rPr>
          <w:b w:val="0"/>
          <w:i w:val="0"/>
          <w:color w:val="1C3A36"/>
          <w:sz w:val="19"/>
        </w:rPr>
        <w:t>The same principle applies to the beta and to the price structure in section 2, and here the honest answer is a limitation rather than a table. The regression pairs 159 weekly returns of the share against the index series named in the external documents table, over 3.09 years, and reports a slope of 1.103 with a standard error of 0.315 and an R-squared of 0.181. The paired series itself is not reproduced in these documents, and nor is the daily price history the moving averages and the level ladder are computed from — they are thousands of rows. What a reader can check without them is stated instead: the observation count, the span, the two variants the same returns give against different definitions of the market, and the 52-week high and low, which any price source will confirm. A reader who wants to reproduce the regression needs the two closing series, and this document names exactly which two and over exactly which dates.</w:t>
      </w:r>
    </w:p>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