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36"/>
        </w:rPr>
        <w:t>Riyadh Cables Group Company — Bibliography &amp; Source Register</w:t>
      </w:r>
    </w:p>
    <w:p>
      <w:pPr>
        <w:spacing w:after="160" w:before="0"/>
      </w:pPr>
      <w:r>
        <w:rPr>
          <w:b w:val="0"/>
          <w:i w:val="0"/>
          <w:color w:val="6E7B77"/>
          <w:sz w:val="21"/>
        </w:rPr>
        <w:t>Tadawul: 4142  ·  companion to the valuation study dated 18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register lists every source and every input behind the valuation study. Sources are grouped by research layer: Company (the subject’s own audited and reviewed filings), Country (sovereign macro and risk premia), Industry (sector and peers), Global (rates, commodities), and House (the analyst’s own forecast assumptions, each built on a sourced anchor). The company’s historical figures come only from its own audited statements; no aggregator, broker note or press report is a source for any company figure — such sources appear only as labelled cross-checks.</w:t>
            </w:r>
          </w:p>
        </w:tc>
      </w:tr>
    </w:tbl>
    <w:p>
      <w:pPr>
        <w:spacing w:after="40"/>
      </w:pPr>
    </w:p>
    <w:p>
      <w:pPr>
        <w:spacing w:after="120" w:before="280"/>
      </w:pPr>
      <w:r>
        <w:rPr>
          <w:b/>
          <w:i w:val="0"/>
          <w:color w:val="1C3A36"/>
          <w:sz w:val="30"/>
        </w:rPr>
        <w:t>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448"/>
        <w:gridCol w:w="4176"/>
      </w:tblGrid>
      <w:tr>
        <w:tc>
          <w:tcPr>
            <w:tcW w:type="dxa" w:w="3600"/>
            <w:shd w:val="clear" w:color="auto" w:fill="EAF0EE"/>
          </w:tcPr>
          <w:p>
            <w:pPr>
              <w:spacing w:after="20"/>
            </w:pPr>
            <w:r>
              <w:rPr>
                <w:b/>
                <w:color w:val="1C3A36"/>
                <w:sz w:val="16"/>
              </w:rPr>
              <w:t>Document</w:t>
            </w:r>
          </w:p>
        </w:tc>
        <w:tc>
          <w:tcPr>
            <w:tcW w:type="dxa" w:w="2448"/>
            <w:shd w:val="clear" w:color="auto" w:fill="EAF0EE"/>
          </w:tcPr>
          <w:p>
            <w:pPr>
              <w:spacing w:after="20"/>
            </w:pPr>
            <w:r>
              <w:rPr>
                <w:b/>
                <w:color w:val="1C3A36"/>
                <w:sz w:val="16"/>
              </w:rPr>
              <w:t>Publisher / date</w:t>
            </w:r>
          </w:p>
        </w:tc>
        <w:tc>
          <w:tcPr>
            <w:tcW w:type="dxa" w:w="4176"/>
            <w:shd w:val="clear" w:color="auto" w:fill="EAF0EE"/>
          </w:tcPr>
          <w:p>
            <w:pPr>
              <w:spacing w:after="20"/>
            </w:pPr>
            <w:r>
              <w:rPr>
                <w:b/>
                <w:color w:val="1C3A36"/>
                <w:sz w:val="16"/>
              </w:rPr>
              <w:t>What was taken from it</w:t>
            </w:r>
          </w:p>
        </w:tc>
      </w:tr>
      <w:tr>
        <w:tc>
          <w:tcPr>
            <w:tcW w:type="dxa" w:w="3600"/>
          </w:tcPr>
          <w:p>
            <w:pPr>
              <w:spacing w:after="20"/>
            </w:pPr>
            <w:r>
              <w:rPr>
                <w:color w:val="1C3A36"/>
                <w:sz w:val="16"/>
              </w:rPr>
              <w:t>Consolidated financial statements, year ended 31 Dec 2025</w:t>
            </w:r>
          </w:p>
        </w:tc>
        <w:tc>
          <w:tcPr>
            <w:tcW w:type="dxa" w:w="2448"/>
          </w:tcPr>
          <w:p>
            <w:pPr>
              <w:spacing w:after="20"/>
              <w:jc w:val="right"/>
            </w:pPr>
            <w:r>
              <w:rPr>
                <w:color w:val="1C3A36"/>
                <w:sz w:val="16"/>
              </w:rPr>
              <w:t>Riyadh Cables / KPMG, 26 Mar 2026</w:t>
            </w:r>
          </w:p>
        </w:tc>
        <w:tc>
          <w:tcPr>
            <w:tcW w:type="dxa" w:w="4176"/>
          </w:tcPr>
          <w:p>
            <w:pPr>
              <w:spacing w:after="20"/>
              <w:jc w:val="right"/>
            </w:pPr>
            <w:r>
              <w:rPr>
                <w:color w:val="1C3A36"/>
                <w:sz w:val="16"/>
              </w:rPr>
              <w:t>Full income statement, balance sheet, cash flow; cost-of-revenue breakdown; segment and geographic split; inventory; Islamic finance facilities; dividends; shares</w:t>
            </w:r>
          </w:p>
        </w:tc>
      </w:tr>
      <w:tr>
        <w:tc>
          <w:tcPr>
            <w:tcW w:type="dxa" w:w="3600"/>
          </w:tcPr>
          <w:p>
            <w:pPr>
              <w:spacing w:after="20"/>
            </w:pPr>
            <w:r>
              <w:rPr>
                <w:color w:val="1C3A36"/>
                <w:sz w:val="16"/>
              </w:rPr>
              <w:t>Consolidated financial statements, year ended 31 Dec 2024</w:t>
            </w:r>
          </w:p>
        </w:tc>
        <w:tc>
          <w:tcPr>
            <w:tcW w:type="dxa" w:w="2448"/>
          </w:tcPr>
          <w:p>
            <w:pPr>
              <w:spacing w:after="20"/>
              <w:jc w:val="right"/>
            </w:pPr>
            <w:r>
              <w:rPr>
                <w:color w:val="1C3A36"/>
                <w:sz w:val="16"/>
              </w:rPr>
              <w:t>Riyadh Cables / KPMG, Mar 2025</w:t>
            </w:r>
          </w:p>
        </w:tc>
        <w:tc>
          <w:tcPr>
            <w:tcW w:type="dxa" w:w="4176"/>
          </w:tcPr>
          <w:p>
            <w:pPr>
              <w:spacing w:after="20"/>
              <w:jc w:val="right"/>
            </w:pPr>
            <w:r>
              <w:rPr>
                <w:color w:val="1C3A36"/>
                <w:sz w:val="16"/>
              </w:rPr>
              <w:t>FY2024 income statement and balance sheet; FY2023 comparative</w:t>
            </w:r>
          </w:p>
        </w:tc>
      </w:tr>
      <w:tr>
        <w:tc>
          <w:tcPr>
            <w:tcW w:type="dxa" w:w="3600"/>
          </w:tcPr>
          <w:p>
            <w:pPr>
              <w:spacing w:after="20"/>
            </w:pPr>
            <w:r>
              <w:rPr>
                <w:color w:val="1C3A36"/>
                <w:sz w:val="16"/>
              </w:rPr>
              <w:t>Consolidated financial statements, year ended 31 Dec 2023</w:t>
            </w:r>
          </w:p>
        </w:tc>
        <w:tc>
          <w:tcPr>
            <w:tcW w:type="dxa" w:w="2448"/>
          </w:tcPr>
          <w:p>
            <w:pPr>
              <w:spacing w:after="20"/>
              <w:jc w:val="right"/>
            </w:pPr>
            <w:r>
              <w:rPr>
                <w:color w:val="1C3A36"/>
                <w:sz w:val="16"/>
              </w:rPr>
              <w:t>Riyadh Cables / KPMG, Mar 2024</w:t>
            </w:r>
          </w:p>
        </w:tc>
        <w:tc>
          <w:tcPr>
            <w:tcW w:type="dxa" w:w="4176"/>
          </w:tcPr>
          <w:p>
            <w:pPr>
              <w:spacing w:after="20"/>
              <w:jc w:val="right"/>
            </w:pPr>
            <w:r>
              <w:rPr>
                <w:color w:val="1C3A36"/>
                <w:sz w:val="16"/>
              </w:rPr>
              <w:t>FY2023 income statement and balance sheet; FY2022 comparative</w:t>
            </w:r>
          </w:p>
        </w:tc>
      </w:tr>
      <w:tr>
        <w:tc>
          <w:tcPr>
            <w:tcW w:type="dxa" w:w="3600"/>
          </w:tcPr>
          <w:p>
            <w:pPr>
              <w:spacing w:after="20"/>
            </w:pPr>
            <w:r>
              <w:rPr>
                <w:color w:val="1C3A36"/>
                <w:sz w:val="16"/>
              </w:rPr>
              <w:t>Annual report, year ended 31 Dec 2022 (IPO year)</w:t>
            </w:r>
          </w:p>
        </w:tc>
        <w:tc>
          <w:tcPr>
            <w:tcW w:type="dxa" w:w="2448"/>
          </w:tcPr>
          <w:p>
            <w:pPr>
              <w:spacing w:after="20"/>
              <w:jc w:val="right"/>
            </w:pPr>
            <w:r>
              <w:rPr>
                <w:color w:val="1C3A36"/>
                <w:sz w:val="16"/>
              </w:rPr>
              <w:t>Riyadh Cables, 2023</w:t>
            </w:r>
          </w:p>
        </w:tc>
        <w:tc>
          <w:tcPr>
            <w:tcW w:type="dxa" w:w="4176"/>
          </w:tcPr>
          <w:p>
            <w:pPr>
              <w:spacing w:after="20"/>
              <w:jc w:val="right"/>
            </w:pPr>
            <w:r>
              <w:rPr>
                <w:color w:val="1C3A36"/>
                <w:sz w:val="16"/>
              </w:rPr>
              <w:t>FY2022 revenue and profit (cross-verified against the FY2023 comparative)</w:t>
            </w:r>
          </w:p>
        </w:tc>
      </w:tr>
      <w:tr>
        <w:tc>
          <w:tcPr>
            <w:tcW w:type="dxa" w:w="3600"/>
          </w:tcPr>
          <w:p>
            <w:pPr>
              <w:spacing w:after="20"/>
            </w:pPr>
            <w:r>
              <w:rPr>
                <w:color w:val="1C3A36"/>
                <w:sz w:val="16"/>
              </w:rPr>
              <w:t>Interim reviewed results, six months to 30 Jun 2026</w:t>
            </w:r>
          </w:p>
        </w:tc>
        <w:tc>
          <w:tcPr>
            <w:tcW w:type="dxa" w:w="2448"/>
          </w:tcPr>
          <w:p>
            <w:pPr>
              <w:spacing w:after="20"/>
              <w:jc w:val="right"/>
            </w:pPr>
            <w:r>
              <w:rPr>
                <w:color w:val="1C3A36"/>
                <w:sz w:val="16"/>
              </w:rPr>
              <w:t>Riyadh Cables via Tadawul, 29 Jul 2026</w:t>
            </w:r>
          </w:p>
        </w:tc>
        <w:tc>
          <w:tcPr>
            <w:tcW w:type="dxa" w:w="4176"/>
          </w:tcPr>
          <w:p>
            <w:pPr>
              <w:spacing w:after="20"/>
              <w:jc w:val="right"/>
            </w:pPr>
            <w:r>
              <w:rPr>
                <w:color w:val="1C3A36"/>
                <w:sz w:val="16"/>
              </w:rPr>
              <w:t>H1-2026 revenue, gross profit, operating profit, net profit, equity — the near-term margin anchor</w:t>
            </w:r>
          </w:p>
        </w:tc>
      </w:tr>
      <w:tr>
        <w:tc>
          <w:tcPr>
            <w:tcW w:type="dxa" w:w="3600"/>
          </w:tcPr>
          <w:p>
            <w:pPr>
              <w:spacing w:after="20"/>
            </w:pPr>
            <w:r>
              <w:rPr>
                <w:color w:val="1C3A36"/>
                <w:sz w:val="16"/>
              </w:rPr>
              <w:t>Interim results, three months to 31 Mar 2026</w:t>
            </w:r>
          </w:p>
        </w:tc>
        <w:tc>
          <w:tcPr>
            <w:tcW w:type="dxa" w:w="2448"/>
          </w:tcPr>
          <w:p>
            <w:pPr>
              <w:spacing w:after="20"/>
              <w:jc w:val="right"/>
            </w:pPr>
            <w:r>
              <w:rPr>
                <w:color w:val="1C3A36"/>
                <w:sz w:val="16"/>
              </w:rPr>
              <w:t>Riyadh Cables via Tadawul, May 2026</w:t>
            </w:r>
          </w:p>
        </w:tc>
        <w:tc>
          <w:tcPr>
            <w:tcW w:type="dxa" w:w="4176"/>
          </w:tcPr>
          <w:p>
            <w:pPr>
              <w:spacing w:after="20"/>
              <w:jc w:val="right"/>
            </w:pPr>
            <w:r>
              <w:rPr>
                <w:color w:val="1C3A36"/>
                <w:sz w:val="16"/>
              </w:rPr>
              <w:t>Q1-2026 revenue, gross profit, operating profit, net profit</w:t>
            </w:r>
          </w:p>
        </w:tc>
      </w:tr>
      <w:tr>
        <w:tc>
          <w:tcPr>
            <w:tcW w:type="dxa" w:w="3600"/>
          </w:tcPr>
          <w:p>
            <w:pPr>
              <w:spacing w:after="20"/>
            </w:pPr>
            <w:r>
              <w:rPr>
                <w:color w:val="1C3A36"/>
                <w:sz w:val="16"/>
              </w:rPr>
              <w:t>Country risk premium data, July 2026 vintage</w:t>
            </w:r>
          </w:p>
        </w:tc>
        <w:tc>
          <w:tcPr>
            <w:tcW w:type="dxa" w:w="2448"/>
          </w:tcPr>
          <w:p>
            <w:pPr>
              <w:spacing w:after="20"/>
              <w:jc w:val="right"/>
            </w:pPr>
            <w:r>
              <w:rPr>
                <w:color w:val="1C3A36"/>
                <w:sz w:val="16"/>
              </w:rPr>
              <w:t>A. Damodaran (NYU Stern), ~10 Jul 2026</w:t>
            </w:r>
          </w:p>
        </w:tc>
        <w:tc>
          <w:tcPr>
            <w:tcW w:type="dxa" w:w="4176"/>
          </w:tcPr>
          <w:p>
            <w:pPr>
              <w:spacing w:after="20"/>
              <w:jc w:val="right"/>
            </w:pPr>
            <w:r>
              <w:rPr>
                <w:color w:val="1C3A36"/>
                <w:sz w:val="16"/>
              </w:rPr>
              <w:t>Saudi Arabia rating (Aa3), sovereign default spread 0.48%, country risk premium 0.74%, equity risk premium 4.94% (the CDS-basis figure is the January vintage and is flagged as such)</w:t>
            </w:r>
          </w:p>
        </w:tc>
      </w:tr>
      <w:tr>
        <w:tc>
          <w:tcPr>
            <w:tcW w:type="dxa" w:w="3600"/>
          </w:tcPr>
          <w:p>
            <w:pPr>
              <w:spacing w:after="20"/>
            </w:pPr>
            <w:r>
              <w:rPr>
                <w:color w:val="1C3A36"/>
                <w:sz w:val="16"/>
              </w:rPr>
              <w:t>FTSE Saudi Arabian Government Bond Index factsheet, 31 Jul 2026</w:t>
            </w:r>
          </w:p>
        </w:tc>
        <w:tc>
          <w:tcPr>
            <w:tcW w:type="dxa" w:w="2448"/>
          </w:tcPr>
          <w:p>
            <w:pPr>
              <w:spacing w:after="20"/>
              <w:jc w:val="right"/>
            </w:pPr>
            <w:r>
              <w:rPr>
                <w:color w:val="1C3A36"/>
                <w:sz w:val="16"/>
              </w:rPr>
              <w:t>FTSE Russell (LSEG)</w:t>
            </w:r>
          </w:p>
        </w:tc>
        <w:tc>
          <w:tcPr>
            <w:tcW w:type="dxa" w:w="4176"/>
          </w:tcPr>
          <w:p>
            <w:pPr>
              <w:spacing w:after="20"/>
              <w:jc w:val="right"/>
            </w:pPr>
            <w:r>
              <w:rPr>
                <w:color w:val="1C3A36"/>
                <w:sz w:val="16"/>
              </w:rPr>
              <w:t>The 10-year SAR risk-free rate: 7–10-year bucket yield-to-maturity 5.52% at an 8.24-year average life, on an upward-sloping curve (whole index 5.48%); corroborated by FRED (US 10-year 4.68–4.72%) plus the Saudi USD new-issue spread, and by the SAR sukuk index level</w:t>
            </w:r>
          </w:p>
        </w:tc>
      </w:tr>
      <w:tr>
        <w:tc>
          <w:tcPr>
            <w:tcW w:type="dxa" w:w="3600"/>
          </w:tcPr>
          <w:p>
            <w:pPr>
              <w:spacing w:after="20"/>
            </w:pPr>
            <w:r>
              <w:rPr>
                <w:color w:val="1C3A36"/>
                <w:sz w:val="16"/>
              </w:rPr>
              <w:t>Dividend record, symbol 4142</w:t>
            </w:r>
          </w:p>
        </w:tc>
        <w:tc>
          <w:tcPr>
            <w:tcW w:type="dxa" w:w="2448"/>
          </w:tcPr>
          <w:p>
            <w:pPr>
              <w:spacing w:after="20"/>
              <w:jc w:val="right"/>
            </w:pPr>
            <w:r>
              <w:rPr>
                <w:color w:val="1C3A36"/>
                <w:sz w:val="16"/>
              </w:rPr>
              <w:t>Saudi Exchange / Argaam dividend table</w:t>
            </w:r>
          </w:p>
        </w:tc>
        <w:tc>
          <w:tcPr>
            <w:tcW w:type="dxa" w:w="4176"/>
          </w:tcPr>
          <w:p>
            <w:pPr>
              <w:spacing w:after="20"/>
              <w:jc w:val="right"/>
            </w:pPr>
            <w:r>
              <w:rPr>
                <w:color w:val="1C3A36"/>
                <w:sz w:val="16"/>
              </w:rPr>
              <w:t>The FY2025 final dividend: SR 336.86mn at SR 2.25/share, announced 15-Mar-2026, ex 10-May-2026, paid 18-May-2026 — the only distribution in the roll window (cross-checked against Note 47 of the audited statements)</w:t>
            </w:r>
          </w:p>
        </w:tc>
      </w:tr>
      <w:tr>
        <w:tc>
          <w:tcPr>
            <w:tcW w:type="dxa" w:w="3600"/>
          </w:tcPr>
          <w:p>
            <w:pPr>
              <w:spacing w:after="20"/>
            </w:pPr>
            <w:r>
              <w:rPr>
                <w:color w:val="1C3A36"/>
                <w:sz w:val="16"/>
              </w:rPr>
              <w:t>Tadawul All Share Index (TASI) price history</w:t>
            </w:r>
          </w:p>
        </w:tc>
        <w:tc>
          <w:tcPr>
            <w:tcW w:type="dxa" w:w="2448"/>
          </w:tcPr>
          <w:p>
            <w:pPr>
              <w:spacing w:after="20"/>
              <w:jc w:val="right"/>
            </w:pPr>
            <w:r>
              <w:rPr>
                <w:color w:val="1C3A36"/>
                <w:sz w:val="16"/>
              </w:rPr>
              <w:t>Saudi Exchange</w:t>
            </w:r>
          </w:p>
        </w:tc>
        <w:tc>
          <w:tcPr>
            <w:tcW w:type="dxa" w:w="4176"/>
          </w:tcPr>
          <w:p>
            <w:pPr>
              <w:spacing w:after="20"/>
              <w:jc w:val="right"/>
            </w:pPr>
            <w:r>
              <w:rPr>
                <w:color w:val="1C3A36"/>
                <w:sz w:val="16"/>
              </w:rPr>
              <w:t>The index against which the stock’s beta is estimated</w:t>
            </w:r>
          </w:p>
        </w:tc>
      </w:tr>
      <w:tr>
        <w:tc>
          <w:tcPr>
            <w:tcW w:type="dxa" w:w="3600"/>
          </w:tcPr>
          <w:p>
            <w:pPr>
              <w:spacing w:after="20"/>
            </w:pPr>
            <w:r>
              <w:rPr>
                <w:color w:val="1C3A36"/>
                <w:sz w:val="16"/>
              </w:rPr>
              <w:t>Policy rate and yield references</w:t>
            </w:r>
          </w:p>
        </w:tc>
        <w:tc>
          <w:tcPr>
            <w:tcW w:type="dxa" w:w="2448"/>
          </w:tcPr>
          <w:p>
            <w:pPr>
              <w:spacing w:after="20"/>
              <w:jc w:val="right"/>
            </w:pPr>
            <w:r>
              <w:rPr>
                <w:color w:val="1C3A36"/>
                <w:sz w:val="16"/>
              </w:rPr>
              <w:t>SAMA; sovereign yield sources, Aug 2026</w:t>
            </w:r>
          </w:p>
        </w:tc>
        <w:tc>
          <w:tcPr>
            <w:tcW w:type="dxa" w:w="4176"/>
          </w:tcPr>
          <w:p>
            <w:pPr>
              <w:spacing w:after="20"/>
              <w:jc w:val="right"/>
            </w:pPr>
            <w:r>
              <w:rPr>
                <w:color w:val="1C3A36"/>
                <w:sz w:val="16"/>
              </w:rPr>
              <w:t>The SAIBOR leg of the marginal cost-of-debt estimate</w:t>
            </w:r>
          </w:p>
        </w:tc>
      </w:tr>
      <w:tr>
        <w:tc>
          <w:tcPr>
            <w:tcW w:type="dxa" w:w="3600"/>
          </w:tcPr>
          <w:p>
            <w:pPr>
              <w:spacing w:after="20"/>
            </w:pPr>
            <w:r>
              <w:rPr>
                <w:color w:val="1C3A36"/>
                <w:sz w:val="16"/>
              </w:rPr>
              <w:t>LME copper and aluminium references</w:t>
            </w:r>
          </w:p>
        </w:tc>
        <w:tc>
          <w:tcPr>
            <w:tcW w:type="dxa" w:w="2448"/>
          </w:tcPr>
          <w:p>
            <w:pPr>
              <w:spacing w:after="20"/>
              <w:jc w:val="right"/>
            </w:pPr>
            <w:r>
              <w:rPr>
                <w:color w:val="1C3A36"/>
                <w:sz w:val="16"/>
              </w:rPr>
              <w:t>London Metal Exchange, Aug 2026</w:t>
            </w:r>
          </w:p>
        </w:tc>
        <w:tc>
          <w:tcPr>
            <w:tcW w:type="dxa" w:w="4176"/>
          </w:tcPr>
          <w:p>
            <w:pPr>
              <w:spacing w:after="20"/>
              <w:jc w:val="right"/>
            </w:pPr>
            <w:r>
              <w:rPr>
                <w:color w:val="1C3A36"/>
                <w:sz w:val="16"/>
              </w:rPr>
              <w:t>The metal-price path behind the materials cost leg (context / cross-check)</w:t>
            </w:r>
          </w:p>
        </w:tc>
      </w:tr>
    </w:tbl>
    <w:p>
      <w:pPr>
        <w:spacing w:after="40"/>
      </w:pPr>
    </w:p>
    <w:p>
      <w:pPr>
        <w:spacing w:after="120" w:before="280"/>
      </w:pPr>
      <w:r>
        <w:rPr>
          <w:b/>
          <w:i w:val="0"/>
          <w:color w:val="1C3A36"/>
          <w:sz w:val="30"/>
        </w:rPr>
        <w:t>Full input register</w:t>
      </w:r>
    </w:p>
    <w:p>
      <w:pPr>
        <w:spacing w:after="120" w:before="0"/>
      </w:pPr>
      <w:r>
        <w:rPr>
          <w:b w:val="0"/>
          <w:i w:val="0"/>
          <w:color w:val="6E7B77"/>
          <w:sz w:val="19"/>
        </w:rPr>
        <w:t>Every input in the model, with its value, date and source-and-construction, grouped by research layer. Values are the committed model numbers; percentages are shown as entered.</w:t>
      </w:r>
    </w:p>
    <w:p>
      <w:pPr>
        <w:spacing w:after="80" w:before="200"/>
      </w:pPr>
      <w:r>
        <w:rPr>
          <w:b/>
          <w:i w:val="0"/>
          <w:color w:val="1C3A36"/>
          <w:sz w:val="24"/>
        </w:rPr>
        <w:t>Company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shares_out</w:t>
            </w:r>
          </w:p>
        </w:tc>
        <w:tc>
          <w:tcPr>
            <w:tcW w:type="dxa" w:w="1440"/>
          </w:tcPr>
          <w:p>
            <w:pPr>
              <w:spacing w:after="20"/>
              <w:jc w:val="right"/>
            </w:pPr>
            <w:r>
              <w:rPr>
                <w:color w:val="1C3A36"/>
                <w:sz w:val="14"/>
              </w:rPr>
              <w:t>149.72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150,000,000 ordinary shares issued (SAR 10 par, paid capital SAR 1,500mn) less 282,500 treasury shares; the weighted-average basic/diluted share count in EPS Note 41 of the FY2025 audited statements is 149,717,500</w:t>
            </w:r>
          </w:p>
        </w:tc>
      </w:tr>
      <w:tr>
        <w:tc>
          <w:tcPr>
            <w:tcW w:type="dxa" w:w="1944"/>
          </w:tcPr>
          <w:p>
            <w:pPr>
              <w:spacing w:after="20"/>
            </w:pPr>
            <w:r>
              <w:rPr>
                <w:color w:val="1C3A36"/>
                <w:sz w:val="14"/>
              </w:rPr>
              <w:t>tax_eff</w:t>
            </w:r>
          </w:p>
        </w:tc>
        <w:tc>
          <w:tcPr>
            <w:tcW w:type="dxa" w:w="1440"/>
          </w:tcPr>
          <w:p>
            <w:pPr>
              <w:spacing w:after="20"/>
              <w:jc w:val="right"/>
            </w:pPr>
            <w:r>
              <w:rPr>
                <w:color w:val="1C3A36"/>
                <w:sz w:val="14"/>
              </w:rPr>
              <w:t>0.0950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Blended zakat-and-income-tax rate for the forecast. Audited effective charge (zakat + income tax + deferred) / profit before zakat: FY2023 7.0%, FY2024 7.3%, FY2025 9.0%. Saudi zakat is ~2.5% of the zakat base; income tax (20%) applies to any non-GCC-owned share of profits and to foreign operatio…</w:t>
            </w:r>
          </w:p>
        </w:tc>
      </w:tr>
      <w:tr>
        <w:tc>
          <w:tcPr>
            <w:tcW w:type="dxa" w:w="1944"/>
          </w:tcPr>
          <w:p>
            <w:pPr>
              <w:spacing w:after="20"/>
            </w:pPr>
            <w:r>
              <w:rPr>
                <w:color w:val="1C3A36"/>
                <w:sz w:val="14"/>
              </w:rPr>
              <w:t>rev_fy23</w:t>
            </w:r>
          </w:p>
        </w:tc>
        <w:tc>
          <w:tcPr>
            <w:tcW w:type="dxa" w:w="1440"/>
          </w:tcPr>
          <w:p>
            <w:pPr>
              <w:spacing w:after="20"/>
              <w:jc w:val="right"/>
            </w:pPr>
            <w:r>
              <w:rPr>
                <w:color w:val="1C3A36"/>
                <w:sz w:val="14"/>
              </w:rPr>
              <w:t>7,825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(confirmed by the FY2024 comparative column)</w:t>
            </w:r>
          </w:p>
        </w:tc>
      </w:tr>
      <w:tr>
        <w:tc>
          <w:tcPr>
            <w:tcW w:type="dxa" w:w="1944"/>
          </w:tcPr>
          <w:p>
            <w:pPr>
              <w:spacing w:after="20"/>
            </w:pPr>
            <w:r>
              <w:rPr>
                <w:color w:val="1C3A36"/>
                <w:sz w:val="14"/>
              </w:rPr>
              <w:t>rev_fy24</w:t>
            </w:r>
          </w:p>
        </w:tc>
        <w:tc>
          <w:tcPr>
            <w:tcW w:type="dxa" w:w="1440"/>
          </w:tcPr>
          <w:p>
            <w:pPr>
              <w:spacing w:after="20"/>
              <w:jc w:val="right"/>
            </w:pPr>
            <w:r>
              <w:rPr>
                <w:color w:val="1C3A36"/>
                <w:sz w:val="14"/>
              </w:rPr>
              <w:t>9,007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(confirmed by the FY2025 comparative column)</w:t>
            </w:r>
          </w:p>
        </w:tc>
      </w:tr>
      <w:tr>
        <w:tc>
          <w:tcPr>
            <w:tcW w:type="dxa" w:w="1944"/>
          </w:tcPr>
          <w:p>
            <w:pPr>
              <w:spacing w:after="20"/>
            </w:pPr>
            <w:r>
              <w:rPr>
                <w:color w:val="1C3A36"/>
                <w:sz w:val="14"/>
              </w:rPr>
              <w:t>rev_fy25</w:t>
            </w:r>
          </w:p>
        </w:tc>
        <w:tc>
          <w:tcPr>
            <w:tcW w:type="dxa" w:w="1440"/>
          </w:tcPr>
          <w:p>
            <w:pPr>
              <w:spacing w:after="20"/>
              <w:jc w:val="right"/>
            </w:pPr>
            <w:r>
              <w:rPr>
                <w:color w:val="1C3A36"/>
                <w:sz w:val="14"/>
              </w:rPr>
              <w:t>10,674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cogs_fy23</w:t>
            </w:r>
          </w:p>
        </w:tc>
        <w:tc>
          <w:tcPr>
            <w:tcW w:type="dxa" w:w="1440"/>
          </w:tcPr>
          <w:p>
            <w:pPr>
              <w:spacing w:after="20"/>
              <w:jc w:val="right"/>
            </w:pPr>
            <w:r>
              <w:rPr>
                <w:color w:val="1C3A36"/>
                <w:sz w:val="14"/>
              </w:rPr>
              <w:t>-6,853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cogs_fy24</w:t>
            </w:r>
          </w:p>
        </w:tc>
        <w:tc>
          <w:tcPr>
            <w:tcW w:type="dxa" w:w="1440"/>
          </w:tcPr>
          <w:p>
            <w:pPr>
              <w:spacing w:after="20"/>
              <w:jc w:val="right"/>
            </w:pPr>
            <w:r>
              <w:rPr>
                <w:color w:val="1C3A36"/>
                <w:sz w:val="14"/>
              </w:rPr>
              <w:t>-7,721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cogs_fy25</w:t>
            </w:r>
          </w:p>
        </w:tc>
        <w:tc>
          <w:tcPr>
            <w:tcW w:type="dxa" w:w="1440"/>
          </w:tcPr>
          <w:p>
            <w:pPr>
              <w:spacing w:after="20"/>
              <w:jc w:val="right"/>
            </w:pPr>
            <w:r>
              <w:rPr>
                <w:color w:val="1C3A36"/>
                <w:sz w:val="14"/>
              </w:rPr>
              <w:t>-8,940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gp_fy23</w:t>
            </w:r>
          </w:p>
        </w:tc>
        <w:tc>
          <w:tcPr>
            <w:tcW w:type="dxa" w:w="1440"/>
          </w:tcPr>
          <w:p>
            <w:pPr>
              <w:spacing w:after="20"/>
              <w:jc w:val="right"/>
            </w:pPr>
            <w:r>
              <w:rPr>
                <w:color w:val="1C3A36"/>
                <w:sz w:val="14"/>
              </w:rPr>
              <w:t>972.76</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gp_fy24</w:t>
            </w:r>
          </w:p>
        </w:tc>
        <w:tc>
          <w:tcPr>
            <w:tcW w:type="dxa" w:w="1440"/>
          </w:tcPr>
          <w:p>
            <w:pPr>
              <w:spacing w:after="20"/>
              <w:jc w:val="right"/>
            </w:pPr>
            <w:r>
              <w:rPr>
                <w:color w:val="1C3A36"/>
                <w:sz w:val="14"/>
              </w:rPr>
              <w:t>1,287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gp_fy25</w:t>
            </w:r>
          </w:p>
        </w:tc>
        <w:tc>
          <w:tcPr>
            <w:tcW w:type="dxa" w:w="1440"/>
          </w:tcPr>
          <w:p>
            <w:pPr>
              <w:spacing w:after="20"/>
              <w:jc w:val="right"/>
            </w:pPr>
            <w:r>
              <w:rPr>
                <w:color w:val="1C3A36"/>
                <w:sz w:val="14"/>
              </w:rPr>
              <w:t>1,733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op_fy23</w:t>
            </w:r>
          </w:p>
        </w:tc>
        <w:tc>
          <w:tcPr>
            <w:tcW w:type="dxa" w:w="1440"/>
          </w:tcPr>
          <w:p>
            <w:pPr>
              <w:spacing w:after="20"/>
              <w:jc w:val="right"/>
            </w:pPr>
            <w:r>
              <w:rPr>
                <w:color w:val="1C3A36"/>
                <w:sz w:val="14"/>
              </w:rPr>
              <w:t>647.61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FY2023 (restated operating-profit geography per the FY2024 comparative; net profit identical to the FY2023-as-filed 661.9mn operating profit — the difference is a reclassification between gross and …</w:t>
            </w:r>
          </w:p>
        </w:tc>
      </w:tr>
      <w:tr>
        <w:tc>
          <w:tcPr>
            <w:tcW w:type="dxa" w:w="1944"/>
          </w:tcPr>
          <w:p>
            <w:pPr>
              <w:spacing w:after="20"/>
            </w:pPr>
            <w:r>
              <w:rPr>
                <w:color w:val="1C3A36"/>
                <w:sz w:val="14"/>
              </w:rPr>
              <w:t>op_fy24</w:t>
            </w:r>
          </w:p>
        </w:tc>
        <w:tc>
          <w:tcPr>
            <w:tcW w:type="dxa" w:w="1440"/>
          </w:tcPr>
          <w:p>
            <w:pPr>
              <w:spacing w:after="20"/>
              <w:jc w:val="right"/>
            </w:pPr>
            <w:r>
              <w:rPr>
                <w:color w:val="1C3A36"/>
                <w:sz w:val="14"/>
              </w:rPr>
              <w:t>968.44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op_fy25</w:t>
            </w:r>
          </w:p>
        </w:tc>
        <w:tc>
          <w:tcPr>
            <w:tcW w:type="dxa" w:w="1440"/>
          </w:tcPr>
          <w:p>
            <w:pPr>
              <w:spacing w:after="20"/>
              <w:jc w:val="right"/>
            </w:pPr>
            <w:r>
              <w:rPr>
                <w:color w:val="1C3A36"/>
                <w:sz w:val="14"/>
              </w:rPr>
              <w:t>1,267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netfin_fy23</w:t>
            </w:r>
          </w:p>
        </w:tc>
        <w:tc>
          <w:tcPr>
            <w:tcW w:type="dxa" w:w="1440"/>
          </w:tcPr>
          <w:p>
            <w:pPr>
              <w:spacing w:after="20"/>
              <w:jc w:val="right"/>
            </w:pPr>
            <w:r>
              <w:rPr>
                <w:color w:val="1C3A36"/>
                <w:sz w:val="14"/>
              </w:rPr>
              <w:t>-89.01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net finance cost (finance costs 89.62mn less finance income 0.61mn)</w:t>
            </w:r>
          </w:p>
        </w:tc>
      </w:tr>
      <w:tr>
        <w:tc>
          <w:tcPr>
            <w:tcW w:type="dxa" w:w="1944"/>
          </w:tcPr>
          <w:p>
            <w:pPr>
              <w:spacing w:after="20"/>
            </w:pPr>
            <w:r>
              <w:rPr>
                <w:color w:val="1C3A36"/>
                <w:sz w:val="14"/>
              </w:rPr>
              <w:t>netfin_fy24</w:t>
            </w:r>
          </w:p>
        </w:tc>
        <w:tc>
          <w:tcPr>
            <w:tcW w:type="dxa" w:w="1440"/>
          </w:tcPr>
          <w:p>
            <w:pPr>
              <w:spacing w:after="20"/>
              <w:jc w:val="right"/>
            </w:pPr>
            <w:r>
              <w:rPr>
                <w:color w:val="1C3A36"/>
                <w:sz w:val="14"/>
              </w:rPr>
              <w:t>-87.67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net finance cost (finance costs 89.98mn less finance income 2.32mn)</w:t>
            </w:r>
          </w:p>
        </w:tc>
      </w:tr>
      <w:tr>
        <w:tc>
          <w:tcPr>
            <w:tcW w:type="dxa" w:w="1944"/>
          </w:tcPr>
          <w:p>
            <w:pPr>
              <w:spacing w:after="20"/>
            </w:pPr>
            <w:r>
              <w:rPr>
                <w:color w:val="1C3A36"/>
                <w:sz w:val="14"/>
              </w:rPr>
              <w:t>netfin_fy25</w:t>
            </w:r>
          </w:p>
        </w:tc>
        <w:tc>
          <w:tcPr>
            <w:tcW w:type="dxa" w:w="1440"/>
          </w:tcPr>
          <w:p>
            <w:pPr>
              <w:spacing w:after="20"/>
              <w:jc w:val="right"/>
            </w:pPr>
            <w:r>
              <w:rPr>
                <w:color w:val="1C3A36"/>
                <w:sz w:val="14"/>
              </w:rPr>
              <w:t>-74.15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finance cost (finance costs 75.35mn less finance income 1.20mn)</w:t>
            </w:r>
          </w:p>
        </w:tc>
      </w:tr>
      <w:tr>
        <w:tc>
          <w:tcPr>
            <w:tcW w:type="dxa" w:w="1944"/>
          </w:tcPr>
          <w:p>
            <w:pPr>
              <w:spacing w:after="20"/>
            </w:pPr>
            <w:r>
              <w:rPr>
                <w:color w:val="1C3A36"/>
                <w:sz w:val="14"/>
              </w:rPr>
              <w:t>zakat_fy23</w:t>
            </w:r>
          </w:p>
        </w:tc>
        <w:tc>
          <w:tcPr>
            <w:tcW w:type="dxa" w:w="1440"/>
          </w:tcPr>
          <w:p>
            <w:pPr>
              <w:spacing w:after="20"/>
              <w:jc w:val="right"/>
            </w:pPr>
            <w:r>
              <w:rPr>
                <w:color w:val="1C3A36"/>
                <w:sz w:val="14"/>
              </w:rPr>
              <w:t>-39.13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zakat and income tax</w:t>
            </w:r>
          </w:p>
        </w:tc>
      </w:tr>
      <w:tr>
        <w:tc>
          <w:tcPr>
            <w:tcW w:type="dxa" w:w="1944"/>
          </w:tcPr>
          <w:p>
            <w:pPr>
              <w:spacing w:after="20"/>
            </w:pPr>
            <w:r>
              <w:rPr>
                <w:color w:val="1C3A36"/>
                <w:sz w:val="14"/>
              </w:rPr>
              <w:t>zakat_fy24</w:t>
            </w:r>
          </w:p>
        </w:tc>
        <w:tc>
          <w:tcPr>
            <w:tcW w:type="dxa" w:w="1440"/>
          </w:tcPr>
          <w:p>
            <w:pPr>
              <w:spacing w:after="20"/>
              <w:jc w:val="right"/>
            </w:pPr>
            <w:r>
              <w:rPr>
                <w:color w:val="1C3A36"/>
                <w:sz w:val="14"/>
              </w:rPr>
              <w:t>-63.89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total tax charge: zakat and income tax (71.88mn charge) plus the deferred-tax credit (8.0mn) = 63.89mn net</w:t>
            </w:r>
          </w:p>
        </w:tc>
      </w:tr>
      <w:tr>
        <w:tc>
          <w:tcPr>
            <w:tcW w:type="dxa" w:w="1944"/>
          </w:tcPr>
          <w:p>
            <w:pPr>
              <w:spacing w:after="20"/>
            </w:pPr>
            <w:r>
              <w:rPr>
                <w:color w:val="1C3A36"/>
                <w:sz w:val="14"/>
              </w:rPr>
              <w:t>zakat_fy25</w:t>
            </w:r>
          </w:p>
        </w:tc>
        <w:tc>
          <w:tcPr>
            <w:tcW w:type="dxa" w:w="1440"/>
          </w:tcPr>
          <w:p>
            <w:pPr>
              <w:spacing w:after="20"/>
              <w:jc w:val="right"/>
            </w:pPr>
            <w:r>
              <w:rPr>
                <w:color w:val="1C3A36"/>
                <w:sz w:val="14"/>
              </w:rPr>
              <w:t>-107.68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zakat and income tax (104.53mn) plus deferred-tax charge (3.15mn)</w:t>
            </w:r>
          </w:p>
        </w:tc>
      </w:tr>
      <w:tr>
        <w:tc>
          <w:tcPr>
            <w:tcW w:type="dxa" w:w="1944"/>
          </w:tcPr>
          <w:p>
            <w:pPr>
              <w:spacing w:after="20"/>
            </w:pPr>
            <w:r>
              <w:rPr>
                <w:color w:val="1C3A36"/>
                <w:sz w:val="14"/>
              </w:rPr>
              <w:t>pat_fy23</w:t>
            </w:r>
          </w:p>
        </w:tc>
        <w:tc>
          <w:tcPr>
            <w:tcW w:type="dxa" w:w="1440"/>
          </w:tcPr>
          <w:p>
            <w:pPr>
              <w:spacing w:after="20"/>
              <w:jc w:val="right"/>
            </w:pPr>
            <w:r>
              <w:rPr>
                <w:color w:val="1C3A36"/>
                <w:sz w:val="14"/>
              </w:rPr>
              <w:t>518.49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profit for the year</w:t>
            </w:r>
          </w:p>
        </w:tc>
      </w:tr>
      <w:tr>
        <w:tc>
          <w:tcPr>
            <w:tcW w:type="dxa" w:w="1944"/>
          </w:tcPr>
          <w:p>
            <w:pPr>
              <w:spacing w:after="20"/>
            </w:pPr>
            <w:r>
              <w:rPr>
                <w:color w:val="1C3A36"/>
                <w:sz w:val="14"/>
              </w:rPr>
              <w:t>pat_fy24</w:t>
            </w:r>
          </w:p>
        </w:tc>
        <w:tc>
          <w:tcPr>
            <w:tcW w:type="dxa" w:w="1440"/>
          </w:tcPr>
          <w:p>
            <w:pPr>
              <w:spacing w:after="20"/>
              <w:jc w:val="right"/>
            </w:pPr>
            <w:r>
              <w:rPr>
                <w:color w:val="1C3A36"/>
                <w:sz w:val="14"/>
              </w:rPr>
              <w:t>816.88</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for the year</w:t>
            </w:r>
          </w:p>
        </w:tc>
      </w:tr>
      <w:tr>
        <w:tc>
          <w:tcPr>
            <w:tcW w:type="dxa" w:w="1944"/>
          </w:tcPr>
          <w:p>
            <w:pPr>
              <w:spacing w:after="20"/>
            </w:pPr>
            <w:r>
              <w:rPr>
                <w:color w:val="1C3A36"/>
                <w:sz w:val="14"/>
              </w:rPr>
              <w:t>pat_fy25</w:t>
            </w:r>
          </w:p>
        </w:tc>
        <w:tc>
          <w:tcPr>
            <w:tcW w:type="dxa" w:w="1440"/>
          </w:tcPr>
          <w:p>
            <w:pPr>
              <w:spacing w:after="20"/>
              <w:jc w:val="right"/>
            </w:pPr>
            <w:r>
              <w:rPr>
                <w:color w:val="1C3A36"/>
                <w:sz w:val="14"/>
              </w:rPr>
              <w:t>1,085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for the year</w:t>
            </w:r>
          </w:p>
        </w:tc>
      </w:tr>
      <w:tr>
        <w:tc>
          <w:tcPr>
            <w:tcW w:type="dxa" w:w="1944"/>
          </w:tcPr>
          <w:p>
            <w:pPr>
              <w:spacing w:after="20"/>
            </w:pPr>
            <w:r>
              <w:rPr>
                <w:color w:val="1C3A36"/>
                <w:sz w:val="14"/>
              </w:rPr>
              <w:t>npa_fy24</w:t>
            </w:r>
          </w:p>
        </w:tc>
        <w:tc>
          <w:tcPr>
            <w:tcW w:type="dxa" w:w="1440"/>
          </w:tcPr>
          <w:p>
            <w:pPr>
              <w:spacing w:after="20"/>
              <w:jc w:val="right"/>
            </w:pPr>
            <w:r>
              <w:rPr>
                <w:color w:val="1C3A36"/>
                <w:sz w:val="14"/>
              </w:rPr>
              <w:t>816.69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attributable to shareholders. Basic and diluted EPS 5.45</w:t>
            </w:r>
          </w:p>
        </w:tc>
      </w:tr>
      <w:tr>
        <w:tc>
          <w:tcPr>
            <w:tcW w:type="dxa" w:w="1944"/>
          </w:tcPr>
          <w:p>
            <w:pPr>
              <w:spacing w:after="20"/>
            </w:pPr>
            <w:r>
              <w:rPr>
                <w:color w:val="1C3A36"/>
                <w:sz w:val="14"/>
              </w:rPr>
              <w:t>npa_fy25</w:t>
            </w:r>
          </w:p>
        </w:tc>
        <w:tc>
          <w:tcPr>
            <w:tcW w:type="dxa" w:w="1440"/>
          </w:tcPr>
          <w:p>
            <w:pPr>
              <w:spacing w:after="20"/>
              <w:jc w:val="right"/>
            </w:pPr>
            <w:r>
              <w:rPr>
                <w:color w:val="1C3A36"/>
                <w:sz w:val="14"/>
              </w:rPr>
              <w:t>1,080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attributable to shareholders. Basic and diluted EPS 7.22</w:t>
            </w:r>
          </w:p>
        </w:tc>
      </w:tr>
      <w:tr>
        <w:tc>
          <w:tcPr>
            <w:tcW w:type="dxa" w:w="1944"/>
          </w:tcPr>
          <w:p>
            <w:pPr>
              <w:spacing w:after="20"/>
            </w:pPr>
            <w:r>
              <w:rPr>
                <w:color w:val="1C3A36"/>
                <w:sz w:val="14"/>
              </w:rPr>
              <w:t>dna_fy23</w:t>
            </w:r>
          </w:p>
        </w:tc>
        <w:tc>
          <w:tcPr>
            <w:tcW w:type="dxa" w:w="1440"/>
          </w:tcPr>
          <w:p>
            <w:pPr>
              <w:spacing w:after="20"/>
              <w:jc w:val="right"/>
            </w:pPr>
            <w:r>
              <w:rPr>
                <w:color w:val="1C3A36"/>
                <w:sz w:val="14"/>
              </w:rPr>
              <w:t>66.43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statements' own notes: PP&amp;E depreciation 59.53mn + intangibles amortisation 5.57mn + right-of-use depreciation 1.33mn = 66.43mn. ADDED at the critique response — the first edition carried FY2…</w:t>
            </w:r>
          </w:p>
        </w:tc>
      </w:tr>
      <w:tr>
        <w:tc>
          <w:tcPr>
            <w:tcW w:type="dxa" w:w="1944"/>
          </w:tcPr>
          <w:p>
            <w:pPr>
              <w:spacing w:after="20"/>
            </w:pPr>
            <w:r>
              <w:rPr>
                <w:color w:val="1C3A36"/>
                <w:sz w:val="14"/>
              </w:rPr>
              <w:t>dna_fy24</w:t>
            </w:r>
          </w:p>
        </w:tc>
        <w:tc>
          <w:tcPr>
            <w:tcW w:type="dxa" w:w="1440"/>
          </w:tcPr>
          <w:p>
            <w:pPr>
              <w:spacing w:after="20"/>
              <w:jc w:val="right"/>
            </w:pPr>
            <w:r>
              <w:rPr>
                <w:color w:val="1C3A36"/>
                <w:sz w:val="14"/>
              </w:rPr>
              <w:t>68.64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PP&amp;E depreciation 61.96mn + intangibles amortisation 5.60mn + right-of-use depreciation 1.08mn</w:t>
            </w:r>
          </w:p>
        </w:tc>
      </w:tr>
      <w:tr>
        <w:tc>
          <w:tcPr>
            <w:tcW w:type="dxa" w:w="1944"/>
          </w:tcPr>
          <w:p>
            <w:pPr>
              <w:spacing w:after="20"/>
            </w:pPr>
            <w:r>
              <w:rPr>
                <w:color w:val="1C3A36"/>
                <w:sz w:val="14"/>
              </w:rPr>
              <w:t>dna_fy25</w:t>
            </w:r>
          </w:p>
        </w:tc>
        <w:tc>
          <w:tcPr>
            <w:tcW w:type="dxa" w:w="1440"/>
          </w:tcPr>
          <w:p>
            <w:pPr>
              <w:spacing w:after="20"/>
              <w:jc w:val="right"/>
            </w:pPr>
            <w:r>
              <w:rPr>
                <w:color w:val="1C3A36"/>
                <w:sz w:val="14"/>
              </w:rPr>
              <w:t>85.40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PP&amp;E depreciation 76.62mn + intangibles amortisation 5.60mn + right-of-use depreciation 3.18mn</w:t>
            </w:r>
          </w:p>
        </w:tc>
      </w:tr>
      <w:tr>
        <w:tc>
          <w:tcPr>
            <w:tcW w:type="dxa" w:w="1944"/>
          </w:tcPr>
          <w:p>
            <w:pPr>
              <w:spacing w:after="20"/>
            </w:pPr>
            <w:r>
              <w:rPr>
                <w:color w:val="1C3A36"/>
                <w:sz w:val="14"/>
              </w:rPr>
              <w:t>ppe_fy23</w:t>
            </w:r>
          </w:p>
        </w:tc>
        <w:tc>
          <w:tcPr>
            <w:tcW w:type="dxa" w:w="1440"/>
          </w:tcPr>
          <w:p>
            <w:pPr>
              <w:spacing w:after="20"/>
              <w:jc w:val="right"/>
            </w:pPr>
            <w:r>
              <w:rPr>
                <w:color w:val="1C3A36"/>
                <w:sz w:val="14"/>
              </w:rPr>
              <w:t>1,207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w:t>
            </w:r>
          </w:p>
        </w:tc>
      </w:tr>
      <w:tr>
        <w:tc>
          <w:tcPr>
            <w:tcW w:type="dxa" w:w="1944"/>
          </w:tcPr>
          <w:p>
            <w:pPr>
              <w:spacing w:after="20"/>
            </w:pPr>
            <w:r>
              <w:rPr>
                <w:color w:val="1C3A36"/>
                <w:sz w:val="14"/>
              </w:rPr>
              <w:t>ppe_fy24</w:t>
            </w:r>
          </w:p>
        </w:tc>
        <w:tc>
          <w:tcPr>
            <w:tcW w:type="dxa" w:w="1440"/>
          </w:tcPr>
          <w:p>
            <w:pPr>
              <w:spacing w:after="20"/>
              <w:jc w:val="right"/>
            </w:pPr>
            <w:r>
              <w:rPr>
                <w:color w:val="1C3A36"/>
                <w:sz w:val="14"/>
              </w:rPr>
              <w:t>1,336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w:t>
            </w:r>
          </w:p>
        </w:tc>
      </w:tr>
      <w:tr>
        <w:tc>
          <w:tcPr>
            <w:tcW w:type="dxa" w:w="1944"/>
          </w:tcPr>
          <w:p>
            <w:pPr>
              <w:spacing w:after="20"/>
            </w:pPr>
            <w:r>
              <w:rPr>
                <w:color w:val="1C3A36"/>
                <w:sz w:val="14"/>
              </w:rPr>
              <w:t>ppe_fy25</w:t>
            </w:r>
          </w:p>
        </w:tc>
        <w:tc>
          <w:tcPr>
            <w:tcW w:type="dxa" w:w="1440"/>
          </w:tcPr>
          <w:p>
            <w:pPr>
              <w:spacing w:after="20"/>
              <w:jc w:val="right"/>
            </w:pPr>
            <w:r>
              <w:rPr>
                <w:color w:val="1C3A36"/>
                <w:sz w:val="14"/>
              </w:rPr>
              <w:t>1,492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w:t>
            </w:r>
          </w:p>
        </w:tc>
      </w:tr>
      <w:tr>
        <w:tc>
          <w:tcPr>
            <w:tcW w:type="dxa" w:w="1944"/>
          </w:tcPr>
          <w:p>
            <w:pPr>
              <w:spacing w:after="20"/>
            </w:pPr>
            <w:r>
              <w:rPr>
                <w:color w:val="1C3A36"/>
                <w:sz w:val="14"/>
              </w:rPr>
              <w:t>inv_fy23</w:t>
            </w:r>
          </w:p>
        </w:tc>
        <w:tc>
          <w:tcPr>
            <w:tcW w:type="dxa" w:w="1440"/>
          </w:tcPr>
          <w:p>
            <w:pPr>
              <w:spacing w:after="20"/>
              <w:jc w:val="right"/>
            </w:pPr>
            <w:r>
              <w:rPr>
                <w:color w:val="1C3A36"/>
                <w:sz w:val="14"/>
              </w:rPr>
              <w:t>1,909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inventories net of NRV allowance, 31 Dec 2023</w:t>
            </w:r>
          </w:p>
        </w:tc>
      </w:tr>
      <w:tr>
        <w:tc>
          <w:tcPr>
            <w:tcW w:type="dxa" w:w="1944"/>
          </w:tcPr>
          <w:p>
            <w:pPr>
              <w:spacing w:after="20"/>
            </w:pPr>
            <w:r>
              <w:rPr>
                <w:color w:val="1C3A36"/>
                <w:sz w:val="14"/>
              </w:rPr>
              <w:t>inv_fy24</w:t>
            </w:r>
          </w:p>
        </w:tc>
        <w:tc>
          <w:tcPr>
            <w:tcW w:type="dxa" w:w="1440"/>
          </w:tcPr>
          <w:p>
            <w:pPr>
              <w:spacing w:after="20"/>
              <w:jc w:val="right"/>
            </w:pPr>
            <w:r>
              <w:rPr>
                <w:color w:val="1C3A36"/>
                <w:sz w:val="14"/>
              </w:rPr>
              <w:t>2,126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inventories net, 31 Dec 2024</w:t>
            </w:r>
          </w:p>
        </w:tc>
      </w:tr>
      <w:tr>
        <w:tc>
          <w:tcPr>
            <w:tcW w:type="dxa" w:w="1944"/>
          </w:tcPr>
          <w:p>
            <w:pPr>
              <w:spacing w:after="20"/>
            </w:pPr>
            <w:r>
              <w:rPr>
                <w:color w:val="1C3A36"/>
                <w:sz w:val="14"/>
              </w:rPr>
              <w:t>inv_fy25</w:t>
            </w:r>
          </w:p>
        </w:tc>
        <w:tc>
          <w:tcPr>
            <w:tcW w:type="dxa" w:w="1440"/>
          </w:tcPr>
          <w:p>
            <w:pPr>
              <w:spacing w:after="20"/>
              <w:jc w:val="right"/>
            </w:pPr>
            <w:r>
              <w:rPr>
                <w:color w:val="1C3A36"/>
                <w:sz w:val="14"/>
              </w:rPr>
              <w:t>2,411</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inventories net, 31 Dec 2025</w:t>
            </w:r>
          </w:p>
        </w:tc>
      </w:tr>
      <w:tr>
        <w:tc>
          <w:tcPr>
            <w:tcW w:type="dxa" w:w="1944"/>
          </w:tcPr>
          <w:p>
            <w:pPr>
              <w:spacing w:after="20"/>
            </w:pPr>
            <w:r>
              <w:rPr>
                <w:color w:val="1C3A36"/>
                <w:sz w:val="14"/>
              </w:rPr>
              <w:t>recv_fy23</w:t>
            </w:r>
          </w:p>
        </w:tc>
        <w:tc>
          <w:tcPr>
            <w:tcW w:type="dxa" w:w="1440"/>
          </w:tcPr>
          <w:p>
            <w:pPr>
              <w:spacing w:after="20"/>
              <w:jc w:val="right"/>
            </w:pPr>
            <w:r>
              <w:rPr>
                <w:color w:val="1C3A36"/>
                <w:sz w:val="14"/>
              </w:rPr>
              <w:t>1,419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receivables 1,305.1mn + contract assets 25.2mn + advances and other current assets 88.6mn</w:t>
            </w:r>
          </w:p>
        </w:tc>
      </w:tr>
      <w:tr>
        <w:tc>
          <w:tcPr>
            <w:tcW w:type="dxa" w:w="1944"/>
          </w:tcPr>
          <w:p>
            <w:pPr>
              <w:spacing w:after="20"/>
            </w:pPr>
            <w:r>
              <w:rPr>
                <w:color w:val="1C3A36"/>
                <w:sz w:val="14"/>
              </w:rPr>
              <w:t>recv_fy24</w:t>
            </w:r>
          </w:p>
        </w:tc>
        <w:tc>
          <w:tcPr>
            <w:tcW w:type="dxa" w:w="1440"/>
          </w:tcPr>
          <w:p>
            <w:pPr>
              <w:spacing w:after="20"/>
              <w:jc w:val="right"/>
            </w:pPr>
            <w:r>
              <w:rPr>
                <w:color w:val="1C3A36"/>
                <w:sz w:val="14"/>
              </w:rPr>
              <w:t>2,112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receivables 2,022.9mn + contract assets 15.2mn + advances 74.0mn</w:t>
            </w:r>
          </w:p>
        </w:tc>
      </w:tr>
      <w:tr>
        <w:tc>
          <w:tcPr>
            <w:tcW w:type="dxa" w:w="1944"/>
          </w:tcPr>
          <w:p>
            <w:pPr>
              <w:spacing w:after="20"/>
            </w:pPr>
            <w:r>
              <w:rPr>
                <w:color w:val="1C3A36"/>
                <w:sz w:val="14"/>
              </w:rPr>
              <w:t>recv_fy25</w:t>
            </w:r>
          </w:p>
        </w:tc>
        <w:tc>
          <w:tcPr>
            <w:tcW w:type="dxa" w:w="1440"/>
          </w:tcPr>
          <w:p>
            <w:pPr>
              <w:spacing w:after="20"/>
              <w:jc w:val="right"/>
            </w:pPr>
            <w:r>
              <w:rPr>
                <w:color w:val="1C3A36"/>
                <w:sz w:val="14"/>
              </w:rPr>
              <w:t>2,713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receivables 2,485.3mn + contract assets 51.9mn + advances 175.4mn</w:t>
            </w:r>
          </w:p>
        </w:tc>
      </w:tr>
      <w:tr>
        <w:tc>
          <w:tcPr>
            <w:tcW w:type="dxa" w:w="1944"/>
          </w:tcPr>
          <w:p>
            <w:pPr>
              <w:spacing w:after="20"/>
            </w:pPr>
            <w:r>
              <w:rPr>
                <w:color w:val="1C3A36"/>
                <w:sz w:val="14"/>
              </w:rPr>
              <w:t>pay_fy23</w:t>
            </w:r>
          </w:p>
        </w:tc>
        <w:tc>
          <w:tcPr>
            <w:tcW w:type="dxa" w:w="1440"/>
          </w:tcPr>
          <w:p>
            <w:pPr>
              <w:spacing w:after="20"/>
              <w:jc w:val="right"/>
            </w:pPr>
            <w:r>
              <w:rPr>
                <w:color w:val="1C3A36"/>
                <w:sz w:val="14"/>
              </w:rPr>
              <w:t>1,487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and other payables 1,195.4mn + contract liabilities 25.0mn + accrued expenses and other current liabilities 266.5mn (Note 25; includes advances from customers 153.0mn, the FY2023 …</w:t>
            </w:r>
          </w:p>
        </w:tc>
      </w:tr>
      <w:tr>
        <w:tc>
          <w:tcPr>
            <w:tcW w:type="dxa" w:w="1944"/>
          </w:tcPr>
          <w:p>
            <w:pPr>
              <w:spacing w:after="20"/>
            </w:pPr>
            <w:r>
              <w:rPr>
                <w:color w:val="1C3A36"/>
                <w:sz w:val="14"/>
              </w:rPr>
              <w:t>pay_fy24</w:t>
            </w:r>
          </w:p>
        </w:tc>
        <w:tc>
          <w:tcPr>
            <w:tcW w:type="dxa" w:w="1440"/>
          </w:tcPr>
          <w:p>
            <w:pPr>
              <w:spacing w:after="20"/>
              <w:jc w:val="right"/>
            </w:pPr>
            <w:r>
              <w:rPr>
                <w:color w:val="1C3A36"/>
                <w:sz w:val="14"/>
              </w:rPr>
              <w:t>2,041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and other payables 1,598.4mn + accrued expenses and other liabilities 381.1mn + contract liabilities 61.2mn</w:t>
            </w:r>
          </w:p>
        </w:tc>
      </w:tr>
      <w:tr>
        <w:tc>
          <w:tcPr>
            <w:tcW w:type="dxa" w:w="1944"/>
          </w:tcPr>
          <w:p>
            <w:pPr>
              <w:spacing w:after="20"/>
            </w:pPr>
            <w:r>
              <w:rPr>
                <w:color w:val="1C3A36"/>
                <w:sz w:val="14"/>
              </w:rPr>
              <w:t>pay_fy25</w:t>
            </w:r>
          </w:p>
        </w:tc>
        <w:tc>
          <w:tcPr>
            <w:tcW w:type="dxa" w:w="1440"/>
          </w:tcPr>
          <w:p>
            <w:pPr>
              <w:spacing w:after="20"/>
              <w:jc w:val="right"/>
            </w:pPr>
            <w:r>
              <w:rPr>
                <w:color w:val="1C3A36"/>
                <w:sz w:val="14"/>
              </w:rPr>
              <w:t>2,190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and other payables 1,584.2mn + accrued expenses and other liabilities 537.7mn + contract liabilities 68.7mn. Includes the reverse-factoring (supplier-finance) balance the company …</w:t>
            </w:r>
          </w:p>
        </w:tc>
      </w:tr>
      <w:tr>
        <w:tc>
          <w:tcPr>
            <w:tcW w:type="dxa" w:w="1944"/>
          </w:tcPr>
          <w:p>
            <w:pPr>
              <w:spacing w:after="20"/>
            </w:pPr>
            <w:r>
              <w:rPr>
                <w:color w:val="1C3A36"/>
                <w:sz w:val="14"/>
              </w:rPr>
              <w:t>cash_fy23</w:t>
            </w:r>
          </w:p>
        </w:tc>
        <w:tc>
          <w:tcPr>
            <w:tcW w:type="dxa" w:w="1440"/>
          </w:tcPr>
          <w:p>
            <w:pPr>
              <w:spacing w:after="20"/>
              <w:jc w:val="right"/>
            </w:pPr>
            <w:r>
              <w:rPr>
                <w:color w:val="1C3A36"/>
                <w:sz w:val="14"/>
              </w:rPr>
              <w:t>150.05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cash and cash equivalents 31 Dec 2023</w:t>
            </w:r>
          </w:p>
        </w:tc>
      </w:tr>
      <w:tr>
        <w:tc>
          <w:tcPr>
            <w:tcW w:type="dxa" w:w="1944"/>
          </w:tcPr>
          <w:p>
            <w:pPr>
              <w:spacing w:after="20"/>
            </w:pPr>
            <w:r>
              <w:rPr>
                <w:color w:val="1C3A36"/>
                <w:sz w:val="14"/>
              </w:rPr>
              <w:t>cash_fy24</w:t>
            </w:r>
          </w:p>
        </w:tc>
        <w:tc>
          <w:tcPr>
            <w:tcW w:type="dxa" w:w="1440"/>
          </w:tcPr>
          <w:p>
            <w:pPr>
              <w:spacing w:after="20"/>
              <w:jc w:val="right"/>
            </w:pPr>
            <w:r>
              <w:rPr>
                <w:color w:val="1C3A36"/>
                <w:sz w:val="14"/>
              </w:rPr>
              <w:t>90.67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cash 31 Dec 2024</w:t>
            </w:r>
          </w:p>
        </w:tc>
      </w:tr>
      <w:tr>
        <w:tc>
          <w:tcPr>
            <w:tcW w:type="dxa" w:w="1944"/>
          </w:tcPr>
          <w:p>
            <w:pPr>
              <w:spacing w:after="20"/>
            </w:pPr>
            <w:r>
              <w:rPr>
                <w:color w:val="1C3A36"/>
                <w:sz w:val="14"/>
              </w:rPr>
              <w:t>cash_fy25</w:t>
            </w:r>
          </w:p>
        </w:tc>
        <w:tc>
          <w:tcPr>
            <w:tcW w:type="dxa" w:w="1440"/>
          </w:tcPr>
          <w:p>
            <w:pPr>
              <w:spacing w:after="20"/>
              <w:jc w:val="right"/>
            </w:pPr>
            <w:r>
              <w:rPr>
                <w:color w:val="1C3A36"/>
                <w:sz w:val="14"/>
              </w:rPr>
              <w:t>236.04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cash 31 Dec 2025</w:t>
            </w:r>
          </w:p>
        </w:tc>
      </w:tr>
      <w:tr>
        <w:tc>
          <w:tcPr>
            <w:tcW w:type="dxa" w:w="1944"/>
          </w:tcPr>
          <w:p>
            <w:pPr>
              <w:spacing w:after="20"/>
            </w:pPr>
            <w:r>
              <w:rPr>
                <w:color w:val="1C3A36"/>
                <w:sz w:val="14"/>
              </w:rPr>
              <w:t>assets_fy23</w:t>
            </w:r>
          </w:p>
        </w:tc>
        <w:tc>
          <w:tcPr>
            <w:tcW w:type="dxa" w:w="1440"/>
          </w:tcPr>
          <w:p>
            <w:pPr>
              <w:spacing w:after="20"/>
              <w:jc w:val="right"/>
            </w:pPr>
            <w:r>
              <w:rPr>
                <w:color w:val="1C3A36"/>
                <w:sz w:val="14"/>
              </w:rPr>
              <w:t>4,831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total assets 31 Dec 2023</w:t>
            </w:r>
          </w:p>
        </w:tc>
      </w:tr>
      <w:tr>
        <w:tc>
          <w:tcPr>
            <w:tcW w:type="dxa" w:w="1944"/>
          </w:tcPr>
          <w:p>
            <w:pPr>
              <w:spacing w:after="20"/>
            </w:pPr>
            <w:r>
              <w:rPr>
                <w:color w:val="1C3A36"/>
                <w:sz w:val="14"/>
              </w:rPr>
              <w:t>assets_fy24</w:t>
            </w:r>
          </w:p>
        </w:tc>
        <w:tc>
          <w:tcPr>
            <w:tcW w:type="dxa" w:w="1440"/>
          </w:tcPr>
          <w:p>
            <w:pPr>
              <w:spacing w:after="20"/>
              <w:jc w:val="right"/>
            </w:pPr>
            <w:r>
              <w:rPr>
                <w:color w:val="1C3A36"/>
                <w:sz w:val="14"/>
              </w:rPr>
              <w:t>5,812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total assets 31 Dec 2024</w:t>
            </w:r>
          </w:p>
        </w:tc>
      </w:tr>
      <w:tr>
        <w:tc>
          <w:tcPr>
            <w:tcW w:type="dxa" w:w="1944"/>
          </w:tcPr>
          <w:p>
            <w:pPr>
              <w:spacing w:after="20"/>
            </w:pPr>
            <w:r>
              <w:rPr>
                <w:color w:val="1C3A36"/>
                <w:sz w:val="14"/>
              </w:rPr>
              <w:t>assets_fy25</w:t>
            </w:r>
          </w:p>
        </w:tc>
        <w:tc>
          <w:tcPr>
            <w:tcW w:type="dxa" w:w="1440"/>
          </w:tcPr>
          <w:p>
            <w:pPr>
              <w:spacing w:after="20"/>
              <w:jc w:val="right"/>
            </w:pPr>
            <w:r>
              <w:rPr>
                <w:color w:val="1C3A36"/>
                <w:sz w:val="14"/>
              </w:rPr>
              <w:t>7,282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assets 31 Dec 2025</w:t>
            </w:r>
          </w:p>
        </w:tc>
      </w:tr>
      <w:tr>
        <w:tc>
          <w:tcPr>
            <w:tcW w:type="dxa" w:w="1944"/>
          </w:tcPr>
          <w:p>
            <w:pPr>
              <w:spacing w:after="20"/>
            </w:pPr>
            <w:r>
              <w:rPr>
                <w:color w:val="1C3A36"/>
                <w:sz w:val="14"/>
              </w:rPr>
              <w:t>debt_fy23</w:t>
            </w:r>
          </w:p>
        </w:tc>
        <w:tc>
          <w:tcPr>
            <w:tcW w:type="dxa" w:w="1440"/>
          </w:tcPr>
          <w:p>
            <w:pPr>
              <w:spacing w:after="20"/>
              <w:jc w:val="right"/>
            </w:pPr>
            <w:r>
              <w:rPr>
                <w:color w:val="1C3A36"/>
                <w:sz w:val="14"/>
              </w:rPr>
              <w:t>730.61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Islamic finance facilities and borrowings 722.1mn + lease liabilities (current 1.1mn + non-current 7.4mn)</w:t>
            </w:r>
          </w:p>
        </w:tc>
      </w:tr>
      <w:tr>
        <w:tc>
          <w:tcPr>
            <w:tcW w:type="dxa" w:w="1944"/>
          </w:tcPr>
          <w:p>
            <w:pPr>
              <w:spacing w:after="20"/>
            </w:pPr>
            <w:r>
              <w:rPr>
                <w:color w:val="1C3A36"/>
                <w:sz w:val="14"/>
              </w:rPr>
              <w:t>debt_fy24</w:t>
            </w:r>
          </w:p>
        </w:tc>
        <w:tc>
          <w:tcPr>
            <w:tcW w:type="dxa" w:w="1440"/>
          </w:tcPr>
          <w:p>
            <w:pPr>
              <w:spacing w:after="20"/>
              <w:jc w:val="right"/>
            </w:pPr>
            <w:r>
              <w:rPr>
                <w:color w:val="1C3A36"/>
                <w:sz w:val="14"/>
              </w:rPr>
              <w:t>440.45</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Islamic finance facilities 433.1mn + lease liabilities 7.4mn</w:t>
            </w:r>
          </w:p>
        </w:tc>
      </w:tr>
      <w:tr>
        <w:tc>
          <w:tcPr>
            <w:tcW w:type="dxa" w:w="1944"/>
          </w:tcPr>
          <w:p>
            <w:pPr>
              <w:spacing w:after="20"/>
            </w:pPr>
            <w:r>
              <w:rPr>
                <w:color w:val="1C3A36"/>
                <w:sz w:val="14"/>
              </w:rPr>
              <w:t>debt_fy25</w:t>
            </w:r>
          </w:p>
        </w:tc>
        <w:tc>
          <w:tcPr>
            <w:tcW w:type="dxa" w:w="1440"/>
          </w:tcPr>
          <w:p>
            <w:pPr>
              <w:spacing w:after="20"/>
              <w:jc w:val="right"/>
            </w:pPr>
            <w:r>
              <w:rPr>
                <w:color w:val="1C3A36"/>
                <w:sz w:val="14"/>
              </w:rPr>
              <w:t>621.22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Islamic finance facilities and borrowings (current 585.2mn + non-current 24.6mn) + lease liabilities (current 2.0mn + non-current 9.4mn). The SAR ~1.1bn supplier-finance/reverse-factori…</w:t>
            </w:r>
          </w:p>
        </w:tc>
      </w:tr>
      <w:tr>
        <w:tc>
          <w:tcPr>
            <w:tcW w:type="dxa" w:w="1944"/>
          </w:tcPr>
          <w:p>
            <w:pPr>
              <w:spacing w:after="20"/>
            </w:pPr>
            <w:r>
              <w:rPr>
                <w:color w:val="1C3A36"/>
                <w:sz w:val="14"/>
              </w:rPr>
              <w:t>eqp_fy23</w:t>
            </w:r>
          </w:p>
        </w:tc>
        <w:tc>
          <w:tcPr>
            <w:tcW w:type="dxa" w:w="1440"/>
          </w:tcPr>
          <w:p>
            <w:pPr>
              <w:spacing w:after="20"/>
              <w:jc w:val="right"/>
            </w:pPr>
            <w:r>
              <w:rPr>
                <w:color w:val="1C3A36"/>
                <w:sz w:val="14"/>
              </w:rPr>
              <w:t>2,247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2023 (total equity 2,246.20mn less non-controlling interests -0.55mn). ADDED at the critique response so the workbook balance-sheet history carries FY2023 …</w:t>
            </w:r>
          </w:p>
        </w:tc>
      </w:tr>
      <w:tr>
        <w:tc>
          <w:tcPr>
            <w:tcW w:type="dxa" w:w="1944"/>
          </w:tcPr>
          <w:p>
            <w:pPr>
              <w:spacing w:after="20"/>
            </w:pPr>
            <w:r>
              <w:rPr>
                <w:color w:val="1C3A36"/>
                <w:sz w:val="14"/>
              </w:rPr>
              <w:t>eqp_fy24</w:t>
            </w:r>
          </w:p>
        </w:tc>
        <w:tc>
          <w:tcPr>
            <w:tcW w:type="dxa" w:w="1440"/>
          </w:tcPr>
          <w:p>
            <w:pPr>
              <w:spacing w:after="20"/>
              <w:jc w:val="right"/>
            </w:pPr>
            <w:r>
              <w:rPr>
                <w:color w:val="1C3A36"/>
                <w:sz w:val="14"/>
              </w:rPr>
              <w:t>2,624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2024</w:t>
            </w:r>
          </w:p>
        </w:tc>
      </w:tr>
      <w:tr>
        <w:tc>
          <w:tcPr>
            <w:tcW w:type="dxa" w:w="1944"/>
          </w:tcPr>
          <w:p>
            <w:pPr>
              <w:spacing w:after="20"/>
            </w:pPr>
            <w:r>
              <w:rPr>
                <w:color w:val="1C3A36"/>
                <w:sz w:val="14"/>
              </w:rPr>
              <w:t>eqp_fy25</w:t>
            </w:r>
          </w:p>
        </w:tc>
        <w:tc>
          <w:tcPr>
            <w:tcW w:type="dxa" w:w="1440"/>
          </w:tcPr>
          <w:p>
            <w:pPr>
              <w:spacing w:after="20"/>
              <w:jc w:val="right"/>
            </w:pPr>
            <w:r>
              <w:rPr>
                <w:color w:val="1C3A36"/>
                <w:sz w:val="14"/>
              </w:rPr>
              <w:t>3,246</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 attributable to shareholders 31 Dec 2025</w:t>
            </w:r>
          </w:p>
        </w:tc>
      </w:tr>
      <w:tr>
        <w:tc>
          <w:tcPr>
            <w:tcW w:type="dxa" w:w="1944"/>
          </w:tcPr>
          <w:p>
            <w:pPr>
              <w:spacing w:after="20"/>
            </w:pPr>
            <w:r>
              <w:rPr>
                <w:color w:val="1C3A36"/>
                <w:sz w:val="14"/>
              </w:rPr>
              <w:t>nci_fy25</w:t>
            </w:r>
          </w:p>
        </w:tc>
        <w:tc>
          <w:tcPr>
            <w:tcW w:type="dxa" w:w="1440"/>
          </w:tcPr>
          <w:p>
            <w:pPr>
              <w:spacing w:after="20"/>
              <w:jc w:val="right"/>
            </w:pPr>
            <w:r>
              <w:rPr>
                <w:color w:val="1C3A36"/>
                <w:sz w:val="14"/>
              </w:rPr>
              <w:t>62.74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non-controlling interests 31 Dec 2025 — rose from -0.48mn to 62.7mn on the FY2025 acquisition of a subsidiary with NCI</w:t>
            </w:r>
          </w:p>
        </w:tc>
      </w:tr>
      <w:tr>
        <w:tc>
          <w:tcPr>
            <w:tcW w:type="dxa" w:w="1944"/>
          </w:tcPr>
          <w:p>
            <w:pPr>
              <w:spacing w:after="20"/>
            </w:pPr>
            <w:r>
              <w:rPr>
                <w:color w:val="1C3A36"/>
                <w:sz w:val="14"/>
              </w:rPr>
              <w:t>assoc_fy25</w:t>
            </w:r>
          </w:p>
        </w:tc>
        <w:tc>
          <w:tcPr>
            <w:tcW w:type="dxa" w:w="1440"/>
          </w:tcPr>
          <w:p>
            <w:pPr>
              <w:spacing w:after="20"/>
              <w:jc w:val="right"/>
            </w:pPr>
            <w:r>
              <w:rPr>
                <w:color w:val="1C3A36"/>
                <w:sz w:val="14"/>
              </w:rPr>
              <w:t>31.85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equity-accounted investees carrying value 31 Dec 2025</w:t>
            </w:r>
          </w:p>
        </w:tc>
      </w:tr>
      <w:tr>
        <w:tc>
          <w:tcPr>
            <w:tcW w:type="dxa" w:w="1944"/>
          </w:tcPr>
          <w:p>
            <w:pPr>
              <w:spacing w:after="20"/>
            </w:pPr>
            <w:r>
              <w:rPr>
                <w:color w:val="1C3A36"/>
                <w:sz w:val="14"/>
              </w:rPr>
              <w:t>nonop_fy25</w:t>
            </w:r>
          </w:p>
        </w:tc>
        <w:tc>
          <w:tcPr>
            <w:tcW w:type="dxa" w:w="1440"/>
          </w:tcPr>
          <w:p>
            <w:pPr>
              <w:spacing w:after="20"/>
              <w:jc w:val="right"/>
            </w:pPr>
            <w:r>
              <w:rPr>
                <w:color w:val="1C3A36"/>
                <w:sz w:val="14"/>
              </w:rPr>
              <w:t>20.40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non-operating assets 31 Dec 2025: investments at FVOCI 10.37mn + investment property (land) 10.03mn</w:t>
            </w:r>
          </w:p>
        </w:tc>
      </w:tr>
      <w:tr>
        <w:tc>
          <w:tcPr>
            <w:tcW w:type="dxa" w:w="1944"/>
          </w:tcPr>
          <w:p>
            <w:pPr>
              <w:spacing w:after="20"/>
            </w:pPr>
            <w:r>
              <w:rPr>
                <w:color w:val="1C3A36"/>
                <w:sz w:val="14"/>
              </w:rPr>
              <w:t>total_equity_fy25</w:t>
            </w:r>
          </w:p>
        </w:tc>
        <w:tc>
          <w:tcPr>
            <w:tcW w:type="dxa" w:w="1440"/>
          </w:tcPr>
          <w:p>
            <w:pPr>
              <w:spacing w:after="20"/>
              <w:jc w:val="right"/>
            </w:pPr>
            <w:r>
              <w:rPr>
                <w:color w:val="1C3A36"/>
                <w:sz w:val="14"/>
              </w:rPr>
              <w:t>3,309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equity 31 Dec 2025</w:t>
            </w:r>
          </w:p>
        </w:tc>
      </w:tr>
      <w:tr>
        <w:tc>
          <w:tcPr>
            <w:tcW w:type="dxa" w:w="1944"/>
          </w:tcPr>
          <w:p>
            <w:pPr>
              <w:spacing w:after="20"/>
            </w:pPr>
            <w:r>
              <w:rPr>
                <w:color w:val="1C3A36"/>
                <w:sz w:val="14"/>
              </w:rPr>
              <w:t>capex_fy24</w:t>
            </w:r>
          </w:p>
        </w:tc>
        <w:tc>
          <w:tcPr>
            <w:tcW w:type="dxa" w:w="1440"/>
          </w:tcPr>
          <w:p>
            <w:pPr>
              <w:spacing w:after="20"/>
              <w:jc w:val="right"/>
            </w:pPr>
            <w:r>
              <w:rPr>
                <w:color w:val="1C3A36"/>
                <w:sz w:val="14"/>
              </w:rPr>
              <w:t>194.99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purchase of property, plant and equipment</w:t>
            </w:r>
          </w:p>
        </w:tc>
      </w:tr>
      <w:tr>
        <w:tc>
          <w:tcPr>
            <w:tcW w:type="dxa" w:w="1944"/>
          </w:tcPr>
          <w:p>
            <w:pPr>
              <w:spacing w:after="20"/>
            </w:pPr>
            <w:r>
              <w:rPr>
                <w:color w:val="1C3A36"/>
                <w:sz w:val="14"/>
              </w:rPr>
              <w:t>capex_fy25</w:t>
            </w:r>
          </w:p>
        </w:tc>
        <w:tc>
          <w:tcPr>
            <w:tcW w:type="dxa" w:w="1440"/>
          </w:tcPr>
          <w:p>
            <w:pPr>
              <w:spacing w:after="20"/>
              <w:jc w:val="right"/>
            </w:pPr>
            <w:r>
              <w:rPr>
                <w:color w:val="1C3A36"/>
                <w:sz w:val="14"/>
              </w:rPr>
              <w:t>188.88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purchase of property, plant and equipment (of which assets under construction 107.9mn)</w:t>
            </w:r>
          </w:p>
        </w:tc>
      </w:tr>
      <w:tr>
        <w:tc>
          <w:tcPr>
            <w:tcW w:type="dxa" w:w="1944"/>
          </w:tcPr>
          <w:p>
            <w:pPr>
              <w:spacing w:after="20"/>
            </w:pPr>
            <w:r>
              <w:rPr>
                <w:color w:val="1C3A36"/>
                <w:sz w:val="14"/>
              </w:rPr>
              <w:t>ocf_fy25</w:t>
            </w:r>
          </w:p>
        </w:tc>
        <w:tc>
          <w:tcPr>
            <w:tcW w:type="dxa" w:w="1440"/>
          </w:tcPr>
          <w:p>
            <w:pPr>
              <w:spacing w:after="20"/>
              <w:jc w:val="right"/>
            </w:pPr>
            <w:r>
              <w:rPr>
                <w:color w:val="1C3A36"/>
                <w:sz w:val="14"/>
              </w:rPr>
              <w:t>969.02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cash from operating activities</w:t>
            </w:r>
          </w:p>
        </w:tc>
      </w:tr>
      <w:tr>
        <w:tc>
          <w:tcPr>
            <w:tcW w:type="dxa" w:w="1944"/>
          </w:tcPr>
          <w:p>
            <w:pPr>
              <w:spacing w:after="20"/>
            </w:pPr>
            <w:r>
              <w:rPr>
                <w:color w:val="1C3A36"/>
                <w:sz w:val="14"/>
              </w:rPr>
              <w:t>div_paid_fy25</w:t>
            </w:r>
          </w:p>
        </w:tc>
        <w:tc>
          <w:tcPr>
            <w:tcW w:type="dxa" w:w="1440"/>
          </w:tcPr>
          <w:p>
            <w:pPr>
              <w:spacing w:after="20"/>
              <w:jc w:val="right"/>
            </w:pPr>
            <w:r>
              <w:rPr>
                <w:color w:val="1C3A36"/>
                <w:sz w:val="14"/>
              </w:rPr>
              <w:t>598.99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dividends paid (SAR 1.9/share final for FY2024 + SAR 1.9/share interim = SAR 3.8/share)</w:t>
            </w:r>
          </w:p>
        </w:tc>
      </w:tr>
      <w:tr>
        <w:tc>
          <w:tcPr>
            <w:tcW w:type="dxa" w:w="1944"/>
          </w:tcPr>
          <w:p>
            <w:pPr>
              <w:spacing w:after="20"/>
            </w:pPr>
            <w:r>
              <w:rPr>
                <w:color w:val="1C3A36"/>
                <w:sz w:val="14"/>
              </w:rPr>
              <w:t>materials_fy24</w:t>
            </w:r>
          </w:p>
        </w:tc>
        <w:tc>
          <w:tcPr>
            <w:tcW w:type="dxa" w:w="1440"/>
          </w:tcPr>
          <w:p>
            <w:pPr>
              <w:spacing w:after="20"/>
              <w:jc w:val="right"/>
            </w:pPr>
            <w:r>
              <w:rPr>
                <w:color w:val="1C3A36"/>
                <w:sz w:val="14"/>
              </w:rPr>
              <w:t>7,310</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cost of revenue, FY2024: materials (copper/aluminium/lead-dominated)</w:t>
            </w:r>
          </w:p>
        </w:tc>
      </w:tr>
      <w:tr>
        <w:tc>
          <w:tcPr>
            <w:tcW w:type="dxa" w:w="1944"/>
          </w:tcPr>
          <w:p>
            <w:pPr>
              <w:spacing w:after="20"/>
            </w:pPr>
            <w:r>
              <w:rPr>
                <w:color w:val="1C3A36"/>
                <w:sz w:val="14"/>
              </w:rPr>
              <w:t>materials_fy25</w:t>
            </w:r>
          </w:p>
        </w:tc>
        <w:tc>
          <w:tcPr>
            <w:tcW w:type="dxa" w:w="1440"/>
          </w:tcPr>
          <w:p>
            <w:pPr>
              <w:spacing w:after="20"/>
              <w:jc w:val="right"/>
            </w:pPr>
            <w:r>
              <w:rPr>
                <w:color w:val="1C3A36"/>
                <w:sz w:val="14"/>
              </w:rPr>
              <w:t>8,487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cost of revenue, FY2025: materials — 94.9% of cost of revenue and 79.5% of sales; this is the metal-content leg</w:t>
            </w:r>
          </w:p>
        </w:tc>
      </w:tr>
      <w:tr>
        <w:tc>
          <w:tcPr>
            <w:tcW w:type="dxa" w:w="1944"/>
          </w:tcPr>
          <w:p>
            <w:pPr>
              <w:spacing w:after="20"/>
            </w:pPr>
            <w:r>
              <w:rPr>
                <w:color w:val="1C3A36"/>
                <w:sz w:val="14"/>
              </w:rPr>
              <w:t>conv_fy24</w:t>
            </w:r>
          </w:p>
        </w:tc>
        <w:tc>
          <w:tcPr>
            <w:tcW w:type="dxa" w:w="1440"/>
          </w:tcPr>
          <w:p>
            <w:pPr>
              <w:spacing w:after="20"/>
              <w:jc w:val="right"/>
            </w:pPr>
            <w:r>
              <w:rPr>
                <w:color w:val="1C3A36"/>
                <w:sz w:val="14"/>
              </w:rPr>
              <w:t>410.37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FY2024 conversion cost (salaries 228.7mn + depreciation 59.6mn + repairs 42.8mn + utilities 57.4mn + other 21.9mn)</w:t>
            </w:r>
          </w:p>
        </w:tc>
      </w:tr>
      <w:tr>
        <w:tc>
          <w:tcPr>
            <w:tcW w:type="dxa" w:w="1944"/>
          </w:tcPr>
          <w:p>
            <w:pPr>
              <w:spacing w:after="20"/>
            </w:pPr>
            <w:r>
              <w:rPr>
                <w:color w:val="1C3A36"/>
                <w:sz w:val="14"/>
              </w:rPr>
              <w:t>conv_fy25</w:t>
            </w:r>
          </w:p>
        </w:tc>
        <w:tc>
          <w:tcPr>
            <w:tcW w:type="dxa" w:w="1440"/>
          </w:tcPr>
          <w:p>
            <w:pPr>
              <w:spacing w:after="20"/>
              <w:jc w:val="right"/>
            </w:pPr>
            <w:r>
              <w:rPr>
                <w:color w:val="1C3A36"/>
                <w:sz w:val="14"/>
              </w:rPr>
              <w:t>453.35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FY2025 conversion cost (salaries 244.6mn + depreciation 76.4mn + repairs 44.8mn + utilities 68.2mn + other 19.4mn) — the non-metal leg that escalates on domestic inflation, not metal</w:t>
            </w:r>
          </w:p>
        </w:tc>
      </w:tr>
      <w:tr>
        <w:tc>
          <w:tcPr>
            <w:tcW w:type="dxa" w:w="1944"/>
          </w:tcPr>
          <w:p>
            <w:pPr>
              <w:spacing w:after="20"/>
            </w:pPr>
            <w:r>
              <w:rPr>
                <w:color w:val="1C3A36"/>
                <w:sz w:val="14"/>
              </w:rPr>
              <w:t>seg_rev_fy25</w:t>
            </w:r>
          </w:p>
        </w:tc>
        <w:tc>
          <w:tcPr>
            <w:tcW w:type="dxa" w:w="1440"/>
          </w:tcPr>
          <w:p>
            <w:pPr>
              <w:spacing w:after="20"/>
              <w:jc w:val="right"/>
            </w:pPr>
            <w:r>
              <w:rPr>
                <w:color w:val="1C3A36"/>
                <w:sz w:val="14"/>
              </w:rPr>
              <w:t>cables=10414.170668; hv=230.839181; other=28.594413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reporting segments, FY2025 revenue: Cables and wires, High-voltage cables (turnkey projects), Other (telephone cables and services). Sums exactly to consolidated revenue</w:t>
            </w:r>
          </w:p>
        </w:tc>
      </w:tr>
      <w:tr>
        <w:tc>
          <w:tcPr>
            <w:tcW w:type="dxa" w:w="1944"/>
          </w:tcPr>
          <w:p>
            <w:pPr>
              <w:spacing w:after="20"/>
            </w:pPr>
            <w:r>
              <w:rPr>
                <w:color w:val="1C3A36"/>
                <w:sz w:val="14"/>
              </w:rPr>
              <w:t>seg_rev_fy24</w:t>
            </w:r>
          </w:p>
        </w:tc>
        <w:tc>
          <w:tcPr>
            <w:tcW w:type="dxa" w:w="1440"/>
          </w:tcPr>
          <w:p>
            <w:pPr>
              <w:spacing w:after="20"/>
              <w:jc w:val="right"/>
            </w:pPr>
            <w:r>
              <w:rPr>
                <w:color w:val="1C3A36"/>
                <w:sz w:val="14"/>
              </w:rPr>
              <w:t>cables=8645.913121; hv=339.347923; other=22.099823</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40, FY2024 segment revenue</w:t>
            </w:r>
          </w:p>
        </w:tc>
      </w:tr>
      <w:tr>
        <w:tc>
          <w:tcPr>
            <w:tcW w:type="dxa" w:w="1944"/>
          </w:tcPr>
          <w:p>
            <w:pPr>
              <w:spacing w:after="20"/>
            </w:pPr>
            <w:r>
              <w:rPr>
                <w:color w:val="1C3A36"/>
                <w:sz w:val="14"/>
              </w:rPr>
              <w:t>seg_cost_fy25</w:t>
            </w:r>
          </w:p>
        </w:tc>
        <w:tc>
          <w:tcPr>
            <w:tcW w:type="dxa" w:w="1440"/>
          </w:tcPr>
          <w:p>
            <w:pPr>
              <w:spacing w:after="20"/>
              <w:jc w:val="right"/>
            </w:pPr>
            <w:r>
              <w:rPr>
                <w:color w:val="1C3A36"/>
                <w:sz w:val="14"/>
              </w:rPr>
              <w:t>cables=8716.728131; hv=211.498936; other=12.04734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segment cost of revenue</w:t>
            </w:r>
          </w:p>
        </w:tc>
      </w:tr>
      <w:tr>
        <w:tc>
          <w:tcPr>
            <w:tcW w:type="dxa" w:w="1944"/>
          </w:tcPr>
          <w:p>
            <w:pPr>
              <w:spacing w:after="20"/>
            </w:pPr>
            <w:r>
              <w:rPr>
                <w:color w:val="1C3A36"/>
                <w:sz w:val="14"/>
              </w:rPr>
              <w:t>geo_ksa_fy25</w:t>
            </w:r>
          </w:p>
        </w:tc>
        <w:tc>
          <w:tcPr>
            <w:tcW w:type="dxa" w:w="1440"/>
          </w:tcPr>
          <w:p>
            <w:pPr>
              <w:spacing w:after="20"/>
              <w:jc w:val="right"/>
            </w:pPr>
            <w:r>
              <w:rPr>
                <w:color w:val="1C3A36"/>
                <w:sz w:val="14"/>
              </w:rPr>
              <w:t>7,812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geographic split, FY2025 revenue inside Saudi Arabia (73.2% of sales)</w:t>
            </w:r>
          </w:p>
        </w:tc>
      </w:tr>
      <w:tr>
        <w:tc>
          <w:tcPr>
            <w:tcW w:type="dxa" w:w="1944"/>
          </w:tcPr>
          <w:p>
            <w:pPr>
              <w:spacing w:after="20"/>
            </w:pPr>
            <w:r>
              <w:rPr>
                <w:color w:val="1C3A36"/>
                <w:sz w:val="14"/>
              </w:rPr>
              <w:t>geo_exp_fy25</w:t>
            </w:r>
          </w:p>
        </w:tc>
        <w:tc>
          <w:tcPr>
            <w:tcW w:type="dxa" w:w="1440"/>
          </w:tcPr>
          <w:p>
            <w:pPr>
              <w:spacing w:after="20"/>
              <w:jc w:val="right"/>
            </w:pPr>
            <w:r>
              <w:rPr>
                <w:color w:val="1C3A36"/>
                <w:sz w:val="14"/>
              </w:rPr>
              <w:t>2,862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revenue outside Saudi Arabia (26.8%), predominantly the UAE at ~SAR 2.2bn</w:t>
            </w:r>
          </w:p>
        </w:tc>
      </w:tr>
      <w:tr>
        <w:tc>
          <w:tcPr>
            <w:tcW w:type="dxa" w:w="1944"/>
          </w:tcPr>
          <w:p>
            <w:pPr>
              <w:spacing w:after="20"/>
            </w:pPr>
            <w:r>
              <w:rPr>
                <w:color w:val="1C3A36"/>
                <w:sz w:val="14"/>
              </w:rPr>
              <w:t>h1_26_rev</w:t>
            </w:r>
          </w:p>
        </w:tc>
        <w:tc>
          <w:tcPr>
            <w:tcW w:type="dxa" w:w="1440"/>
          </w:tcPr>
          <w:p>
            <w:pPr>
              <w:spacing w:after="20"/>
              <w:jc w:val="right"/>
            </w:pPr>
            <w:r>
              <w:rPr>
                <w:color w:val="1C3A36"/>
                <w:sz w:val="14"/>
              </w:rPr>
              <w:t>5,698</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interim results, six months to 30 Jun 2026 (announcement 29-Jul-2026): revenue</w:t>
            </w:r>
          </w:p>
        </w:tc>
      </w:tr>
      <w:tr>
        <w:tc>
          <w:tcPr>
            <w:tcW w:type="dxa" w:w="1944"/>
          </w:tcPr>
          <w:p>
            <w:pPr>
              <w:spacing w:after="20"/>
            </w:pPr>
            <w:r>
              <w:rPr>
                <w:color w:val="1C3A36"/>
                <w:sz w:val="14"/>
              </w:rPr>
              <w:t>h1_26_gp</w:t>
            </w:r>
          </w:p>
        </w:tc>
        <w:tc>
          <w:tcPr>
            <w:tcW w:type="dxa" w:w="1440"/>
          </w:tcPr>
          <w:p>
            <w:pPr>
              <w:spacing w:after="20"/>
              <w:jc w:val="right"/>
            </w:pPr>
            <w:r>
              <w:rPr>
                <w:color w:val="1C3A36"/>
                <w:sz w:val="14"/>
              </w:rPr>
              <w:t>869.75</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gross profit — FLAT year on year (-0.06%) on +9.5% revenue, so gross margin 15.26% vs H1-2025's 16.72% and FY2025's 16.24%</w:t>
            </w:r>
          </w:p>
        </w:tc>
      </w:tr>
      <w:tr>
        <w:tc>
          <w:tcPr>
            <w:tcW w:type="dxa" w:w="1944"/>
          </w:tcPr>
          <w:p>
            <w:pPr>
              <w:spacing w:after="20"/>
            </w:pPr>
            <w:r>
              <w:rPr>
                <w:color w:val="1C3A36"/>
                <w:sz w:val="14"/>
              </w:rPr>
              <w:t>h1_26_op</w:t>
            </w:r>
          </w:p>
        </w:tc>
        <w:tc>
          <w:tcPr>
            <w:tcW w:type="dxa" w:w="1440"/>
          </w:tcPr>
          <w:p>
            <w:pPr>
              <w:spacing w:after="20"/>
              <w:jc w:val="right"/>
            </w:pPr>
            <w:r>
              <w:rPr>
                <w:color w:val="1C3A36"/>
                <w:sz w:val="14"/>
              </w:rPr>
              <w:t>669.74</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operating profit</w:t>
            </w:r>
          </w:p>
        </w:tc>
      </w:tr>
      <w:tr>
        <w:tc>
          <w:tcPr>
            <w:tcW w:type="dxa" w:w="1944"/>
          </w:tcPr>
          <w:p>
            <w:pPr>
              <w:spacing w:after="20"/>
            </w:pPr>
            <w:r>
              <w:rPr>
                <w:color w:val="1C3A36"/>
                <w:sz w:val="14"/>
              </w:rPr>
              <w:t>h1_26_np</w:t>
            </w:r>
          </w:p>
        </w:tc>
        <w:tc>
          <w:tcPr>
            <w:tcW w:type="dxa" w:w="1440"/>
          </w:tcPr>
          <w:p>
            <w:pPr>
              <w:spacing w:after="20"/>
              <w:jc w:val="right"/>
            </w:pPr>
            <w:r>
              <w:rPr>
                <w:color w:val="1C3A36"/>
                <w:sz w:val="14"/>
              </w:rPr>
              <w:t>588.79</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net profit to shareholders (+9.96% y/y)</w:t>
            </w:r>
          </w:p>
        </w:tc>
      </w:tr>
      <w:tr>
        <w:tc>
          <w:tcPr>
            <w:tcW w:type="dxa" w:w="1944"/>
          </w:tcPr>
          <w:p>
            <w:pPr>
              <w:spacing w:after="20"/>
            </w:pPr>
            <w:r>
              <w:rPr>
                <w:color w:val="1C3A36"/>
                <w:sz w:val="14"/>
              </w:rPr>
              <w:t>q1_26_rev</w:t>
            </w:r>
          </w:p>
        </w:tc>
        <w:tc>
          <w:tcPr>
            <w:tcW w:type="dxa" w:w="1440"/>
          </w:tcPr>
          <w:p>
            <w:pPr>
              <w:spacing w:after="20"/>
              <w:jc w:val="right"/>
            </w:pPr>
            <w:r>
              <w:rPr>
                <w:color w:val="1C3A36"/>
                <w:sz w:val="14"/>
              </w:rPr>
              <w:t>2,768</w:t>
            </w:r>
          </w:p>
        </w:tc>
        <w:tc>
          <w:tcPr>
            <w:tcW w:type="dxa" w:w="1008"/>
          </w:tcPr>
          <w:p>
            <w:pPr>
              <w:spacing w:after="20"/>
              <w:jc w:val="right"/>
            </w:pPr>
            <w:r>
              <w:rPr>
                <w:color w:val="1C3A36"/>
                <w:sz w:val="14"/>
              </w:rPr>
              <w:t>2026-05-05</w:t>
            </w:r>
          </w:p>
        </w:tc>
        <w:tc>
          <w:tcPr>
            <w:tcW w:type="dxa" w:w="5832"/>
          </w:tcPr>
          <w:p>
            <w:pPr>
              <w:spacing w:after="20"/>
              <w:jc w:val="right"/>
            </w:pPr>
            <w:r>
              <w:rPr>
                <w:color w:val="1C3A36"/>
                <w:sz w:val="14"/>
              </w:rPr>
              <w:t>Tadawul-filed Q1-2026 results (announcement 05-May-2026): revenue SAR 2,767.7mn (+11.2%)</w:t>
            </w:r>
          </w:p>
        </w:tc>
      </w:tr>
      <w:tr>
        <w:tc>
          <w:tcPr>
            <w:tcW w:type="dxa" w:w="1944"/>
          </w:tcPr>
          <w:p>
            <w:pPr>
              <w:spacing w:after="20"/>
            </w:pPr>
            <w:r>
              <w:rPr>
                <w:color w:val="1C3A36"/>
                <w:sz w:val="14"/>
              </w:rPr>
              <w:t>q1_26_gp</w:t>
            </w:r>
          </w:p>
        </w:tc>
        <w:tc>
          <w:tcPr>
            <w:tcW w:type="dxa" w:w="1440"/>
          </w:tcPr>
          <w:p>
            <w:pPr>
              <w:spacing w:after="20"/>
              <w:jc w:val="right"/>
            </w:pPr>
            <w:r>
              <w:rPr>
                <w:color w:val="1C3A36"/>
                <w:sz w:val="14"/>
              </w:rPr>
              <w:t>430.54</w:t>
            </w:r>
          </w:p>
        </w:tc>
        <w:tc>
          <w:tcPr>
            <w:tcW w:type="dxa" w:w="1008"/>
          </w:tcPr>
          <w:p>
            <w:pPr>
              <w:spacing w:after="20"/>
              <w:jc w:val="right"/>
            </w:pPr>
            <w:r>
              <w:rPr>
                <w:color w:val="1C3A36"/>
                <w:sz w:val="14"/>
              </w:rPr>
              <w:t>2026-05-05</w:t>
            </w:r>
          </w:p>
        </w:tc>
        <w:tc>
          <w:tcPr>
            <w:tcW w:type="dxa" w:w="5832"/>
          </w:tcPr>
          <w:p>
            <w:pPr>
              <w:spacing w:after="20"/>
              <w:jc w:val="right"/>
            </w:pPr>
            <w:r>
              <w:rPr>
                <w:color w:val="1C3A36"/>
                <w:sz w:val="14"/>
              </w:rPr>
              <w:t>Tadawul-filed Q1-2026 results: gross profit SAR 430.5mn — Q1 gross margin 15.56%. With the H1 figures this pins the Q2-2026 margin at 14.99%: the intra-half path DETERIORATES (15.56% -&gt; 14.99%), disclosed in the crux at the critique response — the first edition showed only the H1 average</w:t>
            </w:r>
          </w:p>
        </w:tc>
      </w:tr>
      <w:tr>
        <w:tc>
          <w:tcPr>
            <w:tcW w:type="dxa" w:w="1944"/>
          </w:tcPr>
          <w:p>
            <w:pPr>
              <w:spacing w:after="20"/>
            </w:pPr>
            <w:r>
              <w:rPr>
                <w:color w:val="1C3A36"/>
                <w:sz w:val="14"/>
              </w:rPr>
              <w:t>h1_25_rev</w:t>
            </w:r>
          </w:p>
        </w:tc>
        <w:tc>
          <w:tcPr>
            <w:tcW w:type="dxa" w:w="1440"/>
          </w:tcPr>
          <w:p>
            <w:pPr>
              <w:spacing w:after="20"/>
              <w:jc w:val="right"/>
            </w:pPr>
            <w:r>
              <w:rPr>
                <w:color w:val="1C3A36"/>
                <w:sz w:val="14"/>
              </w:rPr>
              <w:t>5,204</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Comparative six months to 30-Jun-2025, as filed with the reviewed H1-2026 interims: revenue SAR 5,203.9mn</w:t>
            </w:r>
          </w:p>
        </w:tc>
      </w:tr>
      <w:tr>
        <w:tc>
          <w:tcPr>
            <w:tcW w:type="dxa" w:w="1944"/>
          </w:tcPr>
          <w:p>
            <w:pPr>
              <w:spacing w:after="20"/>
            </w:pPr>
            <w:r>
              <w:rPr>
                <w:color w:val="1C3A36"/>
                <w:sz w:val="14"/>
              </w:rPr>
              <w:t>h1_25_np</w:t>
            </w:r>
          </w:p>
        </w:tc>
        <w:tc>
          <w:tcPr>
            <w:tcW w:type="dxa" w:w="1440"/>
          </w:tcPr>
          <w:p>
            <w:pPr>
              <w:spacing w:after="20"/>
              <w:jc w:val="right"/>
            </w:pPr>
            <w:r>
              <w:rPr>
                <w:color w:val="1C3A36"/>
                <w:sz w:val="14"/>
              </w:rPr>
              <w:t>535.47</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Comparative H1-2025 net profit to shareholders SAR 535.5mn, as filed with the H1-2026 interims — used for the trailing-twelve-month earnings beside the FY2025 figure</w:t>
            </w:r>
          </w:p>
        </w:tc>
      </w:tr>
      <w:tr>
        <w:tc>
          <w:tcPr>
            <w:tcW w:type="dxa" w:w="1944"/>
          </w:tcPr>
          <w:p>
            <w:pPr>
              <w:spacing w:after="20"/>
            </w:pPr>
            <w:r>
              <w:rPr>
                <w:color w:val="1C3A36"/>
                <w:sz w:val="14"/>
              </w:rPr>
              <w:t>spread_anchor</w:t>
            </w:r>
          </w:p>
        </w:tc>
        <w:tc>
          <w:tcPr>
            <w:tcW w:type="dxa" w:w="1440"/>
          </w:tcPr>
          <w:p>
            <w:pPr>
              <w:spacing w:after="20"/>
              <w:jc w:val="right"/>
            </w:pPr>
            <w:r>
              <w:rPr>
                <w:color w:val="1C3A36"/>
                <w:sz w:val="14"/>
              </w:rPr>
              <w:t>0.1526</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Gross margin the business sustains once the FY2024-25 metal tailwind has passed — the study's central contested judgement, anchored on the MOST RECENT REVIEWED ACTUAL: the H1-2026 gross margin of 15.26% (gross profit flat on +9.5% revenue), BELOW the FY2025 full-year 16.24% and H1-2025's 16.72%. …</w:t>
            </w:r>
          </w:p>
        </w:tc>
      </w:tr>
      <w:tr>
        <w:tc>
          <w:tcPr>
            <w:tcW w:type="dxa" w:w="1944"/>
          </w:tcPr>
          <w:p>
            <w:pPr>
              <w:spacing w:after="20"/>
            </w:pPr>
            <w:r>
              <w:rPr>
                <w:color w:val="1C3A36"/>
                <w:sz w:val="14"/>
              </w:rPr>
              <w:t>kd</w:t>
            </w:r>
          </w:p>
        </w:tc>
        <w:tc>
          <w:tcPr>
            <w:tcW w:type="dxa" w:w="1440"/>
          </w:tcPr>
          <w:p>
            <w:pPr>
              <w:spacing w:after="20"/>
              <w:jc w:val="right"/>
            </w:pPr>
            <w:r>
              <w:rPr>
                <w:color w:val="1C3A36"/>
                <w:sz w:val="14"/>
              </w:rPr>
              <w:t>0.0590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Marginal cost of debt, pre-tax, in SAR. The company's Islamic Murabaha working-capital facilities price at SAIBOR plus a variable margin; 3-month SAIBOR ~5.2% (SAMA repo 4.25% plus the ~95bp SAIBOR-repo spread) plus a ~0.70% corporate margin. Sits ABOVE the 4.85% sovereign, as a same-currency cor…</w:t>
            </w:r>
          </w:p>
        </w:tc>
      </w:tr>
      <w:tr>
        <w:tc>
          <w:tcPr>
            <w:tcW w:type="dxa" w:w="1944"/>
          </w:tcPr>
          <w:p>
            <w:pPr>
              <w:spacing w:after="20"/>
            </w:pPr>
            <w:r>
              <w:rPr>
                <w:color w:val="1C3A36"/>
                <w:sz w:val="14"/>
              </w:rPr>
              <w:t>div_window</w:t>
            </w:r>
          </w:p>
        </w:tc>
        <w:tc>
          <w:tcPr>
            <w:tcW w:type="dxa" w:w="1440"/>
          </w:tcPr>
          <w:p>
            <w:pPr>
              <w:spacing w:after="20"/>
              <w:jc w:val="right"/>
            </w:pPr>
            <w:r>
              <w:rPr>
                <w:color w:val="1C3A36"/>
                <w:sz w:val="14"/>
              </w:rPr>
              <w:t>2.2500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SAR 2.25/share FY2025 final cash dividend — the only distribution inside the 31-Dec-2025-to-anchor window — netted from the rolled-forward value. FY2025 audited statements Note 47: SR 336.8mn at SR 2.25/share recommended 15-Mar-2026; approved at the EGM of 10-May-2026, ex-date 10-May-2026, paid 1…</w:t>
            </w:r>
          </w:p>
        </w:tc>
      </w:tr>
      <w:tr>
        <w:tc>
          <w:tcPr>
            <w:tcW w:type="dxa" w:w="1944"/>
          </w:tcPr>
          <w:p>
            <w:pPr>
              <w:spacing w:after="20"/>
            </w:pPr>
            <w:r>
              <w:rPr>
                <w:color w:val="1C3A36"/>
                <w:sz w:val="14"/>
              </w:rPr>
              <w:t>payout</w:t>
            </w:r>
          </w:p>
        </w:tc>
        <w:tc>
          <w:tcPr>
            <w:tcW w:type="dxa" w:w="1440"/>
          </w:tcPr>
          <w:p>
            <w:pPr>
              <w:spacing w:after="20"/>
              <w:jc w:val="right"/>
            </w:pPr>
            <w:r>
              <w:rPr>
                <w:color w:val="1C3A36"/>
                <w:sz w:val="14"/>
              </w:rPr>
              <w:t>0.5500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Forward dividend payout on attributable profit, semi-annual policy. Cash paid during FY2025 was SR 598.99mn = SR 4.00/share = 55.4% of the 7.22 EPS (Note 22 amounts; the note's 'SR 1.9 per share' labels contradict their own totals), so 55% is the actual recent payout held flat, not an aspiration.…</w:t>
            </w:r>
          </w:p>
        </w:tc>
      </w:tr>
      <w:tr>
        <w:tc>
          <w:tcPr>
            <w:tcW w:type="dxa" w:w="1944"/>
          </w:tcPr>
          <w:p>
            <w:pPr>
              <w:spacing w:after="20"/>
            </w:pPr>
            <w:r>
              <w:rPr>
                <w:color w:val="1C3A36"/>
                <w:sz w:val="14"/>
              </w:rPr>
              <w:t>ownership</w:t>
            </w:r>
          </w:p>
        </w:tc>
        <w:tc>
          <w:tcPr>
            <w:tcW w:type="dxa" w:w="1440"/>
          </w:tcPr>
          <w:p>
            <w:pPr>
              <w:spacing w:after="20"/>
              <w:jc w:val="right"/>
            </w:pPr>
            <w:r>
              <w:rPr>
                <w:color w:val="1C3A36"/>
                <w:sz w:val="14"/>
              </w:rPr>
              <w:t>founder_family=0.55; free_float=0.45</w:t>
            </w:r>
          </w:p>
        </w:tc>
        <w:tc>
          <w:tcPr>
            <w:tcW w:type="dxa" w:w="1008"/>
          </w:tcPr>
          <w:p>
            <w:pPr>
              <w:spacing w:after="20"/>
              <w:jc w:val="right"/>
            </w:pPr>
            <w:r>
              <w:rPr>
                <w:color w:val="1C3A36"/>
                <w:sz w:val="14"/>
              </w:rPr>
              <w:t>2026-05-20</w:t>
            </w:r>
          </w:p>
        </w:tc>
        <w:tc>
          <w:tcPr>
            <w:tcW w:type="dxa" w:w="5832"/>
          </w:tcPr>
          <w:p>
            <w:pPr>
              <w:spacing w:after="20"/>
              <w:jc w:val="right"/>
            </w:pPr>
            <w:r>
              <w:rPr>
                <w:color w:val="1C3A36"/>
                <w:sz w:val="14"/>
              </w:rPr>
              <w:t>Ownership is concentrated in the founding shareholder group with a substantial free float (the company listed 30% in the December 2022 IPO; a further 9mn-share transfer among major shareholders was disclosed in May 2026). Indicative split pending the FY2025 annual-report ownership table; not used…</w:t>
            </w:r>
          </w:p>
        </w:tc>
      </w:tr>
    </w:tbl>
    <w:p>
      <w:pPr>
        <w:spacing w:after="40"/>
      </w:pPr>
    </w:p>
    <w:p>
      <w:pPr>
        <w:spacing w:after="80" w:before="200"/>
      </w:pPr>
      <w:r>
        <w:rPr>
          <w:b/>
          <w:i w:val="0"/>
          <w:color w:val="1C3A36"/>
          <w:sz w:val="24"/>
        </w:rPr>
        <w:t>Country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conv_infl</w:t>
            </w:r>
          </w:p>
        </w:tc>
        <w:tc>
          <w:tcPr>
            <w:tcW w:type="dxa" w:w="1440"/>
          </w:tcPr>
          <w:p>
            <w:pPr>
              <w:spacing w:after="20"/>
              <w:jc w:val="right"/>
            </w:pPr>
            <w:r>
              <w:rPr>
                <w:color w:val="1C3A36"/>
                <w:sz w:val="14"/>
              </w:rPr>
              <w:t>0.030, 0.030, 0.030, 0.030, 0.030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Domestic-inflation escalator on the conversion cost stack (salaries, utilities, repairs, depreciation) — Saudi CPI has run ~2% and Saudi wage/utility inflation ~3%; applied ONLY to the non-metal leg, per the one-escalator-per-driver-class rule. The metal leg escalates on the metal path above, nev…</w:t>
            </w:r>
          </w:p>
        </w:tc>
      </w:tr>
      <w:tr>
        <w:tc>
          <w:tcPr>
            <w:tcW w:type="dxa" w:w="1944"/>
          </w:tcPr>
          <w:p>
            <w:pPr>
              <w:spacing w:after="20"/>
            </w:pPr>
            <w:r>
              <w:rPr>
                <w:color w:val="1C3A36"/>
                <w:sz w:val="14"/>
              </w:rPr>
              <w:t>rf</w:t>
            </w:r>
          </w:p>
        </w:tc>
        <w:tc>
          <w:tcPr>
            <w:tcW w:type="dxa" w:w="1440"/>
          </w:tcPr>
          <w:p>
            <w:pPr>
              <w:spacing w:after="20"/>
              <w:jc w:val="right"/>
            </w:pPr>
            <w:r>
              <w:rPr>
                <w:color w:val="1C3A36"/>
                <w:sz w:val="14"/>
              </w:rPr>
              <w:t>0.0552</w:t>
            </w:r>
          </w:p>
        </w:tc>
        <w:tc>
          <w:tcPr>
            <w:tcW w:type="dxa" w:w="1008"/>
          </w:tcPr>
          <w:p>
            <w:pPr>
              <w:spacing w:after="20"/>
              <w:jc w:val="right"/>
            </w:pPr>
            <w:r>
              <w:rPr>
                <w:color w:val="1C3A36"/>
                <w:sz w:val="14"/>
              </w:rPr>
              <w:t>2026-07-31</w:t>
            </w:r>
          </w:p>
        </w:tc>
        <w:tc>
          <w:tcPr>
            <w:tcW w:type="dxa" w:w="5832"/>
          </w:tcPr>
          <w:p>
            <w:pPr>
              <w:spacing w:after="20"/>
              <w:jc w:val="right"/>
            </w:pPr>
            <w:r>
              <w:rPr>
                <w:color w:val="1C3A36"/>
                <w:sz w:val="14"/>
              </w:rPr>
              <w:t>Saudi 10-year local-currency (SAR) government sukuk yield 5.52%: the FTSE Saudi Arabian Government Bond Index factsheet dated 31-Jul-2026, 7-10 year maturity bucket yield-to-maturity 5.52% at an 8.24-year average life (whole index 5.48% at 7.88y; the curve is upward-sloping, 1-3y 5.22% through 10…</w:t>
            </w:r>
          </w:p>
        </w:tc>
      </w:tr>
      <w:tr>
        <w:tc>
          <w:tcPr>
            <w:tcW w:type="dxa" w:w="1944"/>
          </w:tcPr>
          <w:p>
            <w:pPr>
              <w:spacing w:after="20"/>
            </w:pPr>
            <w:r>
              <w:rPr>
                <w:color w:val="1C3A36"/>
                <w:sz w:val="14"/>
              </w:rPr>
              <w:t>sov_spread</w:t>
            </w:r>
          </w:p>
        </w:tc>
        <w:tc>
          <w:tcPr>
            <w:tcW w:type="dxa" w:w="1440"/>
          </w:tcPr>
          <w:p>
            <w:pPr>
              <w:spacing w:after="20"/>
              <w:jc w:val="right"/>
            </w:pPr>
            <w:r>
              <w:rPr>
                <w:color w:val="1C3A36"/>
                <w:sz w:val="14"/>
              </w:rPr>
              <w:t>0.0048</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adjusted sovereign default spread 0.48% on the rating basis (Moody's Aa3), Damodaran country-risk dataset, July-2026 vintage — the dated update published ~10-Jul-2026, five weeks before the anchor (the first edition carried the January-2026 vintage's 0.51% while ctryprem.html still d…</w:t>
            </w:r>
          </w:p>
        </w:tc>
      </w:tr>
      <w:tr>
        <w:tc>
          <w:tcPr>
            <w:tcW w:type="dxa" w:w="1944"/>
          </w:tcPr>
          <w:p>
            <w:pPr>
              <w:spacing w:after="20"/>
            </w:pPr>
            <w:r>
              <w:rPr>
                <w:color w:val="1C3A36"/>
                <w:sz w:val="14"/>
              </w:rPr>
              <w:t>erp</w:t>
            </w:r>
          </w:p>
        </w:tc>
        <w:tc>
          <w:tcPr>
            <w:tcW w:type="dxa" w:w="1440"/>
          </w:tcPr>
          <w:p>
            <w:pPr>
              <w:spacing w:after="20"/>
              <w:jc w:val="right"/>
            </w:pPr>
            <w:r>
              <w:rPr>
                <w:color w:val="1C3A36"/>
                <w:sz w:val="14"/>
              </w:rPr>
              <w:t>0.0494</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total equity risk premium 4.94%, Damodaran country-risk dataset, July-2026 vintage: the 4.20% mature-market premium plus a 0.74% country risk premium. Rating basis. Updated from the January vintage's 5.01% at the critique response</w:t>
            </w:r>
          </w:p>
        </w:tc>
      </w:tr>
      <w:tr>
        <w:tc>
          <w:tcPr>
            <w:tcW w:type="dxa" w:w="1944"/>
          </w:tcPr>
          <w:p>
            <w:pPr>
              <w:spacing w:after="20"/>
            </w:pPr>
            <w:r>
              <w:rPr>
                <w:color w:val="1C3A36"/>
                <w:sz w:val="14"/>
              </w:rPr>
              <w:t>erp_mature</w:t>
            </w:r>
          </w:p>
        </w:tc>
        <w:tc>
          <w:tcPr>
            <w:tcW w:type="dxa" w:w="1440"/>
          </w:tcPr>
          <w:p>
            <w:pPr>
              <w:spacing w:after="20"/>
              <w:jc w:val="right"/>
            </w:pPr>
            <w:r>
              <w:rPr>
                <w:color w:val="1C3A36"/>
                <w:sz w:val="14"/>
              </w:rPr>
              <w:t>0.0420</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Mature-market equity risk premium 4.20%, Damodaran July-2026 vintage — the base the Saudi ERP decomposes onto</w:t>
            </w:r>
          </w:p>
        </w:tc>
      </w:tr>
      <w:tr>
        <w:tc>
          <w:tcPr>
            <w:tcW w:type="dxa" w:w="1944"/>
          </w:tcPr>
          <w:p>
            <w:pPr>
              <w:spacing w:after="20"/>
            </w:pPr>
            <w:r>
              <w:rPr>
                <w:color w:val="1C3A36"/>
                <w:sz w:val="14"/>
              </w:rPr>
              <w:t>erp_crp</w:t>
            </w:r>
          </w:p>
        </w:tc>
        <w:tc>
          <w:tcPr>
            <w:tcW w:type="dxa" w:w="1440"/>
          </w:tcPr>
          <w:p>
            <w:pPr>
              <w:spacing w:after="20"/>
              <w:jc w:val="right"/>
            </w:pPr>
            <w:r>
              <w:rPr>
                <w:color w:val="1C3A36"/>
                <w:sz w:val="14"/>
              </w:rPr>
              <w:t>0.0074</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country risk premium 0.74%, Damodaran July-2026 vintage (default spread scaled by relative equity volatility); erp_mature + erp_crp = erp, asserted</w:t>
            </w:r>
          </w:p>
        </w:tc>
      </w:tr>
      <w:tr>
        <w:tc>
          <w:tcPr>
            <w:tcW w:type="dxa" w:w="1944"/>
          </w:tcPr>
          <w:p>
            <w:pPr>
              <w:spacing w:after="20"/>
            </w:pPr>
            <w:r>
              <w:rPr>
                <w:color w:val="1C3A36"/>
                <w:sz w:val="14"/>
              </w:rPr>
              <w:t>erp_cds</w:t>
            </w:r>
          </w:p>
        </w:tc>
        <w:tc>
          <w:tcPr>
            <w:tcW w:type="dxa" w:w="1440"/>
          </w:tcPr>
          <w:p>
            <w:pPr>
              <w:spacing w:after="20"/>
              <w:jc w:val="right"/>
            </w:pPr>
            <w:r>
              <w:rPr>
                <w:color w:val="1C3A36"/>
                <w:sz w:val="14"/>
              </w:rPr>
              <w:t>0.0500</w:t>
            </w:r>
          </w:p>
        </w:tc>
        <w:tc>
          <w:tcPr>
            <w:tcW w:type="dxa" w:w="1008"/>
          </w:tcPr>
          <w:p>
            <w:pPr>
              <w:spacing w:after="20"/>
              <w:jc w:val="right"/>
            </w:pPr>
            <w:r>
              <w:rPr>
                <w:color w:val="1C3A36"/>
                <w:sz w:val="14"/>
              </w:rPr>
              <w:t>2026-01-05</w:t>
            </w:r>
          </w:p>
        </w:tc>
        <w:tc>
          <w:tcPr>
            <w:tcW w:type="dxa" w:w="5832"/>
          </w:tcPr>
          <w:p>
            <w:pPr>
              <w:spacing w:after="20"/>
              <w:jc w:val="right"/>
            </w:pPr>
            <w:r>
              <w:rPr>
                <w:color w:val="1C3A36"/>
                <w:sz w:val="14"/>
              </w:rPr>
              <w:t>Saudi Arabia equity risk premium on the CDS basis ~5.00% (CDS spread ~0.50%), January-2026 vintage — the July CDS table was not sourced, so the CDS leg is FLAGGED as one vintage older than the rating leg. Published beside the rating basis per the dual-ERP rule; the two converge for a high-grade s…</w:t>
            </w:r>
          </w:p>
        </w:tc>
      </w:tr>
    </w:tbl>
    <w:p>
      <w:pPr>
        <w:spacing w:after="40"/>
      </w:pPr>
    </w:p>
    <w:p>
      <w:pPr>
        <w:spacing w:after="80" w:before="200"/>
      </w:pPr>
      <w:r>
        <w:rPr>
          <w:b/>
          <w:i w:val="0"/>
          <w:color w:val="1C3A36"/>
          <w:sz w:val="24"/>
        </w:rPr>
        <w:t>Industry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vol_growth</w:t>
            </w:r>
          </w:p>
        </w:tc>
        <w:tc>
          <w:tcPr>
            <w:tcW w:type="dxa" w:w="1440"/>
          </w:tcPr>
          <w:p>
            <w:pPr>
              <w:spacing w:after="20"/>
              <w:jc w:val="right"/>
            </w:pPr>
            <w:r>
              <w:rPr>
                <w:color w:val="1C3A36"/>
                <w:sz w:val="14"/>
              </w:rPr>
              <w:t>0.100, 0.075, 0.065, 0.055, 0.050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Real cable-volume (tonnage-index) growth FY2026E-FY2030E, tapering from ~10% toward 5%. Anchored on the reviewed H1-2026 disclosure that revenue rose 9.5% 'due to the increase in the volume of quantities sold' with metal prices roughly flat, and on the Saudi grid-expansion and construction demand…</w:t>
            </w:r>
          </w:p>
        </w:tc>
      </w:tr>
      <w:tr>
        <w:tc>
          <w:tcPr>
            <w:tcW w:type="dxa" w:w="1944"/>
          </w:tcPr>
          <w:p>
            <w:pPr>
              <w:spacing w:after="20"/>
            </w:pPr>
            <w:r>
              <w:rPr>
                <w:color w:val="1C3A36"/>
                <w:sz w:val="14"/>
              </w:rPr>
              <w:t>metal_growth</w:t>
            </w:r>
          </w:p>
        </w:tc>
        <w:tc>
          <w:tcPr>
            <w:tcW w:type="dxa" w:w="1440"/>
          </w:tcPr>
          <w:p>
            <w:pPr>
              <w:spacing w:after="20"/>
              <w:jc w:val="right"/>
            </w:pPr>
            <w:r>
              <w:rPr>
                <w:color w:val="1C3A36"/>
                <w:sz w:val="14"/>
              </w:rPr>
              <w:t>-0.010, 0.000, 0.010, 0.010, 0.010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Metal-content price growth FY2026E-FY2030E for the copper/aluminium/lead blend that is 94.9% of cost of revenue. Held broadly flat with a slight near-term easing: LME copper ~USD 9,500-10,000/t and aluminium ~USD 2,500/t in mid-2026, and H1-2026 gross profit was flat, consistent with metals not r…</w:t>
            </w:r>
          </w:p>
        </w:tc>
      </w:tr>
    </w:tbl>
    <w:p>
      <w:pPr>
        <w:spacing w:after="40"/>
      </w:pPr>
    </w:p>
    <w:p>
      <w:pPr>
        <w:spacing w:after="80" w:before="200"/>
      </w:pPr>
      <w:r>
        <w:rPr>
          <w:b/>
          <w:i w:val="0"/>
          <w:color w:val="1C3A36"/>
          <w:sz w:val="24"/>
        </w:rPr>
        <w:t>Market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spot</w:t>
            </w:r>
          </w:p>
        </w:tc>
        <w:tc>
          <w:tcPr>
            <w:tcW w:type="dxa" w:w="1440"/>
          </w:tcPr>
          <w:p>
            <w:pPr>
              <w:spacing w:after="20"/>
              <w:jc w:val="right"/>
            </w:pPr>
            <w:r>
              <w:rPr>
                <w:color w:val="1C3A36"/>
                <w:sz w:val="14"/>
              </w:rPr>
              <w:t>104.90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Tadawul settled close, symbol 4142, 18-Aug-2026 (-1.40 on the 106.30 previous close, exchange record via Argaam). The uploaded vendor row printed 104.80 — an unsettled intraday snapshot, revised to the settled print in engine/raw_ohlc/SA/RIYADHCABLE.csv at the critique response; the verbatim vend…</w:t>
            </w:r>
          </w:p>
        </w:tc>
      </w:tr>
      <w:tr>
        <w:tc>
          <w:tcPr>
            <w:tcW w:type="dxa" w:w="1944"/>
          </w:tcPr>
          <w:p>
            <w:pPr>
              <w:spacing w:after="20"/>
            </w:pPr>
            <w:r>
              <w:rPr>
                <w:color w:val="1C3A36"/>
                <w:sz w:val="14"/>
              </w:rPr>
              <w:t>peer_prysmian_fwd</w:t>
            </w:r>
          </w:p>
        </w:tc>
        <w:tc>
          <w:tcPr>
            <w:tcW w:type="dxa" w:w="1440"/>
          </w:tcPr>
          <w:p>
            <w:pPr>
              <w:spacing w:after="20"/>
              <w:jc w:val="right"/>
            </w:pPr>
            <w:r>
              <w:rPr>
                <w:color w:val="1C3A36"/>
                <w:sz w:val="14"/>
              </w:rPr>
              <w:t>14.00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Prysmian forward EV/EBITDA ~14x, recomputed from primary evidence at the anchor: FY2026 adjusted-EBITDA guidance RAISED to EUR 2.8-2.9bn on 30-Jul-2026 (company press release, record Q2 adj EBITDA EUR 730mn) against a mid-Aug market EV of ~EUR 40bn. Two independent recomputations put it 13.9-15x.…</w:t>
            </w:r>
          </w:p>
        </w:tc>
      </w:tr>
      <w:tr>
        <w:tc>
          <w:tcPr>
            <w:tcW w:type="dxa" w:w="1944"/>
          </w:tcPr>
          <w:p>
            <w:pPr>
              <w:spacing w:after="20"/>
            </w:pPr>
            <w:r>
              <w:rPr>
                <w:color w:val="1C3A36"/>
                <w:sz w:val="14"/>
              </w:rPr>
              <w:t>peer_nexans_fwd</w:t>
            </w:r>
          </w:p>
        </w:tc>
        <w:tc>
          <w:tcPr>
            <w:tcW w:type="dxa" w:w="1440"/>
          </w:tcPr>
          <w:p>
            <w:pPr>
              <w:spacing w:after="20"/>
              <w:jc w:val="right"/>
            </w:pPr>
            <w:r>
              <w:rPr>
                <w:color w:val="1C3A36"/>
                <w:sz w:val="14"/>
              </w:rPr>
              <w:t>8.70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Nexans forward EV/EBITDA ~8.7x (span 8.4-9.0x across two independent recomputations): FY2026 guidance raised to EUR 770-840mn (press release 29-Jul-2026) against an EV of ~EUR 7.0-7.2bn. The first edition's ~7.5x was modestly stale</w:t>
            </w:r>
          </w:p>
        </w:tc>
      </w:tr>
      <w:tr>
        <w:tc>
          <w:tcPr>
            <w:tcW w:type="dxa" w:w="1944"/>
          </w:tcPr>
          <w:p>
            <w:pPr>
              <w:spacing w:after="20"/>
            </w:pPr>
            <w:r>
              <w:rPr>
                <w:color w:val="1C3A36"/>
                <w:sz w:val="14"/>
              </w:rPr>
              <w:t>peer_polycab_fwd</w:t>
            </w:r>
          </w:p>
        </w:tc>
        <w:tc>
          <w:tcPr>
            <w:tcW w:type="dxa" w:w="1440"/>
          </w:tcPr>
          <w:p>
            <w:pPr>
              <w:spacing w:after="20"/>
              <w:jc w:val="right"/>
            </w:pPr>
            <w:r>
              <w:rPr>
                <w:color w:val="1C3A36"/>
                <w:sz w:val="14"/>
              </w:rPr>
              <w:t>29.00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Polycab India forward (NTM) EV/EBITDA ~29x (trailing ~33x). Cross-check context only</w:t>
            </w:r>
          </w:p>
        </w:tc>
      </w:tr>
      <w:tr>
        <w:tc>
          <w:tcPr>
            <w:tcW w:type="dxa" w:w="1944"/>
          </w:tcPr>
          <w:p>
            <w:pPr>
              <w:spacing w:after="20"/>
            </w:pPr>
            <w:r>
              <w:rPr>
                <w:color w:val="1C3A36"/>
                <w:sz w:val="14"/>
              </w:rPr>
              <w:t>peer_kei_fwd</w:t>
            </w:r>
          </w:p>
        </w:tc>
        <w:tc>
          <w:tcPr>
            <w:tcW w:type="dxa" w:w="1440"/>
          </w:tcPr>
          <w:p>
            <w:pPr>
              <w:spacing w:after="20"/>
              <w:jc w:val="right"/>
            </w:pPr>
            <w:r>
              <w:rPr>
                <w:color w:val="1C3A36"/>
                <w:sz w:val="14"/>
              </w:rPr>
              <w:t>31.00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KEI Industries forward (NTM) EV/EBITDA ~30-32x; ~24-25x only two years out (FY-Mar-2028 basis) — the first edition's '~24x' was a two-year-forward figure shown in an NTM column, corrected and year-labelled</w:t>
            </w:r>
          </w:p>
        </w:tc>
      </w:tr>
    </w:tbl>
    <w:p>
      <w:pPr>
        <w:spacing w:after="40"/>
      </w:pPr>
    </w:p>
    <w:p>
      <w:pPr>
        <w:spacing w:after="80" w:before="200"/>
      </w:pPr>
      <w:r>
        <w:rPr>
          <w:b/>
          <w:i w:val="0"/>
          <w:color w:val="1C3A36"/>
          <w:sz w:val="24"/>
        </w:rPr>
        <w:t>House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spread_bull</w:t>
            </w:r>
          </w:p>
        </w:tc>
        <w:tc>
          <w:tcPr>
            <w:tcW w:type="dxa" w:w="1440"/>
          </w:tcPr>
          <w:p>
            <w:pPr>
              <w:spacing w:after="20"/>
              <w:jc w:val="right"/>
            </w:pPr>
            <w:r>
              <w:rPr>
                <w:color w:val="1C3A36"/>
                <w:sz w:val="14"/>
              </w:rPr>
              <w:t>0.1600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Bull framing of the sustained gross margin: the FY2025 full-year print holds (premium high-voltage and export mix, pricing power in a tight Gulf market). Published beside the H1-2026-anchored base, per the dual-framing rule</w:t>
            </w:r>
          </w:p>
        </w:tc>
      </w:tr>
      <w:tr>
        <w:tc>
          <w:tcPr>
            <w:tcW w:type="dxa" w:w="1944"/>
          </w:tcPr>
          <w:p>
            <w:pPr>
              <w:spacing w:after="20"/>
            </w:pPr>
            <w:r>
              <w:rPr>
                <w:color w:val="1C3A36"/>
                <w:sz w:val="14"/>
              </w:rPr>
              <w:t>spread_bear</w:t>
            </w:r>
          </w:p>
        </w:tc>
        <w:tc>
          <w:tcPr>
            <w:tcW w:type="dxa" w:w="1440"/>
          </w:tcPr>
          <w:p>
            <w:pPr>
              <w:spacing w:after="20"/>
              <w:jc w:val="right"/>
            </w:pPr>
            <w:r>
              <w:rPr>
                <w:color w:val="1C3A36"/>
                <w:sz w:val="14"/>
              </w:rPr>
              <w:t>0.1450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Bear framing of the sustained gross margin: the conversion spread competes down further as Gulf capacity normalises and the metal tailwind fully unwinds</w:t>
            </w:r>
          </w:p>
        </w:tc>
      </w:tr>
      <w:tr>
        <w:tc>
          <w:tcPr>
            <w:tcW w:type="dxa" w:w="1944"/>
          </w:tcPr>
          <w:p>
            <w:pPr>
              <w:spacing w:after="20"/>
            </w:pPr>
            <w:r>
              <w:rPr>
                <w:color w:val="1C3A36"/>
                <w:sz w:val="14"/>
              </w:rPr>
              <w:t>margin_glide</w:t>
            </w:r>
          </w:p>
        </w:tc>
        <w:tc>
          <w:tcPr>
            <w:tcW w:type="dxa" w:w="1440"/>
          </w:tcPr>
          <w:p>
            <w:pPr>
              <w:spacing w:after="20"/>
              <w:jc w:val="right"/>
            </w:pPr>
            <w:r>
              <w:rPr>
                <w:color w:val="1C3A36"/>
                <w:sz w:val="14"/>
              </w:rPr>
              <w:t>0.000, 0.001, 0.001, 0.002, 0.002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Small annual drift ADDED to the spread anchor as scale and mix (rising high-voltage and export share) modestly lift the sustained margin off the H1-2026 trough; cumulative +0.5pp by FY2030E, deliberately modest</w:t>
            </w:r>
          </w:p>
        </w:tc>
      </w:tr>
      <w:tr>
        <w:tc>
          <w:tcPr>
            <w:tcW w:type="dxa" w:w="1944"/>
          </w:tcPr>
          <w:p>
            <w:pPr>
              <w:spacing w:after="20"/>
            </w:pPr>
            <w:r>
              <w:rPr>
                <w:color w:val="1C3A36"/>
                <w:sz w:val="14"/>
              </w:rPr>
              <w:t>hv_growth</w:t>
            </w:r>
          </w:p>
        </w:tc>
        <w:tc>
          <w:tcPr>
            <w:tcW w:type="dxa" w:w="1440"/>
          </w:tcPr>
          <w:p>
            <w:pPr>
              <w:spacing w:after="20"/>
              <w:jc w:val="right"/>
            </w:pPr>
            <w:r>
              <w:rPr>
                <w:color w:val="1C3A36"/>
                <w:sz w:val="14"/>
              </w:rPr>
              <w:t>0.100, 0.100, 0.090, 0.080, 0.080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High-voltage turnkey-projects segment revenue growth. The segment is lumpy (FY2025 SAR 231mn, down from FY2024's 339mn as projects completed); a moderate recovery is assumed off the low base, well below the cables segment's contribution either way (2.2% of FY2025 revenue)</w:t>
            </w:r>
          </w:p>
        </w:tc>
      </w:tr>
      <w:tr>
        <w:tc>
          <w:tcPr>
            <w:tcW w:type="dxa" w:w="1944"/>
          </w:tcPr>
          <w:p>
            <w:pPr>
              <w:spacing w:after="20"/>
            </w:pPr>
            <w:r>
              <w:rPr>
                <w:color w:val="1C3A36"/>
                <w:sz w:val="14"/>
              </w:rPr>
              <w:t>other_growth</w:t>
            </w:r>
          </w:p>
        </w:tc>
        <w:tc>
          <w:tcPr>
            <w:tcW w:type="dxa" w:w="1440"/>
          </w:tcPr>
          <w:p>
            <w:pPr>
              <w:spacing w:after="20"/>
              <w:jc w:val="right"/>
            </w:pPr>
            <w:r>
              <w:rPr>
                <w:color w:val="1C3A36"/>
                <w:sz w:val="14"/>
              </w:rPr>
              <w:t>0.080, 0.080, 0.070, 0.060, 0.060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Other segment (telephone cables and services) revenue growth — 0.3% of revenue, immaterial to the valuation</w:t>
            </w:r>
          </w:p>
        </w:tc>
      </w:tr>
      <w:tr>
        <w:tc>
          <w:tcPr>
            <w:tcW w:type="dxa" w:w="1944"/>
          </w:tcPr>
          <w:p>
            <w:pPr>
              <w:spacing w:after="20"/>
            </w:pPr>
            <w:r>
              <w:rPr>
                <w:color w:val="1C3A36"/>
                <w:sz w:val="14"/>
              </w:rPr>
              <w:t>opex_pct</w:t>
            </w:r>
          </w:p>
        </w:tc>
        <w:tc>
          <w:tcPr>
            <w:tcW w:type="dxa" w:w="1440"/>
          </w:tcPr>
          <w:p>
            <w:pPr>
              <w:spacing w:after="20"/>
              <w:jc w:val="right"/>
            </w:pPr>
            <w:r>
              <w:rPr>
                <w:color w:val="1C3A36"/>
                <w:sz w:val="14"/>
              </w:rPr>
              <w:t>0.043, 0.043, 0.043, 0.042, 0.042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Operating expenses below gross profit (selling and distribution + general and administrative + normalised receivables impairment) as a share of revenue. History: FY2023 4.0%, FY2024 3.4%, FY2025 4.3% (the FY2025 rise is a 150.8mn receivables impairment charge, up from 23.4mn). Held near the FY202…</w:t>
            </w:r>
          </w:p>
        </w:tc>
      </w:tr>
      <w:tr>
        <w:tc>
          <w:tcPr>
            <w:tcW w:type="dxa" w:w="1944"/>
          </w:tcPr>
          <w:p>
            <w:pPr>
              <w:spacing w:after="20"/>
            </w:pPr>
            <w:r>
              <w:rPr>
                <w:color w:val="1C3A36"/>
                <w:sz w:val="14"/>
              </w:rPr>
              <w:t>dna_pct</w:t>
            </w:r>
          </w:p>
        </w:tc>
        <w:tc>
          <w:tcPr>
            <w:tcW w:type="dxa" w:w="1440"/>
          </w:tcPr>
          <w:p>
            <w:pPr>
              <w:spacing w:after="20"/>
              <w:jc w:val="right"/>
            </w:pPr>
            <w:r>
              <w:rPr>
                <w:color w:val="1C3A36"/>
                <w:sz w:val="14"/>
              </w:rPr>
              <w:t>0.0085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Depreciation and amortisation as a share of revenue, near the FY2025 level (85.4mn / 10,673.6mn = 0.80%), lifted slightly for the larger capitalised base from the FY2024-25 capex</w:t>
            </w:r>
          </w:p>
        </w:tc>
      </w:tr>
      <w:tr>
        <w:tc>
          <w:tcPr>
            <w:tcW w:type="dxa" w:w="1944"/>
          </w:tcPr>
          <w:p>
            <w:pPr>
              <w:spacing w:after="20"/>
            </w:pPr>
            <w:r>
              <w:rPr>
                <w:color w:val="1C3A36"/>
                <w:sz w:val="14"/>
              </w:rPr>
              <w:t>capex_pct</w:t>
            </w:r>
          </w:p>
        </w:tc>
        <w:tc>
          <w:tcPr>
            <w:tcW w:type="dxa" w:w="1440"/>
          </w:tcPr>
          <w:p>
            <w:pPr>
              <w:spacing w:after="20"/>
              <w:jc w:val="right"/>
            </w:pPr>
            <w:r>
              <w:rPr>
                <w:color w:val="1C3A36"/>
                <w:sz w:val="14"/>
              </w:rPr>
              <w:t>0.019, 0.018, 0.018, 0.018, 0.018</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Capital expenditure as a share of revenue. Audited cash-flow-statement actuals: FY2024 195.0mn / 9,007.4mn = 2.17%, FY2025 188.9mn / 10,673.6mn = 1.77% (assets under construction 107.9mn of the FY2025 spend). The path starts between the two actual years and is FLOORED at the FY2025 actual 1.77% —…</w:t>
            </w:r>
          </w:p>
        </w:tc>
      </w:tr>
      <w:tr>
        <w:tc>
          <w:tcPr>
            <w:tcW w:type="dxa" w:w="1944"/>
          </w:tcPr>
          <w:p>
            <w:pPr>
              <w:spacing w:after="20"/>
            </w:pPr>
            <w:r>
              <w:rPr>
                <w:color w:val="1C3A36"/>
                <w:sz w:val="14"/>
              </w:rPr>
              <w:t>nwc_pct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Net working capital as a share of revenue, held at the FY2025 level. History: FY2023 27.0%, FY2024 28.4%, FY2025 27.9% — a structurally working-capital-heavy cable maker (copper/aluminium inventory + trade receivables, partly offset by trade payables and a reverse-factoring facility). Held flat r…</w:t>
            </w:r>
          </w:p>
        </w:tc>
      </w:tr>
      <w:tr>
        <w:tc>
          <w:tcPr>
            <w:tcW w:type="dxa" w:w="1944"/>
          </w:tcPr>
          <w:p>
            <w:pPr>
              <w:spacing w:after="20"/>
            </w:pPr>
            <w:r>
              <w:rPr>
                <w:color w:val="1C3A36"/>
                <w:sz w:val="14"/>
              </w:rPr>
              <w:t>beta</w:t>
            </w:r>
          </w:p>
        </w:tc>
        <w:tc>
          <w:tcPr>
            <w:tcW w:type="dxa" w:w="1440"/>
          </w:tcPr>
          <w:p>
            <w:pPr>
              <w:spacing w:after="20"/>
              <w:jc w:val="right"/>
            </w:pPr>
            <w:r>
              <w:rPr>
                <w:color w:val="1C3A36"/>
                <w:sz w:val="14"/>
              </w:rPr>
              <w:t>1.1290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Own-stock tier-1 regression: RIYADHCABLE weekly log-returns against the published Tadawul All Share Index (TASI), Dimson sum-beta over the full 3.6-year listed history (185 weekly observations to 13-Aug-2026). R-squared 0.145, standard error 0.309, 90% confidence interval [0.62, 1.64]. Clears the…</w:t>
            </w:r>
          </w:p>
        </w:tc>
      </w:tr>
      <w:tr>
        <w:tc>
          <w:tcPr>
            <w:tcW w:type="dxa" w:w="1944"/>
          </w:tcPr>
          <w:p>
            <w:pPr>
              <w:spacing w:after="20"/>
            </w:pPr>
            <w:r>
              <w:rPr>
                <w:color w:val="1C3A36"/>
                <w:sz w:val="14"/>
              </w:rPr>
              <w:t>rf_term</w:t>
            </w:r>
          </w:p>
        </w:tc>
        <w:tc>
          <w:tcPr>
            <w:tcW w:type="dxa" w:w="1440"/>
          </w:tcPr>
          <w:p>
            <w:pPr>
              <w:spacing w:after="20"/>
              <w:jc w:val="right"/>
            </w:pPr>
            <w:r>
              <w:rPr>
                <w:color w:val="1C3A36"/>
                <w:sz w:val="14"/>
              </w:rPr>
              <w:t>0.0504</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risk-free rate = the normalised SAR risk-free (rf 5.52% less the 0.48% sovereign default spread) held flat: Saudi rates are already at a long-run level, so no crisis-premium normalisation is needed, unlike a high-inflation market. Moves one-for-one with the corrected rf — the terminal bl…</w:t>
            </w:r>
          </w:p>
        </w:tc>
      </w:tr>
      <w:tr>
        <w:tc>
          <w:tcPr>
            <w:tcW w:type="dxa" w:w="1944"/>
          </w:tcPr>
          <w:p>
            <w:pPr>
              <w:spacing w:after="20"/>
            </w:pPr>
            <w:r>
              <w:rPr>
                <w:color w:val="1C3A36"/>
                <w:sz w:val="14"/>
              </w:rPr>
              <w:t>erp_term</w:t>
            </w:r>
          </w:p>
        </w:tc>
        <w:tc>
          <w:tcPr>
            <w:tcW w:type="dxa" w:w="1440"/>
          </w:tcPr>
          <w:p>
            <w:pPr>
              <w:spacing w:after="20"/>
              <w:jc w:val="right"/>
            </w:pPr>
            <w:r>
              <w:rPr>
                <w:color w:val="1C3A36"/>
                <w:sz w:val="14"/>
              </w:rPr>
              <w:t>0.0468</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equity risk premium 4.68%, the same 26bp compression of the current 4.94% the first edition applied to the January vintage (5.01% -&gt; 4.75%), as the country risk premium narrows with Vision-2030 diversification; never held at a crisis level, never below the mature-market base</w:t>
            </w:r>
          </w:p>
        </w:tc>
      </w:tr>
      <w:tr>
        <w:tc>
          <w:tcPr>
            <w:tcW w:type="dxa" w:w="1944"/>
          </w:tcPr>
          <w:p>
            <w:pPr>
              <w:spacing w:after="20"/>
            </w:pPr>
            <w:r>
              <w:rPr>
                <w:color w:val="1C3A36"/>
                <w:sz w:val="14"/>
              </w:rPr>
              <w:t>beta_term</w:t>
            </w:r>
          </w:p>
        </w:tc>
        <w:tc>
          <w:tcPr>
            <w:tcW w:type="dxa" w:w="1440"/>
          </w:tcPr>
          <w:p>
            <w:pPr>
              <w:spacing w:after="20"/>
              <w:jc w:val="right"/>
            </w:pPr>
            <w:r>
              <w:rPr>
                <w:color w:val="1C3A36"/>
                <w:sz w:val="14"/>
              </w:rPr>
              <w:t>1.00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beta 1.0 — mean reversion toward the market (Blume), from the 1.129 own-stock estimate; the Blume-adjusted current beta is already 1.086</w:t>
            </w:r>
          </w:p>
        </w:tc>
      </w:tr>
      <w:tr>
        <w:tc>
          <w:tcPr>
            <w:tcW w:type="dxa" w:w="1944"/>
          </w:tcPr>
          <w:p>
            <w:pPr>
              <w:spacing w:after="20"/>
            </w:pPr>
            <w:r>
              <w:rPr>
                <w:color w:val="1C3A36"/>
                <w:sz w:val="14"/>
              </w:rPr>
              <w:t>kd_term</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cost of debt 5.5%, a modest easing from the 5.9% marginal rate as SAMA tracks the Fed toward a neutral setting</w:t>
            </w:r>
          </w:p>
        </w:tc>
      </w:tr>
      <w:tr>
        <w:tc>
          <w:tcPr>
            <w:tcW w:type="dxa" w:w="1944"/>
          </w:tcPr>
          <w:p>
            <w:pPr>
              <w:spacing w:after="20"/>
            </w:pPr>
            <w:r>
              <w:rPr>
                <w:color w:val="1C3A36"/>
                <w:sz w:val="14"/>
              </w:rPr>
              <w:t>wd_term</w:t>
            </w:r>
          </w:p>
        </w:tc>
        <w:tc>
          <w:tcPr>
            <w:tcW w:type="dxa" w:w="1440"/>
          </w:tcPr>
          <w:p>
            <w:pPr>
              <w:spacing w:after="20"/>
              <w:jc w:val="right"/>
            </w:pPr>
            <w:r>
              <w:rPr>
                <w:color w:val="1C3A36"/>
                <w:sz w:val="14"/>
              </w:rPr>
              <w:t>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net-debt weight 0% — all-equity. CORRECTED at the critique response: the first edition normalised to 5% net debt, but the model's own forecast reaches net CASH from FY2028E (net financial debt -113 -&gt; -744 by FY2030E), so a levered terminal contradicted the build's own balance-sheet path…</w:t>
            </w:r>
          </w:p>
        </w:tc>
      </w:tr>
      <w:tr>
        <w:tc>
          <w:tcPr>
            <w:tcW w:type="dxa" w:w="1944"/>
          </w:tcPr>
          <w:p>
            <w:pPr>
              <w:spacing w:after="20"/>
            </w:pPr>
            <w:r>
              <w:rPr>
                <w:color w:val="1C3A36"/>
                <w:sz w:val="14"/>
              </w:rPr>
              <w:t>kd_path</w:t>
            </w:r>
          </w:p>
        </w:tc>
        <w:tc>
          <w:tcPr>
            <w:tcW w:type="dxa" w:w="1440"/>
          </w:tcPr>
          <w:p>
            <w:pPr>
              <w:spacing w:after="20"/>
              <w:jc w:val="right"/>
            </w:pPr>
            <w:r>
              <w:rPr>
                <w:color w:val="1C3A36"/>
                <w:sz w:val="14"/>
              </w:rPr>
              <w:t>0.059, 0.058, 0.057, 0.056, 0.055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Forward cost-of-debt path FY2026E-FY2030E, easing gently from the 5.9% marginal rate to the 5.5% terminal as policy normalises. The discount-rate glide takes its shape from this path by construction</w:t>
            </w:r>
          </w:p>
        </w:tc>
      </w:tr>
      <w:tr>
        <w:tc>
          <w:tcPr>
            <w:tcW w:type="dxa" w:w="1944"/>
          </w:tcPr>
          <w:p>
            <w:pPr>
              <w:spacing w:after="20"/>
            </w:pPr>
            <w:r>
              <w:rPr>
                <w:color w:val="1C3A36"/>
                <w:sz w:val="14"/>
              </w:rPr>
              <w:t>g_term</w:t>
            </w:r>
          </w:p>
        </w:tc>
        <w:tc>
          <w:tcPr>
            <w:tcW w:type="dxa" w:w="1440"/>
          </w:tcPr>
          <w:p>
            <w:pPr>
              <w:spacing w:after="20"/>
              <w:jc w:val="right"/>
            </w:pPr>
            <w:r>
              <w:rPr>
                <w:color w:val="1C3A36"/>
                <w:sz w:val="14"/>
              </w:rPr>
              <w:t>0.0400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growth 4.0% in nominal SAR: ~2% long-run Saudi real growth plus ~2% inflation. Struck below the terminal risk-free-plus-spread and below a blended nominal GDP ceiling; sensitised 2-6%. Saudi electrification and construction (grid capex, giga-projects, housing) support a durable but not p…</w:t>
            </w:r>
          </w:p>
        </w:tc>
      </w:tr>
      <w:tr>
        <w:tc>
          <w:tcPr>
            <w:tcW w:type="dxa" w:w="1944"/>
          </w:tcPr>
          <w:p>
            <w:pPr>
              <w:spacing w:after="20"/>
            </w:pPr>
            <w:r>
              <w:rPr>
                <w:color w:val="1C3A36"/>
                <w:sz w:val="14"/>
              </w:rPr>
              <w:t>anchor_days</w:t>
            </w:r>
          </w:p>
        </w:tc>
        <w:tc>
          <w:tcPr>
            <w:tcW w:type="dxa" w:w="1440"/>
          </w:tcPr>
          <w:p>
            <w:pPr>
              <w:spacing w:after="20"/>
              <w:jc w:val="right"/>
            </w:pPr>
            <w:r>
              <w:rPr>
                <w:color w:val="1C3A36"/>
                <w:sz w:val="14"/>
              </w:rPr>
              <w:t>230.00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Days from the DCF construction date (31 Dec 2025, the audited balance-sheet date the bridge is built on) to the 18 Aug 2026 anchor. Every lens value is rolled to the anchor at the cost of equity, net of the SAR 2.25/share FY2025 final dividend paid inside the window, so one date and one price of …</w:t>
            </w:r>
          </w:p>
        </w:tc>
      </w:tr>
      <w:tr>
        <w:tc>
          <w:tcPr>
            <w:tcW w:type="dxa" w:w="1944"/>
          </w:tcPr>
          <w:p>
            <w:pPr>
              <w:spacing w:after="20"/>
            </w:pPr>
            <w:r>
              <w:rPr>
                <w:color w:val="1C3A36"/>
                <w:sz w:val="14"/>
              </w:rPr>
              <w:t>ev_ebitda_just</w:t>
            </w:r>
          </w:p>
        </w:tc>
        <w:tc>
          <w:tcPr>
            <w:tcW w:type="dxa" w:w="1440"/>
          </w:tcPr>
          <w:p>
            <w:pPr>
              <w:spacing w:after="20"/>
              <w:jc w:val="right"/>
            </w:pPr>
            <w:r>
              <w:rPr>
                <w:color w:val="1C3A36"/>
                <w:sz w:val="14"/>
              </w:rPr>
              <w:t>10.00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EV/EBITDA on mid-cycle FY2027E EBITDA. The developed cable majors recomputed from their OWN guidance and market EV at the anchor date span ~8.5-14.5x forward (Prysmian ~14x, Nexans ~8.5-9x — see the peer inputs); the Indian growth names ~29-32x NTM. 10.0x is a DELIBERATE DISCOUNT to tha…</w:t>
            </w:r>
          </w:p>
        </w:tc>
      </w:tr>
      <w:tr>
        <w:tc>
          <w:tcPr>
            <w:tcW w:type="dxa" w:w="1944"/>
          </w:tcPr>
          <w:p>
            <w:pPr>
              <w:spacing w:after="20"/>
            </w:pPr>
            <w:r>
              <w:rPr>
                <w:color w:val="1C3A36"/>
                <w:sz w:val="14"/>
              </w:rPr>
              <w:t>pe_just</w:t>
            </w:r>
          </w:p>
        </w:tc>
        <w:tc>
          <w:tcPr>
            <w:tcW w:type="dxa" w:w="1440"/>
          </w:tcPr>
          <w:p>
            <w:pPr>
              <w:spacing w:after="20"/>
              <w:jc w:val="right"/>
            </w:pPr>
            <w:r>
              <w:rPr>
                <w:color w:val="1C3A36"/>
                <w:sz w:val="14"/>
              </w:rPr>
              <w:t>13.00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through-cycle P/E on normalised earnings. 13.0x for a high-return, low-leverage regional champion with a ~10.6% cost of equity and mid-single-digit durable growth. Bear 10.0x / bull 16.0x</w:t>
            </w:r>
          </w:p>
        </w:tc>
      </w:tr>
      <w:tr>
        <w:tc>
          <w:tcPr>
            <w:tcW w:type="dxa" w:w="1944"/>
          </w:tcPr>
          <w:p>
            <w:pPr>
              <w:spacing w:after="20"/>
            </w:pPr>
            <w:r>
              <w:rPr>
                <w:color w:val="1C3A36"/>
                <w:sz w:val="14"/>
              </w:rPr>
              <w:t>roe_sust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Sustainable return on equity for the book lens. Trailing ROE on average equity is ~36% (FY2025 net profit 1,084.8mn / average equity ~2,966mn); struck below it because the FY2024-25 prints were lifted by the metal tailwind and a large receivables book, and because retained-earnings growth dilutes…</w:t>
            </w:r>
          </w:p>
        </w:tc>
      </w:tr>
      <w:tr>
        <w:tc>
          <w:tcPr>
            <w:tcW w:type="dxa" w:w="1944"/>
          </w:tcPr>
          <w:p>
            <w:pPr>
              <w:spacing w:after="20"/>
            </w:pPr>
            <w:r>
              <w:rPr>
                <w:color w:val="1C3A36"/>
                <w:sz w:val="14"/>
              </w:rPr>
              <w:t>lens_weights</w:t>
            </w:r>
          </w:p>
        </w:tc>
        <w:tc>
          <w:tcPr>
            <w:tcW w:type="dxa" w:w="1440"/>
          </w:tcPr>
          <w:p>
            <w:pPr>
              <w:spacing w:after="20"/>
              <w:jc w:val="right"/>
            </w:pPr>
            <w:r>
              <w:rPr>
                <w:color w:val="1C3A36"/>
                <w:sz w:val="14"/>
              </w:rPr>
              <w:t>dcf=0.45; relative=0.2; normalized=0.2; book=0.15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DCF primary for an operating manufacturer whose cash flows are directly modelled; the relative and normalised-earnings lenses carry equal secondary weight and the book lens least, because book value understates a business earning a ~30%+ return on it</w:t>
            </w:r>
          </w:p>
        </w:tc>
      </w:tr>
    </w:tbl>
    <w:p>
      <w:pPr>
        <w:spacing w:after="40"/>
      </w:pPr>
    </w:p>
    <w:p>
      <w:pPr>
        <w:spacing w:after="120" w:before="280"/>
      </w:pPr>
      <w:r>
        <w:rPr>
          <w:b/>
          <w:i w:val="0"/>
          <w:color w:val="1C3A36"/>
          <w:sz w:val="30"/>
        </w:rPr>
        <w:t>Key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92"/>
        <w:gridCol w:w="4896"/>
      </w:tblGrid>
      <w:tr>
        <w:tc>
          <w:tcPr>
            <w:tcW w:type="dxa" w:w="2736"/>
            <w:shd w:val="clear" w:color="auto" w:fill="EAF0EE"/>
          </w:tcPr>
          <w:p>
            <w:pPr>
              <w:spacing w:after="20"/>
            </w:pPr>
            <w:r>
              <w:rPr>
                <w:b/>
                <w:color w:val="1C3A36"/>
                <w:sz w:val="15"/>
              </w:rPr>
              <w:t>Judgement</w:t>
            </w:r>
          </w:p>
        </w:tc>
        <w:tc>
          <w:tcPr>
            <w:tcW w:type="dxa" w:w="2592"/>
            <w:shd w:val="clear" w:color="auto" w:fill="EAF0EE"/>
          </w:tcPr>
          <w:p>
            <w:pPr>
              <w:spacing w:after="20"/>
            </w:pPr>
            <w:r>
              <w:rPr>
                <w:b/>
                <w:color w:val="1C3A36"/>
                <w:sz w:val="15"/>
              </w:rPr>
              <w:t>Set to</w:t>
            </w:r>
          </w:p>
        </w:tc>
        <w:tc>
          <w:tcPr>
            <w:tcW w:type="dxa" w:w="4896"/>
            <w:shd w:val="clear" w:color="auto" w:fill="EAF0EE"/>
          </w:tcPr>
          <w:p>
            <w:pPr>
              <w:spacing w:after="20"/>
            </w:pPr>
            <w:r>
              <w:rPr>
                <w:b/>
                <w:color w:val="1C3A36"/>
                <w:sz w:val="15"/>
              </w:rPr>
              <w:t>What would overturn it</w:t>
            </w:r>
          </w:p>
        </w:tc>
      </w:tr>
      <w:tr>
        <w:tc>
          <w:tcPr>
            <w:tcW w:type="dxa" w:w="2736"/>
          </w:tcPr>
          <w:p>
            <w:pPr>
              <w:spacing w:after="20"/>
            </w:pPr>
            <w:r>
              <w:rPr>
                <w:color w:val="1C3A36"/>
                <w:sz w:val="15"/>
              </w:rPr>
              <w:t>Sustained gross margin (the crux)</w:t>
            </w:r>
          </w:p>
        </w:tc>
        <w:tc>
          <w:tcPr>
            <w:tcW w:type="dxa" w:w="2592"/>
          </w:tcPr>
          <w:p>
            <w:pPr>
              <w:spacing w:after="20"/>
              <w:jc w:val="right"/>
            </w:pPr>
            <w:r>
              <w:rPr>
                <w:color w:val="1C3A36"/>
                <w:sz w:val="15"/>
              </w:rPr>
              <w:t>15.26% (H1-2026 anchor)</w:t>
            </w:r>
          </w:p>
        </w:tc>
        <w:tc>
          <w:tcPr>
            <w:tcW w:type="dxa" w:w="4896"/>
          </w:tcPr>
          <w:p>
            <w:pPr>
              <w:spacing w:after="20"/>
              <w:jc w:val="right"/>
            </w:pPr>
            <w:r>
              <w:rPr>
                <w:color w:val="1C3A36"/>
                <w:sz w:val="15"/>
              </w:rPr>
              <w:t>A run of quarterly gross margins settling materially above or below 14.5–16.0%</w:t>
            </w:r>
          </w:p>
        </w:tc>
      </w:tr>
      <w:tr>
        <w:tc>
          <w:tcPr>
            <w:tcW w:type="dxa" w:w="2736"/>
          </w:tcPr>
          <w:p>
            <w:pPr>
              <w:spacing w:after="20"/>
            </w:pPr>
            <w:r>
              <w:rPr>
                <w:color w:val="1C3A36"/>
                <w:sz w:val="15"/>
              </w:rPr>
              <w:t>Company class → lens</w:t>
            </w:r>
          </w:p>
        </w:tc>
        <w:tc>
          <w:tcPr>
            <w:tcW w:type="dxa" w:w="2592"/>
          </w:tcPr>
          <w:p>
            <w:pPr>
              <w:spacing w:after="20"/>
              <w:jc w:val="right"/>
            </w:pPr>
            <w:r>
              <w:rPr>
                <w:color w:val="1C3A36"/>
                <w:sz w:val="15"/>
              </w:rPr>
              <w:t>Operating manufacturer → DCF-primary</w:t>
            </w:r>
          </w:p>
        </w:tc>
        <w:tc>
          <w:tcPr>
            <w:tcW w:type="dxa" w:w="4896"/>
          </w:tcPr>
          <w:p>
            <w:pPr>
              <w:spacing w:after="20"/>
              <w:jc w:val="right"/>
            </w:pPr>
            <w:r>
              <w:rPr>
                <w:color w:val="1C3A36"/>
                <w:sz w:val="15"/>
              </w:rPr>
              <w:t>Evidence the business is better read as a project contractor or a holding company (the filings do not support that)</w:t>
            </w:r>
          </w:p>
        </w:tc>
      </w:tr>
      <w:tr>
        <w:tc>
          <w:tcPr>
            <w:tcW w:type="dxa" w:w="2736"/>
          </w:tcPr>
          <w:p>
            <w:pPr>
              <w:spacing w:after="20"/>
            </w:pPr>
            <w:r>
              <w:rPr>
                <w:color w:val="1C3A36"/>
                <w:sz w:val="15"/>
              </w:rPr>
              <w:t>Risk-free rate 5.52% (10y SAR)</w:t>
            </w:r>
          </w:p>
        </w:tc>
        <w:tc>
          <w:tcPr>
            <w:tcW w:type="dxa" w:w="2592"/>
          </w:tcPr>
          <w:p>
            <w:pPr>
              <w:spacing w:after="20"/>
              <w:jc w:val="right"/>
            </w:pPr>
            <w:r>
              <w:rPr>
                <w:color w:val="1C3A36"/>
                <w:sz w:val="15"/>
              </w:rPr>
              <w:t>FTSE SAGBI 7–10y bucket, 31-Jul-2026</w:t>
            </w:r>
          </w:p>
        </w:tc>
        <w:tc>
          <w:tcPr>
            <w:tcW w:type="dxa" w:w="4896"/>
          </w:tcPr>
          <w:p>
            <w:pPr>
              <w:spacing w:after="20"/>
              <w:jc w:val="right"/>
            </w:pPr>
            <w:r>
              <w:rPr>
                <w:color w:val="1C3A36"/>
                <w:sz w:val="15"/>
              </w:rPr>
              <w:t>A dated, traded SAR curve observation materially different at a later anchor; priced ±50bp in the study</w:t>
            </w:r>
          </w:p>
        </w:tc>
      </w:tr>
      <w:tr>
        <w:tc>
          <w:tcPr>
            <w:tcW w:type="dxa" w:w="2736"/>
          </w:tcPr>
          <w:p>
            <w:pPr>
              <w:spacing w:after="20"/>
            </w:pPr>
            <w:r>
              <w:rPr>
                <w:color w:val="1C3A36"/>
                <w:sz w:val="15"/>
              </w:rPr>
              <w:t>Cost of equity ~10.6%</w:t>
            </w:r>
          </w:p>
        </w:tc>
        <w:tc>
          <w:tcPr>
            <w:tcW w:type="dxa" w:w="2592"/>
          </w:tcPr>
          <w:p>
            <w:pPr>
              <w:spacing w:after="20"/>
              <w:jc w:val="right"/>
            </w:pPr>
            <w:r>
              <w:rPr>
                <w:color w:val="1C3A36"/>
                <w:sz w:val="15"/>
              </w:rPr>
              <w:t>beta 1.129 × ERP 4.94% + rf*</w:t>
            </w:r>
          </w:p>
        </w:tc>
        <w:tc>
          <w:tcPr>
            <w:tcW w:type="dxa" w:w="4896"/>
          </w:tcPr>
          <w:p>
            <w:pPr>
              <w:spacing w:after="20"/>
              <w:jc w:val="right"/>
            </w:pPr>
            <w:r>
              <w:rPr>
                <w:color w:val="1C3A36"/>
                <w:sz w:val="15"/>
              </w:rPr>
              <w:t>A materially different beta on a longer listed history (the 90% CI is 0.62–1.64 and is priced in the beta grid), or a change in the Saudi sovereign premium</w:t>
            </w:r>
          </w:p>
        </w:tc>
      </w:tr>
      <w:tr>
        <w:tc>
          <w:tcPr>
            <w:tcW w:type="dxa" w:w="2736"/>
          </w:tcPr>
          <w:p>
            <w:pPr>
              <w:spacing w:after="20"/>
            </w:pPr>
            <w:r>
              <w:rPr>
                <w:color w:val="1C3A36"/>
                <w:sz w:val="15"/>
              </w:rPr>
              <w:t>Terminal growth 4% nominal</w:t>
            </w:r>
          </w:p>
        </w:tc>
        <w:tc>
          <w:tcPr>
            <w:tcW w:type="dxa" w:w="2592"/>
          </w:tcPr>
          <w:p>
            <w:pPr>
              <w:spacing w:after="20"/>
              <w:jc w:val="right"/>
            </w:pPr>
            <w:r>
              <w:rPr>
                <w:color w:val="1C3A36"/>
                <w:sz w:val="15"/>
              </w:rPr>
              <w:t>4.0%</w:t>
            </w:r>
          </w:p>
        </w:tc>
        <w:tc>
          <w:tcPr>
            <w:tcW w:type="dxa" w:w="4896"/>
          </w:tcPr>
          <w:p>
            <w:pPr>
              <w:spacing w:after="20"/>
              <w:jc w:val="right"/>
            </w:pPr>
            <w:r>
              <w:rPr>
                <w:color w:val="1C3A36"/>
                <w:sz w:val="15"/>
              </w:rPr>
              <w:t>A durable change in Saudi construction/electrification demand</w:t>
            </w:r>
          </w:p>
        </w:tc>
      </w:tr>
      <w:tr>
        <w:tc>
          <w:tcPr>
            <w:tcW w:type="dxa" w:w="2736"/>
          </w:tcPr>
          <w:p>
            <w:pPr>
              <w:spacing w:after="20"/>
            </w:pPr>
            <w:r>
              <w:rPr>
                <w:color w:val="1C3A36"/>
                <w:sz w:val="15"/>
              </w:rPr>
              <w:t>Real volume growth ~8% tapering</w:t>
            </w:r>
          </w:p>
        </w:tc>
        <w:tc>
          <w:tcPr>
            <w:tcW w:type="dxa" w:w="2592"/>
          </w:tcPr>
          <w:p>
            <w:pPr>
              <w:spacing w:after="20"/>
              <w:jc w:val="right"/>
            </w:pPr>
            <w:r>
              <w:rPr>
                <w:color w:val="1C3A36"/>
                <w:sz w:val="15"/>
              </w:rPr>
              <w:t>from the H1-2026 volume-led print</w:t>
            </w:r>
          </w:p>
        </w:tc>
        <w:tc>
          <w:tcPr>
            <w:tcW w:type="dxa" w:w="4896"/>
          </w:tcPr>
          <w:p>
            <w:pPr>
              <w:spacing w:after="20"/>
              <w:jc w:val="right"/>
            </w:pPr>
            <w:r>
              <w:rPr>
                <w:color w:val="1C3A36"/>
                <w:sz w:val="15"/>
              </w:rPr>
              <w:t>Slower grid/construction spend, or evidence the H1-2026 volume surge was one-off</w:t>
            </w:r>
          </w:p>
        </w:tc>
      </w:tr>
      <w:tr>
        <w:tc>
          <w:tcPr>
            <w:tcW w:type="dxa" w:w="2736"/>
          </w:tcPr>
          <w:p>
            <w:pPr>
              <w:spacing w:after="20"/>
            </w:pPr>
            <w:r>
              <w:rPr>
                <w:color w:val="1C3A36"/>
                <w:sz w:val="15"/>
              </w:rPr>
              <w:t>Metal price path broadly flat</w:t>
            </w:r>
          </w:p>
        </w:tc>
        <w:tc>
          <w:tcPr>
            <w:tcW w:type="dxa" w:w="2592"/>
          </w:tcPr>
          <w:p>
            <w:pPr>
              <w:spacing w:after="20"/>
              <w:jc w:val="right"/>
            </w:pPr>
            <w:r>
              <w:rPr>
                <w:color w:val="1C3A36"/>
                <w:sz w:val="15"/>
              </w:rPr>
              <w:t>held near current</w:t>
            </w:r>
          </w:p>
        </w:tc>
        <w:tc>
          <w:tcPr>
            <w:tcW w:type="dxa" w:w="4896"/>
          </w:tcPr>
          <w:p>
            <w:pPr>
              <w:spacing w:after="20"/>
              <w:jc w:val="right"/>
            </w:pPr>
            <w:r>
              <w:rPr>
                <w:color w:val="1C3A36"/>
                <w:sz w:val="15"/>
              </w:rPr>
              <w:t>A sustained directional move in copper/aluminium (carried in the sensitivity)</w:t>
            </w:r>
          </w:p>
        </w:tc>
      </w:tr>
      <w:tr>
        <w:tc>
          <w:tcPr>
            <w:tcW w:type="dxa" w:w="2736"/>
          </w:tcPr>
          <w:p>
            <w:pPr>
              <w:spacing w:after="20"/>
            </w:pPr>
            <w:r>
              <w:rPr>
                <w:color w:val="1C3A36"/>
                <w:sz w:val="15"/>
              </w:rPr>
              <w:t>Effective zakat/tax 9.5%</w:t>
            </w:r>
          </w:p>
        </w:tc>
        <w:tc>
          <w:tcPr>
            <w:tcW w:type="dxa" w:w="2592"/>
          </w:tcPr>
          <w:p>
            <w:pPr>
              <w:spacing w:after="20"/>
              <w:jc w:val="right"/>
            </w:pPr>
            <w:r>
              <w:rPr>
                <w:color w:val="1C3A36"/>
                <w:sz w:val="15"/>
              </w:rPr>
              <w:t>above the FY2025 9.0% print</w:t>
            </w:r>
          </w:p>
        </w:tc>
        <w:tc>
          <w:tcPr>
            <w:tcW w:type="dxa" w:w="4896"/>
          </w:tcPr>
          <w:p>
            <w:pPr>
              <w:spacing w:after="20"/>
              <w:jc w:val="right"/>
            </w:pPr>
            <w:r>
              <w:rPr>
                <w:color w:val="1C3A36"/>
                <w:sz w:val="15"/>
              </w:rPr>
              <w:t>A change in the zakat/tax regime or in the foreign-profit share</w:t>
            </w:r>
          </w:p>
        </w:tc>
      </w:tr>
    </w:tbl>
    <w:p>
      <w:pPr>
        <w:spacing w:after="40"/>
      </w:pPr>
    </w:p>
    <w:p>
      <w:pPr>
        <w:spacing w:after="120" w:before="280"/>
      </w:pPr>
      <w:r>
        <w:rPr>
          <w:b/>
          <w:i w:val="0"/>
          <w:color w:val="1C3A36"/>
          <w:sz w:val="30"/>
        </w:rPr>
        <w:t>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80"/>
        <w:gridCol w:w="4896"/>
      </w:tblGrid>
      <w:tr>
        <w:tc>
          <w:tcPr>
            <w:tcW w:type="dxa" w:w="2448"/>
            <w:shd w:val="clear" w:color="auto" w:fill="EAF0EE"/>
          </w:tcPr>
          <w:p>
            <w:pPr>
              <w:spacing w:after="20"/>
            </w:pPr>
            <w:r>
              <w:rPr>
                <w:b/>
                <w:color w:val="1C3A36"/>
                <w:sz w:val="15"/>
              </w:rPr>
              <w:t>Item</w:t>
            </w:r>
          </w:p>
        </w:tc>
        <w:tc>
          <w:tcPr>
            <w:tcW w:type="dxa" w:w="2880"/>
            <w:shd w:val="clear" w:color="auto" w:fill="EAF0EE"/>
          </w:tcPr>
          <w:p>
            <w:pPr>
              <w:spacing w:after="20"/>
            </w:pPr>
            <w:r>
              <w:rPr>
                <w:b/>
                <w:color w:val="1C3A36"/>
                <w:sz w:val="15"/>
              </w:rPr>
              <w:t>What was sought</w:t>
            </w:r>
          </w:p>
        </w:tc>
        <w:tc>
          <w:tcPr>
            <w:tcW w:type="dxa" w:w="4896"/>
            <w:shd w:val="clear" w:color="auto" w:fill="EAF0EE"/>
          </w:tcPr>
          <w:p>
            <w:pPr>
              <w:spacing w:after="20"/>
            </w:pPr>
            <w:r>
              <w:rPr>
                <w:b/>
                <w:color w:val="1C3A36"/>
                <w:sz w:val="15"/>
              </w:rPr>
              <w:t>Outcome</w:t>
            </w:r>
          </w:p>
        </w:tc>
      </w:tr>
      <w:tr>
        <w:tc>
          <w:tcPr>
            <w:tcW w:type="dxa" w:w="2448"/>
          </w:tcPr>
          <w:p>
            <w:pPr>
              <w:spacing w:after="20"/>
            </w:pPr>
            <w:r>
              <w:rPr>
                <w:color w:val="1C3A36"/>
                <w:sz w:val="15"/>
              </w:rPr>
              <w:t>Company IR website (direct)</w:t>
            </w:r>
          </w:p>
        </w:tc>
        <w:tc>
          <w:tcPr>
            <w:tcW w:type="dxa" w:w="2880"/>
          </w:tcPr>
          <w:p>
            <w:pPr>
              <w:spacing w:after="20"/>
              <w:jc w:val="right"/>
            </w:pPr>
            <w:r>
              <w:rPr>
                <w:color w:val="1C3A36"/>
                <w:sz w:val="15"/>
              </w:rPr>
              <w:t>The audited statements from riyadh-cables.com</w:t>
            </w:r>
          </w:p>
        </w:tc>
        <w:tc>
          <w:tcPr>
            <w:tcW w:type="dxa" w:w="4896"/>
          </w:tcPr>
          <w:p>
            <w:pPr>
              <w:spacing w:after="20"/>
              <w:jc w:val="right"/>
            </w:pPr>
            <w:r>
              <w:rPr>
                <w:color w:val="1C3A36"/>
                <w:sz w:val="15"/>
              </w:rPr>
              <w:t>Blocked by an automated-traffic challenge; the requester supplied the four audited statement sets directly, which are the build source</w:t>
            </w:r>
          </w:p>
        </w:tc>
      </w:tr>
      <w:tr>
        <w:tc>
          <w:tcPr>
            <w:tcW w:type="dxa" w:w="2448"/>
          </w:tcPr>
          <w:p>
            <w:pPr>
              <w:spacing w:after="20"/>
            </w:pPr>
            <w:r>
              <w:rPr>
                <w:color w:val="1C3A36"/>
                <w:sz w:val="15"/>
              </w:rPr>
              <w:t>Cable tonnage / volumes</w:t>
            </w:r>
          </w:p>
        </w:tc>
        <w:tc>
          <w:tcPr>
            <w:tcW w:type="dxa" w:w="2880"/>
          </w:tcPr>
          <w:p>
            <w:pPr>
              <w:spacing w:after="20"/>
              <w:jc w:val="right"/>
            </w:pPr>
            <w:r>
              <w:rPr>
                <w:color w:val="1C3A36"/>
                <w:sz w:val="15"/>
              </w:rPr>
              <w:t>A disclosed physical volume to build a literal unit model</w:t>
            </w:r>
          </w:p>
        </w:tc>
        <w:tc>
          <w:tcPr>
            <w:tcW w:type="dxa" w:w="4896"/>
          </w:tcPr>
          <w:p>
            <w:pPr>
              <w:spacing w:after="20"/>
              <w:jc w:val="right"/>
            </w:pPr>
            <w:r>
              <w:rPr>
                <w:color w:val="1C3A36"/>
                <w:sz w:val="15"/>
              </w:rPr>
              <w:t>Not disclosed; a tonnage index is used and flagged</w:t>
            </w:r>
          </w:p>
        </w:tc>
      </w:tr>
      <w:tr>
        <w:tc>
          <w:tcPr>
            <w:tcW w:type="dxa" w:w="2448"/>
          </w:tcPr>
          <w:p>
            <w:pPr>
              <w:spacing w:after="20"/>
            </w:pPr>
            <w:r>
              <w:rPr>
                <w:color w:val="1C3A36"/>
                <w:sz w:val="15"/>
              </w:rPr>
              <w:t>Full H1-2026 interim statements</w:t>
            </w:r>
          </w:p>
        </w:tc>
        <w:tc>
          <w:tcPr>
            <w:tcW w:type="dxa" w:w="2880"/>
          </w:tcPr>
          <w:p>
            <w:pPr>
              <w:spacing w:after="20"/>
              <w:jc w:val="right"/>
            </w:pPr>
            <w:r>
              <w:rPr>
                <w:color w:val="1C3A36"/>
                <w:sz w:val="15"/>
              </w:rPr>
              <w:t>The complete reviewed half-year balance sheet and cash flow — in particular the 30-Jun-2026 net debt and working capital, to cross-check the model’s implied intra-year path</w:t>
            </w:r>
          </w:p>
        </w:tc>
        <w:tc>
          <w:tcPr>
            <w:tcW w:type="dxa" w:w="4896"/>
          </w:tcPr>
          <w:p>
            <w:pPr>
              <w:spacing w:after="20"/>
              <w:jc w:val="right"/>
            </w:pPr>
            <w:r>
              <w:rPr>
                <w:color w:val="1C3A36"/>
                <w:sz w:val="15"/>
              </w:rPr>
              <w:t>Only the summary reviewed results (P&amp;L and equity) were reachable; the bridge is built on the audited 31-Dec-2025 balance sheet and rolled at the cost of equity, and the unread 30-Jun balance sheet is an open follow-up item, stated here rather than papered over</w:t>
            </w:r>
          </w:p>
        </w:tc>
      </w:tr>
      <w:tr>
        <w:tc>
          <w:tcPr>
            <w:tcW w:type="dxa" w:w="2448"/>
          </w:tcPr>
          <w:p>
            <w:pPr>
              <w:spacing w:after="20"/>
            </w:pPr>
            <w:r>
              <w:rPr>
                <w:color w:val="1C3A36"/>
                <w:sz w:val="15"/>
              </w:rPr>
              <w:t>July-2026 CDS-basis ERP table</w:t>
            </w:r>
          </w:p>
        </w:tc>
        <w:tc>
          <w:tcPr>
            <w:tcW w:type="dxa" w:w="2880"/>
          </w:tcPr>
          <w:p>
            <w:pPr>
              <w:spacing w:after="20"/>
              <w:jc w:val="right"/>
            </w:pPr>
            <w:r>
              <w:rPr>
                <w:color w:val="1C3A36"/>
                <w:sz w:val="15"/>
              </w:rPr>
              <w:t>The CDS leg of the dual-basis equity risk premium at the July vintage</w:t>
            </w:r>
          </w:p>
        </w:tc>
        <w:tc>
          <w:tcPr>
            <w:tcW w:type="dxa" w:w="4896"/>
          </w:tcPr>
          <w:p>
            <w:pPr>
              <w:spacing w:after="20"/>
              <w:jc w:val="right"/>
            </w:pPr>
            <w:r>
              <w:rPr>
                <w:color w:val="1C3A36"/>
                <w:sz w:val="15"/>
              </w:rPr>
              <w:t>Not sourced; the CDS-basis figure quoted is the January vintage and is flagged as one vintage older than the rating leg</w:t>
            </w:r>
          </w:p>
        </w:tc>
      </w:tr>
      <w:tr>
        <w:tc>
          <w:tcPr>
            <w:tcW w:type="dxa" w:w="2448"/>
          </w:tcPr>
          <w:p>
            <w:pPr>
              <w:spacing w:after="20"/>
            </w:pPr>
            <w:r>
              <w:rPr>
                <w:color w:val="1C3A36"/>
                <w:sz w:val="15"/>
              </w:rPr>
              <w:t>Order book / backlog</w:t>
            </w:r>
          </w:p>
        </w:tc>
        <w:tc>
          <w:tcPr>
            <w:tcW w:type="dxa" w:w="2880"/>
          </w:tcPr>
          <w:p>
            <w:pPr>
              <w:spacing w:after="20"/>
              <w:jc w:val="right"/>
            </w:pPr>
            <w:r>
              <w:rPr>
                <w:color w:val="1C3A36"/>
                <w:sz w:val="15"/>
              </w:rPr>
              <w:t>A backlog figure for the high-voltage turnkey segment</w:t>
            </w:r>
          </w:p>
        </w:tc>
        <w:tc>
          <w:tcPr>
            <w:tcW w:type="dxa" w:w="4896"/>
          </w:tcPr>
          <w:p>
            <w:pPr>
              <w:spacing w:after="20"/>
              <w:jc w:val="right"/>
            </w:pPr>
            <w:r>
              <w:rPr>
                <w:color w:val="1C3A36"/>
                <w:sz w:val="15"/>
              </w:rPr>
              <w:t>Not separately disclosed; the small segment is grown on its own revenue history</w:t>
            </w:r>
          </w:p>
        </w:tc>
      </w:tr>
      <w:tr>
        <w:tc>
          <w:tcPr>
            <w:tcW w:type="dxa" w:w="2448"/>
          </w:tcPr>
          <w:p>
            <w:pPr>
              <w:spacing w:after="20"/>
            </w:pPr>
            <w:r>
              <w:rPr>
                <w:color w:val="1C3A36"/>
                <w:sz w:val="15"/>
              </w:rPr>
              <w:t>Formal revenue guidance</w:t>
            </w:r>
          </w:p>
        </w:tc>
        <w:tc>
          <w:tcPr>
            <w:tcW w:type="dxa" w:w="2880"/>
          </w:tcPr>
          <w:p>
            <w:pPr>
              <w:spacing w:after="20"/>
              <w:jc w:val="right"/>
            </w:pPr>
            <w:r>
              <w:rPr>
                <w:color w:val="1C3A36"/>
                <w:sz w:val="15"/>
              </w:rPr>
              <w:t>Management numeric guidance</w:t>
            </w:r>
          </w:p>
        </w:tc>
        <w:tc>
          <w:tcPr>
            <w:tcW w:type="dxa" w:w="4896"/>
          </w:tcPr>
          <w:p>
            <w:pPr>
              <w:spacing w:after="20"/>
              <w:jc w:val="right"/>
            </w:pPr>
            <w:r>
              <w:rPr>
                <w:color w:val="1C3A36"/>
                <w:sz w:val="15"/>
              </w:rPr>
              <w:t>None issued; drivers are built from the disclosed history and the reviewed half-year</w:t>
            </w:r>
          </w:p>
        </w:tc>
      </w:tr>
    </w:tbl>
    <w:p>
      <w:pPr>
        <w:spacing w:after="40"/>
      </w:pPr>
    </w:p>
    <w:p>
      <w:pPr>
        <w:spacing w:after="120" w:before="280"/>
      </w:pPr>
      <w:r>
        <w:rPr>
          <w:b/>
          <w:i w:val="0"/>
          <w:color w:val="1C3A36"/>
          <w:sz w:val="30"/>
        </w:rPr>
        <w:t>Aggregator-discrepancy note</w:t>
      </w:r>
    </w:p>
    <w:p>
      <w:pPr>
        <w:spacing w:after="120" w:before="0"/>
      </w:pPr>
      <w:r>
        <w:rPr>
          <w:b w:val="0"/>
          <w:i w:val="0"/>
          <w:color w:val="1C3A36"/>
          <w:sz w:val="21"/>
        </w:rPr>
        <w:t>Where public aggregators (used only as cross-checks) were consulted, their headline figures were consistent with the audited statements: 2025 revenue near SAR 10.67bn and net profit near SAR 1.08bn matched the audited income statement, and the Tadawul-filed results announcements matched the underlying statements. Two discrepancies are recorded. First, the uploaded price-history export printed the 18-Aug-2026 close as SAR 104.80 — an unsettled intraday snapshot; the exchange’s settled record shows SAR 104.90 (−1.40 on the 106.30 previous close), and the settled print is used, with the library row revised and the raw export kept unchanged. Second, Note 22 of the FY2025 statements labels the two dividends paid during 2025 “SR 1.9 per share” while stating each at SR 299.4mn — amounts that imply SR 2.00 per share on the 149.7mn shares outstanding; the amounts govern and the label is treated as a filing typo. In every case the audited amount or exchange-filed figure was used.</w:t>
      </w:r>
    </w:p>
    <w:p>
      <w:pPr>
        <w:spacing w:after="120" w:before="280"/>
      </w:pPr>
      <w:r>
        <w:rPr>
          <w:b/>
          <w:i w:val="0"/>
          <w:color w:val="1C3A36"/>
          <w:sz w:val="30"/>
        </w:rPr>
        <w:t>Primary-access log</w:t>
      </w:r>
    </w:p>
    <w:p>
      <w:pPr>
        <w:spacing w:after="80" w:before="0"/>
      </w:pPr>
      <w:r>
        <w:rPr>
          <w:b/>
          <w:i w:val="0"/>
          <w:color w:val="1C3A36"/>
          <w:sz w:val="16"/>
        </w:rPr>
        <w:t xml:space="preserve">https://riyadh-cables.com/investor-relations/ </w:t>
      </w:r>
      <w:r>
        <w:rPr>
          <w:b w:val="0"/>
          <w:i w:val="0"/>
          <w:color w:val="1C3A36"/>
          <w:sz w:val="16"/>
        </w:rPr>
        <w:t>(blocked, 2026-08-18) — The company IR site sits behind an 'sgcaptcha' bot-protection wall that blocked automated retrieval (HTTP 202 JS challenge to curl; empty render to the page fetcher; a headless browser could not complete the challenge). Verified NOT an egress-proxy fault (the proxy returned 200 for a control host and reached the company origin, receiving its challenge). Per the primary-source discipline, the analyst stopped and asked rather than substituting an aggregator; the requester then supplied the four audited annual statement sets directly — the rule working.</w:t>
      </w:r>
    </w:p>
    <w:p>
      <w:pPr>
        <w:spacing w:after="80" w:before="0"/>
      </w:pPr>
      <w:r>
        <w:rPr>
          <w:b/>
          <w:i w:val="0"/>
          <w:color w:val="1C3A36"/>
          <w:sz w:val="16"/>
        </w:rPr>
        <w:t xml:space="preserve">https://www.saudiexchange.sa/.../issuer-announcements-details/?anId=97051&amp;cs=4142 </w:t>
      </w:r>
      <w:r>
        <w:rPr>
          <w:b w:val="0"/>
          <w:i w:val="0"/>
          <w:color w:val="1C3A36"/>
          <w:sz w:val="16"/>
        </w:rPr>
        <w:t>(reached, 2026-08-18) — Tadawul issuer-announcement portal — reachable; the official filed H1-2026 reviewed interim results announcement read here (revenue, gross profit, operating profit, net profit vs prior period).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