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10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MID-YEAR (July 2026) vintage, spreads measured 30 June 2026. The 5-January-2026 vintage this study previously used is superseded and is named here rather than dropped</w:t>
            </w:r>
          </w:p>
        </w:tc>
        <w:tc>
          <w:tcPr>
            <w:tcW w:type="dxa" w:w="4392"/>
          </w:tcPr>
          <w:p>
            <w:pPr>
              <w:spacing w:after="20"/>
              <w:jc w:val="right"/>
            </w:pPr>
            <w:r>
              <w:rPr>
                <w:color w:val="1C3A36"/>
                <w:sz w:val="15"/>
              </w:rPr>
              <w:t>Egypt row: Moody's Caa1; adjusted default spread 5.97%; total equity risk premium 13.48% on the rating basis; sovereign credit-default-swap spread 3.42%; total equity risk premium 9.5164% on the swap basis — the basis this study adopts</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parent stake</w:t>
            </w:r>
          </w:p>
        </w:tc>
        <w:tc>
          <w:tcPr>
            <w:tcW w:type="dxa" w:w="1512"/>
          </w:tcPr>
          <w:p>
            <w:pPr>
              <w:spacing w:after="20"/>
              <w:jc w:val="right"/>
            </w:pPr>
            <w:r>
              <w:rPr>
                <w:color w:val="1C3A36"/>
                <w:sz w:val="14"/>
              </w:rPr>
              <w:t>0.5134</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Holding of Pharco Corporation for Drug Industries and Medical Appliances in EIPICO, 51.34%, as disclosed in the shareholder structure of the company's own annual report. Quotation-only: nothing in the valuation computes from it. It is registered because the study states it to a reader, twice, and a stated figure a reader cannot trace is a figure nobody can check</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(11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rating jan26</w:t>
            </w:r>
          </w:p>
        </w:tc>
        <w:tc>
          <w:tcPr>
            <w:tcW w:type="dxa" w:w="1512"/>
          </w:tcPr>
          <w:p>
            <w:pPr>
              <w:spacing w:after="20"/>
              <w:jc w:val="right"/>
            </w:pPr>
            <w:r>
              <w:rPr>
                <w:color w:val="1C3A36"/>
                <w:sz w:val="14"/>
              </w:rPr>
              <w:t>0.063725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adjusted default spread on the rating basis, JANUARY-2026 vintage of the country default-spread dataset. SUPERSEDED and carried for the audit trail only; nothing computes from it</w:t>
            </w:r>
          </w:p>
        </w:tc>
      </w:tr>
      <w:tr>
        <w:tc>
          <w:tcPr>
            <w:tcW w:type="dxa" w:w="2232"/>
          </w:tcPr>
          <w:p>
            <w:pPr>
              <w:spacing w:after="20"/>
            </w:pPr>
            <w:r>
              <w:rPr>
                <w:color w:val="1C3A36"/>
                <w:sz w:val="14"/>
              </w:rPr>
              <w:t>erp rating jan26</w:t>
            </w:r>
          </w:p>
        </w:tc>
        <w:tc>
          <w:tcPr>
            <w:tcW w:type="dxa" w:w="1512"/>
          </w:tcPr>
          <w:p>
            <w:pPr>
              <w:spacing w:after="20"/>
              <w:jc w:val="right"/>
            </w:pPr>
            <w:r>
              <w:rPr>
                <w:color w:val="1C3A36"/>
                <w:sz w:val="14"/>
              </w:rPr>
              <w:t>0.139377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TOTAL equity risk premium on the rating basis, JANUARY-2026 vintage. SUPERSEDED, audit trail only</w:t>
            </w:r>
          </w:p>
        </w:tc>
      </w:tr>
      <w:tr>
        <w:tc>
          <w:tcPr>
            <w:tcW w:type="dxa" w:w="2232"/>
          </w:tcPr>
          <w:p>
            <w:pPr>
              <w:spacing w:after="20"/>
            </w:pPr>
            <w:r>
              <w:rPr>
                <w:color w:val="1C3A36"/>
                <w:sz w:val="14"/>
              </w:rPr>
              <w:t>crp rating jan26</w:t>
            </w:r>
          </w:p>
        </w:tc>
        <w:tc>
          <w:tcPr>
            <w:tcW w:type="dxa" w:w="1512"/>
          </w:tcPr>
          <w:p>
            <w:pPr>
              <w:spacing w:after="20"/>
              <w:jc w:val="right"/>
            </w:pPr>
            <w:r>
              <w:rPr>
                <w:color w:val="1C3A36"/>
                <w:sz w:val="14"/>
              </w:rPr>
              <w:t>0.097077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COUNTRY risk premium on the rating basis, JANUARY-2026 vintage. SUPERSEDED, audit trail only</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2026-09-09</w:t>
            </w:r>
          </w:p>
        </w:tc>
        <w:tc>
          <w:tcPr>
            <w:tcW w:type="dxa" w:w="4709"/>
          </w:tcPr>
          <w:p>
            <w:pPr>
              <w:spacing w:after="20"/>
              <w:jc w:val="right"/>
            </w:pPr>
            <w:r>
              <w:rPr>
                <w:color w:val="1C3A36"/>
                <w:sz w:val="14"/>
              </w:rPr>
              <w:t>Domestic realised price per pack, annual growth: THE HOUSE CPI LADDER at a real drift of +0.0% a year, not a typed path. Egyptian medicine prices are set administratively by the Egyptian Drug Authority and move in periodic approved adjustments rather than continuously; realised price per pack rose 12.59% in FY2025 after a much larger devaluation-driven step in FY2024. The path tracks domestic inflation as it converges on the central bank's target, with no real price gain and no real price loss -- which is what this input's previous source string claimed while its numbers delivered a 15.9% real cut over five years. The cut is published as the contested alternative rather than discarded</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this read 24.81%, being the WITHDRAWN 22.31% print of 21 July plus the same spread: the risk-free was corrected to the pricing-date observable and the cost of debt built on it was not moved with it, leaving the two 69 basis points apart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282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