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29.42%</w:t>
            </w:r>
          </w:p>
        </w:tc>
        <w:tc>
          <w:tcPr>
            <w:tcW w:type="dxa" w:w="3600"/>
          </w:tcPr>
          <w:p>
            <w:pPr>
              <w:spacing w:after="20"/>
              <w:jc w:val="right"/>
            </w:pPr>
            <w:r>
              <w:rPr>
                <w:color w:val="1C3A36"/>
                <w:sz w:val="15"/>
              </w:rPr>
              <w:t>a 23.00% ten-year yield less a 3.42% sovereign spread, plus a 1.0747 beta times the 4.3180% MATURE premium, plus the 5.1984% country premium charged flat and once — beta multiplies the mature leg and nothing else</w:t>
            </w:r>
          </w:p>
        </w:tc>
        <w:tc>
          <w:tcPr>
            <w:tcW w:type="dxa" w:w="4320"/>
          </w:tcPr>
          <w:p>
            <w:pPr>
              <w:spacing w:after="20"/>
              <w:jc w:val="right"/>
            </w:pPr>
            <w:r>
              <w:rPr>
                <w:color w:val="1C3A36"/>
                <w:sz w:val="15"/>
              </w:rPr>
              <w:t>A CURRENT ten-year yield. The one carried is 34 days old and the only recent market evidence found is 171 basis points lower.</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