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10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abuk_carrying_price</w:t>
            </w:r>
          </w:p>
        </w:tc>
        <w:tc>
          <w:tcPr>
            <w:tcW w:type="dxa" w:w="1944"/>
          </w:tcPr>
          <w:p>
            <w:pPr>
              <w:spacing w:after="20"/>
              <w:jc w:val="left"/>
            </w:pPr>
            <w:r>
              <w:rPr>
                <w:color w:val="1C3A36"/>
                <w:sz w:val="14"/>
              </w:rPr>
              <w:t>81.7</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price the holding is carried at, being the 31-March market close</w:t>
            </w:r>
          </w:p>
        </w:tc>
      </w:tr>
      <w:tr>
        <w:tc>
          <w:tcPr>
            <w:tcW w:type="dxa" w:w="2448"/>
          </w:tcPr>
          <w:p>
            <w:pPr>
              <w:spacing w:after="20"/>
              <w:jc w:val="left"/>
            </w:pPr>
            <w:r>
              <w:rPr>
                <w:color w:val="1C3A36"/>
                <w:sz w:val="14"/>
              </w:rPr>
              <w:t>abuk_shares_held</w:t>
            </w:r>
          </w:p>
        </w:tc>
        <w:tc>
          <w:tcPr>
            <w:tcW w:type="dxa" w:w="1944"/>
          </w:tcPr>
          <w:p>
            <w:pPr>
              <w:spacing w:after="20"/>
              <w:jc w:val="left"/>
            </w:pPr>
            <w:r>
              <w:rPr>
                <w:color w:val="1C3A36"/>
                <w:sz w:val="14"/>
              </w:rPr>
              <w:t>10,262,324</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Abu Qir Fertilizers holding, carried at EGP 81.70 a share</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bs_doc_credits_M9FY2526</w:t>
            </w:r>
          </w:p>
        </w:tc>
        <w:tc>
          <w:tcPr>
            <w:tcW w:type="dxa" w:w="1944"/>
          </w:tcPr>
          <w:p>
            <w:pPr>
              <w:spacing w:after="20"/>
              <w:jc w:val="left"/>
            </w:pPr>
            <w:r>
              <w:rPr>
                <w:color w:val="1C3A36"/>
                <w:sz w:val="14"/>
              </w:rPr>
              <w:t>1,407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note 11 — letters of credit for goods and services, disclosed WITHIN the EGP 3,378.2mn inventory line. They are prepayments against goods not yet received, not stock: counting them as inventory overstates working capital and the days it implies (165 against 114)</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abuk_spot_strike</w:t>
            </w:r>
          </w:p>
        </w:tc>
        <w:tc>
          <w:tcPr>
            <w:tcW w:type="dxa" w:w="1944"/>
          </w:tcPr>
          <w:p>
            <w:pPr>
              <w:spacing w:after="20"/>
              <w:jc w:val="left"/>
            </w:pPr>
            <w:r>
              <w:rPr>
                <w:color w:val="1C3A36"/>
                <w:sz w:val="14"/>
              </w:rPr>
              <w:t>94</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Abu Qir Fertilizers closing price on the Egyptian Exchange, 3 September 2026 — the SAME date and the SAME committed price file this study is struck at, the supplied-price file this edition is struck from. Read from that file rather than typed beside it, so a stake in a listed company and the company holding it are marked on one date</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an_exempt_n_pct</w:t>
            </w:r>
          </w:p>
        </w:tc>
        <w:tc>
          <w:tcPr>
            <w:tcW w:type="dxa" w:w="1944"/>
          </w:tcPr>
          <w:p>
            <w:pPr>
              <w:spacing w:after="20"/>
              <w:jc w:val="left"/>
            </w:pPr>
            <w:r>
              <w:rPr>
                <w:color w:val="1C3A36"/>
                <w:sz w:val="14"/>
              </w:rPr>
              <w:t>0.342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exemption clause — pure ammonium nitrate whose nitrogen content EXCEEDS 34.2% is outside the 10% export duty, verified by joint Customs Authority and export-control sampling of the shipment. Free-zone shipments to productive enterprises are likewise exempt. A fact about the instrument, consumed by no calculation in this study: the duty is charged on the urea export leg, and urea is not exempt</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of the Minister of Investment and Foreign Trade, published in the Official Gazette on 25 June 2026 — 10% ad valorem on the FOB invoice value of nitrogen fertiliser exports, the invoice certified by the Chamber of Chemical Industries. It replaced a temporary US$90/t duty imposed in May 2026 for three months; the 10% carries no stated expiry. Pure ammonium nitrate above 34.2% nitrogen and free zone shipments are exempt — urea is neither. Read from two independent reports of the instrument rather than the Gazette text, which is the remaining gap in this citation</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 — RETIRED as the ANNA pricing basis on 10-09-2026 in favour of the disclosed realisation below; kept registered because the sensitivity grid still prices the alternative</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3.53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