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b/>
                <w:color w:val="FFFFFF"/>
                <w:sz w:val="19"/>
              </w:rPr>
              <w:t xml:space="preserve">   Edition of 5 September 2026</w:t>
            </w:r>
            <w:r>
              <w:rPr>
                <w:color w:val="9FB0AC"/>
                <w:sz w:val="19"/>
              </w:rPr>
              <w:t xml:space="preserve">   ·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   ·   Edition of 5 September 2026</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and the reviewed interim statements for the six months to 30 June 2026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18% above the central of SAR 36.06, which is the CASH-FLOW lens and not an average of the reads beside it. Those cross-checks do NOT cluster: the dividend-policy read discounts to 34, the enterprise multiple on this company's own history gives 48, a normalised-earnings read marks 40, and disclosed book value is 17 — a published range of SAR 35.3 to 48.1, and the study publishes that disagreement rather than averaging it away. The terminal carries 70%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36</w:t>
            </w:r>
          </w:p>
        </w:tc>
        <w:tc>
          <w:tcPr>
            <w:tcW w:type="dxa" w:w="1656"/>
          </w:tcPr>
          <w:p>
            <w:pPr>
              <w:spacing w:after="20"/>
              <w:jc w:val="right"/>
            </w:pPr>
            <w:r>
              <w:rPr>
                <w:color w:val="1C3A36"/>
                <w:sz w:val="17"/>
              </w:rPr>
              <w:t>-18%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34</w:t>
            </w:r>
          </w:p>
        </w:tc>
        <w:tc>
          <w:tcPr>
            <w:tcW w:type="dxa" w:w="1656"/>
          </w:tcPr>
          <w:p>
            <w:pPr>
              <w:spacing w:after="20"/>
              <w:jc w:val="right"/>
            </w:pPr>
            <w:r>
              <w:rPr>
                <w:color w:val="1C3A36"/>
                <w:sz w:val="17"/>
              </w:rPr>
              <w:t>-22%</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+10%</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36.06</w:t>
            </w:r>
          </w:p>
        </w:tc>
        <w:tc>
          <w:tcPr>
            <w:tcW w:type="dxa" w:w="1656"/>
          </w:tcPr>
          <w:p>
            <w:pPr>
              <w:spacing w:after="20"/>
              <w:jc w:val="right"/>
            </w:pPr>
            <w:r>
              <w:rPr>
                <w:color w:val="1C3A36"/>
                <w:sz w:val="17"/>
              </w:rPr>
              <w:t>-17.8%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35.3-48.1</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36</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36–40</w:t>
            </w:r>
          </w:p>
        </w:tc>
        <w:tc>
          <w:tcPr>
            <w:tcW w:type="dxa" w:w="1656"/>
          </w:tcPr>
          <w:p>
            <w:pPr>
              <w:spacing w:after="20"/>
              <w:jc w:val="right"/>
            </w:pPr>
            <w:r>
              <w:rPr>
                <w:color w:val="1C3A36"/>
                <w:sz w:val="17"/>
              </w:rPr>
              <w:t>Centres ~SAR 37</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35.3 to 48.1 and the central — the cash-flow lens, which is what this class is valued on — is SAR 36.06, 17.8%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Half-year 2026 revenue / gross profit</w:t>
            </w:r>
          </w:p>
        </w:tc>
        <w:tc>
          <w:tcPr>
            <w:tcW w:type="dxa" w:w="7776"/>
          </w:tcPr>
          <w:p>
            <w:pPr>
              <w:spacing w:after="20"/>
              <w:jc w:val="right"/>
            </w:pPr>
            <w:r>
              <w:rPr>
                <w:color w:val="1C3A36"/>
                <w:sz w:val="18"/>
              </w:rPr>
              <w:t>SAR 40,110 mn (+3.7%) · SAR 19,637 mn (+5.2%, a 49.0% margin) — the reviewed six months to 30 June 2026, which is the period the base year, the bridge and the first forecast year all stand on</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8,375 mn on the reviewed 30 June 2026 sheet the bridge stands on — borrowings 23,537 plus leases 2,259 and the spectrum-licence liability 3,443, against cash and near-cash of 20,863</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w:t>
            </w:r>
          </w:p>
        </w:tc>
      </w:tr>
    </w:tbl>
    <w:p>
      <w:pPr>
        <w:spacing w:after="40"/>
      </w:pPr>
    </w:p>
    <w:p>
      <w:pPr>
        <w:spacing w:after="200" w:before="0"/>
      </w:pPr>
      <w:r>
        <w:rPr>
          <w:b w:val="0"/>
          <w:i/>
          <w:color w:val="6E7B77"/>
          <w:sz w:val="17"/>
        </w:rPr>
        <w:t>Source: the company’s own audited statements for FY2023 to FY2025, the reviewed interim for the six months to 30 June 2026, and its own earnings presentations — every one from its investor-relations archive;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and the equity premium is SPLIT because country risk is a charge on being here rather than one that scales with a stock's covariance: the normalised risk-free rate, plus beta times the MATURE premium, plus the country premium charged flat and once — 4.54% + 0.7093 x 4.23% + 1.49% = 9.03%,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32.06% in the first forecast year and 31.77%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25,882</w:t>
            </w:r>
          </w:p>
        </w:tc>
        <w:tc>
          <w:tcPr>
            <w:tcW w:type="dxa" w:w="1440"/>
          </w:tcPr>
          <w:p>
            <w:pPr>
              <w:spacing w:after="20"/>
              <w:jc w:val="right"/>
            </w:pPr>
            <w:r>
              <w:rPr>
                <w:color w:val="1C3A36"/>
                <w:sz w:val="17"/>
              </w:rPr>
              <w:t>26,537</w:t>
            </w:r>
          </w:p>
        </w:tc>
        <w:tc>
          <w:tcPr>
            <w:tcW w:type="dxa" w:w="1440"/>
          </w:tcPr>
          <w:p>
            <w:pPr>
              <w:spacing w:after="20"/>
              <w:jc w:val="right"/>
            </w:pPr>
            <w:r>
              <w:rPr>
                <w:color w:val="1C3A36"/>
                <w:sz w:val="17"/>
              </w:rPr>
              <w:t>27,138</w:t>
            </w:r>
          </w:p>
        </w:tc>
        <w:tc>
          <w:tcPr>
            <w:tcW w:type="dxa" w:w="1440"/>
          </w:tcPr>
          <w:p>
            <w:pPr>
              <w:spacing w:after="20"/>
              <w:jc w:val="right"/>
            </w:pPr>
            <w:r>
              <w:rPr>
                <w:color w:val="1C3A36"/>
                <w:sz w:val="17"/>
              </w:rPr>
              <w:t>27,694</w:t>
            </w:r>
          </w:p>
        </w:tc>
        <w:tc>
          <w:tcPr>
            <w:tcW w:type="dxa" w:w="1440"/>
          </w:tcPr>
          <w:p>
            <w:pPr>
              <w:spacing w:after="20"/>
              <w:jc w:val="right"/>
            </w:pPr>
            <w:r>
              <w:rPr>
                <w:color w:val="1C3A36"/>
                <w:sz w:val="17"/>
              </w:rPr>
              <w:t>28,190</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15,475</w:t>
            </w:r>
          </w:p>
        </w:tc>
        <w:tc>
          <w:tcPr>
            <w:tcW w:type="dxa" w:w="1440"/>
          </w:tcPr>
          <w:p>
            <w:pPr>
              <w:spacing w:after="20"/>
              <w:jc w:val="right"/>
            </w:pPr>
            <w:r>
              <w:rPr>
                <w:color w:val="1C3A36"/>
                <w:sz w:val="17"/>
              </w:rPr>
              <w:t>15,840</w:t>
            </w:r>
          </w:p>
        </w:tc>
        <w:tc>
          <w:tcPr>
            <w:tcW w:type="dxa" w:w="1440"/>
          </w:tcPr>
          <w:p>
            <w:pPr>
              <w:spacing w:after="20"/>
              <w:jc w:val="right"/>
            </w:pPr>
            <w:r>
              <w:rPr>
                <w:color w:val="1C3A36"/>
                <w:sz w:val="17"/>
              </w:rPr>
              <w:t>16,174</w:t>
            </w:r>
          </w:p>
        </w:tc>
        <w:tc>
          <w:tcPr>
            <w:tcW w:type="dxa" w:w="1440"/>
          </w:tcPr>
          <w:p>
            <w:pPr>
              <w:spacing w:after="20"/>
              <w:jc w:val="right"/>
            </w:pPr>
            <w:r>
              <w:rPr>
                <w:color w:val="1C3A36"/>
                <w:sz w:val="17"/>
              </w:rPr>
              <w:t>16,481</w:t>
            </w:r>
          </w:p>
        </w:tc>
        <w:tc>
          <w:tcPr>
            <w:tcW w:type="dxa" w:w="1440"/>
          </w:tcPr>
          <w:p>
            <w:pPr>
              <w:spacing w:after="20"/>
              <w:jc w:val="right"/>
            </w:pPr>
            <w:r>
              <w:rPr>
                <w:color w:val="1C3A36"/>
                <w:sz w:val="17"/>
              </w:rPr>
              <w:t>16,753</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14,231</w:t>
            </w:r>
          </w:p>
        </w:tc>
        <w:tc>
          <w:tcPr>
            <w:tcW w:type="dxa" w:w="1440"/>
          </w:tcPr>
          <w:p>
            <w:pPr>
              <w:spacing w:after="20"/>
              <w:jc w:val="right"/>
            </w:pPr>
            <w:r>
              <w:rPr>
                <w:color w:val="1C3A36"/>
                <w:sz w:val="17"/>
              </w:rPr>
              <w:t>14,567</w:t>
            </w:r>
          </w:p>
        </w:tc>
        <w:tc>
          <w:tcPr>
            <w:tcW w:type="dxa" w:w="1440"/>
          </w:tcPr>
          <w:p>
            <w:pPr>
              <w:spacing w:after="20"/>
              <w:jc w:val="right"/>
            </w:pPr>
            <w:r>
              <w:rPr>
                <w:color w:val="1C3A36"/>
                <w:sz w:val="17"/>
              </w:rPr>
              <w:t>14,874</w:t>
            </w:r>
          </w:p>
        </w:tc>
        <w:tc>
          <w:tcPr>
            <w:tcW w:type="dxa" w:w="1440"/>
          </w:tcPr>
          <w:p>
            <w:pPr>
              <w:spacing w:after="20"/>
              <w:jc w:val="right"/>
            </w:pPr>
            <w:r>
              <w:rPr>
                <w:color w:val="1C3A36"/>
                <w:sz w:val="17"/>
              </w:rPr>
              <w:t>15,157</w:t>
            </w:r>
          </w:p>
        </w:tc>
        <w:tc>
          <w:tcPr>
            <w:tcW w:type="dxa" w:w="1440"/>
          </w:tcPr>
          <w:p>
            <w:pPr>
              <w:spacing w:after="20"/>
              <w:jc w:val="right"/>
            </w:pPr>
            <w:r>
              <w:rPr>
                <w:color w:val="1C3A36"/>
                <w:sz w:val="17"/>
              </w:rPr>
              <w:t>15,407</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12,558</w:t>
            </w:r>
          </w:p>
        </w:tc>
        <w:tc>
          <w:tcPr>
            <w:tcW w:type="dxa" w:w="1440"/>
          </w:tcPr>
          <w:p>
            <w:pPr>
              <w:spacing w:after="20"/>
              <w:jc w:val="right"/>
            </w:pPr>
            <w:r>
              <w:rPr>
                <w:color w:val="1C3A36"/>
                <w:sz w:val="17"/>
              </w:rPr>
              <w:t>12,453</w:t>
            </w:r>
          </w:p>
        </w:tc>
        <w:tc>
          <w:tcPr>
            <w:tcW w:type="dxa" w:w="1440"/>
          </w:tcPr>
          <w:p>
            <w:pPr>
              <w:spacing w:after="20"/>
              <w:jc w:val="right"/>
            </w:pPr>
            <w:r>
              <w:rPr>
                <w:color w:val="1C3A36"/>
                <w:sz w:val="17"/>
              </w:rPr>
              <w:t>12,748</w:t>
            </w:r>
          </w:p>
        </w:tc>
        <w:tc>
          <w:tcPr>
            <w:tcW w:type="dxa" w:w="1440"/>
          </w:tcPr>
          <w:p>
            <w:pPr>
              <w:spacing w:after="20"/>
              <w:jc w:val="right"/>
            </w:pPr>
            <w:r>
              <w:rPr>
                <w:color w:val="1C3A36"/>
                <w:sz w:val="17"/>
              </w:rPr>
              <w:t>13,016</w:t>
            </w:r>
          </w:p>
        </w:tc>
        <w:tc>
          <w:tcPr>
            <w:tcW w:type="dxa" w:w="1440"/>
          </w:tcPr>
          <w:p>
            <w:pPr>
              <w:spacing w:after="20"/>
              <w:jc w:val="right"/>
            </w:pPr>
            <w:r>
              <w:rPr>
                <w:color w:val="1C3A36"/>
                <w:sz w:val="17"/>
              </w:rPr>
              <w:t>13,263</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0.921</w:t>
            </w:r>
          </w:p>
        </w:tc>
        <w:tc>
          <w:tcPr>
            <w:tcW w:type="dxa" w:w="1440"/>
          </w:tcPr>
          <w:p>
            <w:pPr>
              <w:spacing w:after="20"/>
              <w:jc w:val="right"/>
            </w:pPr>
            <w:r>
              <w:rPr>
                <w:color w:val="1C3A36"/>
                <w:sz w:val="17"/>
              </w:rPr>
              <w:t>0.849</w:t>
            </w:r>
          </w:p>
        </w:tc>
        <w:tc>
          <w:tcPr>
            <w:tcW w:type="dxa" w:w="1440"/>
          </w:tcPr>
          <w:p>
            <w:pPr>
              <w:spacing w:after="20"/>
              <w:jc w:val="right"/>
            </w:pPr>
            <w:r>
              <w:rPr>
                <w:color w:val="1C3A36"/>
                <w:sz w:val="17"/>
              </w:rPr>
              <w:t>0.782</w:t>
            </w:r>
          </w:p>
        </w:tc>
        <w:tc>
          <w:tcPr>
            <w:tcW w:type="dxa" w:w="1440"/>
          </w:tcPr>
          <w:p>
            <w:pPr>
              <w:spacing w:after="20"/>
              <w:jc w:val="right"/>
            </w:pPr>
            <w:r>
              <w:rPr>
                <w:color w:val="1C3A36"/>
                <w:sz w:val="17"/>
              </w:rPr>
              <w:t>0.721</w:t>
            </w:r>
          </w:p>
        </w:tc>
        <w:tc>
          <w:tcPr>
            <w:tcW w:type="dxa" w:w="1440"/>
          </w:tcPr>
          <w:p>
            <w:pPr>
              <w:spacing w:after="20"/>
              <w:jc w:val="right"/>
            </w:pPr>
            <w:r>
              <w:rPr>
                <w:color w:val="1C3A36"/>
                <w:sz w:val="17"/>
              </w:rPr>
              <w:t>0.664</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11,571</w:t>
            </w:r>
          </w:p>
        </w:tc>
        <w:tc>
          <w:tcPr>
            <w:tcW w:type="dxa" w:w="1440"/>
          </w:tcPr>
          <w:p>
            <w:pPr>
              <w:spacing w:after="20"/>
              <w:jc w:val="right"/>
            </w:pPr>
            <w:r>
              <w:rPr>
                <w:color w:val="1C3A36"/>
                <w:sz w:val="17"/>
              </w:rPr>
              <w:t>10,572</w:t>
            </w:r>
          </w:p>
        </w:tc>
        <w:tc>
          <w:tcPr>
            <w:tcW w:type="dxa" w:w="1440"/>
          </w:tcPr>
          <w:p>
            <w:pPr>
              <w:spacing w:after="20"/>
              <w:jc w:val="right"/>
            </w:pPr>
            <w:r>
              <w:rPr>
                <w:color w:val="1C3A36"/>
                <w:sz w:val="17"/>
              </w:rPr>
              <w:t>9,972</w:t>
            </w:r>
          </w:p>
        </w:tc>
        <w:tc>
          <w:tcPr>
            <w:tcW w:type="dxa" w:w="1440"/>
          </w:tcPr>
          <w:p>
            <w:pPr>
              <w:spacing w:after="20"/>
              <w:jc w:val="right"/>
            </w:pPr>
            <w:r>
              <w:rPr>
                <w:color w:val="1C3A36"/>
                <w:sz w:val="17"/>
              </w:rPr>
              <w:t>9,381</w:t>
            </w:r>
          </w:p>
        </w:tc>
        <w:tc>
          <w:tcPr>
            <w:tcW w:type="dxa" w:w="1440"/>
          </w:tcPr>
          <w:p>
            <w:pPr>
              <w:spacing w:after="20"/>
              <w:jc w:val="right"/>
            </w:pPr>
            <w:r>
              <w:rPr>
                <w:color w:val="1C3A36"/>
                <w:sz w:val="17"/>
              </w:rPr>
              <w:t>8,808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50,303</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173,537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115,245</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165,548</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70%</w:t>
            </w:r>
          </w:p>
        </w:tc>
      </w:tr>
      <w:tr>
        <w:tc>
          <w:tcPr>
            <w:tcW w:type="dxa" w:w="5760"/>
          </w:tcPr>
          <w:p>
            <w:pPr>
              <w:spacing w:after="20"/>
            </w:pPr>
            <w:r>
              <w:rPr>
                <w:b/>
                <w:color w:val="1C3A36"/>
                <w:sz w:val="18"/>
              </w:rPr>
              <w:t>Plus investments in associates and joint ventures, at book</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Plus the listed equity investment at its disclosed fair value</w:t>
            </w:r>
          </w:p>
        </w:tc>
        <w:tc>
          <w:tcPr>
            <w:tcW w:type="dxa" w:w="2304"/>
          </w:tcPr>
          <w:p>
            <w:pPr>
              <w:spacing w:after="20"/>
              <w:jc w:val="right"/>
            </w:pPr>
            <w:r>
              <w:rPr>
                <w:color w:val="1C3A36"/>
                <w:sz w:val="18"/>
              </w:rPr>
              <w:t>8,513</w:t>
            </w:r>
          </w:p>
        </w:tc>
      </w:tr>
      <w:tr>
        <w:tc>
          <w:tcPr>
            <w:tcW w:type="dxa" w:w="5760"/>
          </w:tcPr>
          <w:p>
            <w:pPr>
              <w:spacing w:after="20"/>
            </w:pPr>
            <w:r>
              <w:rPr>
                <w:b/>
                <w:color w:val="1C3A36"/>
                <w:sz w:val="18"/>
              </w:rPr>
              <w:t>Plus investment funds and unlisted equity investments, at fair value</w:t>
            </w:r>
          </w:p>
        </w:tc>
        <w:tc>
          <w:tcPr>
            <w:tcW w:type="dxa" w:w="2304"/>
          </w:tcPr>
          <w:p>
            <w:pPr>
              <w:spacing w:after="20"/>
              <w:jc w:val="right"/>
            </w:pPr>
            <w:r>
              <w:rPr>
                <w:color w:val="1C3A36"/>
                <w:sz w:val="18"/>
              </w:rPr>
              <w:t>5,164</w:t>
            </w:r>
          </w:p>
        </w:tc>
      </w:tr>
      <w:tr>
        <w:tc>
          <w:tcPr>
            <w:tcW w:type="dxa" w:w="5760"/>
          </w:tcPr>
          <w:p>
            <w:pPr>
              <w:spacing w:after="20"/>
            </w:pPr>
            <w:r>
              <w:rPr>
                <w:b/>
                <w:color w:val="1C3A36"/>
                <w:sz w:val="18"/>
              </w:rPr>
              <w:t>Less net debt</w:t>
            </w:r>
          </w:p>
        </w:tc>
        <w:tc>
          <w:tcPr>
            <w:tcW w:type="dxa" w:w="2304"/>
          </w:tcPr>
          <w:p>
            <w:pPr>
              <w:spacing w:after="20"/>
              <w:jc w:val="right"/>
            </w:pPr>
            <w:r>
              <w:rPr>
                <w:color w:val="1C3A36"/>
                <w:sz w:val="18"/>
              </w:rPr>
              <w:t>8,375</w:t>
            </w:r>
          </w:p>
        </w:tc>
      </w:tr>
      <w:tr>
        <w:tc>
          <w:tcPr>
            <w:tcW w:type="dxa" w:w="5760"/>
          </w:tcPr>
          <w:p>
            <w:pPr>
              <w:spacing w:after="20"/>
            </w:pPr>
            <w:r>
              <w:rPr>
                <w:b/>
                <w:color w:val="1C3A36"/>
                <w:sz w:val="18"/>
              </w:rPr>
              <w:t>Less the minority at its share of equity value</w:t>
            </w:r>
          </w:p>
        </w:tc>
        <w:tc>
          <w:tcPr>
            <w:tcW w:type="dxa" w:w="2304"/>
          </w:tcPr>
          <w:p>
            <w:pPr>
              <w:spacing w:after="20"/>
              <w:jc w:val="right"/>
            </w:pPr>
            <w:r>
              <w:rPr>
                <w:color w:val="1C3A36"/>
                <w:sz w:val="18"/>
              </w:rPr>
              <w:t>3,713</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180,046</w:t>
            </w:r>
          </w:p>
        </w:tc>
      </w:tr>
      <w:tr>
        <w:tc>
          <w:tcPr>
            <w:tcW w:type="dxa" w:w="5760"/>
          </w:tcPr>
          <w:p>
            <w:pPr>
              <w:spacing w:after="20"/>
            </w:pPr>
            <w:r>
              <w:rPr>
                <w:b/>
                <w:color w:val="1C3A36"/>
                <w:sz w:val="18"/>
              </w:rPr>
              <w:t>Divided by shares in issue (4,993.0 million)</w:t>
            </w:r>
          </w:p>
        </w:tc>
        <w:tc>
          <w:tcPr>
            <w:tcW w:type="dxa" w:w="2304"/>
          </w:tcPr>
          <w:p>
            <w:pPr>
              <w:spacing w:after="20"/>
              <w:jc w:val="right"/>
            </w:pPr>
            <w:r>
              <w:rPr>
                <w:color w:val="1C3A36"/>
                <w:sz w:val="18"/>
              </w:rPr>
              <w:t>SAR 36.06 per share</w:t>
            </w:r>
          </w:p>
        </w:tc>
      </w:tr>
    </w:tbl>
    <w:p>
      <w:pPr>
        <w:spacing w:after="40"/>
      </w:pPr>
    </w:p>
    <w:p>
      <w:pPr>
        <w:spacing w:after="120" w:before="0"/>
      </w:pPr>
      <w:r>
        <w:rPr>
          <w:b w:val="0"/>
          <w:i w:val="0"/>
          <w:color w:val="1C3A36"/>
          <w:sz w:val="21"/>
        </w:rPr>
        <w:t>Two honesty notes. First, 70% of the enterprise value sits in the terminal — at a 6.5-point spread between the cost of capital and terminal growth this is a duration bet dressed as a five-year model, which is why §1.9 prices the rate grid and the beta separately rather than hiding either. Second, the model's first-year free cash flow of SAR 12.6 bn runs richer than stc's own reported FY2025 free cash flow of 6.5 bn, because reported operating cash flow absorbs receivables swings, early-retirement cash and zakat timing that a NOPAT-based free cash flow smooths.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2.02</w:t>
            </w:r>
          </w:p>
        </w:tc>
        <w:tc>
          <w:tcPr>
            <w:tcW w:type="dxa" w:w="1440"/>
          </w:tcPr>
          <w:p>
            <w:pPr>
              <w:spacing w:after="20"/>
              <w:jc w:val="right"/>
            </w:pPr>
            <w:r>
              <w:rPr>
                <w:color w:val="1C3A36"/>
                <w:sz w:val="18"/>
              </w:rPr>
              <w:t>1.86</w:t>
            </w:r>
          </w:p>
        </w:tc>
        <w:tc>
          <w:tcPr>
            <w:tcW w:type="dxa" w:w="1440"/>
          </w:tcPr>
          <w:p>
            <w:pPr>
              <w:spacing w:after="20"/>
              <w:jc w:val="right"/>
            </w:pPr>
            <w:r>
              <w:rPr>
                <w:color w:val="1C3A36"/>
                <w:sz w:val="18"/>
              </w:rPr>
              <w:t>1.79</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1.67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9.05</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38.31</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25.14</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34.20</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34/share</w:t>
      </w:r>
      <w:r>
        <w:rPr>
          <w:b w:val="0"/>
          <w:i w:val="0"/>
          <w:color w:val="1C3A36"/>
          <w:sz w:val="21"/>
        </w:rPr>
        <w:t xml:space="preserve"> — -22% against the market and the LOWEST of the four reads: at a 9.03%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45.8</w:t>
            </w:r>
          </w:p>
        </w:tc>
        <w:tc>
          <w:tcPr>
            <w:tcW w:type="dxa" w:w="1872"/>
          </w:tcPr>
          <w:p>
            <w:pPr>
              <w:spacing w:after="20"/>
              <w:jc w:val="right"/>
            </w:pPr>
            <w:r>
              <w:rPr>
                <w:color w:val="1C3A36"/>
                <w:sz w:val="18"/>
              </w:rPr>
              <w:t>48.1</w:t>
            </w:r>
          </w:p>
        </w:tc>
        <w:tc>
          <w:tcPr>
            <w:tcW w:type="dxa" w:w="1872"/>
          </w:tcPr>
          <w:p>
            <w:pPr>
              <w:spacing w:after="20"/>
              <w:jc w:val="right"/>
            </w:pPr>
            <w:r>
              <w:rPr>
                <w:color w:val="1C3A36"/>
                <w:sz w:val="18"/>
              </w:rPr>
              <w:t>49.9</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32.06%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One lens is the answer and the others are published beside it. The cash-flow model is the class primary — it is the only one of these that prices the whole capital programme and its recovery — and the dividend, multiple and normalised-earnings reads are cross-checks a reader can hold against it. THEY ARE NOT WEIGHTED AND THERE IS NO BLEND: a number produced by averaging several methods is a new method with parameters nobody tested, and it imports the weakness of the weakest lens at whatever weight somebody typed. An earlier edition of this study did exactly that, at 35 / 25 / 20 / 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432" w:type="dxa"/>
      </w:tblPr>
      <w:tblGrid>
        <w:gridCol w:w="3456"/>
        <w:gridCol w:w="1440"/>
        <w:gridCol w:w="1512"/>
        <w:gridCol w:w="1512"/>
        <w:gridCol w:w="1512"/>
      </w:tblGrid>
      <w:tr>
        <w:tc>
          <w:tcPr>
            <w:tcW w:type="dxa" w:w="3456"/>
            <w:shd w:val="clear" w:color="auto" w:fill="EAF0EE"/>
          </w:tcPr>
          <w:p>
            <w:pPr>
              <w:spacing w:after="20"/>
            </w:pPr>
            <w:r>
              <w:rPr>
                <w:b/>
                <w:color w:val="1C3A36"/>
                <w:sz w:val="17"/>
              </w:rPr>
              <w:t>Lens</w:t>
            </w:r>
          </w:p>
        </w:tc>
        <w:tc>
          <w:tcPr>
            <w:tcW w:type="dxa" w:w="1440"/>
            <w:shd w:val="clear" w:color="auto" w:fill="EAF0EE"/>
          </w:tcPr>
          <w:p>
            <w:pPr>
              <w:spacing w:after="20"/>
            </w:pPr>
            <w:r>
              <w:rPr>
                <w:b/>
                <w:color w:val="1C3A36"/>
                <w:sz w:val="17"/>
              </w:rPr>
              <w:t>Role</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3456"/>
          </w:tcPr>
          <w:p>
            <w:pPr>
              <w:spacing w:after="20"/>
            </w:pPr>
            <w:r>
              <w:rPr>
                <w:b/>
                <w:color w:val="1C3A36"/>
                <w:sz w:val="17"/>
              </w:rPr>
              <w:t>Cash-flow model</w:t>
            </w:r>
          </w:p>
        </w:tc>
        <w:tc>
          <w:tcPr>
            <w:tcW w:type="dxa" w:w="1440"/>
          </w:tcPr>
          <w:p>
            <w:pPr>
              <w:spacing w:after="20"/>
              <w:jc w:val="right"/>
            </w:pPr>
            <w:r>
              <w:rPr>
                <w:color w:val="1C3A36"/>
                <w:sz w:val="17"/>
              </w:rPr>
              <w:t>THE CENTRAL</w:t>
            </w:r>
          </w:p>
        </w:tc>
        <w:tc>
          <w:tcPr>
            <w:tcW w:type="dxa" w:w="1512"/>
          </w:tcPr>
          <w:p>
            <w:pPr>
              <w:spacing w:after="20"/>
              <w:jc w:val="right"/>
            </w:pPr>
            <w:r>
              <w:rPr>
                <w:color w:val="1C3A36"/>
                <w:sz w:val="17"/>
              </w:rPr>
              <w:t>35.3</w:t>
            </w:r>
          </w:p>
        </w:tc>
        <w:tc>
          <w:tcPr>
            <w:tcW w:type="dxa" w:w="1512"/>
          </w:tcPr>
          <w:p>
            <w:pPr>
              <w:spacing w:after="20"/>
              <w:jc w:val="right"/>
            </w:pPr>
            <w:r>
              <w:rPr>
                <w:color w:val="1C3A36"/>
                <w:sz w:val="17"/>
              </w:rPr>
              <w:t>36.1</w:t>
            </w:r>
          </w:p>
        </w:tc>
        <w:tc>
          <w:tcPr>
            <w:tcW w:type="dxa" w:w="1512"/>
          </w:tcPr>
          <w:p>
            <w:pPr>
              <w:spacing w:after="20"/>
              <w:jc w:val="right"/>
            </w:pPr>
            <w:r>
              <w:rPr>
                <w:color w:val="1C3A36"/>
                <w:sz w:val="17"/>
              </w:rPr>
              <w:t>37.0</w:t>
            </w:r>
          </w:p>
        </w:tc>
      </w:tr>
      <w:tr>
        <w:tc>
          <w:tcPr>
            <w:tcW w:type="dxa" w:w="3456"/>
          </w:tcPr>
          <w:p>
            <w:pPr>
              <w:spacing w:after="20"/>
            </w:pPr>
            <w:r>
              <w:rPr>
                <w:b/>
                <w:color w:val="1C3A36"/>
                <w:sz w:val="17"/>
              </w:rPr>
              <w:t>Dividend discount</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28.2</w:t>
            </w:r>
          </w:p>
        </w:tc>
        <w:tc>
          <w:tcPr>
            <w:tcW w:type="dxa" w:w="1512"/>
          </w:tcPr>
          <w:p>
            <w:pPr>
              <w:spacing w:after="20"/>
              <w:jc w:val="right"/>
            </w:pPr>
            <w:r>
              <w:rPr>
                <w:color w:val="1C3A36"/>
                <w:sz w:val="17"/>
              </w:rPr>
              <w:t>34.2</w:t>
            </w:r>
          </w:p>
        </w:tc>
        <w:tc>
          <w:tcPr>
            <w:tcW w:type="dxa" w:w="1512"/>
          </w:tcPr>
          <w:p>
            <w:pPr>
              <w:spacing w:after="20"/>
              <w:jc w:val="right"/>
            </w:pPr>
            <w:r>
              <w:rPr>
                <w:color w:val="1C3A36"/>
                <w:sz w:val="17"/>
              </w:rPr>
              <w:t>47.3</w:t>
            </w:r>
          </w:p>
        </w:tc>
      </w:tr>
      <w:tr>
        <w:tc>
          <w:tcPr>
            <w:tcW w:type="dxa" w:w="3456"/>
          </w:tcPr>
          <w:p>
            <w:pPr>
              <w:spacing w:after="20"/>
            </w:pPr>
            <w:r>
              <w:rPr>
                <w:b/>
                <w:color w:val="1C3A36"/>
                <w:sz w:val="17"/>
              </w:rPr>
              <w:t>Enterprise multiple on own history</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45.8</w:t>
            </w:r>
          </w:p>
        </w:tc>
        <w:tc>
          <w:tcPr>
            <w:tcW w:type="dxa" w:w="1512"/>
          </w:tcPr>
          <w:p>
            <w:pPr>
              <w:spacing w:after="20"/>
              <w:jc w:val="right"/>
            </w:pPr>
            <w:r>
              <w:rPr>
                <w:color w:val="1C3A36"/>
                <w:sz w:val="17"/>
              </w:rPr>
              <w:t>48.1</w:t>
            </w:r>
          </w:p>
        </w:tc>
        <w:tc>
          <w:tcPr>
            <w:tcW w:type="dxa" w:w="1512"/>
          </w:tcPr>
          <w:p>
            <w:pPr>
              <w:spacing w:after="20"/>
              <w:jc w:val="right"/>
            </w:pPr>
            <w:r>
              <w:rPr>
                <w:color w:val="1C3A36"/>
                <w:sz w:val="17"/>
              </w:rPr>
              <w:t>49.9</w:t>
            </w:r>
          </w:p>
        </w:tc>
      </w:tr>
      <w:tr>
        <w:tc>
          <w:tcPr>
            <w:tcW w:type="dxa" w:w="3456"/>
          </w:tcPr>
          <w:p>
            <w:pPr>
              <w:spacing w:after="20"/>
            </w:pPr>
            <w:r>
              <w:rPr>
                <w:b/>
                <w:color w:val="1C3A36"/>
                <w:sz w:val="17"/>
              </w:rPr>
              <w:t>Normalised earnings power</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36.8</w:t>
            </w:r>
          </w:p>
        </w:tc>
        <w:tc>
          <w:tcPr>
            <w:tcW w:type="dxa" w:w="1512"/>
          </w:tcPr>
          <w:p>
            <w:pPr>
              <w:spacing w:after="20"/>
              <w:jc w:val="right"/>
            </w:pPr>
            <w:r>
              <w:rPr>
                <w:color w:val="1C3A36"/>
                <w:sz w:val="17"/>
              </w:rPr>
              <w:t>39.8</w:t>
            </w:r>
          </w:p>
        </w:tc>
        <w:tc>
          <w:tcPr>
            <w:tcW w:type="dxa" w:w="1512"/>
          </w:tcPr>
          <w:p>
            <w:pPr>
              <w:spacing w:after="20"/>
              <w:jc w:val="right"/>
            </w:pPr>
            <w:r>
              <w:rPr>
                <w:color w:val="1C3A36"/>
                <w:sz w:val="17"/>
              </w:rPr>
              <w:t>50.2</w:t>
            </w:r>
          </w:p>
        </w:tc>
      </w:tr>
      <w:tr>
        <w:tc>
          <w:tcPr>
            <w:tcW w:type="dxa" w:w="3456"/>
          </w:tcPr>
          <w:p>
            <w:pPr>
              <w:spacing w:after="20"/>
            </w:pPr>
            <w:r>
              <w:rPr>
                <w:b/>
                <w:color w:val="1C3A36"/>
                <w:sz w:val="17"/>
              </w:rPr>
              <w:t>Book value</w:t>
            </w:r>
          </w:p>
        </w:tc>
        <w:tc>
          <w:tcPr>
            <w:tcW w:type="dxa" w:w="1440"/>
          </w:tcPr>
          <w:p>
            <w:pPr>
              <w:spacing w:after="20"/>
              <w:jc w:val="right"/>
            </w:pPr>
            <w:r>
              <w:rPr>
                <w:color w:val="1C3A36"/>
                <w:sz w:val="17"/>
              </w:rPr>
              <w:t>Disclosed floor</w:t>
            </w:r>
          </w:p>
        </w:tc>
        <w:tc>
          <w:tcPr>
            <w:tcW w:type="dxa" w:w="1512"/>
          </w:tcPr>
          <w:p>
            <w:pPr>
              <w:spacing w:after="20"/>
              <w:jc w:val="right"/>
            </w:pPr>
            <w:r>
              <w:rPr>
                <w:color w:val="1C3A36"/>
                <w:sz w:val="17"/>
              </w:rPr>
            </w:r>
          </w:p>
        </w:tc>
        <w:tc>
          <w:tcPr>
            <w:tcW w:type="dxa" w:w="1512"/>
          </w:tcPr>
          <w:p>
            <w:pPr>
              <w:spacing w:after="20"/>
              <w:jc w:val="right"/>
            </w:pPr>
            <w:r>
              <w:rPr>
                <w:color w:val="1C3A36"/>
                <w:sz w:val="17"/>
              </w:rPr>
              <w:t>17.02</w:t>
            </w:r>
          </w:p>
        </w:tc>
        <w:tc>
          <w:tcPr>
            <w:tcW w:type="dxa" w:w="1512"/>
          </w:tcPr>
          <w:p>
            <w:pPr>
              <w:spacing w:after="20"/>
              <w:jc w:val="right"/>
            </w:pPr>
            <w:r>
              <w:rPr>
                <w:color w:val="1C3A36"/>
                <w:sz w:val="17"/>
              </w:rPr>
            </w:r>
          </w:p>
        </w:tc>
      </w:tr>
      <w:tr>
        <w:tc>
          <w:tcPr>
            <w:tcW w:type="dxa" w:w="3456"/>
            <w:shd w:val="clear" w:color="auto" w:fill="F6F1E6"/>
          </w:tcPr>
          <w:p>
            <w:pPr>
              <w:spacing w:after="20"/>
            </w:pPr>
            <w:r>
              <w:rPr>
                <w:b/>
                <w:color w:val="1C3A36"/>
                <w:sz w:val="17"/>
              </w:rPr>
              <w:t>THE PUBLISHED RANGE — the span of the present-value reads, never an average</w:t>
            </w:r>
          </w:p>
        </w:tc>
        <w:tc>
          <w:tcPr>
            <w:tcW w:type="dxa" w:w="1440"/>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t>35.29</w:t>
            </w:r>
          </w:p>
        </w:tc>
        <w:tc>
          <w:tcPr>
            <w:tcW w:type="dxa" w:w="1512"/>
            <w:shd w:val="clear" w:color="auto" w:fill="F6F1E6"/>
          </w:tcPr>
          <w:p>
            <w:pPr>
              <w:spacing w:after="20"/>
              <w:jc w:val="right"/>
            </w:pPr>
            <w:r>
              <w:rPr>
                <w:b/>
                <w:color w:val="1C3A36"/>
                <w:sz w:val="17"/>
              </w:rPr>
              <w:t>36.06</w:t>
            </w:r>
          </w:p>
        </w:tc>
        <w:tc>
          <w:tcPr>
            <w:tcW w:type="dxa" w:w="1512"/>
            <w:shd w:val="clear" w:color="auto" w:fill="F6F1E6"/>
          </w:tcPr>
          <w:p>
            <w:pPr>
              <w:spacing w:after="20"/>
              <w:jc w:val="right"/>
            </w:pPr>
            <w:r>
              <w:rPr>
                <w:b/>
                <w:color w:val="1C3A36"/>
                <w:sz w:val="17"/>
              </w:rPr>
              <w:t>48.08</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36/share</w:t>
      </w:r>
      <w:r>
        <w:rPr>
          <w:b w:val="0"/>
          <w:i w:val="0"/>
          <w:color w:val="1C3A36"/>
          <w:sz w:val="21"/>
        </w:rPr>
        <w:t>, -18% versus the market. The bear-to-bull span of SAR 35.29 to 48.08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30.3 mn mobile subscribers at the half year, +1.0% on the full-year 2025 count</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12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32.1%</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note 9 of the FY2025 audited consolidated statements, on the restated basis, with the earnings presentations for the operating detail no statement carries. Forecast drivers are the house’s own flagged view. These are the company's own internal unit names, used here to describe what drives the business; the MODEL is built on the 12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1.06x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36.06 to 31.53, -28% against the price, so §1.9 publishes the whole grid rather than letting one regression settle it. Third: the policy rate path — each 50 basis points off the curve is worth about SAR 2.6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13.7</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1.06×</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free cash flow or the balance sheet pays for it, and the table above answers it at every capital-intensity level this company has actually run.</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0.7093</w:t>
            </w:r>
          </w:p>
        </w:tc>
        <w:tc>
          <w:tcPr>
            <w:tcW w:type="dxa" w:w="5184"/>
          </w:tcPr>
          <w:p>
            <w:pPr>
              <w:spacing w:after="20"/>
              <w:jc w:val="right"/>
            </w:pPr>
            <w:r>
              <w:rPr>
                <w:color w:val="1C3A36"/>
                <w:sz w:val="16"/>
              </w:rPr>
              <w:t>A 4.94-year weekly regression of stc against the published index of the exchange it is listed on, the Tadawul All Share Index, read as of 2026-09-08: 254 observations, R² 30.3%, standard error 0.1022.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9.03%</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8.53%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8.53%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7.53%</w:t>
            </w:r>
          </w:p>
        </w:tc>
        <w:tc>
          <w:tcPr>
            <w:tcW w:type="dxa" w:w="1440"/>
          </w:tcPr>
          <w:p>
            <w:pPr>
              <w:spacing w:after="20"/>
              <w:jc w:val="right"/>
            </w:pPr>
            <w:r>
              <w:rPr>
                <w:color w:val="1C3A36"/>
                <w:sz w:val="18"/>
              </w:rPr>
              <w:t>41.3</w:t>
            </w:r>
          </w:p>
        </w:tc>
        <w:tc>
          <w:tcPr>
            <w:tcW w:type="dxa" w:w="1440"/>
          </w:tcPr>
          <w:p>
            <w:pPr>
              <w:spacing w:after="20"/>
              <w:jc w:val="right"/>
            </w:pPr>
            <w:r>
              <w:rPr>
                <w:color w:val="1C3A36"/>
                <w:sz w:val="18"/>
              </w:rPr>
              <w:t>41.7</w:t>
            </w:r>
          </w:p>
        </w:tc>
        <w:tc>
          <w:tcPr>
            <w:tcW w:type="dxa" w:w="1440"/>
          </w:tcPr>
          <w:p>
            <w:pPr>
              <w:spacing w:after="20"/>
              <w:jc w:val="right"/>
            </w:pPr>
            <w:r>
              <w:rPr>
                <w:color w:val="1C3A36"/>
                <w:sz w:val="18"/>
              </w:rPr>
              <w:t>42.1</w:t>
            </w:r>
          </w:p>
        </w:tc>
        <w:tc>
          <w:tcPr>
            <w:tcW w:type="dxa" w:w="1440"/>
          </w:tcPr>
          <w:p>
            <w:pPr>
              <w:spacing w:after="20"/>
              <w:jc w:val="right"/>
            </w:pPr>
            <w:r>
              <w:rPr>
                <w:color w:val="1C3A36"/>
                <w:sz w:val="18"/>
              </w:rPr>
              <w:t>42.7</w:t>
            </w:r>
          </w:p>
        </w:tc>
        <w:tc>
          <w:tcPr>
            <w:tcW w:type="dxa" w:w="1440"/>
          </w:tcPr>
          <w:p>
            <w:pPr>
              <w:spacing w:after="20"/>
              <w:jc w:val="right"/>
            </w:pPr>
            <w:r>
              <w:rPr>
                <w:color w:val="1C3A36"/>
                <w:sz w:val="18"/>
              </w:rPr>
              <w:t>43.3</w:t>
            </w:r>
          </w:p>
        </w:tc>
      </w:tr>
      <w:tr>
        <w:tc>
          <w:tcPr>
            <w:tcW w:type="dxa" w:w="2160"/>
          </w:tcPr>
          <w:p>
            <w:pPr>
              <w:spacing w:after="20"/>
            </w:pPr>
            <w:r>
              <w:rPr>
                <w:b/>
                <w:color w:val="1C3A36"/>
                <w:sz w:val="18"/>
              </w:rPr>
              <w:t>8.03%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38.6</w:t>
            </w:r>
          </w:p>
        </w:tc>
        <w:tc>
          <w:tcPr>
            <w:tcW w:type="dxa" w:w="1440"/>
          </w:tcPr>
          <w:p>
            <w:pPr>
              <w:spacing w:after="20"/>
              <w:jc w:val="right"/>
            </w:pPr>
            <w:r>
              <w:rPr>
                <w:color w:val="1C3A36"/>
                <w:sz w:val="18"/>
              </w:rPr>
              <w:t>38.8</w:t>
            </w:r>
          </w:p>
        </w:tc>
        <w:tc>
          <w:tcPr>
            <w:tcW w:type="dxa" w:w="1440"/>
          </w:tcPr>
          <w:p>
            <w:pPr>
              <w:spacing w:after="20"/>
              <w:jc w:val="right"/>
            </w:pPr>
            <w:r>
              <w:rPr>
                <w:color w:val="1C3A36"/>
                <w:sz w:val="18"/>
              </w:rPr>
              <w:t>39.0</w:t>
            </w:r>
          </w:p>
        </w:tc>
        <w:tc>
          <w:tcPr>
            <w:tcW w:type="dxa" w:w="1440"/>
          </w:tcPr>
          <w:p>
            <w:pPr>
              <w:spacing w:after="20"/>
              <w:jc w:val="right"/>
            </w:pPr>
            <w:r>
              <w:rPr>
                <w:color w:val="1C3A36"/>
                <w:sz w:val="18"/>
              </w:rPr>
              <w:t>39.3</w:t>
            </w:r>
          </w:p>
        </w:tc>
      </w:tr>
      <w:tr>
        <w:tc>
          <w:tcPr>
            <w:tcW w:type="dxa" w:w="2160"/>
          </w:tcPr>
          <w:p>
            <w:pPr>
              <w:spacing w:after="20"/>
            </w:pPr>
            <w:r>
              <w:rPr>
                <w:b/>
                <w:color w:val="1C3A36"/>
                <w:sz w:val="18"/>
              </w:rPr>
              <w:t>8.53% (base)</w:t>
            </w:r>
          </w:p>
        </w:tc>
        <w:tc>
          <w:tcPr>
            <w:tcW w:type="dxa" w:w="1440"/>
          </w:tcPr>
          <w:p>
            <w:pPr>
              <w:spacing w:after="20"/>
              <w:jc w:val="right"/>
            </w:pPr>
            <w:r>
              <w:rPr>
                <w:color w:val="1C3A36"/>
                <w:sz w:val="18"/>
              </w:rPr>
              <w:t>36.0</w:t>
            </w:r>
          </w:p>
        </w:tc>
        <w:tc>
          <w:tcPr>
            <w:tcW w:type="dxa" w:w="1440"/>
          </w:tcPr>
          <w:p>
            <w:pPr>
              <w:spacing w:after="20"/>
              <w:jc w:val="right"/>
            </w:pPr>
            <w:r>
              <w:rPr>
                <w:color w:val="1C3A36"/>
                <w:sz w:val="18"/>
              </w:rPr>
              <w:t>36.1</w:t>
            </w:r>
          </w:p>
        </w:tc>
        <w:tc>
          <w:tcPr>
            <w:tcW w:type="dxa" w:w="1440"/>
          </w:tcPr>
          <w:p>
            <w:pPr>
              <w:spacing w:after="20"/>
              <w:jc w:val="right"/>
            </w:pPr>
            <w:r>
              <w:rPr>
                <w:color w:val="1C3A36"/>
                <w:sz w:val="18"/>
              </w:rPr>
              <w:t>36.1</w:t>
            </w:r>
          </w:p>
        </w:tc>
        <w:tc>
          <w:tcPr>
            <w:tcW w:type="dxa" w:w="1440"/>
          </w:tcPr>
          <w:p>
            <w:pPr>
              <w:spacing w:after="20"/>
              <w:jc w:val="right"/>
            </w:pPr>
            <w:r>
              <w:rPr>
                <w:color w:val="1C3A36"/>
                <w:sz w:val="18"/>
              </w:rPr>
              <w:t>36.1</w:t>
            </w:r>
          </w:p>
        </w:tc>
        <w:tc>
          <w:tcPr>
            <w:tcW w:type="dxa" w:w="1440"/>
          </w:tcPr>
          <w:p>
            <w:pPr>
              <w:spacing w:after="20"/>
              <w:jc w:val="right"/>
            </w:pPr>
            <w:r>
              <w:rPr>
                <w:color w:val="1C3A36"/>
                <w:sz w:val="18"/>
              </w:rPr>
              <w:t>36.1</w:t>
            </w:r>
          </w:p>
        </w:tc>
      </w:tr>
      <w:tr>
        <w:tc>
          <w:tcPr>
            <w:tcW w:type="dxa" w:w="2160"/>
          </w:tcPr>
          <w:p>
            <w:pPr>
              <w:spacing w:after="20"/>
            </w:pPr>
            <w:r>
              <w:rPr>
                <w:b/>
                <w:color w:val="1C3A36"/>
                <w:sz w:val="18"/>
              </w:rPr>
              <w:t>9.03%</w:t>
            </w:r>
          </w:p>
        </w:tc>
        <w:tc>
          <w:tcPr>
            <w:tcW w:type="dxa" w:w="1440"/>
          </w:tcPr>
          <w:p>
            <w:pPr>
              <w:spacing w:after="20"/>
              <w:jc w:val="right"/>
            </w:pPr>
            <w:r>
              <w:rPr>
                <w:color w:val="1C3A36"/>
                <w:sz w:val="18"/>
              </w:rPr>
              <w:t>33.9</w:t>
            </w:r>
          </w:p>
        </w:tc>
        <w:tc>
          <w:tcPr>
            <w:tcW w:type="dxa" w:w="1440"/>
          </w:tcPr>
          <w:p>
            <w:pPr>
              <w:spacing w:after="20"/>
              <w:jc w:val="right"/>
            </w:pPr>
            <w:r>
              <w:rPr>
                <w:color w:val="1C3A36"/>
                <w:sz w:val="18"/>
              </w:rPr>
              <w:t>33.8</w:t>
            </w:r>
          </w:p>
        </w:tc>
        <w:tc>
          <w:tcPr>
            <w:tcW w:type="dxa" w:w="1440"/>
          </w:tcPr>
          <w:p>
            <w:pPr>
              <w:spacing w:after="20"/>
              <w:jc w:val="right"/>
            </w:pPr>
            <w:r>
              <w:rPr>
                <w:color w:val="1C3A36"/>
                <w:sz w:val="18"/>
              </w:rPr>
              <w:t>33.7</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33.4</w:t>
            </w:r>
          </w:p>
        </w:tc>
      </w:tr>
      <w:tr>
        <w:tc>
          <w:tcPr>
            <w:tcW w:type="dxa" w:w="2160"/>
          </w:tcPr>
          <w:p>
            <w:pPr>
              <w:spacing w:after="20"/>
            </w:pPr>
            <w:r>
              <w:rPr>
                <w:b/>
                <w:color w:val="1C3A36"/>
                <w:sz w:val="18"/>
              </w:rPr>
              <w:t>9.53%</w:t>
            </w:r>
          </w:p>
        </w:tc>
        <w:tc>
          <w:tcPr>
            <w:tcW w:type="dxa" w:w="1440"/>
          </w:tcPr>
          <w:p>
            <w:pPr>
              <w:spacing w:after="20"/>
              <w:jc w:val="right"/>
            </w:pPr>
            <w:r>
              <w:rPr>
                <w:color w:val="1C3A36"/>
                <w:sz w:val="18"/>
              </w:rPr>
              <w:t>32.1</w:t>
            </w:r>
          </w:p>
        </w:tc>
        <w:tc>
          <w:tcPr>
            <w:tcW w:type="dxa" w:w="1440"/>
          </w:tcPr>
          <w:p>
            <w:pPr>
              <w:spacing w:after="20"/>
              <w:jc w:val="right"/>
            </w:pPr>
            <w:r>
              <w:rPr>
                <w:color w:val="1C3A36"/>
                <w:sz w:val="18"/>
              </w:rPr>
              <w:t>31.9</w:t>
            </w:r>
          </w:p>
        </w:tc>
        <w:tc>
          <w:tcPr>
            <w:tcW w:type="dxa" w:w="1440"/>
          </w:tcPr>
          <w:p>
            <w:pPr>
              <w:spacing w:after="20"/>
              <w:jc w:val="right"/>
            </w:pPr>
            <w:r>
              <w:rPr>
                <w:color w:val="1C3A36"/>
                <w:sz w:val="18"/>
              </w:rPr>
              <w:t>31.7</w:t>
            </w:r>
          </w:p>
        </w:tc>
        <w:tc>
          <w:tcPr>
            <w:tcW w:type="dxa" w:w="1440"/>
          </w:tcPr>
          <w:p>
            <w:pPr>
              <w:spacing w:after="20"/>
              <w:jc w:val="right"/>
            </w:pPr>
            <w:r>
              <w:rPr>
                <w:color w:val="1C3A36"/>
                <w:sz w:val="18"/>
              </w:rPr>
              <w:t>31.5</w:t>
            </w:r>
          </w:p>
        </w:tc>
        <w:tc>
          <w:tcPr>
            <w:tcW w:type="dxa" w:w="1440"/>
          </w:tcPr>
          <w:p>
            <w:pPr>
              <w:spacing w:after="20"/>
              <w:jc w:val="right"/>
            </w:pPr>
            <w:r>
              <w:rPr>
                <w:color w:val="1C3A36"/>
                <w:sz w:val="18"/>
              </w:rPr>
              <w:t>31.2</w:t>
            </w:r>
          </w:p>
        </w:tc>
      </w:tr>
    </w:tbl>
    <w:p>
      <w:pPr>
        <w:spacing w:after="40"/>
      </w:pPr>
    </w:p>
    <w:p>
      <w:pPr>
        <w:spacing w:after="200" w:before="0"/>
      </w:pPr>
      <w:r>
        <w:rPr>
          <w:b w:val="0"/>
          <w:i/>
          <w:color w:val="6E7B77"/>
          <w:sz w:val="17"/>
        </w:rPr>
        <w:t>Fair value from the cash-flow model (SAR/share) across the cost of capital and terminal growth. The base cell is 8.53% against 2.00%, giving SAR 36.06.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7.30%</w:t>
            </w:r>
          </w:p>
        </w:tc>
        <w:tc>
          <w:tcPr>
            <w:tcW w:type="dxa" w:w="2016"/>
          </w:tcPr>
          <w:p>
            <w:pPr>
              <w:spacing w:after="20"/>
              <w:jc w:val="right"/>
            </w:pPr>
            <w:r>
              <w:rPr>
                <w:color w:val="1C3A36"/>
                <w:sz w:val="17"/>
              </w:rPr>
              <w:t>6.97%</w:t>
            </w:r>
          </w:p>
        </w:tc>
        <w:tc>
          <w:tcPr>
            <w:tcW w:type="dxa" w:w="1872"/>
          </w:tcPr>
          <w:p>
            <w:pPr>
              <w:spacing w:after="20"/>
              <w:jc w:val="right"/>
            </w:pPr>
            <w:r>
              <w:rPr>
                <w:color w:val="1C3A36"/>
                <w:sz w:val="17"/>
              </w:rPr>
              <w:t>45.83</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8.14%</w:t>
            </w:r>
          </w:p>
        </w:tc>
        <w:tc>
          <w:tcPr>
            <w:tcW w:type="dxa" w:w="2016"/>
          </w:tcPr>
          <w:p>
            <w:pPr>
              <w:spacing w:after="20"/>
              <w:jc w:val="right"/>
            </w:pPr>
            <w:r>
              <w:rPr>
                <w:color w:val="1C3A36"/>
                <w:sz w:val="17"/>
              </w:rPr>
              <w:t>7.73%</w:t>
            </w:r>
          </w:p>
        </w:tc>
        <w:tc>
          <w:tcPr>
            <w:tcW w:type="dxa" w:w="1872"/>
          </w:tcPr>
          <w:p>
            <w:pPr>
              <w:spacing w:after="20"/>
              <w:jc w:val="right"/>
            </w:pPr>
            <w:r>
              <w:rPr>
                <w:color w:val="1C3A36"/>
                <w:sz w:val="17"/>
              </w:rPr>
              <w:t>40.40</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9.03%</w:t>
            </w:r>
          </w:p>
        </w:tc>
        <w:tc>
          <w:tcPr>
            <w:tcW w:type="dxa" w:w="2016"/>
          </w:tcPr>
          <w:p>
            <w:pPr>
              <w:spacing w:after="20"/>
              <w:jc w:val="right"/>
            </w:pPr>
            <w:r>
              <w:rPr>
                <w:color w:val="1C3A36"/>
                <w:sz w:val="17"/>
              </w:rPr>
              <w:t>8.53%</w:t>
            </w:r>
          </w:p>
        </w:tc>
        <w:tc>
          <w:tcPr>
            <w:tcW w:type="dxa" w:w="1872"/>
          </w:tcPr>
          <w:p>
            <w:pPr>
              <w:spacing w:after="20"/>
              <w:jc w:val="right"/>
            </w:pPr>
            <w:r>
              <w:rPr>
                <w:color w:val="1C3A36"/>
                <w:sz w:val="17"/>
              </w:rPr>
              <w:t>36.06</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9.63%</w:t>
            </w:r>
          </w:p>
        </w:tc>
        <w:tc>
          <w:tcPr>
            <w:tcW w:type="dxa" w:w="2016"/>
          </w:tcPr>
          <w:p>
            <w:pPr>
              <w:spacing w:after="20"/>
              <w:jc w:val="right"/>
            </w:pPr>
            <w:r>
              <w:rPr>
                <w:color w:val="1C3A36"/>
                <w:sz w:val="17"/>
              </w:rPr>
              <w:t>9.07%</w:t>
            </w:r>
          </w:p>
        </w:tc>
        <w:tc>
          <w:tcPr>
            <w:tcW w:type="dxa" w:w="1872"/>
          </w:tcPr>
          <w:p>
            <w:pPr>
              <w:spacing w:after="20"/>
              <w:jc w:val="right"/>
            </w:pPr>
            <w:r>
              <w:rPr>
                <w:color w:val="1C3A36"/>
                <w:sz w:val="17"/>
              </w:rPr>
              <w:t>33.69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31.53</w:t>
            </w:r>
          </w:p>
        </w:tc>
        <w:tc>
          <w:tcPr>
            <w:tcW w:type="dxa" w:w="3024"/>
          </w:tcPr>
          <w:p>
            <w:pPr>
              <w:spacing w:after="20"/>
              <w:jc w:val="right"/>
            </w:pPr>
            <w:r>
              <w:rPr>
                <w:color w:val="1C3A36"/>
                <w:sz w:val="17"/>
              </w:rPr>
              <w:t>the house fallback, used only where a regression is not usable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11.11%</w:t>
            </w:r>
          </w:p>
        </w:tc>
        <w:tc>
          <w:tcPr>
            <w:tcW w:type="dxa" w:w="2016"/>
          </w:tcPr>
          <w:p>
            <w:pPr>
              <w:spacing w:after="20"/>
              <w:jc w:val="right"/>
            </w:pPr>
            <w:r>
              <w:rPr>
                <w:color w:val="1C3A36"/>
                <w:sz w:val="17"/>
              </w:rPr>
              <w:t>10.41%</w:t>
            </w:r>
          </w:p>
        </w:tc>
        <w:tc>
          <w:tcPr>
            <w:tcW w:type="dxa" w:w="1872"/>
          </w:tcPr>
          <w:p>
            <w:pPr>
              <w:spacing w:after="20"/>
              <w:jc w:val="right"/>
            </w:pPr>
            <w:r>
              <w:rPr>
                <w:color w:val="1C3A36"/>
                <w:sz w:val="17"/>
              </w:rPr>
              <w:t>29.10</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33.69 — but not a full reversion to 1.0, where it falls to SAR 31.53,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36.06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36.06 against a market price of SAR 43.86, -17.8% — and the others sit beside it as cross-checks rather than as weights in a blend. They do not agree, and the disagreement is the most useful thing on this page: the earnings-multiple read on this company's own trading history lands at SAR 48.08, +33%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36.06 (-18%)</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48.08 (+10%)</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34.20 (-22%)</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35.29 to 48.08.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What the price is paying for. </w:t>
      </w:r>
      <w:r>
        <w:rPr>
          <w:b w:val="0"/>
          <w:i w:val="0"/>
          <w:color w:val="1C3A36"/>
          <w:sz w:val="21"/>
        </w:rPr>
        <w:t>Read backwards, this model reproduces the market price of SAR 43.86 at an equity beta of about 0.37 — read straight off the grid in §1.9, between its 0.30 and 0.50 rows, so a reader can check it against what is printed there rather than taking it on trust. This stock's own 4.9-year weekly regression against its exchange's published index gives 0.7093 with a standard error of 0.1022, so the market is paying for a beta roughly 3.3 standard errors below the point estimate — inside what the regression cannot rule out, and not what it measures. THE DISAGREEMENT IS ABOUT THE PRICE OF RISK, NOT ABOUT THE BUSINESS, and that is worth stating because §1.7 says otherwise: the crux names capital intensity as the swing driver, and no capital-spending assumption inside this company's own history closes the gap. At two percentage points of revenue BELOW the modelled intensity — lighter than any of the three filed years ran — the model reaches SAR 37.37, still 15% short of the price. A reader who thinks this study too pessimistic should therefore be arguing about the discount rate rather than about the capital programme.</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35.29,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Third-quarter 2026 results. </w:t>
      </w:r>
      <w:r>
        <w:rPr>
          <w:color w:val="1C3A36"/>
          <w:sz w:val="21"/>
        </w:rPr>
        <w:t>The reviewed half to 30 June 2026 is already in this model — it sets the base year, the bridge and the first forecast year — so the next disclosure is the first that can move the answer: watch enterprise revenue against mega-project phasing, and capital expenditure against the data-centre build.</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1.06–1.24x is an estimate built on the range of capital intensity this company’s own three filed years ran, and on a capital-intensity range and a margin path that is FLAT rather than improving — 32.06% in the first forecast year against 31.77%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70% of the cash-flow model's enterprise value sits beyond the fifth forecast year, at a spread of 6.5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method behind these forecasts has not yet been tested on this company’s own history. </w:t>
      </w:r>
      <w:r>
        <w:rPr>
          <w:color w:val="1C3A36"/>
          <w:sz w:val="21"/>
        </w:rPr>
        <w:t>This house walk-forward tests its forecasting method by rebuilding the driver model as it stood at a past date, projecting forward from there, and scoring each driver against what the company then reported. This company discloses 16 fiscal years reachable from its own archive, back to 2010, which is deep enough for the full test; the test has NOT been run here. Nothing in this study rests on a result from one — there is no bias correction, no calibrated range and no lesson drawn from a test that does not exist — and the practical consequence is that the forecast years three to five carry the uncertainty the sensitivities show and no measured error distribution behind it.</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(254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31.77%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1.06x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the audited statements for FY2023 to FY2025 on the restated continuing-operations basis (TAWAL and Digital Infrastructure Co reclassified to discontinued operations) and the reviewed interim for the six months to 30 June 2026 — all from the company’s own investor-relations archive,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5" w:type="dxa"/>
      </w:tblPr>
      <w:tblGrid>
        <w:gridCol w:w="1967"/>
        <w:gridCol w:w="1014"/>
        <w:gridCol w:w="1014"/>
        <w:gridCol w:w="1014"/>
        <w:gridCol w:w="1014"/>
        <w:gridCol w:w="1014"/>
        <w:gridCol w:w="1014"/>
        <w:gridCol w:w="1014"/>
        <w:gridCol w:w="1014"/>
      </w:tblGrid>
      <w:tr>
        <w:tc>
          <w:tcPr>
            <w:tcW w:type="dxa" w:w="1967"/>
            <w:shd w:val="clear" w:color="auto" w:fill="EAF0EE"/>
          </w:tcPr>
          <w:p>
            <w:pPr>
              <w:spacing w:after="20"/>
            </w:pPr>
            <w:r>
              <w:rPr>
                <w:b/>
                <w:color w:val="1C3A36"/>
                <w:sz w:val="16"/>
              </w:rPr>
              <w:t>Line</w:t>
            </w:r>
          </w:p>
        </w:tc>
        <w:tc>
          <w:tcPr>
            <w:tcW w:type="dxa" w:w="1015"/>
            <w:shd w:val="clear" w:color="auto" w:fill="EAF0EE"/>
          </w:tcPr>
          <w:p>
            <w:pPr>
              <w:spacing w:after="20"/>
            </w:pPr>
            <w:r>
              <w:rPr>
                <w:b/>
                <w:color w:val="1C3A36"/>
                <w:sz w:val="16"/>
              </w:rPr>
              <w:t>FY23</w:t>
            </w:r>
          </w:p>
        </w:tc>
        <w:tc>
          <w:tcPr>
            <w:tcW w:type="dxa" w:w="1015"/>
            <w:shd w:val="clear" w:color="auto" w:fill="EAF0EE"/>
          </w:tcPr>
          <w:p>
            <w:pPr>
              <w:spacing w:after="20"/>
            </w:pPr>
            <w:r>
              <w:rPr>
                <w:b/>
                <w:color w:val="1C3A36"/>
                <w:sz w:val="16"/>
              </w:rPr>
              <w:t>FY24</w:t>
            </w:r>
          </w:p>
        </w:tc>
        <w:tc>
          <w:tcPr>
            <w:tcW w:type="dxa" w:w="1015"/>
            <w:shd w:val="clear" w:color="auto" w:fill="EAF0EE"/>
          </w:tcPr>
          <w:p>
            <w:pPr>
              <w:spacing w:after="20"/>
            </w:pPr>
            <w:r>
              <w:rPr>
                <w:b/>
                <w:color w:val="1C3A36"/>
                <w:sz w:val="16"/>
              </w:rPr>
              <w:t>FY25</w:t>
            </w:r>
          </w:p>
        </w:tc>
        <w:tc>
          <w:tcPr>
            <w:tcW w:type="dxa" w:w="1015"/>
            <w:shd w:val="clear" w:color="auto" w:fill="EAF0EE"/>
          </w:tcPr>
          <w:p>
            <w:pPr>
              <w:spacing w:after="20"/>
            </w:pPr>
            <w:r>
              <w:rPr>
                <w:b/>
                <w:color w:val="1C3A36"/>
                <w:sz w:val="16"/>
              </w:rPr>
              <w:t>FY26E</w:t>
            </w:r>
          </w:p>
        </w:tc>
        <w:tc>
          <w:tcPr>
            <w:tcW w:type="dxa" w:w="1015"/>
            <w:shd w:val="clear" w:color="auto" w:fill="EAF0EE"/>
          </w:tcPr>
          <w:p>
            <w:pPr>
              <w:spacing w:after="20"/>
            </w:pPr>
            <w:r>
              <w:rPr>
                <w:b/>
                <w:color w:val="1C3A36"/>
                <w:sz w:val="16"/>
              </w:rPr>
              <w:t>FY27E</w:t>
            </w:r>
          </w:p>
        </w:tc>
        <w:tc>
          <w:tcPr>
            <w:tcW w:type="dxa" w:w="1015"/>
            <w:shd w:val="clear" w:color="auto" w:fill="EAF0EE"/>
          </w:tcPr>
          <w:p>
            <w:pPr>
              <w:spacing w:after="20"/>
            </w:pPr>
            <w:r>
              <w:rPr>
                <w:b/>
                <w:color w:val="1C3A36"/>
                <w:sz w:val="16"/>
              </w:rPr>
              <w:t>FY28E</w:t>
            </w:r>
          </w:p>
        </w:tc>
        <w:tc>
          <w:tcPr>
            <w:tcW w:type="dxa" w:w="1015"/>
            <w:shd w:val="clear" w:color="auto" w:fill="EAF0EE"/>
          </w:tcPr>
          <w:p>
            <w:pPr>
              <w:spacing w:after="20"/>
            </w:pPr>
            <w:r>
              <w:rPr>
                <w:b/>
                <w:color w:val="1C3A36"/>
                <w:sz w:val="16"/>
              </w:rPr>
              <w:t>FY29E</w:t>
            </w:r>
          </w:p>
        </w:tc>
        <w:tc>
          <w:tcPr>
            <w:tcW w:type="dxa" w:w="1015"/>
            <w:shd w:val="clear" w:color="auto" w:fill="EAF0EE"/>
          </w:tcPr>
          <w:p>
            <w:pPr>
              <w:spacing w:after="20"/>
            </w:pPr>
            <w:r>
              <w:rPr>
                <w:b/>
                <w:color w:val="1C3A36"/>
                <w:sz w:val="16"/>
              </w:rPr>
              <w:t>FY30E</w:t>
            </w:r>
          </w:p>
        </w:tc>
      </w:tr>
      <w:tr>
        <w:tc>
          <w:tcPr>
            <w:tcW w:type="dxa" w:w="1967"/>
          </w:tcPr>
          <w:p>
            <w:pPr>
              <w:spacing w:after="20"/>
            </w:pPr>
            <w:r>
              <w:rPr>
                <w:b/>
                <w:color w:val="1C3A36"/>
                <w:sz w:val="16"/>
              </w:rPr>
              <w:t>Revenue</w:t>
            </w:r>
          </w:p>
        </w:tc>
        <w:tc>
          <w:tcPr>
            <w:tcW w:type="dxa" w:w="1015"/>
          </w:tcPr>
          <w:p>
            <w:pPr>
              <w:spacing w:after="20"/>
              <w:jc w:val="right"/>
            </w:pPr>
            <w:r>
              <w:rPr>
                <w:color w:val="1C3A36"/>
                <w:sz w:val="16"/>
              </w:rPr>
              <w:t>71,777</w:t>
            </w:r>
          </w:p>
        </w:tc>
        <w:tc>
          <w:tcPr>
            <w:tcW w:type="dxa" w:w="1015"/>
          </w:tcPr>
          <w:p>
            <w:pPr>
              <w:spacing w:after="20"/>
              <w:jc w:val="right"/>
            </w:pPr>
            <w:r>
              <w:rPr>
                <w:color w:val="1C3A36"/>
                <w:sz w:val="16"/>
              </w:rPr>
              <w:t>75,893</w:t>
            </w:r>
          </w:p>
        </w:tc>
        <w:tc>
          <w:tcPr>
            <w:tcW w:type="dxa" w:w="1015"/>
          </w:tcPr>
          <w:p>
            <w:pPr>
              <w:spacing w:after="20"/>
              <w:jc w:val="right"/>
            </w:pPr>
            <w:r>
              <w:rPr>
                <w:color w:val="1C3A36"/>
                <w:sz w:val="16"/>
              </w:rPr>
              <w:t>77,819</w:t>
            </w:r>
          </w:p>
        </w:tc>
        <w:tc>
          <w:tcPr>
            <w:tcW w:type="dxa" w:w="1015"/>
          </w:tcPr>
          <w:p>
            <w:pPr>
              <w:spacing w:after="20"/>
              <w:jc w:val="right"/>
            </w:pPr>
            <w:r>
              <w:rPr>
                <w:color w:val="1C3A36"/>
                <w:sz w:val="16"/>
              </w:rPr>
              <w:t>80,737</w:t>
            </w:r>
          </w:p>
        </w:tc>
        <w:tc>
          <w:tcPr>
            <w:tcW w:type="dxa" w:w="1015"/>
          </w:tcPr>
          <w:p>
            <w:pPr>
              <w:spacing w:after="20"/>
              <w:jc w:val="right"/>
            </w:pPr>
            <w:r>
              <w:rPr>
                <w:color w:val="1C3A36"/>
                <w:sz w:val="16"/>
              </w:rPr>
              <w:t>82,985</w:t>
            </w:r>
          </w:p>
        </w:tc>
        <w:tc>
          <w:tcPr>
            <w:tcW w:type="dxa" w:w="1015"/>
          </w:tcPr>
          <w:p>
            <w:pPr>
              <w:spacing w:after="20"/>
              <w:jc w:val="right"/>
            </w:pPr>
            <w:r>
              <w:rPr>
                <w:color w:val="1C3A36"/>
                <w:sz w:val="16"/>
              </w:rPr>
              <w:t>85,056</w:t>
            </w:r>
          </w:p>
        </w:tc>
        <w:tc>
          <w:tcPr>
            <w:tcW w:type="dxa" w:w="1015"/>
          </w:tcPr>
          <w:p>
            <w:pPr>
              <w:spacing w:after="20"/>
              <w:jc w:val="right"/>
            </w:pPr>
            <w:r>
              <w:rPr>
                <w:color w:val="1C3A36"/>
                <w:sz w:val="16"/>
              </w:rPr>
              <w:t>86,982</w:t>
            </w:r>
          </w:p>
        </w:tc>
        <w:tc>
          <w:tcPr>
            <w:tcW w:type="dxa" w:w="1015"/>
          </w:tcPr>
          <w:p>
            <w:pPr>
              <w:spacing w:after="20"/>
              <w:jc w:val="right"/>
            </w:pPr>
            <w:r>
              <w:rPr>
                <w:color w:val="1C3A36"/>
                <w:sz w:val="16"/>
              </w:rPr>
              <w:t>88,722</w:t>
            </w:r>
          </w:p>
        </w:tc>
      </w:tr>
      <w:tr>
        <w:tc>
          <w:tcPr>
            <w:tcW w:type="dxa" w:w="1967"/>
          </w:tcPr>
          <w:p>
            <w:pPr>
              <w:spacing w:after="20"/>
            </w:pPr>
            <w:r>
              <w:rPr>
                <w:b/>
                <w:color w:val="1C3A36"/>
                <w:sz w:val="16"/>
              </w:rPr>
              <w:t>Gross profit</w:t>
            </w:r>
          </w:p>
        </w:tc>
        <w:tc>
          <w:tcPr>
            <w:tcW w:type="dxa" w:w="1015"/>
          </w:tcPr>
          <w:p>
            <w:pPr>
              <w:spacing w:after="20"/>
              <w:jc w:val="right"/>
            </w:pPr>
            <w:r>
              <w:rPr>
                <w:color w:val="1C3A36"/>
                <w:sz w:val="16"/>
              </w:rPr>
              <w:t>34,740</w:t>
            </w:r>
          </w:p>
        </w:tc>
        <w:tc>
          <w:tcPr>
            <w:tcW w:type="dxa" w:w="1015"/>
          </w:tcPr>
          <w:p>
            <w:pPr>
              <w:spacing w:after="20"/>
              <w:jc w:val="right"/>
            </w:pPr>
            <w:r>
              <w:rPr>
                <w:color w:val="1C3A36"/>
                <w:sz w:val="16"/>
              </w:rPr>
              <w:t>37,326</w:t>
            </w:r>
          </w:p>
        </w:tc>
        <w:tc>
          <w:tcPr>
            <w:tcW w:type="dxa" w:w="1015"/>
          </w:tcPr>
          <w:p>
            <w:pPr>
              <w:spacing w:after="20"/>
              <w:jc w:val="right"/>
            </w:pPr>
            <w:r>
              <w:rPr>
                <w:color w:val="1C3A36"/>
                <w:sz w:val="16"/>
              </w:rPr>
              <w:t>37,700</w:t>
            </w:r>
          </w:p>
        </w:tc>
        <w:tc>
          <w:tcPr>
            <w:tcW w:type="dxa" w:w="1015"/>
          </w:tcPr>
          <w:p>
            <w:pPr>
              <w:spacing w:after="20"/>
              <w:jc w:val="right"/>
            </w:pPr>
            <w:r>
              <w:rPr>
                <w:color w:val="1C3A36"/>
                <w:sz w:val="16"/>
              </w:rPr>
              <w:t>39,737</w:t>
            </w:r>
          </w:p>
        </w:tc>
        <w:tc>
          <w:tcPr>
            <w:tcW w:type="dxa" w:w="1015"/>
          </w:tcPr>
          <w:p>
            <w:pPr>
              <w:spacing w:after="20"/>
              <w:jc w:val="right"/>
            </w:pPr>
            <w:r>
              <w:rPr>
                <w:color w:val="1C3A36"/>
                <w:sz w:val="16"/>
              </w:rPr>
              <w:t>40,778</w:t>
            </w:r>
          </w:p>
        </w:tc>
        <w:tc>
          <w:tcPr>
            <w:tcW w:type="dxa" w:w="1015"/>
          </w:tcPr>
          <w:p>
            <w:pPr>
              <w:spacing w:after="20"/>
              <w:jc w:val="right"/>
            </w:pPr>
            <w:r>
              <w:rPr>
                <w:color w:val="1C3A36"/>
                <w:sz w:val="16"/>
              </w:rPr>
              <w:t>41,734</w:t>
            </w:r>
          </w:p>
        </w:tc>
        <w:tc>
          <w:tcPr>
            <w:tcW w:type="dxa" w:w="1015"/>
          </w:tcPr>
          <w:p>
            <w:pPr>
              <w:spacing w:after="20"/>
              <w:jc w:val="right"/>
            </w:pPr>
            <w:r>
              <w:rPr>
                <w:color w:val="1C3A36"/>
                <w:sz w:val="16"/>
              </w:rPr>
              <w:t>42,620</w:t>
            </w:r>
          </w:p>
        </w:tc>
        <w:tc>
          <w:tcPr>
            <w:tcW w:type="dxa" w:w="1015"/>
          </w:tcPr>
          <w:p>
            <w:pPr>
              <w:spacing w:after="20"/>
              <w:jc w:val="right"/>
            </w:pPr>
            <w:r>
              <w:rPr>
                <w:color w:val="1C3A36"/>
                <w:sz w:val="16"/>
              </w:rPr>
              <w:t>43,415</w:t>
            </w:r>
          </w:p>
        </w:tc>
      </w:tr>
      <w:tr>
        <w:tc>
          <w:tcPr>
            <w:tcW w:type="dxa" w:w="1967"/>
          </w:tcPr>
          <w:p>
            <w:pPr>
              <w:spacing w:after="20"/>
            </w:pPr>
            <w:r>
              <w:rPr>
                <w:b/>
                <w:color w:val="1C3A36"/>
                <w:sz w:val="16"/>
              </w:rPr>
              <w:t>EBITDA</w:t>
            </w:r>
          </w:p>
        </w:tc>
        <w:tc>
          <w:tcPr>
            <w:tcW w:type="dxa" w:w="1015"/>
          </w:tcPr>
          <w:p>
            <w:pPr>
              <w:spacing w:after="20"/>
              <w:jc w:val="right"/>
            </w:pPr>
            <w:r>
              <w:rPr>
                <w:color w:val="1C3A36"/>
                <w:sz w:val="16"/>
              </w:rPr>
              <w:t>22,445</w:t>
            </w:r>
          </w:p>
        </w:tc>
        <w:tc>
          <w:tcPr>
            <w:tcW w:type="dxa" w:w="1015"/>
          </w:tcPr>
          <w:p>
            <w:pPr>
              <w:spacing w:after="20"/>
              <w:jc w:val="right"/>
            </w:pPr>
            <w:r>
              <w:rPr>
                <w:color w:val="1C3A36"/>
                <w:sz w:val="16"/>
              </w:rPr>
              <w:t>23,951</w:t>
            </w:r>
          </w:p>
        </w:tc>
        <w:tc>
          <w:tcPr>
            <w:tcW w:type="dxa" w:w="1015"/>
          </w:tcPr>
          <w:p>
            <w:pPr>
              <w:spacing w:after="20"/>
              <w:jc w:val="right"/>
            </w:pPr>
            <w:r>
              <w:rPr>
                <w:color w:val="1C3A36"/>
                <w:sz w:val="16"/>
              </w:rPr>
              <w:t>24,469</w:t>
            </w:r>
          </w:p>
        </w:tc>
        <w:tc>
          <w:tcPr>
            <w:tcW w:type="dxa" w:w="1015"/>
          </w:tcPr>
          <w:p>
            <w:pPr>
              <w:spacing w:after="20"/>
              <w:jc w:val="right"/>
            </w:pPr>
            <w:r>
              <w:rPr>
                <w:color w:val="1C3A36"/>
                <w:sz w:val="16"/>
              </w:rPr>
              <w:t>25,882</w:t>
            </w:r>
          </w:p>
        </w:tc>
        <w:tc>
          <w:tcPr>
            <w:tcW w:type="dxa" w:w="1015"/>
          </w:tcPr>
          <w:p>
            <w:pPr>
              <w:spacing w:after="20"/>
              <w:jc w:val="right"/>
            </w:pPr>
            <w:r>
              <w:rPr>
                <w:color w:val="1C3A36"/>
                <w:sz w:val="16"/>
              </w:rPr>
              <w:t>26,537</w:t>
            </w:r>
          </w:p>
        </w:tc>
        <w:tc>
          <w:tcPr>
            <w:tcW w:type="dxa" w:w="1015"/>
          </w:tcPr>
          <w:p>
            <w:pPr>
              <w:spacing w:after="20"/>
              <w:jc w:val="right"/>
            </w:pPr>
            <w:r>
              <w:rPr>
                <w:color w:val="1C3A36"/>
                <w:sz w:val="16"/>
              </w:rPr>
              <w:t>27,138</w:t>
            </w:r>
          </w:p>
        </w:tc>
        <w:tc>
          <w:tcPr>
            <w:tcW w:type="dxa" w:w="1015"/>
          </w:tcPr>
          <w:p>
            <w:pPr>
              <w:spacing w:after="20"/>
              <w:jc w:val="right"/>
            </w:pPr>
            <w:r>
              <w:rPr>
                <w:color w:val="1C3A36"/>
                <w:sz w:val="16"/>
              </w:rPr>
              <w:t>27,694</w:t>
            </w:r>
          </w:p>
        </w:tc>
        <w:tc>
          <w:tcPr>
            <w:tcW w:type="dxa" w:w="1015"/>
          </w:tcPr>
          <w:p>
            <w:pPr>
              <w:spacing w:after="20"/>
              <w:jc w:val="right"/>
            </w:pPr>
            <w:r>
              <w:rPr>
                <w:color w:val="1C3A36"/>
                <w:sz w:val="16"/>
              </w:rPr>
              <w:t>28,190</w:t>
            </w:r>
          </w:p>
        </w:tc>
      </w:tr>
      <w:tr>
        <w:tc>
          <w:tcPr>
            <w:tcW w:type="dxa" w:w="1967"/>
          </w:tcPr>
          <w:p>
            <w:pPr>
              <w:spacing w:after="20"/>
            </w:pPr>
            <w:r>
              <w:rPr>
                <w:b/>
                <w:color w:val="1C3A36"/>
                <w:sz w:val="16"/>
              </w:rPr>
              <w:t>Depreciation, amortisation and impairment</w:t>
            </w:r>
          </w:p>
        </w:tc>
        <w:tc>
          <w:tcPr>
            <w:tcW w:type="dxa" w:w="1015"/>
          </w:tcPr>
          <w:p>
            <w:pPr>
              <w:spacing w:after="20"/>
              <w:jc w:val="right"/>
            </w:pPr>
            <w:r>
              <w:rPr>
                <w:color w:val="1C3A36"/>
                <w:sz w:val="16"/>
              </w:rPr>
              <w:t>(9,284)</w:t>
            </w:r>
          </w:p>
        </w:tc>
        <w:tc>
          <w:tcPr>
            <w:tcW w:type="dxa" w:w="1015"/>
          </w:tcPr>
          <w:p>
            <w:pPr>
              <w:spacing w:after="20"/>
              <w:jc w:val="right"/>
            </w:pPr>
            <w:r>
              <w:rPr>
                <w:color w:val="1C3A36"/>
                <w:sz w:val="16"/>
              </w:rPr>
              <w:t>(9,525)</w:t>
            </w:r>
          </w:p>
        </w:tc>
        <w:tc>
          <w:tcPr>
            <w:tcW w:type="dxa" w:w="1015"/>
          </w:tcPr>
          <w:p>
            <w:pPr>
              <w:spacing w:after="20"/>
              <w:jc w:val="right"/>
            </w:pPr>
            <w:r>
              <w:rPr>
                <w:color w:val="1C3A36"/>
                <w:sz w:val="16"/>
              </w:rPr>
              <w:t>(10,031)</w:t>
            </w:r>
          </w:p>
        </w:tc>
        <w:tc>
          <w:tcPr>
            <w:tcW w:type="dxa" w:w="1015"/>
          </w:tcPr>
          <w:p>
            <w:pPr>
              <w:spacing w:after="20"/>
              <w:jc w:val="right"/>
            </w:pPr>
            <w:r>
              <w:rPr>
                <w:color w:val="1C3A36"/>
                <w:sz w:val="16"/>
              </w:rPr>
              <w:t>(10,407)</w:t>
            </w:r>
          </w:p>
        </w:tc>
        <w:tc>
          <w:tcPr>
            <w:tcW w:type="dxa" w:w="1015"/>
          </w:tcPr>
          <w:p>
            <w:pPr>
              <w:spacing w:after="20"/>
              <w:jc w:val="right"/>
            </w:pPr>
            <w:r>
              <w:rPr>
                <w:color w:val="1C3A36"/>
                <w:sz w:val="16"/>
              </w:rPr>
              <w:t>(10,697)</w:t>
            </w:r>
          </w:p>
        </w:tc>
        <w:tc>
          <w:tcPr>
            <w:tcW w:type="dxa" w:w="1015"/>
          </w:tcPr>
          <w:p>
            <w:pPr>
              <w:spacing w:after="20"/>
              <w:jc w:val="right"/>
            </w:pPr>
            <w:r>
              <w:rPr>
                <w:color w:val="1C3A36"/>
                <w:sz w:val="16"/>
              </w:rPr>
              <w:t>(10,964)</w:t>
            </w:r>
          </w:p>
        </w:tc>
        <w:tc>
          <w:tcPr>
            <w:tcW w:type="dxa" w:w="1015"/>
          </w:tcPr>
          <w:p>
            <w:pPr>
              <w:spacing w:after="20"/>
              <w:jc w:val="right"/>
            </w:pPr>
            <w:r>
              <w:rPr>
                <w:color w:val="1C3A36"/>
                <w:sz w:val="16"/>
              </w:rPr>
              <w:t>(11,212)</w:t>
            </w:r>
          </w:p>
        </w:tc>
        <w:tc>
          <w:tcPr>
            <w:tcW w:type="dxa" w:w="1015"/>
          </w:tcPr>
          <w:p>
            <w:pPr>
              <w:spacing w:after="20"/>
              <w:jc w:val="right"/>
            </w:pPr>
            <w:r>
              <w:rPr>
                <w:color w:val="1C3A36"/>
                <w:sz w:val="16"/>
              </w:rPr>
              <w:t>(11,437)</w:t>
            </w:r>
          </w:p>
        </w:tc>
      </w:tr>
      <w:tr>
        <w:tc>
          <w:tcPr>
            <w:tcW w:type="dxa" w:w="1967"/>
          </w:tcPr>
          <w:p>
            <w:pPr>
              <w:spacing w:after="20"/>
            </w:pPr>
            <w:r>
              <w:rPr>
                <w:b/>
                <w:color w:val="1C3A36"/>
                <w:sz w:val="16"/>
              </w:rPr>
              <w:t>Operating profit (EBIT)</w:t>
            </w:r>
          </w:p>
        </w:tc>
        <w:tc>
          <w:tcPr>
            <w:tcW w:type="dxa" w:w="1015"/>
          </w:tcPr>
          <w:p>
            <w:pPr>
              <w:spacing w:after="20"/>
              <w:jc w:val="right"/>
            </w:pPr>
            <w:r>
              <w:rPr>
                <w:color w:val="1C3A36"/>
                <w:sz w:val="16"/>
              </w:rPr>
              <w:t>13,161</w:t>
            </w:r>
          </w:p>
        </w:tc>
        <w:tc>
          <w:tcPr>
            <w:tcW w:type="dxa" w:w="1015"/>
          </w:tcPr>
          <w:p>
            <w:pPr>
              <w:spacing w:after="20"/>
              <w:jc w:val="right"/>
            </w:pPr>
            <w:r>
              <w:rPr>
                <w:color w:val="1C3A36"/>
                <w:sz w:val="16"/>
              </w:rPr>
              <w:t>14,426</w:t>
            </w:r>
          </w:p>
        </w:tc>
        <w:tc>
          <w:tcPr>
            <w:tcW w:type="dxa" w:w="1015"/>
          </w:tcPr>
          <w:p>
            <w:pPr>
              <w:spacing w:after="20"/>
              <w:jc w:val="right"/>
            </w:pPr>
            <w:r>
              <w:rPr>
                <w:color w:val="1C3A36"/>
                <w:sz w:val="16"/>
              </w:rPr>
              <w:t>14,438</w:t>
            </w:r>
          </w:p>
        </w:tc>
        <w:tc>
          <w:tcPr>
            <w:tcW w:type="dxa" w:w="1015"/>
          </w:tcPr>
          <w:p>
            <w:pPr>
              <w:spacing w:after="20"/>
              <w:jc w:val="right"/>
            </w:pPr>
            <w:r>
              <w:rPr>
                <w:color w:val="1C3A36"/>
                <w:sz w:val="16"/>
              </w:rPr>
              <w:t>15,475</w:t>
            </w:r>
          </w:p>
        </w:tc>
        <w:tc>
          <w:tcPr>
            <w:tcW w:type="dxa" w:w="1015"/>
          </w:tcPr>
          <w:p>
            <w:pPr>
              <w:spacing w:after="20"/>
              <w:jc w:val="right"/>
            </w:pPr>
            <w:r>
              <w:rPr>
                <w:color w:val="1C3A36"/>
                <w:sz w:val="16"/>
              </w:rPr>
              <w:t>15,840</w:t>
            </w:r>
          </w:p>
        </w:tc>
        <w:tc>
          <w:tcPr>
            <w:tcW w:type="dxa" w:w="1015"/>
          </w:tcPr>
          <w:p>
            <w:pPr>
              <w:spacing w:after="20"/>
              <w:jc w:val="right"/>
            </w:pPr>
            <w:r>
              <w:rPr>
                <w:color w:val="1C3A36"/>
                <w:sz w:val="16"/>
              </w:rPr>
              <w:t>16,174</w:t>
            </w:r>
          </w:p>
        </w:tc>
        <w:tc>
          <w:tcPr>
            <w:tcW w:type="dxa" w:w="1015"/>
          </w:tcPr>
          <w:p>
            <w:pPr>
              <w:spacing w:after="20"/>
              <w:jc w:val="right"/>
            </w:pPr>
            <w:r>
              <w:rPr>
                <w:color w:val="1C3A36"/>
                <w:sz w:val="16"/>
              </w:rPr>
              <w:t>16,481</w:t>
            </w:r>
          </w:p>
        </w:tc>
        <w:tc>
          <w:tcPr>
            <w:tcW w:type="dxa" w:w="1015"/>
          </w:tcPr>
          <w:p>
            <w:pPr>
              <w:spacing w:after="20"/>
              <w:jc w:val="right"/>
            </w:pPr>
            <w:r>
              <w:rPr>
                <w:color w:val="1C3A36"/>
                <w:sz w:val="16"/>
              </w:rPr>
              <w:t>16,753</w:t>
            </w:r>
          </w:p>
        </w:tc>
      </w:tr>
      <w:tr>
        <w:tc>
          <w:tcPr>
            <w:tcW w:type="dxa" w:w="1967"/>
          </w:tcPr>
          <w:p>
            <w:pPr>
              <w:spacing w:after="20"/>
            </w:pPr>
            <w:r>
              <w:rPr>
                <w:b/>
                <w:color w:val="1C3A36"/>
                <w:sz w:val="16"/>
              </w:rPr>
              <w:t>Cost of the early retirement programme</w:t>
            </w:r>
          </w:p>
        </w:tc>
        <w:tc>
          <w:tcPr>
            <w:tcW w:type="dxa" w:w="1015"/>
          </w:tcPr>
          <w:p>
            <w:pPr>
              <w:spacing w:after="20"/>
              <w:jc w:val="right"/>
            </w:pPr>
            <w:r>
              <w:rPr>
                <w:color w:val="1C3A36"/>
                <w:sz w:val="16"/>
              </w:rPr>
              <w:t>(863)</w:t>
            </w:r>
          </w:p>
        </w:tc>
        <w:tc>
          <w:tcPr>
            <w:tcW w:type="dxa" w:w="1015"/>
          </w:tcPr>
          <w:p>
            <w:pPr>
              <w:spacing w:after="20"/>
              <w:jc w:val="right"/>
            </w:pPr>
            <w:r>
              <w:rPr>
                <w:color w:val="1C3A36"/>
                <w:sz w:val="16"/>
              </w:rPr>
              <w:t>(2,577)</w:t>
            </w:r>
          </w:p>
        </w:tc>
        <w:tc>
          <w:tcPr>
            <w:tcW w:type="dxa" w:w="1015"/>
          </w:tcPr>
          <w:p>
            <w:pPr>
              <w:spacing w:after="20"/>
              <w:jc w:val="right"/>
            </w:pPr>
            <w:r>
              <w:rPr>
                <w:color w:val="1C3A36"/>
                <w:sz w:val="16"/>
              </w:rPr>
              <w:t>(824)</w:t>
            </w:r>
          </w:p>
        </w:tc>
        <w:tc>
          <w:tcPr>
            <w:tcW w:type="dxa" w:w="1015"/>
          </w:tcPr>
          <w:p>
            <w:pPr>
              <w:spacing w:after="20"/>
              <w:jc w:val="right"/>
            </w:pPr>
            <w:r>
              <w:rPr>
                <w:color w:val="1C3A36"/>
                <w:sz w:val="16"/>
              </w:rPr>
              <w:t>(1,421)</w:t>
            </w:r>
          </w:p>
        </w:tc>
        <w:tc>
          <w:tcPr>
            <w:tcW w:type="dxa" w:w="1015"/>
          </w:tcPr>
          <w:p>
            <w:pPr>
              <w:spacing w:after="20"/>
              <w:jc w:val="right"/>
            </w:pPr>
            <w:r>
              <w:rPr>
                <w:color w:val="1C3A36"/>
                <w:sz w:val="16"/>
              </w:rPr>
              <w:t>(1,451)</w:t>
            </w:r>
          </w:p>
        </w:tc>
        <w:tc>
          <w:tcPr>
            <w:tcW w:type="dxa" w:w="1015"/>
          </w:tcPr>
          <w:p>
            <w:pPr>
              <w:spacing w:after="20"/>
              <w:jc w:val="right"/>
            </w:pPr>
            <w:r>
              <w:rPr>
                <w:color w:val="1C3A36"/>
                <w:sz w:val="16"/>
              </w:rPr>
              <w:t>(1,480)</w:t>
            </w:r>
          </w:p>
        </w:tc>
        <w:tc>
          <w:tcPr>
            <w:tcW w:type="dxa" w:w="1015"/>
          </w:tcPr>
          <w:p>
            <w:pPr>
              <w:spacing w:after="20"/>
              <w:jc w:val="right"/>
            </w:pPr>
            <w:r>
              <w:rPr>
                <w:color w:val="1C3A36"/>
                <w:sz w:val="16"/>
              </w:rPr>
              <w:t>(1,510)</w:t>
            </w:r>
          </w:p>
        </w:tc>
        <w:tc>
          <w:tcPr>
            <w:tcW w:type="dxa" w:w="1015"/>
          </w:tcPr>
          <w:p>
            <w:pPr>
              <w:spacing w:after="20"/>
              <w:jc w:val="right"/>
            </w:pPr>
            <w:r>
              <w:rPr>
                <w:color w:val="1C3A36"/>
                <w:sz w:val="16"/>
              </w:rPr>
              <w:t>(1,540)</w:t>
            </w:r>
          </w:p>
        </w:tc>
      </w:tr>
      <w:tr>
        <w:tc>
          <w:tcPr>
            <w:tcW w:type="dxa" w:w="1967"/>
          </w:tcPr>
          <w:p>
            <w:pPr>
              <w:spacing w:after="20"/>
            </w:pPr>
            <w:r>
              <w:rPr>
                <w:b/>
                <w:color w:val="1C3A36"/>
                <w:sz w:val="16"/>
              </w:rPr>
              <w:t>Finance income</w:t>
            </w:r>
          </w:p>
        </w:tc>
        <w:tc>
          <w:tcPr>
            <w:tcW w:type="dxa" w:w="1015"/>
          </w:tcPr>
          <w:p>
            <w:pPr>
              <w:spacing w:after="20"/>
              <w:jc w:val="right"/>
            </w:pPr>
            <w:r>
              <w:rPr>
                <w:color w:val="1C3A36"/>
                <w:sz w:val="16"/>
              </w:rPr>
              <w:t>1,482</w:t>
            </w:r>
          </w:p>
        </w:tc>
        <w:tc>
          <w:tcPr>
            <w:tcW w:type="dxa" w:w="1015"/>
          </w:tcPr>
          <w:p>
            <w:pPr>
              <w:spacing w:after="20"/>
              <w:jc w:val="right"/>
            </w:pPr>
            <w:r>
              <w:rPr>
                <w:color w:val="1C3A36"/>
                <w:sz w:val="16"/>
              </w:rPr>
              <w:t>1,718</w:t>
            </w:r>
          </w:p>
        </w:tc>
        <w:tc>
          <w:tcPr>
            <w:tcW w:type="dxa" w:w="1015"/>
          </w:tcPr>
          <w:p>
            <w:pPr>
              <w:spacing w:after="20"/>
              <w:jc w:val="right"/>
            </w:pPr>
            <w:r>
              <w:rPr>
                <w:color w:val="1C3A36"/>
                <w:sz w:val="16"/>
              </w:rPr>
              <w:t>1,276</w:t>
            </w:r>
          </w:p>
        </w:tc>
        <w:tc>
          <w:tcPr>
            <w:tcW w:type="dxa" w:w="1015"/>
          </w:tcPr>
          <w:p>
            <w:pPr>
              <w:spacing w:after="20"/>
              <w:jc w:val="right"/>
            </w:pPr>
            <w:r>
              <w:rPr>
                <w:color w:val="1C3A36"/>
                <w:sz w:val="16"/>
              </w:rPr>
              <w:t>952</w:t>
            </w:r>
          </w:p>
        </w:tc>
        <w:tc>
          <w:tcPr>
            <w:tcW w:type="dxa" w:w="1015"/>
          </w:tcPr>
          <w:p>
            <w:pPr>
              <w:spacing w:after="20"/>
              <w:jc w:val="right"/>
            </w:pPr>
            <w:r>
              <w:rPr>
                <w:color w:val="1C3A36"/>
                <w:sz w:val="16"/>
              </w:rPr>
              <w:t>972</w:t>
            </w:r>
          </w:p>
        </w:tc>
        <w:tc>
          <w:tcPr>
            <w:tcW w:type="dxa" w:w="1015"/>
          </w:tcPr>
          <w:p>
            <w:pPr>
              <w:spacing w:after="20"/>
              <w:jc w:val="right"/>
            </w:pPr>
            <w:r>
              <w:rPr>
                <w:color w:val="1C3A36"/>
                <w:sz w:val="16"/>
              </w:rPr>
              <w:t>991</w:t>
            </w:r>
          </w:p>
        </w:tc>
        <w:tc>
          <w:tcPr>
            <w:tcW w:type="dxa" w:w="1015"/>
          </w:tcPr>
          <w:p>
            <w:pPr>
              <w:spacing w:after="20"/>
              <w:jc w:val="right"/>
            </w:pPr>
            <w:r>
              <w:rPr>
                <w:color w:val="1C3A36"/>
                <w:sz w:val="16"/>
              </w:rPr>
              <w:t>1,011</w:t>
            </w:r>
          </w:p>
        </w:tc>
        <w:tc>
          <w:tcPr>
            <w:tcW w:type="dxa" w:w="1015"/>
          </w:tcPr>
          <w:p>
            <w:pPr>
              <w:spacing w:after="20"/>
              <w:jc w:val="right"/>
            </w:pPr>
            <w:r>
              <w:rPr>
                <w:color w:val="1C3A36"/>
                <w:sz w:val="16"/>
              </w:rPr>
              <w:t>1,031</w:t>
            </w:r>
          </w:p>
        </w:tc>
      </w:tr>
      <w:tr>
        <w:tc>
          <w:tcPr>
            <w:tcW w:type="dxa" w:w="1967"/>
          </w:tcPr>
          <w:p>
            <w:pPr>
              <w:spacing w:after="20"/>
            </w:pPr>
            <w:r>
              <w:rPr>
                <w:b/>
                <w:color w:val="1C3A36"/>
                <w:sz w:val="16"/>
              </w:rPr>
              <w:t>Finance cost</w:t>
            </w:r>
          </w:p>
        </w:tc>
        <w:tc>
          <w:tcPr>
            <w:tcW w:type="dxa" w:w="1015"/>
          </w:tcPr>
          <w:p>
            <w:pPr>
              <w:spacing w:after="20"/>
              <w:jc w:val="right"/>
            </w:pPr>
            <w:r>
              <w:rPr>
                <w:color w:val="1C3A36"/>
                <w:sz w:val="16"/>
              </w:rPr>
              <w:t>(1,068)</w:t>
            </w:r>
          </w:p>
        </w:tc>
        <w:tc>
          <w:tcPr>
            <w:tcW w:type="dxa" w:w="1015"/>
          </w:tcPr>
          <w:p>
            <w:pPr>
              <w:spacing w:after="20"/>
              <w:jc w:val="right"/>
            </w:pPr>
            <w:r>
              <w:rPr>
                <w:color w:val="1C3A36"/>
                <w:sz w:val="16"/>
              </w:rPr>
              <w:t>(1,234)</w:t>
            </w:r>
          </w:p>
        </w:tc>
        <w:tc>
          <w:tcPr>
            <w:tcW w:type="dxa" w:w="1015"/>
          </w:tcPr>
          <w:p>
            <w:pPr>
              <w:spacing w:after="20"/>
              <w:jc w:val="right"/>
            </w:pPr>
            <w:r>
              <w:rPr>
                <w:color w:val="1C3A36"/>
                <w:sz w:val="16"/>
              </w:rPr>
              <w:t>(1,125)</w:t>
            </w:r>
          </w:p>
        </w:tc>
        <w:tc>
          <w:tcPr>
            <w:tcW w:type="dxa" w:w="1015"/>
          </w:tcPr>
          <w:p>
            <w:pPr>
              <w:spacing w:after="20"/>
              <w:jc w:val="right"/>
            </w:pPr>
            <w:r>
              <w:rPr>
                <w:color w:val="1C3A36"/>
                <w:sz w:val="16"/>
              </w:rPr>
              <w:t>(1,444)</w:t>
            </w:r>
          </w:p>
        </w:tc>
        <w:tc>
          <w:tcPr>
            <w:tcW w:type="dxa" w:w="1015"/>
          </w:tcPr>
          <w:p>
            <w:pPr>
              <w:spacing w:after="20"/>
              <w:jc w:val="right"/>
            </w:pPr>
            <w:r>
              <w:rPr>
                <w:color w:val="1C3A36"/>
                <w:sz w:val="16"/>
              </w:rPr>
              <w:t>(1,474)</w:t>
            </w:r>
          </w:p>
        </w:tc>
        <w:tc>
          <w:tcPr>
            <w:tcW w:type="dxa" w:w="1015"/>
          </w:tcPr>
          <w:p>
            <w:pPr>
              <w:spacing w:after="20"/>
              <w:jc w:val="right"/>
            </w:pPr>
            <w:r>
              <w:rPr>
                <w:color w:val="1C3A36"/>
                <w:sz w:val="16"/>
              </w:rPr>
              <w:t>(1,503)</w:t>
            </w:r>
          </w:p>
        </w:tc>
        <w:tc>
          <w:tcPr>
            <w:tcW w:type="dxa" w:w="1015"/>
          </w:tcPr>
          <w:p>
            <w:pPr>
              <w:spacing w:after="20"/>
              <w:jc w:val="right"/>
            </w:pPr>
            <w:r>
              <w:rPr>
                <w:color w:val="1C3A36"/>
                <w:sz w:val="16"/>
              </w:rPr>
              <w:t>(1,533)</w:t>
            </w:r>
          </w:p>
        </w:tc>
        <w:tc>
          <w:tcPr>
            <w:tcW w:type="dxa" w:w="1015"/>
          </w:tcPr>
          <w:p>
            <w:pPr>
              <w:spacing w:after="20"/>
              <w:jc w:val="right"/>
            </w:pPr>
            <w:r>
              <w:rPr>
                <w:color w:val="1C3A36"/>
                <w:sz w:val="16"/>
              </w:rPr>
              <w:t>(1,564)</w:t>
            </w:r>
          </w:p>
        </w:tc>
      </w:tr>
      <w:tr>
        <w:tc>
          <w:tcPr>
            <w:tcW w:type="dxa" w:w="1967"/>
          </w:tcPr>
          <w:p>
            <w:pPr>
              <w:spacing w:after="20"/>
            </w:pPr>
            <w:r>
              <w:rPr>
                <w:b/>
                <w:color w:val="1C3A36"/>
                <w:sz w:val="16"/>
              </w:rPr>
              <w:t>Other income, associates and other gains</w:t>
            </w:r>
          </w:p>
        </w:tc>
        <w:tc>
          <w:tcPr>
            <w:tcW w:type="dxa" w:w="1015"/>
          </w:tcPr>
          <w:p>
            <w:pPr>
              <w:spacing w:after="20"/>
              <w:jc w:val="right"/>
            </w:pPr>
            <w:r>
              <w:rPr>
                <w:color w:val="1C3A36"/>
                <w:sz w:val="16"/>
              </w:rPr>
              <w:t>1,275</w:t>
            </w:r>
          </w:p>
        </w:tc>
        <w:tc>
          <w:tcPr>
            <w:tcW w:type="dxa" w:w="1015"/>
          </w:tcPr>
          <w:p>
            <w:pPr>
              <w:spacing w:after="20"/>
              <w:jc w:val="right"/>
            </w:pPr>
            <w:r>
              <w:rPr>
                <w:color w:val="1C3A36"/>
                <w:sz w:val="16"/>
              </w:rPr>
              <w:t>-198</w:t>
            </w:r>
          </w:p>
        </w:tc>
        <w:tc>
          <w:tcPr>
            <w:tcW w:type="dxa" w:w="1015"/>
          </w:tcPr>
          <w:p>
            <w:pPr>
              <w:spacing w:after="20"/>
              <w:jc w:val="right"/>
            </w:pPr>
            <w:r>
              <w:rPr>
                <w:color w:val="1C3A36"/>
                <w:sz w:val="16"/>
              </w:rPr>
              <w:t>957</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r>
      <w:tr>
        <w:tc>
          <w:tcPr>
            <w:tcW w:type="dxa" w:w="1967"/>
          </w:tcPr>
          <w:p>
            <w:pPr>
              <w:spacing w:after="20"/>
            </w:pPr>
            <w:r>
              <w:rPr>
                <w:b/>
                <w:color w:val="1C3A36"/>
                <w:sz w:val="16"/>
              </w:rPr>
              <w:t>Profit before zakat and income tax</w:t>
            </w:r>
          </w:p>
        </w:tc>
        <w:tc>
          <w:tcPr>
            <w:tcW w:type="dxa" w:w="1015"/>
          </w:tcPr>
          <w:p>
            <w:pPr>
              <w:spacing w:after="20"/>
              <w:jc w:val="right"/>
            </w:pPr>
            <w:r>
              <w:rPr>
                <w:color w:val="1C3A36"/>
                <w:sz w:val="16"/>
              </w:rPr>
              <w:t>13,987</w:t>
            </w:r>
          </w:p>
        </w:tc>
        <w:tc>
          <w:tcPr>
            <w:tcW w:type="dxa" w:w="1015"/>
          </w:tcPr>
          <w:p>
            <w:pPr>
              <w:spacing w:after="20"/>
              <w:jc w:val="right"/>
            </w:pPr>
            <w:r>
              <w:rPr>
                <w:color w:val="1C3A36"/>
                <w:sz w:val="16"/>
              </w:rPr>
              <w:t>12,134</w:t>
            </w:r>
          </w:p>
        </w:tc>
        <w:tc>
          <w:tcPr>
            <w:tcW w:type="dxa" w:w="1015"/>
          </w:tcPr>
          <w:p>
            <w:pPr>
              <w:spacing w:after="20"/>
              <w:jc w:val="right"/>
            </w:pPr>
            <w:r>
              <w:rPr>
                <w:color w:val="1C3A36"/>
                <w:sz w:val="16"/>
              </w:rPr>
              <w:t>14,723</w:t>
            </w:r>
          </w:p>
        </w:tc>
        <w:tc>
          <w:tcPr>
            <w:tcW w:type="dxa" w:w="1015"/>
          </w:tcPr>
          <w:p>
            <w:pPr>
              <w:spacing w:after="20"/>
              <w:jc w:val="right"/>
            </w:pPr>
            <w:r>
              <w:rPr>
                <w:color w:val="1C3A36"/>
                <w:sz w:val="16"/>
              </w:rPr>
              <w:t>13,562</w:t>
            </w:r>
          </w:p>
        </w:tc>
        <w:tc>
          <w:tcPr>
            <w:tcW w:type="dxa" w:w="1015"/>
          </w:tcPr>
          <w:p>
            <w:pPr>
              <w:spacing w:after="20"/>
              <w:jc w:val="right"/>
            </w:pPr>
            <w:r>
              <w:rPr>
                <w:color w:val="1C3A36"/>
                <w:sz w:val="16"/>
              </w:rPr>
              <w:t>13,887</w:t>
            </w:r>
          </w:p>
        </w:tc>
        <w:tc>
          <w:tcPr>
            <w:tcW w:type="dxa" w:w="1015"/>
          </w:tcPr>
          <w:p>
            <w:pPr>
              <w:spacing w:after="20"/>
              <w:jc w:val="right"/>
            </w:pPr>
            <w:r>
              <w:rPr>
                <w:color w:val="1C3A36"/>
                <w:sz w:val="16"/>
              </w:rPr>
              <w:t>14,181</w:t>
            </w:r>
          </w:p>
        </w:tc>
        <w:tc>
          <w:tcPr>
            <w:tcW w:type="dxa" w:w="1015"/>
          </w:tcPr>
          <w:p>
            <w:pPr>
              <w:spacing w:after="20"/>
              <w:jc w:val="right"/>
            </w:pPr>
            <w:r>
              <w:rPr>
                <w:color w:val="1C3A36"/>
                <w:sz w:val="16"/>
              </w:rPr>
              <w:t>14,449</w:t>
            </w:r>
          </w:p>
        </w:tc>
        <w:tc>
          <w:tcPr>
            <w:tcW w:type="dxa" w:w="1015"/>
          </w:tcPr>
          <w:p>
            <w:pPr>
              <w:spacing w:after="20"/>
              <w:jc w:val="right"/>
            </w:pPr>
            <w:r>
              <w:rPr>
                <w:color w:val="1C3A36"/>
                <w:sz w:val="16"/>
              </w:rPr>
              <w:t>14,680</w:t>
            </w:r>
          </w:p>
        </w:tc>
      </w:tr>
      <w:tr>
        <w:tc>
          <w:tcPr>
            <w:tcW w:type="dxa" w:w="1967"/>
          </w:tcPr>
          <w:p>
            <w:pPr>
              <w:spacing w:after="20"/>
            </w:pPr>
            <w:r>
              <w:rPr>
                <w:b/>
                <w:color w:val="1C3A36"/>
                <w:sz w:val="16"/>
              </w:rPr>
              <w:t>Zakat and income tax</w:t>
            </w:r>
          </w:p>
        </w:tc>
        <w:tc>
          <w:tcPr>
            <w:tcW w:type="dxa" w:w="1015"/>
          </w:tcPr>
          <w:p>
            <w:pPr>
              <w:spacing w:after="20"/>
              <w:jc w:val="right"/>
            </w:pPr>
            <w:r>
              <w:rPr>
                <w:color w:val="1C3A36"/>
                <w:sz w:val="16"/>
              </w:rPr>
              <w:t>(1,327)</w:t>
            </w:r>
          </w:p>
        </w:tc>
        <w:tc>
          <w:tcPr>
            <w:tcW w:type="dxa" w:w="1015"/>
          </w:tcPr>
          <w:p>
            <w:pPr>
              <w:spacing w:after="20"/>
              <w:jc w:val="right"/>
            </w:pPr>
            <w:r>
              <w:rPr>
                <w:color w:val="1C3A36"/>
                <w:sz w:val="16"/>
              </w:rPr>
              <w:t>(1,192)</w:t>
            </w:r>
          </w:p>
        </w:tc>
        <w:tc>
          <w:tcPr>
            <w:tcW w:type="dxa" w:w="1015"/>
          </w:tcPr>
          <w:p>
            <w:pPr>
              <w:spacing w:after="20"/>
              <w:jc w:val="right"/>
            </w:pPr>
            <w:r>
              <w:rPr>
                <w:color w:val="1C3A36"/>
                <w:sz w:val="16"/>
              </w:rPr>
              <w:t>466</w:t>
            </w:r>
          </w:p>
        </w:tc>
        <w:tc>
          <w:tcPr>
            <w:tcW w:type="dxa" w:w="1015"/>
          </w:tcPr>
          <w:p>
            <w:pPr>
              <w:spacing w:after="20"/>
              <w:jc w:val="right"/>
            </w:pPr>
            <w:r>
              <w:rPr>
                <w:color w:val="1C3A36"/>
                <w:sz w:val="16"/>
              </w:rPr>
              <w:t>(1,121)</w:t>
            </w:r>
          </w:p>
        </w:tc>
        <w:tc>
          <w:tcPr>
            <w:tcW w:type="dxa" w:w="1015"/>
          </w:tcPr>
          <w:p>
            <w:pPr>
              <w:spacing w:after="20"/>
              <w:jc w:val="right"/>
            </w:pPr>
            <w:r>
              <w:rPr>
                <w:color w:val="1C3A36"/>
                <w:sz w:val="16"/>
              </w:rPr>
              <w:t>(1,148)</w:t>
            </w:r>
          </w:p>
        </w:tc>
        <w:tc>
          <w:tcPr>
            <w:tcW w:type="dxa" w:w="1015"/>
          </w:tcPr>
          <w:p>
            <w:pPr>
              <w:spacing w:after="20"/>
              <w:jc w:val="right"/>
            </w:pPr>
            <w:r>
              <w:rPr>
                <w:color w:val="1C3A36"/>
                <w:sz w:val="16"/>
              </w:rPr>
              <w:t>(1,172)</w:t>
            </w:r>
          </w:p>
        </w:tc>
        <w:tc>
          <w:tcPr>
            <w:tcW w:type="dxa" w:w="1015"/>
          </w:tcPr>
          <w:p>
            <w:pPr>
              <w:spacing w:after="20"/>
              <w:jc w:val="right"/>
            </w:pPr>
            <w:r>
              <w:rPr>
                <w:color w:val="1C3A36"/>
                <w:sz w:val="16"/>
              </w:rPr>
              <w:t>(1,194)</w:t>
            </w:r>
          </w:p>
        </w:tc>
        <w:tc>
          <w:tcPr>
            <w:tcW w:type="dxa" w:w="1015"/>
          </w:tcPr>
          <w:p>
            <w:pPr>
              <w:spacing w:after="20"/>
              <w:jc w:val="right"/>
            </w:pPr>
            <w:r>
              <w:rPr>
                <w:color w:val="1C3A36"/>
                <w:sz w:val="16"/>
              </w:rPr>
              <w:t>(1,214)</w:t>
            </w:r>
          </w:p>
        </w:tc>
      </w:tr>
      <w:tr>
        <w:tc>
          <w:tcPr>
            <w:tcW w:type="dxa" w:w="1967"/>
          </w:tcPr>
          <w:p>
            <w:pPr>
              <w:spacing w:after="20"/>
            </w:pPr>
            <w:r>
              <w:rPr>
                <w:b/>
                <w:color w:val="1C3A36"/>
                <w:sz w:val="16"/>
              </w:rPr>
              <w:t>Profit from continuing operations</w:t>
            </w:r>
          </w:p>
        </w:tc>
        <w:tc>
          <w:tcPr>
            <w:tcW w:type="dxa" w:w="1015"/>
          </w:tcPr>
          <w:p>
            <w:pPr>
              <w:spacing w:after="20"/>
              <w:jc w:val="right"/>
            </w:pPr>
            <w:r>
              <w:rPr>
                <w:color w:val="1C3A36"/>
                <w:sz w:val="16"/>
              </w:rPr>
              <w:t>12,660</w:t>
            </w:r>
          </w:p>
        </w:tc>
        <w:tc>
          <w:tcPr>
            <w:tcW w:type="dxa" w:w="1015"/>
          </w:tcPr>
          <w:p>
            <w:pPr>
              <w:spacing w:after="20"/>
              <w:jc w:val="right"/>
            </w:pPr>
            <w:r>
              <w:rPr>
                <w:color w:val="1C3A36"/>
                <w:sz w:val="16"/>
              </w:rPr>
              <w:t>10,943</w:t>
            </w:r>
          </w:p>
        </w:tc>
        <w:tc>
          <w:tcPr>
            <w:tcW w:type="dxa" w:w="1015"/>
          </w:tcPr>
          <w:p>
            <w:pPr>
              <w:spacing w:after="20"/>
              <w:jc w:val="right"/>
            </w:pPr>
            <w:r>
              <w:rPr>
                <w:color w:val="1C3A36"/>
                <w:sz w:val="16"/>
              </w:rPr>
              <w:t>15,189</w:t>
            </w:r>
          </w:p>
        </w:tc>
        <w:tc>
          <w:tcPr>
            <w:tcW w:type="dxa" w:w="1015"/>
          </w:tcPr>
          <w:p>
            <w:pPr>
              <w:spacing w:after="20"/>
              <w:jc w:val="right"/>
            </w:pPr>
            <w:r>
              <w:rPr>
                <w:color w:val="1C3A36"/>
                <w:sz w:val="16"/>
              </w:rPr>
              <w:t>12,440</w:t>
            </w:r>
          </w:p>
        </w:tc>
        <w:tc>
          <w:tcPr>
            <w:tcW w:type="dxa" w:w="1015"/>
          </w:tcPr>
          <w:p>
            <w:pPr>
              <w:spacing w:after="20"/>
              <w:jc w:val="right"/>
            </w:pPr>
            <w:r>
              <w:rPr>
                <w:color w:val="1C3A36"/>
                <w:sz w:val="16"/>
              </w:rPr>
              <w:t>12,739</w:t>
            </w:r>
          </w:p>
        </w:tc>
        <w:tc>
          <w:tcPr>
            <w:tcW w:type="dxa" w:w="1015"/>
          </w:tcPr>
          <w:p>
            <w:pPr>
              <w:spacing w:after="20"/>
              <w:jc w:val="right"/>
            </w:pPr>
            <w:r>
              <w:rPr>
                <w:color w:val="1C3A36"/>
                <w:sz w:val="16"/>
              </w:rPr>
              <w:t>13,009</w:t>
            </w:r>
          </w:p>
        </w:tc>
        <w:tc>
          <w:tcPr>
            <w:tcW w:type="dxa" w:w="1015"/>
          </w:tcPr>
          <w:p>
            <w:pPr>
              <w:spacing w:after="20"/>
              <w:jc w:val="right"/>
            </w:pPr>
            <w:r>
              <w:rPr>
                <w:color w:val="1C3A36"/>
                <w:sz w:val="16"/>
              </w:rPr>
              <w:t>13,254</w:t>
            </w:r>
          </w:p>
        </w:tc>
        <w:tc>
          <w:tcPr>
            <w:tcW w:type="dxa" w:w="1015"/>
          </w:tcPr>
          <w:p>
            <w:pPr>
              <w:spacing w:after="20"/>
              <w:jc w:val="right"/>
            </w:pPr>
            <w:r>
              <w:rPr>
                <w:color w:val="1C3A36"/>
                <w:sz w:val="16"/>
              </w:rPr>
              <w:t>13,467</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1.06x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35.29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70%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at four levels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8.53%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6.3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11.1x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163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35.5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38.22; at 4%, where competition and technology churn eat the spread, it falls to SAR 33.57.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35.5 (range 34–38)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48</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34</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27</w:t>
            </w:r>
          </w:p>
        </w:tc>
      </w:tr>
      <w:tr>
        <w:tc>
          <w:tcPr>
            <w:tcW w:type="dxa" w:w="3168"/>
            <w:shd w:val="clear" w:color="auto" w:fill="F6F1E6"/>
          </w:tcPr>
          <w:p>
            <w:pPr>
              <w:spacing w:after="20"/>
            </w:pPr>
            <w:r>
              <w:rPr>
                <w:b/>
                <w:color w:val="1C3A36"/>
                <w:sz w:val="17"/>
              </w:rPr>
              <w:t>His answer across the three policy worlds</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36.6</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36.6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36.”</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37.”</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35.5</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36.6</w:t>
            </w:r>
          </w:p>
        </w:tc>
      </w:tr>
    </w:tbl>
    <w:p>
      <w:pPr>
        <w:spacing w:after="40"/>
      </w:pPr>
    </w:p>
    <w:p>
      <w:pPr>
        <w:spacing w:after="120" w:before="0"/>
      </w:pPr>
      <w:r>
        <w:rPr>
          <w:b w:val="0"/>
          <w:i w:val="0"/>
          <w:color w:val="1C3A36"/>
          <w:sz w:val="21"/>
        </w:rPr>
        <w:t>The spread — SAR 35.5 to 39.8, 12%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36.06 sits inside that band, SAR 1.24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