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80"/>
      </w:pPr>
      <w:r>
        <w:rPr>
          <w:b/>
          <w:i w:val="0"/>
          <w:color w:val="1C3A36"/>
          <w:sz w:val="24"/>
        </w:rPr>
        <w:t>Independent Valuation Study — Educational Analysis</w:t>
      </w:r>
    </w:p>
    <w:p>
      <w:pPr>
        <w:spacing w:after="40" w:before="0"/>
      </w:pPr>
      <w:r>
        <w:rPr>
          <w:b/>
          <w:i w:val="0"/>
          <w:color w:val="1C3A36"/>
          <w:sz w:val="34"/>
        </w:rPr>
        <w:t>e&amp; — Emirates Telecommunications Group (ADX: EAND)</w:t>
      </w:r>
    </w:p>
    <w:p>
      <w:pPr>
        <w:spacing w:after="160" w:before="0"/>
      </w:pPr>
      <w:r>
        <w:rPr>
          <w:b w:val="0"/>
          <w:i/>
          <w:color w:val="6E7B77"/>
          <w:sz w:val="21"/>
        </w:rPr>
        <w:t>Fundamental analysis · Technical analysis · Monte Carlo simulation — one integrated read</w:t>
      </w:r>
    </w:p>
    <w:p>
      <w:pPr>
        <w:spacing w:after="200" w:before="0"/>
      </w:pPr>
      <w:r>
        <w:rPr>
          <w:b/>
          <w:i w:val="0"/>
          <w:color w:val="1C3A36"/>
          <w:sz w:val="19"/>
        </w:rPr>
        <w:t xml:space="preserve">Anchor: </w:t>
      </w:r>
      <w:r>
        <w:rPr>
          <w:b w:val="0"/>
          <w:i w:val="0"/>
          <w:color w:val="1C3A36"/>
          <w:sz w:val="19"/>
        </w:rPr>
        <w:t xml:space="preserve">AED 19.66 (9 Jul 2026 close) · 8,696.8 mn shares · mkt cap ~AED 171.0 bn (~US$46.6 bn) · the UAE incumbent and one of the largest EM telecom groups: </w:t>
      </w:r>
      <w:r>
        <w:rPr>
          <w:b/>
          <w:i w:val="0"/>
          <w:color w:val="1C3A36"/>
          <w:sz w:val="19"/>
        </w:rPr>
        <w:t>e&amp; UAE</w:t>
      </w:r>
      <w:r>
        <w:rPr>
          <w:b w:val="0"/>
          <w:i w:val="0"/>
          <w:color w:val="1C3A36"/>
          <w:sz w:val="19"/>
        </w:rPr>
        <w:t xml:space="preserve"> (the domestic duopoly leader) plus consolidated stakes — </w:t>
      </w:r>
      <w:r>
        <w:rPr>
          <w:b/>
          <w:i w:val="0"/>
          <w:color w:val="1C3A36"/>
          <w:sz w:val="19"/>
        </w:rPr>
        <w:t>Maroc Telecom 53%, PPF Telecom / e&amp; CEE 50%+1, e&amp; Egypt 66%, PTCL 26% (23.4% economic), e&amp; enterprise, e&amp; life</w:t>
      </w:r>
      <w:r>
        <w:rPr>
          <w:b w:val="0"/>
          <w:i w:val="0"/>
          <w:color w:val="1C3A36"/>
          <w:sz w:val="19"/>
        </w:rPr>
        <w:t xml:space="preserve"> — and equity-accounted stakes in </w:t>
      </w:r>
      <w:r>
        <w:rPr>
          <w:b/>
          <w:i w:val="0"/>
          <w:color w:val="1C3A36"/>
          <w:sz w:val="19"/>
        </w:rPr>
        <w:t>Mobily (28.0%)</w:t>
      </w:r>
      <w:r>
        <w:rPr>
          <w:b w:val="0"/>
          <w:i w:val="0"/>
          <w:color w:val="1C3A36"/>
          <w:sz w:val="19"/>
        </w:rPr>
        <w:t xml:space="preserve"> and, until the sale announced on the study date completes, </w:t>
      </w:r>
      <w:r>
        <w:rPr>
          <w:b/>
          <w:i w:val="0"/>
          <w:color w:val="1C3A36"/>
          <w:sz w:val="19"/>
        </w:rPr>
        <w:t>Vodafone Group (16.21% issued / 17.13% voting)</w:t>
      </w:r>
      <w:r>
        <w:rPr>
          <w:b w:val="0"/>
          <w:i w:val="0"/>
          <w:color w:val="1C3A36"/>
          <w:sz w:val="19"/>
        </w:rPr>
        <w:t>. Reporting currency AED (pegged to USD at 3.6725) · prices and probabilities computed 10 Jul 2026 from the attached daily history · primary lens: consolidated FCFF DCF with a sourced stake-and-claims bridge (SOTP), cross-checked by the dividend-policy DDM, relative multiples and normalized earnings · the swing factors: the 2027 federal-royalty reset, and what the Vodafone exit proceeds become.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READ FIRST — what this document is, and is not.</w:t>
            </w:r>
            <w:r>
              <w:rPr>
                <w:color w:val="1C3A36"/>
                <w:sz w:val="19"/>
              </w:rPr>
            </w:r>
          </w:p>
          <w:p>
            <w:pPr>
              <w:spacing w:after="100"/>
            </w:pP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advisory authorisation, provides no financial consultancy, manages no money, and accepts no fees, funds or clients. See the Disclosure &amp; Disclaimer at the end.</w:t>
            </w:r>
          </w:p>
          <w:p>
            <w:pPr>
              <w:spacing w:after="100"/>
            </w:pPr>
            <w:r>
              <w:rPr>
                <w:color w:val="1C3A36"/>
                <w:sz w:val="19"/>
              </w:rPr>
              <w:t>All values are model outputs presented as ranges and distributions because no single number should be relied on. Reported financials are the company’s own disclosure (FY2023–FY2025 earnings releases; the FY2025 audited consolidated financial statements (EY); the Q1-2026 earnings release and EY-reviewed interim financial statements) — all from eand.com. Forward-looking inputs — the growth and margin paths, capex intensity, the cost of capital, terminal growth, the 2027 royalty scenarios, the multiples and the Monte-Carlo factor probabilities — are the preparer’s judgments and are flagged throughout. Consult a licensed financial advisor before any investment decision.</w:t>
            </w:r>
          </w:p>
          <w:p>
            <w:pPr>
              <w:spacing w:after="100"/>
            </w:pPr>
            <w:r>
              <w:rPr>
                <w:b/>
                <w:color w:val="1C3A36"/>
                <w:sz w:val="19"/>
              </w:rPr>
              <w:t xml:space="preserve">Same-day event. </w:t>
            </w:r>
            <w:r>
              <w:rPr>
                <w:color w:val="1C3A36"/>
                <w:sz w:val="19"/>
              </w:rPr>
              <w:t>On the study date (10 Jul 2026) e&amp; announced the sale of its entire Vodafone stake at 112.5p ≈ AED 21.8 bn gross (≈ AED 4.7 bn net of the associated financing unwind), pending regulatory approvals. The 9-Jul anchor close pre-dates that announcement; the study carries the stake at deal value with the undisturbed market value (≈ AED 19.1 bn at 97.76p) dual-framed throughout.</w:t>
            </w:r>
          </w:p>
        </w:tc>
      </w:tr>
    </w:tbl>
    <w:p>
      <w:pPr>
        <w:spacing w:after="40"/>
      </w:pPr>
    </w:p>
    <w:p>
      <w:pPr>
        <w:spacing w:after="120" w:before="0"/>
      </w:pPr>
      <w:r>
        <w:rPr>
          <w:b w:val="0"/>
          <w:i w:val="0"/>
          <w:color w:val="1C3A36"/>
          <w:sz w:val="21"/>
        </w:rPr>
        <w:t>The company. e&amp; — known as Etisalat Group until its 2022 rebrand — is the UAE’s incumbent operator and the anchor of a two-player market it shares with du, holding roughly 60% of a duopoly that captures 97.5% of the country’s AED 50bn-plus telecom revenue. It makes money three ways: a high-margin domestic franchise (e&amp; UAE ran a 51.2% EBITDA margin in FY2025), a consolidated portfolio of international operators — Maroc Telecom across Morocco and West Africa, PPF’s Central-European networks, e&amp; Egypt, PTCL in Pakistan — and a build-out of enterprise ICT and fintech ventures around the core. Its moat is the UAE licence structure and network primacy, paid for through a federal royalty that took AED 7.4 bn of FY2025 profit and whose 2027 terms are still unwritten. At AED 72.9 bn of revenue, 244.7 mn subscribers and an Aa3/AA− balance sheet carrying just 0.90× net debt to EBITDA, the group’s question is no longer scale but capital rotation: 2025–26 has seen Khazna, Careem and now the entire Vodafone stake converted back into cash and dividend capacity.</w:t>
      </w:r>
    </w:p>
    <w:p>
      <w:pPr>
        <w:spacing w:after="80" w:before="200"/>
      </w:pPr>
      <w:r>
        <w:rPr>
          <w:b/>
          <w:i w:val="0"/>
          <w:color w:val="1C3A36"/>
          <w:sz w:val="24"/>
        </w:rPr>
        <w:t>Q1-2026 update (verified against source, post-anchor)</w:t>
      </w:r>
    </w:p>
    <w:p>
      <w:pPr>
        <w:spacing w:after="120" w:before="0"/>
      </w:pPr>
      <w:r>
        <w:rPr>
          <w:b w:val="0"/>
          <w:i w:val="0"/>
          <w:color w:val="1C3A36"/>
          <w:sz w:val="20"/>
        </w:rPr>
        <w:t>e&amp; reported Q1-2026 results on 28-Apr-2026, ahead of this study’s 9-Jul anchor. Revenue reached AED 19,417mn (+15.1% reported / +11.3% constant-currency, against reiterated FY26 guidance of 8–10% cc); EBITDA reached AED 8,566mn (+16.5%, margin 44.1%, telecom-vertical margin 48.2%); net profit fell 46.2% reported to AED 2,882mn purely on the high base from the Q1-2025 Khazna divestiture gain — stripped of that, net profit rose 3.9%. Capex reached AED 2,827mn (+16.8%; 8.5% UAE intensity vs 21.9% international, both confirmed against the earnings release). Group subscribers reached 248.0mn (+30.8%), of which 12.9mn net adds were organic — the rest is the Telenor Pakistan and SBB consolidations (below). Net debt AED 29,792mn, 0.90× LTM EBITDA — unchanged from the Mar-26 figure used throughout this study. These prints raised FY26E revenue growth to 9.0% (from 8.5%) and the FY26E EBITDA margin to 43.0% (from 42.4%) — both held below the actual Q1 print and management’s own full-year EBITDA-growth guide (4–5% cc, below the 8–10% cc revenue guide), rather than extrapolating Q1’s stronger pace.</w:t>
      </w:r>
    </w:p>
    <w:p>
      <w:pPr>
        <w:spacing w:after="80" w:before="200"/>
      </w:pPr>
      <w:r>
        <w:rPr>
          <w:b/>
          <w:i w:val="0"/>
          <w:color w:val="1C3A36"/>
          <w:sz w:val="24"/>
        </w:rPr>
        <w:t>Headline</w:t>
      </w:r>
    </w:p>
    <w:p>
      <w:pPr>
        <w:spacing w:after="120" w:before="0"/>
      </w:pPr>
      <w:r>
        <w:rPr>
          <w:b w:val="0"/>
          <w:i w:val="0"/>
          <w:color w:val="1C3A36"/>
          <w:sz w:val="21"/>
        </w:rPr>
        <w:t xml:space="preserve">The weighted fundamental central sits at </w:t>
      </w:r>
      <w:r>
        <w:rPr>
          <w:b/>
          <w:i w:val="0"/>
          <w:color w:val="1C3A36"/>
          <w:sz w:val="21"/>
        </w:rPr>
        <w:t>AED 22.72</w:t>
      </w:r>
      <w:r>
        <w:rPr>
          <w:b w:val="0"/>
          <w:i w:val="0"/>
          <w:color w:val="1C3A36"/>
          <w:sz w:val="21"/>
        </w:rPr>
        <w:t xml:space="preserve"> against a 19.66 spot — about </w:t>
      </w:r>
      <w:r>
        <w:rPr>
          <w:b/>
          <w:i w:val="0"/>
          <w:color w:val="1C3A36"/>
          <w:sz w:val="21"/>
        </w:rPr>
        <w:t>15.5%</w:t>
      </w:r>
      <w:r>
        <w:rPr>
          <w:b w:val="0"/>
          <w:i w:val="0"/>
          <w:color w:val="1C3A36"/>
          <w:sz w:val="21"/>
        </w:rPr>
        <w:t xml:space="preserve"> above the market — inside a bear–bull span of </w:t>
      </w:r>
      <w:r>
        <w:rPr>
          <w:b/>
          <w:i w:val="0"/>
          <w:color w:val="1C3A36"/>
          <w:sz w:val="21"/>
        </w:rPr>
        <w:t>17.61–28.75</w:t>
      </w:r>
      <w:r>
        <w:rPr>
          <w:b w:val="0"/>
          <w:i w:val="0"/>
          <w:color w:val="1C3A36"/>
          <w:sz w:val="21"/>
        </w:rPr>
        <w:t>. The gap is not a secret: the market prices the unresolved 2027 royalty regime, the conglomerate’s NCI-heavy structure, and a decade of range-bound trading; the model prices an Aa2-country cost of capital against a franchise that just proved it can turn passive stakes into cash at a premium. The 60-session Monte Carlo is close to flat (median 19.86, +1.0%), because the engine’s price centre is the money-market carry — the fundamental gap never enters the drift.</w:t>
      </w:r>
    </w:p>
    <w:p>
      <w:pPr>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96"/>
            <w:shd w:val="clear" w:color="auto" w:fill="EAF0EE"/>
          </w:tcPr>
          <w:p>
            <w:pPr>
              <w:spacing w:after="20"/>
            </w:pPr>
            <w:r>
              <w:rPr>
                <w:b/>
                <w:color w:val="1C3A36"/>
                <w:sz w:val="18"/>
              </w:rPr>
              <w:t>Lens</w:t>
            </w:r>
          </w:p>
        </w:tc>
        <w:tc>
          <w:tcPr>
            <w:tcW w:type="dxa" w:w="893"/>
            <w:shd w:val="clear" w:color="auto" w:fill="EAF0EE"/>
          </w:tcPr>
          <w:p>
            <w:pPr>
              <w:spacing w:after="20"/>
            </w:pPr>
            <w:r>
              <w:rPr>
                <w:b/>
                <w:color w:val="1C3A36"/>
                <w:sz w:val="18"/>
              </w:rPr>
              <w:t>Bear</w:t>
            </w:r>
          </w:p>
        </w:tc>
        <w:tc>
          <w:tcPr>
            <w:tcW w:type="dxa" w:w="893"/>
            <w:shd w:val="clear" w:color="auto" w:fill="EAF0EE"/>
          </w:tcPr>
          <w:p>
            <w:pPr>
              <w:spacing w:after="20"/>
            </w:pPr>
            <w:r>
              <w:rPr>
                <w:b/>
                <w:color w:val="1C3A36"/>
                <w:sz w:val="18"/>
              </w:rPr>
              <w:t>Base</w:t>
            </w:r>
          </w:p>
        </w:tc>
        <w:tc>
          <w:tcPr>
            <w:tcW w:type="dxa" w:w="893"/>
            <w:shd w:val="clear" w:color="auto" w:fill="EAF0EE"/>
          </w:tcPr>
          <w:p>
            <w:pPr>
              <w:spacing w:after="20"/>
            </w:pPr>
            <w:r>
              <w:rPr>
                <w:b/>
                <w:color w:val="1C3A36"/>
                <w:sz w:val="18"/>
              </w:rPr>
              <w:t>Bull</w:t>
            </w:r>
          </w:p>
        </w:tc>
        <w:tc>
          <w:tcPr>
            <w:tcW w:type="dxa" w:w="893"/>
            <w:shd w:val="clear" w:color="auto" w:fill="EAF0EE"/>
          </w:tcPr>
          <w:p>
            <w:pPr>
              <w:spacing w:after="20"/>
            </w:pPr>
            <w:r>
              <w:rPr>
                <w:b/>
                <w:color w:val="1C3A36"/>
                <w:sz w:val="18"/>
              </w:rPr>
              <w:t>Weight</w:t>
            </w:r>
          </w:p>
        </w:tc>
        <w:tc>
          <w:tcPr>
            <w:tcW w:type="dxa" w:w="3456"/>
            <w:shd w:val="clear" w:color="auto" w:fill="EAF0EE"/>
          </w:tcPr>
          <w:p>
            <w:pPr>
              <w:spacing w:after="20"/>
            </w:pPr>
            <w:r>
              <w:rPr>
                <w:b/>
                <w:color w:val="1C3A36"/>
                <w:sz w:val="18"/>
              </w:rPr>
              <w:t>One-line read</w:t>
            </w:r>
          </w:p>
        </w:tc>
      </w:tr>
      <w:tr>
        <w:tc>
          <w:tcPr>
            <w:tcW w:type="dxa" w:w="3096"/>
          </w:tcPr>
          <w:p>
            <w:pPr>
              <w:spacing w:after="20"/>
            </w:pPr>
            <w:r>
              <w:rPr>
                <w:color w:val="1C3A36"/>
                <w:sz w:val="18"/>
              </w:rPr>
              <w:t>FCFF DCF + stakes bridge (primary)</w:t>
            </w:r>
          </w:p>
        </w:tc>
        <w:tc>
          <w:tcPr>
            <w:tcW w:type="dxa" w:w="893"/>
          </w:tcPr>
          <w:p>
            <w:pPr>
              <w:spacing w:after="20"/>
              <w:jc w:val="right"/>
            </w:pPr>
            <w:r>
              <w:rPr>
                <w:color w:val="1C3A36"/>
                <w:sz w:val="18"/>
              </w:rPr>
              <w:t>20.26</w:t>
            </w:r>
          </w:p>
        </w:tc>
        <w:tc>
          <w:tcPr>
            <w:tcW w:type="dxa" w:w="893"/>
          </w:tcPr>
          <w:p>
            <w:pPr>
              <w:spacing w:after="20"/>
              <w:jc w:val="right"/>
            </w:pPr>
            <w:r>
              <w:rPr>
                <w:color w:val="1C3A36"/>
                <w:sz w:val="18"/>
              </w:rPr>
              <w:t>28.38</w:t>
            </w:r>
          </w:p>
        </w:tc>
        <w:tc>
          <w:tcPr>
            <w:tcW w:type="dxa" w:w="893"/>
          </w:tcPr>
          <w:p>
            <w:pPr>
              <w:spacing w:after="20"/>
              <w:jc w:val="right"/>
            </w:pPr>
            <w:r>
              <w:rPr>
                <w:color w:val="1C3A36"/>
                <w:sz w:val="18"/>
              </w:rPr>
              <w:t>39.04</w:t>
            </w:r>
          </w:p>
        </w:tc>
        <w:tc>
          <w:tcPr>
            <w:tcW w:type="dxa" w:w="893"/>
          </w:tcPr>
          <w:p>
            <w:pPr>
              <w:spacing w:after="20"/>
              <w:jc w:val="right"/>
            </w:pPr>
            <w:r>
              <w:rPr>
                <w:color w:val="1C3A36"/>
                <w:sz w:val="18"/>
              </w:rPr>
              <w:t>35%</w:t>
            </w:r>
          </w:p>
        </w:tc>
        <w:tc>
          <w:tcPr>
            <w:tcW w:type="dxa" w:w="3456"/>
          </w:tcPr>
          <w:p>
            <w:pPr>
              <w:spacing w:after="20"/>
              <w:jc w:val="right"/>
            </w:pPr>
            <w:r>
              <w:rPr>
                <w:color w:val="1C3A36"/>
                <w:sz w:val="18"/>
              </w:rPr>
              <w:t>Consolidated cash engine at WACC 7.6%; TV 79% of EV — disclosed</w:t>
            </w:r>
          </w:p>
        </w:tc>
      </w:tr>
      <w:tr>
        <w:tc>
          <w:tcPr>
            <w:tcW w:type="dxa" w:w="3096"/>
          </w:tcPr>
          <w:p>
            <w:pPr>
              <w:spacing w:after="20"/>
            </w:pPr>
            <w:r>
              <w:rPr>
                <w:color w:val="1C3A36"/>
                <w:sz w:val="18"/>
              </w:rPr>
              <w:t>Dividend discount (policy lens)</w:t>
            </w:r>
          </w:p>
        </w:tc>
        <w:tc>
          <w:tcPr>
            <w:tcW w:type="dxa" w:w="893"/>
          </w:tcPr>
          <w:p>
            <w:pPr>
              <w:spacing w:after="20"/>
              <w:jc w:val="right"/>
            </w:pPr>
            <w:r>
              <w:rPr>
                <w:color w:val="1C3A36"/>
                <w:sz w:val="18"/>
              </w:rPr>
              <w:t>12.19</w:t>
            </w:r>
          </w:p>
        </w:tc>
        <w:tc>
          <w:tcPr>
            <w:tcW w:type="dxa" w:w="893"/>
          </w:tcPr>
          <w:p>
            <w:pPr>
              <w:spacing w:after="20"/>
              <w:jc w:val="right"/>
            </w:pPr>
            <w:r>
              <w:rPr>
                <w:color w:val="1C3A36"/>
                <w:sz w:val="18"/>
              </w:rPr>
              <w:t>17.03</w:t>
            </w:r>
          </w:p>
        </w:tc>
        <w:tc>
          <w:tcPr>
            <w:tcW w:type="dxa" w:w="893"/>
          </w:tcPr>
          <w:p>
            <w:pPr>
              <w:spacing w:after="20"/>
              <w:jc w:val="right"/>
            </w:pPr>
            <w:r>
              <w:rPr>
                <w:color w:val="1C3A36"/>
                <w:sz w:val="18"/>
              </w:rPr>
              <w:t>21.62</w:t>
            </w:r>
          </w:p>
        </w:tc>
        <w:tc>
          <w:tcPr>
            <w:tcW w:type="dxa" w:w="893"/>
          </w:tcPr>
          <w:p>
            <w:pPr>
              <w:spacing w:after="20"/>
              <w:jc w:val="right"/>
            </w:pPr>
            <w:r>
              <w:rPr>
                <w:color w:val="1C3A36"/>
                <w:sz w:val="18"/>
              </w:rPr>
              <w:t>25%</w:t>
            </w:r>
          </w:p>
        </w:tc>
        <w:tc>
          <w:tcPr>
            <w:tcW w:type="dxa" w:w="3456"/>
          </w:tcPr>
          <w:p>
            <w:pPr>
              <w:spacing w:after="20"/>
              <w:jc w:val="right"/>
            </w:pPr>
            <w:r>
              <w:rPr>
                <w:color w:val="1C3A36"/>
                <w:sz w:val="18"/>
              </w:rPr>
              <w:t>95-fils FY26 DPS growing ~4%; the cash a holder actually receives</w:t>
            </w:r>
          </w:p>
        </w:tc>
      </w:tr>
      <w:tr>
        <w:tc>
          <w:tcPr>
            <w:tcW w:type="dxa" w:w="3096"/>
          </w:tcPr>
          <w:p>
            <w:pPr>
              <w:spacing w:after="20"/>
            </w:pPr>
            <w:r>
              <w:rPr>
                <w:color w:val="1C3A36"/>
                <w:sz w:val="18"/>
              </w:rPr>
              <w:t>Relative EV/EBITDA</w:t>
            </w:r>
          </w:p>
        </w:tc>
        <w:tc>
          <w:tcPr>
            <w:tcW w:type="dxa" w:w="893"/>
          </w:tcPr>
          <w:p>
            <w:pPr>
              <w:spacing w:after="20"/>
              <w:jc w:val="right"/>
            </w:pPr>
            <w:r>
              <w:rPr>
                <w:color w:val="1C3A36"/>
                <w:sz w:val="18"/>
              </w:rPr>
              <w:t>21.76</w:t>
            </w:r>
          </w:p>
        </w:tc>
        <w:tc>
          <w:tcPr>
            <w:tcW w:type="dxa" w:w="893"/>
          </w:tcPr>
          <w:p>
            <w:pPr>
              <w:spacing w:after="20"/>
              <w:jc w:val="right"/>
            </w:pPr>
            <w:r>
              <w:rPr>
                <w:color w:val="1C3A36"/>
                <w:sz w:val="18"/>
              </w:rPr>
              <w:t>23.72</w:t>
            </w:r>
          </w:p>
        </w:tc>
        <w:tc>
          <w:tcPr>
            <w:tcW w:type="dxa" w:w="893"/>
          </w:tcPr>
          <w:p>
            <w:pPr>
              <w:spacing w:after="20"/>
              <w:jc w:val="right"/>
            </w:pPr>
            <w:r>
              <w:rPr>
                <w:color w:val="1C3A36"/>
                <w:sz w:val="18"/>
              </w:rPr>
              <w:t>25.69</w:t>
            </w:r>
          </w:p>
        </w:tc>
        <w:tc>
          <w:tcPr>
            <w:tcW w:type="dxa" w:w="893"/>
          </w:tcPr>
          <w:p>
            <w:pPr>
              <w:spacing w:after="20"/>
              <w:jc w:val="right"/>
            </w:pPr>
            <w:r>
              <w:rPr>
                <w:color w:val="1C3A36"/>
                <w:sz w:val="18"/>
              </w:rPr>
              <w:t>20%</w:t>
            </w:r>
          </w:p>
        </w:tc>
        <w:tc>
          <w:tcPr>
            <w:tcW w:type="dxa" w:w="3456"/>
          </w:tcPr>
          <w:p>
            <w:pPr>
              <w:spacing w:after="20"/>
              <w:jc w:val="right"/>
            </w:pPr>
            <w:r>
              <w:rPr>
                <w:color w:val="1C3A36"/>
                <w:sz w:val="18"/>
              </w:rPr>
              <w:t>6.0–7.0× FY26E through the same stake bridge</w:t>
            </w:r>
          </w:p>
        </w:tc>
      </w:tr>
      <w:tr>
        <w:tc>
          <w:tcPr>
            <w:tcW w:type="dxa" w:w="3096"/>
          </w:tcPr>
          <w:p>
            <w:pPr>
              <w:spacing w:after="20"/>
            </w:pPr>
            <w:r>
              <w:rPr>
                <w:color w:val="1C3A36"/>
                <w:sz w:val="18"/>
              </w:rPr>
              <w:t>Normalized earnings</w:t>
            </w:r>
          </w:p>
        </w:tc>
        <w:tc>
          <w:tcPr>
            <w:tcW w:type="dxa" w:w="893"/>
          </w:tcPr>
          <w:p>
            <w:pPr>
              <w:spacing w:after="20"/>
              <w:jc w:val="right"/>
            </w:pPr>
            <w:r>
              <w:rPr>
                <w:color w:val="1C3A36"/>
                <w:sz w:val="18"/>
              </w:rPr>
              <w:t>15.60</w:t>
            </w:r>
          </w:p>
        </w:tc>
        <w:tc>
          <w:tcPr>
            <w:tcW w:type="dxa" w:w="893"/>
          </w:tcPr>
          <w:p>
            <w:pPr>
              <w:spacing w:after="20"/>
              <w:jc w:val="right"/>
            </w:pPr>
            <w:r>
              <w:rPr>
                <w:color w:val="1C3A36"/>
                <w:sz w:val="18"/>
              </w:rPr>
              <w:t>18.90</w:t>
            </w:r>
          </w:p>
        </w:tc>
        <w:tc>
          <w:tcPr>
            <w:tcW w:type="dxa" w:w="893"/>
          </w:tcPr>
          <w:p>
            <w:pPr>
              <w:spacing w:after="20"/>
              <w:jc w:val="right"/>
            </w:pPr>
            <w:r>
              <w:rPr>
                <w:color w:val="1C3A36"/>
                <w:sz w:val="18"/>
              </w:rPr>
              <w:t>22.72</w:t>
            </w:r>
          </w:p>
        </w:tc>
        <w:tc>
          <w:tcPr>
            <w:tcW w:type="dxa" w:w="893"/>
          </w:tcPr>
          <w:p>
            <w:pPr>
              <w:spacing w:after="20"/>
              <w:jc w:val="right"/>
            </w:pPr>
            <w:r>
              <w:rPr>
                <w:color w:val="1C3A36"/>
                <w:sz w:val="18"/>
              </w:rPr>
              <w:t>20%</w:t>
            </w:r>
          </w:p>
        </w:tc>
        <w:tc>
          <w:tcPr>
            <w:tcW w:type="dxa" w:w="3456"/>
          </w:tcPr>
          <w:p>
            <w:pPr>
              <w:spacing w:after="20"/>
              <w:jc w:val="right"/>
            </w:pPr>
            <w:r>
              <w:rPr>
                <w:color w:val="1C3A36"/>
                <w:sz w:val="18"/>
              </w:rPr>
              <w:t>Clean EPS ~1.35 × 12–16× GCC telecom multiple</w:t>
            </w:r>
          </w:p>
        </w:tc>
      </w:tr>
      <w:tr>
        <w:tc>
          <w:tcPr>
            <w:tcW w:type="dxa" w:w="3096"/>
            <w:shd w:val="clear" w:color="auto" w:fill="F6F1E6"/>
          </w:tcPr>
          <w:p>
            <w:pPr>
              <w:spacing w:after="20"/>
            </w:pPr>
            <w:r>
              <w:rPr>
                <w:b/>
                <w:color w:val="1C3A36"/>
                <w:sz w:val="18"/>
              </w:rPr>
              <w:t>Weighted central</w:t>
            </w:r>
          </w:p>
        </w:tc>
        <w:tc>
          <w:tcPr>
            <w:tcW w:type="dxa" w:w="893"/>
            <w:shd w:val="clear" w:color="auto" w:fill="F6F1E6"/>
          </w:tcPr>
          <w:p>
            <w:pPr>
              <w:spacing w:after="20"/>
              <w:jc w:val="right"/>
            </w:pPr>
            <w:r>
              <w:rPr>
                <w:b/>
                <w:color w:val="1C3A36"/>
                <w:sz w:val="18"/>
              </w:rPr>
              <w:t>17.61</w:t>
            </w:r>
          </w:p>
        </w:tc>
        <w:tc>
          <w:tcPr>
            <w:tcW w:type="dxa" w:w="893"/>
            <w:shd w:val="clear" w:color="auto" w:fill="F6F1E6"/>
          </w:tcPr>
          <w:p>
            <w:pPr>
              <w:spacing w:after="20"/>
              <w:jc w:val="right"/>
            </w:pPr>
            <w:r>
              <w:rPr>
                <w:b/>
                <w:color w:val="1C3A36"/>
                <w:sz w:val="18"/>
              </w:rPr>
              <w:t>22.72</w:t>
            </w:r>
          </w:p>
        </w:tc>
        <w:tc>
          <w:tcPr>
            <w:tcW w:type="dxa" w:w="893"/>
            <w:shd w:val="clear" w:color="auto" w:fill="F6F1E6"/>
          </w:tcPr>
          <w:p>
            <w:pPr>
              <w:spacing w:after="20"/>
              <w:jc w:val="right"/>
            </w:pPr>
            <w:r>
              <w:rPr>
                <w:b/>
                <w:color w:val="1C3A36"/>
                <w:sz w:val="18"/>
              </w:rPr>
              <w:t>28.75</w:t>
            </w:r>
          </w:p>
        </w:tc>
        <w:tc>
          <w:tcPr>
            <w:tcW w:type="dxa" w:w="893"/>
            <w:shd w:val="clear" w:color="auto" w:fill="F6F1E6"/>
          </w:tcPr>
          <w:p>
            <w:pPr>
              <w:spacing w:after="20"/>
              <w:jc w:val="right"/>
            </w:pPr>
            <w:r>
              <w:rPr>
                <w:b/>
                <w:color w:val="1C3A36"/>
                <w:sz w:val="18"/>
              </w:rPr>
              <w:t>100%</w:t>
            </w:r>
          </w:p>
        </w:tc>
        <w:tc>
          <w:tcPr>
            <w:tcW w:type="dxa" w:w="3456"/>
            <w:shd w:val="clear" w:color="auto" w:fill="F6F1E6"/>
          </w:tcPr>
          <w:p>
            <w:pPr>
              <w:spacing w:after="20"/>
              <w:jc w:val="right"/>
            </w:pPr>
            <w:r>
              <w:rPr>
                <w:b/>
                <w:color w:val="1C3A36"/>
                <w:sz w:val="18"/>
              </w:rPr>
              <w:t>15.5% above spot; the crux is the 2027 royalty</w:t>
            </w:r>
          </w:p>
        </w:tc>
      </w:tr>
    </w:tbl>
    <w:p>
      <w:pPr>
        <w:spacing w:after="40"/>
      </w:pPr>
    </w:p>
    <w:p>
      <w:pPr>
        <w:spacing w:after="120" w:before="0"/>
      </w:pPr>
      <w:r>
        <w:rPr>
          <w:b w:val="0"/>
          <w:i/>
          <w:color w:val="6E7B77"/>
          <w:sz w:val="18"/>
        </w:rPr>
        <w:t>The DCF and the market lenses are deliberately not blended into one point: the football field in §1.5 carries the divergence, and §4 reads it.</w:t>
      </w:r>
    </w:p>
    <w:p>
      <w:pPr>
        <w:spacing w:after="80" w:before="200"/>
      </w:pPr>
      <w:r>
        <w:rPr>
          <w:b/>
          <w:i w:val="0"/>
          <w:color w:val="1C3A36"/>
          <w:sz w:val="24"/>
        </w:rPr>
        <w:t>Company overview — e&amp;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232"/>
            <w:shd w:val="clear" w:color="auto" w:fill="EAF0EE"/>
          </w:tcPr>
          <w:p>
            <w:pPr>
              <w:spacing w:after="20"/>
            </w:pPr>
            <w:r>
              <w:rPr>
                <w:b/>
                <w:color w:val="1C3A36"/>
                <w:sz w:val="18"/>
              </w:rPr>
              <w:t>Item</w:t>
            </w:r>
          </w:p>
        </w:tc>
        <w:tc>
          <w:tcPr>
            <w:tcW w:type="dxa" w:w="3096"/>
            <w:shd w:val="clear" w:color="auto" w:fill="EAF0EE"/>
          </w:tcPr>
          <w:p>
            <w:pPr>
              <w:spacing w:after="20"/>
            </w:pPr>
            <w:r>
              <w:rPr>
                <w:b/>
                <w:color w:val="1C3A36"/>
                <w:sz w:val="18"/>
              </w:rPr>
              <w:t>Value</w:t>
            </w:r>
          </w:p>
        </w:tc>
        <w:tc>
          <w:tcPr>
            <w:tcW w:type="dxa" w:w="2232"/>
            <w:shd w:val="clear" w:color="auto" w:fill="EAF0EE"/>
          </w:tcPr>
          <w:p>
            <w:pPr>
              <w:spacing w:after="20"/>
            </w:pPr>
            <w:r>
              <w:rPr>
                <w:b/>
                <w:color w:val="1C3A36"/>
                <w:sz w:val="18"/>
              </w:rPr>
              <w:t>Item</w:t>
            </w:r>
          </w:p>
        </w:tc>
        <w:tc>
          <w:tcPr>
            <w:tcW w:type="dxa" w:w="3312"/>
            <w:shd w:val="clear" w:color="auto" w:fill="EAF0EE"/>
          </w:tcPr>
          <w:p>
            <w:pPr>
              <w:spacing w:after="20"/>
            </w:pPr>
            <w:r>
              <w:rPr>
                <w:b/>
                <w:color w:val="1C3A36"/>
                <w:sz w:val="18"/>
              </w:rPr>
              <w:t>Value</w:t>
            </w:r>
          </w:p>
        </w:tc>
      </w:tr>
      <w:tr>
        <w:tc>
          <w:tcPr>
            <w:tcW w:type="dxa" w:w="2232"/>
          </w:tcPr>
          <w:p>
            <w:pPr>
              <w:spacing w:after="20"/>
            </w:pPr>
            <w:r>
              <w:rPr>
                <w:color w:val="1C3A36"/>
                <w:sz w:val="18"/>
              </w:rPr>
              <w:t>Exchange / ticker</w:t>
            </w:r>
          </w:p>
        </w:tc>
        <w:tc>
          <w:tcPr>
            <w:tcW w:type="dxa" w:w="3096"/>
          </w:tcPr>
          <w:p>
            <w:pPr>
              <w:spacing w:after="20"/>
              <w:jc w:val="right"/>
            </w:pPr>
            <w:r>
              <w:rPr>
                <w:color w:val="1C3A36"/>
                <w:sz w:val="18"/>
              </w:rPr>
              <w:t>ADX : EAND</w:t>
            </w:r>
          </w:p>
        </w:tc>
        <w:tc>
          <w:tcPr>
            <w:tcW w:type="dxa" w:w="2232"/>
          </w:tcPr>
          <w:p>
            <w:pPr>
              <w:spacing w:after="20"/>
              <w:jc w:val="right"/>
            </w:pPr>
            <w:r>
              <w:rPr>
                <w:color w:val="1C3A36"/>
                <w:sz w:val="18"/>
              </w:rPr>
              <w:t>Spot / 52-wk range</w:t>
            </w:r>
          </w:p>
        </w:tc>
        <w:tc>
          <w:tcPr>
            <w:tcW w:type="dxa" w:w="3312"/>
          </w:tcPr>
          <w:p>
            <w:pPr>
              <w:spacing w:after="20"/>
              <w:jc w:val="right"/>
            </w:pPr>
            <w:r>
              <w:rPr>
                <w:color w:val="1C3A36"/>
                <w:sz w:val="18"/>
              </w:rPr>
              <w:t>19.66 / 17.40–21.60</w:t>
            </w:r>
          </w:p>
        </w:tc>
      </w:tr>
      <w:tr>
        <w:tc>
          <w:tcPr>
            <w:tcW w:type="dxa" w:w="2232"/>
          </w:tcPr>
          <w:p>
            <w:pPr>
              <w:spacing w:after="20"/>
            </w:pPr>
            <w:r>
              <w:rPr>
                <w:color w:val="1C3A36"/>
                <w:sz w:val="18"/>
              </w:rPr>
              <w:t>Shares / market cap</w:t>
            </w:r>
          </w:p>
        </w:tc>
        <w:tc>
          <w:tcPr>
            <w:tcW w:type="dxa" w:w="3096"/>
          </w:tcPr>
          <w:p>
            <w:pPr>
              <w:spacing w:after="20"/>
              <w:jc w:val="right"/>
            </w:pPr>
            <w:r>
              <w:rPr>
                <w:color w:val="1C3A36"/>
                <w:sz w:val="18"/>
              </w:rPr>
              <w:t>8,696.8 mn / AED 171.0 bn</w:t>
            </w:r>
          </w:p>
        </w:tc>
        <w:tc>
          <w:tcPr>
            <w:tcW w:type="dxa" w:w="2232"/>
          </w:tcPr>
          <w:p>
            <w:pPr>
              <w:spacing w:after="20"/>
              <w:jc w:val="right"/>
            </w:pPr>
            <w:r>
              <w:rPr>
                <w:color w:val="1C3A36"/>
                <w:sz w:val="18"/>
              </w:rPr>
              <w:t>Free float</w:t>
            </w:r>
          </w:p>
        </w:tc>
        <w:tc>
          <w:tcPr>
            <w:tcW w:type="dxa" w:w="3312"/>
          </w:tcPr>
          <w:p>
            <w:pPr>
              <w:spacing w:after="20"/>
              <w:jc w:val="right"/>
            </w:pPr>
            <w:r>
              <w:rPr>
                <w:color w:val="1C3A36"/>
                <w:sz w:val="18"/>
              </w:rPr>
              <w:t>~40% (EIA holds 60%)</w:t>
            </w:r>
          </w:p>
        </w:tc>
      </w:tr>
      <w:tr>
        <w:tc>
          <w:tcPr>
            <w:tcW w:type="dxa" w:w="2232"/>
          </w:tcPr>
          <w:p>
            <w:pPr>
              <w:spacing w:after="20"/>
            </w:pPr>
            <w:r>
              <w:rPr>
                <w:color w:val="1C3A36"/>
                <w:sz w:val="18"/>
              </w:rPr>
              <w:t>FY25 revenue / EBITDA</w:t>
            </w:r>
          </w:p>
        </w:tc>
        <w:tc>
          <w:tcPr>
            <w:tcW w:type="dxa" w:w="3096"/>
          </w:tcPr>
          <w:p>
            <w:pPr>
              <w:spacing w:after="20"/>
              <w:jc w:val="right"/>
            </w:pPr>
            <w:r>
              <w:rPr>
                <w:color w:val="1C3A36"/>
                <w:sz w:val="18"/>
              </w:rPr>
              <w:t>AED 72,858 / 32,022 mn (44.0%)</w:t>
            </w:r>
          </w:p>
        </w:tc>
        <w:tc>
          <w:tcPr>
            <w:tcW w:type="dxa" w:w="2232"/>
          </w:tcPr>
          <w:p>
            <w:pPr>
              <w:spacing w:after="20"/>
              <w:jc w:val="right"/>
            </w:pPr>
            <w:r>
              <w:rPr>
                <w:color w:val="1C3A36"/>
                <w:sz w:val="18"/>
              </w:rPr>
              <w:t>FY25 net profit (owners)</w:t>
            </w:r>
          </w:p>
        </w:tc>
        <w:tc>
          <w:tcPr>
            <w:tcW w:type="dxa" w:w="3312"/>
          </w:tcPr>
          <w:p>
            <w:pPr>
              <w:spacing w:after="20"/>
              <w:jc w:val="right"/>
            </w:pPr>
            <w:r>
              <w:rPr>
                <w:color w:val="1C3A36"/>
                <w:sz w:val="18"/>
              </w:rPr>
              <w:t>AED 14,360 mn · EPS 1.65 (1.31 ex-one-offs)</w:t>
            </w:r>
          </w:p>
        </w:tc>
      </w:tr>
      <w:tr>
        <w:tc>
          <w:tcPr>
            <w:tcW w:type="dxa" w:w="2232"/>
          </w:tcPr>
          <w:p>
            <w:pPr>
              <w:spacing w:after="20"/>
            </w:pPr>
            <w:r>
              <w:rPr>
                <w:color w:val="1C3A36"/>
                <w:sz w:val="18"/>
              </w:rPr>
              <w:t>Net debt (Mar-26)</w:t>
            </w:r>
          </w:p>
        </w:tc>
        <w:tc>
          <w:tcPr>
            <w:tcW w:type="dxa" w:w="3096"/>
          </w:tcPr>
          <w:p>
            <w:pPr>
              <w:spacing w:after="20"/>
              <w:jc w:val="right"/>
            </w:pPr>
            <w:r>
              <w:rPr>
                <w:color w:val="1C3A36"/>
                <w:sz w:val="18"/>
              </w:rPr>
              <w:t>AED 29,792 mn · 0.90× EBITDA</w:t>
            </w:r>
          </w:p>
        </w:tc>
        <w:tc>
          <w:tcPr>
            <w:tcW w:type="dxa" w:w="2232"/>
          </w:tcPr>
          <w:p>
            <w:pPr>
              <w:spacing w:after="20"/>
              <w:jc w:val="right"/>
            </w:pPr>
            <w:r>
              <w:rPr>
                <w:color w:val="1C3A36"/>
                <w:sz w:val="18"/>
              </w:rPr>
              <w:t>Ratings</w:t>
            </w:r>
          </w:p>
        </w:tc>
        <w:tc>
          <w:tcPr>
            <w:tcW w:type="dxa" w:w="3312"/>
          </w:tcPr>
          <w:p>
            <w:pPr>
              <w:spacing w:after="20"/>
              <w:jc w:val="right"/>
            </w:pPr>
            <w:r>
              <w:rPr>
                <w:color w:val="1C3A36"/>
                <w:sz w:val="18"/>
              </w:rPr>
              <w:t>Aa3 (Moody’s) / AA− (Fitch); S&amp;P suspended Feb-26</w:t>
            </w:r>
          </w:p>
        </w:tc>
      </w:tr>
      <w:tr>
        <w:tc>
          <w:tcPr>
            <w:tcW w:type="dxa" w:w="2232"/>
          </w:tcPr>
          <w:p>
            <w:pPr>
              <w:spacing w:after="20"/>
            </w:pPr>
            <w:r>
              <w:rPr>
                <w:color w:val="1C3A36"/>
                <w:sz w:val="18"/>
              </w:rPr>
              <w:t>FY25 / FY26E DPS</w:t>
            </w:r>
          </w:p>
        </w:tc>
        <w:tc>
          <w:tcPr>
            <w:tcW w:type="dxa" w:w="3096"/>
          </w:tcPr>
          <w:p>
            <w:pPr>
              <w:spacing w:after="20"/>
              <w:jc w:val="right"/>
            </w:pPr>
            <w:r>
              <w:rPr>
                <w:color w:val="1C3A36"/>
                <w:sz w:val="18"/>
              </w:rPr>
              <w:t>0.90 / 0.95 guided (yield 4.8%)</w:t>
            </w:r>
          </w:p>
        </w:tc>
        <w:tc>
          <w:tcPr>
            <w:tcW w:type="dxa" w:w="2232"/>
          </w:tcPr>
          <w:p>
            <w:pPr>
              <w:spacing w:after="20"/>
              <w:jc w:val="right"/>
            </w:pPr>
            <w:r>
              <w:rPr>
                <w:color w:val="1C3A36"/>
                <w:sz w:val="18"/>
              </w:rPr>
              <w:t>FY26 guidance</w:t>
            </w:r>
          </w:p>
        </w:tc>
        <w:tc>
          <w:tcPr>
            <w:tcW w:type="dxa" w:w="3312"/>
          </w:tcPr>
          <w:p>
            <w:pPr>
              <w:spacing w:after="20"/>
              <w:jc w:val="right"/>
            </w:pPr>
            <w:r>
              <w:rPr>
                <w:color w:val="1C3A36"/>
                <w:sz w:val="18"/>
              </w:rPr>
              <w:t>rev +8–10% cc · EBITDA +4–5% cc · EPS ~1.35</w:t>
            </w:r>
          </w:p>
        </w:tc>
      </w:tr>
      <w:tr>
        <w:tc>
          <w:tcPr>
            <w:tcW w:type="dxa" w:w="2232"/>
          </w:tcPr>
          <w:p>
            <w:pPr>
              <w:spacing w:after="20"/>
            </w:pPr>
            <w:r>
              <w:rPr>
                <w:color w:val="1C3A36"/>
                <w:sz w:val="18"/>
              </w:rPr>
              <w:t>Royalty regime</w:t>
            </w:r>
          </w:p>
        </w:tc>
        <w:tc>
          <w:tcPr>
            <w:tcW w:type="dxa" w:w="3096"/>
          </w:tcPr>
          <w:p>
            <w:pPr>
              <w:spacing w:after="20"/>
              <w:jc w:val="right"/>
            </w:pPr>
            <w:r>
              <w:rPr>
                <w:color w:val="1C3A36"/>
                <w:sz w:val="18"/>
              </w:rPr>
              <w:t>38% + 9% CT, floor 5.7bn — to 31-Dec-26</w:t>
            </w:r>
          </w:p>
        </w:tc>
        <w:tc>
          <w:tcPr>
            <w:tcW w:type="dxa" w:w="2232"/>
          </w:tcPr>
          <w:p>
            <w:pPr>
              <w:spacing w:after="20"/>
              <w:jc w:val="right"/>
            </w:pPr>
            <w:r>
              <w:rPr>
                <w:color w:val="1C3A36"/>
                <w:sz w:val="18"/>
              </w:rPr>
              <w:t>CEO</w:t>
            </w:r>
          </w:p>
        </w:tc>
        <w:tc>
          <w:tcPr>
            <w:tcW w:type="dxa" w:w="3312"/>
          </w:tcPr>
          <w:p>
            <w:pPr>
              <w:spacing w:after="20"/>
              <w:jc w:val="right"/>
            </w:pPr>
            <w:r>
              <w:rPr>
                <w:color w:val="1C3A36"/>
                <w:sz w:val="18"/>
              </w:rPr>
              <w:t>Masood M. Sharif Mahmood (from 1-Apr-26)</w:t>
            </w:r>
          </w:p>
        </w:tc>
      </w:tr>
      <w:tr>
        <w:tc>
          <w:tcPr>
            <w:tcW w:type="dxa" w:w="2232"/>
          </w:tcPr>
          <w:p>
            <w:pPr>
              <w:spacing w:after="20"/>
            </w:pPr>
            <w:r>
              <w:rPr>
                <w:color w:val="1C3A36"/>
                <w:sz w:val="18"/>
              </w:rPr>
              <w:t>Subscribers</w:t>
            </w:r>
          </w:p>
        </w:tc>
        <w:tc>
          <w:tcPr>
            <w:tcW w:type="dxa" w:w="3096"/>
          </w:tcPr>
          <w:p>
            <w:pPr>
              <w:spacing w:after="20"/>
              <w:jc w:val="right"/>
            </w:pPr>
            <w:r>
              <w:rPr>
                <w:color w:val="1C3A36"/>
                <w:sz w:val="18"/>
              </w:rPr>
              <w:t>244.7 mn group / 16.6 mn UAE</w:t>
            </w:r>
          </w:p>
        </w:tc>
        <w:tc>
          <w:tcPr>
            <w:tcW w:type="dxa" w:w="2232"/>
          </w:tcPr>
          <w:p>
            <w:pPr>
              <w:spacing w:after="20"/>
              <w:jc w:val="right"/>
            </w:pPr>
            <w:r>
              <w:rPr>
                <w:color w:val="1C3A36"/>
                <w:sz w:val="18"/>
              </w:rPr>
              <w:t>Segments FY25</w:t>
            </w:r>
          </w:p>
        </w:tc>
        <w:tc>
          <w:tcPr>
            <w:tcW w:type="dxa" w:w="3312"/>
          </w:tcPr>
          <w:p>
            <w:pPr>
              <w:spacing w:after="20"/>
              <w:jc w:val="right"/>
            </w:pPr>
            <w:r>
              <w:rPr>
                <w:color w:val="1C3A36"/>
                <w:sz w:val="18"/>
              </w:rPr>
              <w:t>UAE 48% of revenue · intl 44% · enterprise/life 8%</w:t>
            </w:r>
          </w:p>
        </w:tc>
      </w:tr>
    </w:tbl>
    <w:p>
      <w:pPr>
        <w:spacing w:after="40"/>
      </w:pPr>
    </w:p>
    <w:p>
      <w:pPr>
        <w:spacing w:after="120" w:before="280"/>
      </w:pPr>
      <w:r>
        <w:rPr>
          <w:b/>
          <w:i w:val="0"/>
          <w:color w:val="1C3A36"/>
          <w:sz w:val="30"/>
        </w:rPr>
        <w:t>1  Fundamental valuation</w:t>
      </w:r>
    </w:p>
    <w:p>
      <w:pPr>
        <w:spacing w:after="120" w:before="0"/>
      </w:pPr>
      <w:r>
        <w:rPr>
          <w:b w:val="0"/>
          <w:i w:val="0"/>
          <w:color w:val="1C3A36"/>
          <w:sz w:val="21"/>
        </w:rPr>
        <w:t>e&amp; is an operating company wrapped around a portfolio: a consolidated core that throws off cash, two large equity-accounted stakes (one being sold at a premium as this study is written), and non-controlling interests that own nearly half of Maroc Telecom and three-quarters of PTCL’s economics. The house method for this class is a consolidated FCFF DCF for the engine, then a bridge that adds every stake at a sourced mark and subtracts every claim — net debt, the PPF put, and NCI at market wherever a listing provides one. Nothing in the bridge is a guess with a name attached: each line carries its dated source, and the two lines that lean on estimates (Egypt’s NCI, Careem’s) are flagged where they appear.</w:t>
      </w:r>
    </w:p>
    <w:p>
      <w:pPr>
        <w:spacing w:after="80" w:before="200"/>
      </w:pPr>
      <w:r>
        <w:rPr>
          <w:b/>
          <w:i w:val="0"/>
          <w:color w:val="1C3A36"/>
          <w:sz w:val="24"/>
        </w:rPr>
        <w:t>1.1  The FCFF DCF — the primary lens, with the full waterfall</w:t>
      </w:r>
    </w:p>
    <w:p>
      <w:pPr>
        <w:spacing w:after="120" w:before="0"/>
      </w:pPr>
      <w:r>
        <w:rPr>
          <w:b w:val="0"/>
          <w:i w:val="0"/>
          <w:color w:val="1C3A36"/>
          <w:sz w:val="21"/>
        </w:rPr>
        <w:t>Five explicit years anchored to FY26 guidance, then a 2.5% terminal. Revenue steps +8.5% in FY26E (guidance +8–10% constant-currency, Q1 already +11.3% cc) and settles to the sector’s 3–3.5%; the EBITDA margin starts at 43.0% (above the FY25 exit rate but below the 44.1% Q1-26 print, on prudence) and glides to 43.8% as the Careem drag leaves and integration synergies land; capex runs 17.3% of revenue all-in, fading to 16%. The royalty-and-tax line is modelled explicitly — §1.7 is devoted to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600"/>
            <w:shd w:val="clear" w:color="auto" w:fill="EAF0EE"/>
          </w:tcPr>
          <w:p>
            <w:pPr>
              <w:spacing w:after="20"/>
            </w:pPr>
            <w:r>
              <w:rPr>
                <w:b/>
                <w:color w:val="1C3A36"/>
                <w:sz w:val="18"/>
              </w:rPr>
              <w:t>AED mn</w:t>
            </w:r>
          </w:p>
        </w:tc>
        <w:tc>
          <w:tcPr>
            <w:tcW w:type="dxa" w:w="1325"/>
            <w:shd w:val="clear" w:color="auto" w:fill="EAF0EE"/>
          </w:tcPr>
          <w:p>
            <w:pPr>
              <w:spacing w:after="20"/>
            </w:pPr>
            <w:r>
              <w:rPr>
                <w:b/>
                <w:color w:val="1C3A36"/>
                <w:sz w:val="18"/>
              </w:rPr>
              <w:t>FY26E</w:t>
            </w:r>
          </w:p>
        </w:tc>
        <w:tc>
          <w:tcPr>
            <w:tcW w:type="dxa" w:w="1325"/>
            <w:shd w:val="clear" w:color="auto" w:fill="EAF0EE"/>
          </w:tcPr>
          <w:p>
            <w:pPr>
              <w:spacing w:after="20"/>
            </w:pPr>
            <w:r>
              <w:rPr>
                <w:b/>
                <w:color w:val="1C3A36"/>
                <w:sz w:val="18"/>
              </w:rPr>
              <w:t>FY27E</w:t>
            </w:r>
          </w:p>
        </w:tc>
        <w:tc>
          <w:tcPr>
            <w:tcW w:type="dxa" w:w="1325"/>
            <w:shd w:val="clear" w:color="auto" w:fill="EAF0EE"/>
          </w:tcPr>
          <w:p>
            <w:pPr>
              <w:spacing w:after="20"/>
            </w:pPr>
            <w:r>
              <w:rPr>
                <w:b/>
                <w:color w:val="1C3A36"/>
                <w:sz w:val="18"/>
              </w:rPr>
              <w:t>FY28E</w:t>
            </w:r>
          </w:p>
        </w:tc>
        <w:tc>
          <w:tcPr>
            <w:tcW w:type="dxa" w:w="1325"/>
            <w:shd w:val="clear" w:color="auto" w:fill="EAF0EE"/>
          </w:tcPr>
          <w:p>
            <w:pPr>
              <w:spacing w:after="20"/>
            </w:pPr>
            <w:r>
              <w:rPr>
                <w:b/>
                <w:color w:val="1C3A36"/>
                <w:sz w:val="18"/>
              </w:rPr>
              <w:t>FY29E</w:t>
            </w:r>
          </w:p>
        </w:tc>
        <w:tc>
          <w:tcPr>
            <w:tcW w:type="dxa" w:w="1325"/>
            <w:shd w:val="clear" w:color="auto" w:fill="EAF0EE"/>
          </w:tcPr>
          <w:p>
            <w:pPr>
              <w:spacing w:after="20"/>
            </w:pPr>
            <w:r>
              <w:rPr>
                <w:b/>
                <w:color w:val="1C3A36"/>
                <w:sz w:val="18"/>
              </w:rPr>
              <w:t>FY30E</w:t>
            </w:r>
          </w:p>
        </w:tc>
      </w:tr>
      <w:tr>
        <w:tc>
          <w:tcPr>
            <w:tcW w:type="dxa" w:w="3600"/>
          </w:tcPr>
          <w:p>
            <w:pPr>
              <w:spacing w:after="20"/>
            </w:pPr>
            <w:r>
              <w:rPr>
                <w:color w:val="1C3A36"/>
                <w:sz w:val="18"/>
              </w:rPr>
              <w:t>Revenue</w:t>
            </w:r>
          </w:p>
        </w:tc>
        <w:tc>
          <w:tcPr>
            <w:tcW w:type="dxa" w:w="1325"/>
          </w:tcPr>
          <w:p>
            <w:pPr>
              <w:spacing w:after="20"/>
              <w:jc w:val="right"/>
            </w:pPr>
            <w:r>
              <w:rPr>
                <w:color w:val="1C3A36"/>
                <w:sz w:val="18"/>
              </w:rPr>
              <w:t>79,415</w:t>
            </w:r>
          </w:p>
        </w:tc>
        <w:tc>
          <w:tcPr>
            <w:tcW w:type="dxa" w:w="1325"/>
          </w:tcPr>
          <w:p>
            <w:pPr>
              <w:spacing w:after="20"/>
              <w:jc w:val="right"/>
            </w:pPr>
            <w:r>
              <w:rPr>
                <w:color w:val="1C3A36"/>
                <w:sz w:val="18"/>
              </w:rPr>
              <w:t>82,195</w:t>
            </w:r>
          </w:p>
        </w:tc>
        <w:tc>
          <w:tcPr>
            <w:tcW w:type="dxa" w:w="1325"/>
          </w:tcPr>
          <w:p>
            <w:pPr>
              <w:spacing w:after="20"/>
              <w:jc w:val="right"/>
            </w:pPr>
            <w:r>
              <w:rPr>
                <w:color w:val="1C3A36"/>
                <w:sz w:val="18"/>
              </w:rPr>
              <w:t>85,072</w:t>
            </w:r>
          </w:p>
        </w:tc>
        <w:tc>
          <w:tcPr>
            <w:tcW w:type="dxa" w:w="1325"/>
          </w:tcPr>
          <w:p>
            <w:pPr>
              <w:spacing w:after="20"/>
              <w:jc w:val="right"/>
            </w:pPr>
            <w:r>
              <w:rPr>
                <w:color w:val="1C3A36"/>
                <w:sz w:val="18"/>
              </w:rPr>
              <w:t>87,794</w:t>
            </w:r>
          </w:p>
        </w:tc>
        <w:tc>
          <w:tcPr>
            <w:tcW w:type="dxa" w:w="1325"/>
          </w:tcPr>
          <w:p>
            <w:pPr>
              <w:spacing w:after="20"/>
              <w:jc w:val="right"/>
            </w:pPr>
            <w:r>
              <w:rPr>
                <w:color w:val="1C3A36"/>
                <w:sz w:val="18"/>
              </w:rPr>
              <w:t>90,428</w:t>
            </w:r>
          </w:p>
        </w:tc>
      </w:tr>
      <w:tr>
        <w:tc>
          <w:tcPr>
            <w:tcW w:type="dxa" w:w="3600"/>
          </w:tcPr>
          <w:p>
            <w:pPr>
              <w:spacing w:after="20"/>
            </w:pPr>
            <w:r>
              <w:rPr>
                <w:color w:val="1C3A36"/>
                <w:sz w:val="18"/>
              </w:rPr>
              <w:t>EBITDA</w:t>
            </w:r>
          </w:p>
        </w:tc>
        <w:tc>
          <w:tcPr>
            <w:tcW w:type="dxa" w:w="1325"/>
          </w:tcPr>
          <w:p>
            <w:pPr>
              <w:spacing w:after="20"/>
              <w:jc w:val="right"/>
            </w:pPr>
            <w:r>
              <w:rPr>
                <w:color w:val="1C3A36"/>
                <w:sz w:val="18"/>
              </w:rPr>
              <w:t>34,149</w:t>
            </w:r>
          </w:p>
        </w:tc>
        <w:tc>
          <w:tcPr>
            <w:tcW w:type="dxa" w:w="1325"/>
          </w:tcPr>
          <w:p>
            <w:pPr>
              <w:spacing w:after="20"/>
              <w:jc w:val="right"/>
            </w:pPr>
            <w:r>
              <w:rPr>
                <w:color w:val="1C3A36"/>
                <w:sz w:val="18"/>
              </w:rPr>
              <w:t>35,508</w:t>
            </w:r>
          </w:p>
        </w:tc>
        <w:tc>
          <w:tcPr>
            <w:tcW w:type="dxa" w:w="1325"/>
          </w:tcPr>
          <w:p>
            <w:pPr>
              <w:spacing w:after="20"/>
              <w:jc w:val="right"/>
            </w:pPr>
            <w:r>
              <w:rPr>
                <w:color w:val="1C3A36"/>
                <w:sz w:val="18"/>
              </w:rPr>
              <w:t>36,921</w:t>
            </w:r>
          </w:p>
        </w:tc>
        <w:tc>
          <w:tcPr>
            <w:tcW w:type="dxa" w:w="1325"/>
          </w:tcPr>
          <w:p>
            <w:pPr>
              <w:spacing w:after="20"/>
              <w:jc w:val="right"/>
            </w:pPr>
            <w:r>
              <w:rPr>
                <w:color w:val="1C3A36"/>
                <w:sz w:val="18"/>
              </w:rPr>
              <w:t>38,278</w:t>
            </w:r>
          </w:p>
        </w:tc>
        <w:tc>
          <w:tcPr>
            <w:tcW w:type="dxa" w:w="1325"/>
          </w:tcPr>
          <w:p>
            <w:pPr>
              <w:spacing w:after="20"/>
              <w:jc w:val="right"/>
            </w:pPr>
            <w:r>
              <w:rPr>
                <w:color w:val="1C3A36"/>
                <w:sz w:val="18"/>
              </w:rPr>
              <w:t>39,607</w:t>
            </w:r>
          </w:p>
        </w:tc>
      </w:tr>
      <w:tr>
        <w:tc>
          <w:tcPr>
            <w:tcW w:type="dxa" w:w="3600"/>
          </w:tcPr>
          <w:p>
            <w:pPr>
              <w:spacing w:after="20"/>
            </w:pPr>
            <w:r>
              <w:rPr>
                <w:color w:val="1C3A36"/>
                <w:sz w:val="18"/>
              </w:rPr>
              <w:t>− D&amp;A</w:t>
            </w:r>
          </w:p>
        </w:tc>
        <w:tc>
          <w:tcPr>
            <w:tcW w:type="dxa" w:w="1325"/>
          </w:tcPr>
          <w:p>
            <w:pPr>
              <w:spacing w:after="20"/>
              <w:jc w:val="right"/>
            </w:pPr>
            <w:r>
              <w:rPr>
                <w:color w:val="1C3A36"/>
                <w:sz w:val="18"/>
              </w:rPr>
              <w:t>(11,595)</w:t>
            </w:r>
          </w:p>
        </w:tc>
        <w:tc>
          <w:tcPr>
            <w:tcW w:type="dxa" w:w="1325"/>
          </w:tcPr>
          <w:p>
            <w:pPr>
              <w:spacing w:after="20"/>
              <w:jc w:val="right"/>
            </w:pPr>
            <w:r>
              <w:rPr>
                <w:color w:val="1C3A36"/>
                <w:sz w:val="18"/>
              </w:rPr>
              <w:t>(11,754)</w:t>
            </w:r>
          </w:p>
        </w:tc>
        <w:tc>
          <w:tcPr>
            <w:tcW w:type="dxa" w:w="1325"/>
          </w:tcPr>
          <w:p>
            <w:pPr>
              <w:spacing w:after="20"/>
              <w:jc w:val="right"/>
            </w:pPr>
            <w:r>
              <w:rPr>
                <w:color w:val="1C3A36"/>
                <w:sz w:val="18"/>
              </w:rPr>
              <w:t>(11,910)</w:t>
            </w:r>
          </w:p>
        </w:tc>
        <w:tc>
          <w:tcPr>
            <w:tcW w:type="dxa" w:w="1325"/>
          </w:tcPr>
          <w:p>
            <w:pPr>
              <w:spacing w:after="20"/>
              <w:jc w:val="right"/>
            </w:pPr>
            <w:r>
              <w:rPr>
                <w:color w:val="1C3A36"/>
                <w:sz w:val="18"/>
              </w:rPr>
              <w:t>(12,028)</w:t>
            </w:r>
          </w:p>
        </w:tc>
        <w:tc>
          <w:tcPr>
            <w:tcW w:type="dxa" w:w="1325"/>
          </w:tcPr>
          <w:p>
            <w:pPr>
              <w:spacing w:after="20"/>
              <w:jc w:val="right"/>
            </w:pPr>
            <w:r>
              <w:rPr>
                <w:color w:val="1C3A36"/>
                <w:sz w:val="18"/>
              </w:rPr>
              <w:t>(12,208)</w:t>
            </w:r>
          </w:p>
        </w:tc>
      </w:tr>
      <w:tr>
        <w:tc>
          <w:tcPr>
            <w:tcW w:type="dxa" w:w="3600"/>
          </w:tcPr>
          <w:p>
            <w:pPr>
              <w:spacing w:after="20"/>
            </w:pPr>
            <w:r>
              <w:rPr>
                <w:color w:val="1C3A36"/>
                <w:sz w:val="18"/>
              </w:rPr>
              <w:t>EBIT</w:t>
            </w:r>
          </w:p>
        </w:tc>
        <w:tc>
          <w:tcPr>
            <w:tcW w:type="dxa" w:w="1325"/>
          </w:tcPr>
          <w:p>
            <w:pPr>
              <w:spacing w:after="20"/>
              <w:jc w:val="right"/>
            </w:pPr>
            <w:r>
              <w:rPr>
                <w:color w:val="1C3A36"/>
                <w:sz w:val="18"/>
              </w:rPr>
              <w:t>22,554</w:t>
            </w:r>
          </w:p>
        </w:tc>
        <w:tc>
          <w:tcPr>
            <w:tcW w:type="dxa" w:w="1325"/>
          </w:tcPr>
          <w:p>
            <w:pPr>
              <w:spacing w:after="20"/>
              <w:jc w:val="right"/>
            </w:pPr>
            <w:r>
              <w:rPr>
                <w:color w:val="1C3A36"/>
                <w:sz w:val="18"/>
              </w:rPr>
              <w:t>23,754</w:t>
            </w:r>
          </w:p>
        </w:tc>
        <w:tc>
          <w:tcPr>
            <w:tcW w:type="dxa" w:w="1325"/>
          </w:tcPr>
          <w:p>
            <w:pPr>
              <w:spacing w:after="20"/>
              <w:jc w:val="right"/>
            </w:pPr>
            <w:r>
              <w:rPr>
                <w:color w:val="1C3A36"/>
                <w:sz w:val="18"/>
              </w:rPr>
              <w:t>25,011</w:t>
            </w:r>
          </w:p>
        </w:tc>
        <w:tc>
          <w:tcPr>
            <w:tcW w:type="dxa" w:w="1325"/>
          </w:tcPr>
          <w:p>
            <w:pPr>
              <w:spacing w:after="20"/>
              <w:jc w:val="right"/>
            </w:pPr>
            <w:r>
              <w:rPr>
                <w:color w:val="1C3A36"/>
                <w:sz w:val="18"/>
              </w:rPr>
              <w:t>26,250</w:t>
            </w:r>
          </w:p>
        </w:tc>
        <w:tc>
          <w:tcPr>
            <w:tcW w:type="dxa" w:w="1325"/>
          </w:tcPr>
          <w:p>
            <w:pPr>
              <w:spacing w:after="20"/>
              <w:jc w:val="right"/>
            </w:pPr>
            <w:r>
              <w:rPr>
                <w:color w:val="1C3A36"/>
                <w:sz w:val="18"/>
              </w:rPr>
              <w:t>27,400</w:t>
            </w:r>
          </w:p>
        </w:tc>
      </w:tr>
      <w:tr>
        <w:tc>
          <w:tcPr>
            <w:tcW w:type="dxa" w:w="3600"/>
          </w:tcPr>
          <w:p>
            <w:pPr>
              <w:spacing w:after="20"/>
            </w:pPr>
            <w:r>
              <w:rPr>
                <w:color w:val="1C3A36"/>
                <w:sz w:val="18"/>
              </w:rPr>
              <w:t>NOPAT (EBIT × (1−t_eff 36.5%))</w:t>
            </w:r>
          </w:p>
        </w:tc>
        <w:tc>
          <w:tcPr>
            <w:tcW w:type="dxa" w:w="1325"/>
          </w:tcPr>
          <w:p>
            <w:pPr>
              <w:spacing w:after="20"/>
              <w:jc w:val="right"/>
            </w:pPr>
            <w:r>
              <w:rPr>
                <w:color w:val="1C3A36"/>
                <w:sz w:val="18"/>
              </w:rPr>
              <w:t>14,333</w:t>
            </w:r>
          </w:p>
        </w:tc>
        <w:tc>
          <w:tcPr>
            <w:tcW w:type="dxa" w:w="1325"/>
          </w:tcPr>
          <w:p>
            <w:pPr>
              <w:spacing w:after="20"/>
              <w:jc w:val="right"/>
            </w:pPr>
            <w:r>
              <w:rPr>
                <w:color w:val="1C3A36"/>
                <w:sz w:val="18"/>
              </w:rPr>
              <w:t>15,096</w:t>
            </w:r>
          </w:p>
        </w:tc>
        <w:tc>
          <w:tcPr>
            <w:tcW w:type="dxa" w:w="1325"/>
          </w:tcPr>
          <w:p>
            <w:pPr>
              <w:spacing w:after="20"/>
              <w:jc w:val="right"/>
            </w:pPr>
            <w:r>
              <w:rPr>
                <w:color w:val="1C3A36"/>
                <w:sz w:val="18"/>
              </w:rPr>
              <w:t>15,894</w:t>
            </w:r>
          </w:p>
        </w:tc>
        <w:tc>
          <w:tcPr>
            <w:tcW w:type="dxa" w:w="1325"/>
          </w:tcPr>
          <w:p>
            <w:pPr>
              <w:spacing w:after="20"/>
              <w:jc w:val="right"/>
            </w:pPr>
            <w:r>
              <w:rPr>
                <w:color w:val="1C3A36"/>
                <w:sz w:val="18"/>
              </w:rPr>
              <w:t>16,682</w:t>
            </w:r>
          </w:p>
        </w:tc>
        <w:tc>
          <w:tcPr>
            <w:tcW w:type="dxa" w:w="1325"/>
          </w:tcPr>
          <w:p>
            <w:pPr>
              <w:spacing w:after="20"/>
              <w:jc w:val="right"/>
            </w:pPr>
            <w:r>
              <w:rPr>
                <w:color w:val="1C3A36"/>
                <w:sz w:val="18"/>
              </w:rPr>
              <w:t>17,412</w:t>
            </w:r>
          </w:p>
        </w:tc>
      </w:tr>
      <w:tr>
        <w:tc>
          <w:tcPr>
            <w:tcW w:type="dxa" w:w="3600"/>
          </w:tcPr>
          <w:p>
            <w:pPr>
              <w:spacing w:after="20"/>
            </w:pPr>
            <w:r>
              <w:rPr>
                <w:color w:val="1C3A36"/>
                <w:sz w:val="18"/>
              </w:rPr>
              <w:t>+ D&amp;A</w:t>
            </w:r>
          </w:p>
        </w:tc>
        <w:tc>
          <w:tcPr>
            <w:tcW w:type="dxa" w:w="1325"/>
          </w:tcPr>
          <w:p>
            <w:pPr>
              <w:spacing w:after="20"/>
              <w:jc w:val="right"/>
            </w:pPr>
            <w:r>
              <w:rPr>
                <w:color w:val="1C3A36"/>
                <w:sz w:val="18"/>
              </w:rPr>
              <w:t>11,595</w:t>
            </w:r>
          </w:p>
        </w:tc>
        <w:tc>
          <w:tcPr>
            <w:tcW w:type="dxa" w:w="1325"/>
          </w:tcPr>
          <w:p>
            <w:pPr>
              <w:spacing w:after="20"/>
              <w:jc w:val="right"/>
            </w:pPr>
            <w:r>
              <w:rPr>
                <w:color w:val="1C3A36"/>
                <w:sz w:val="18"/>
              </w:rPr>
              <w:t>11,754</w:t>
            </w:r>
          </w:p>
        </w:tc>
        <w:tc>
          <w:tcPr>
            <w:tcW w:type="dxa" w:w="1325"/>
          </w:tcPr>
          <w:p>
            <w:pPr>
              <w:spacing w:after="20"/>
              <w:jc w:val="right"/>
            </w:pPr>
            <w:r>
              <w:rPr>
                <w:color w:val="1C3A36"/>
                <w:sz w:val="18"/>
              </w:rPr>
              <w:t>11,910</w:t>
            </w:r>
          </w:p>
        </w:tc>
        <w:tc>
          <w:tcPr>
            <w:tcW w:type="dxa" w:w="1325"/>
          </w:tcPr>
          <w:p>
            <w:pPr>
              <w:spacing w:after="20"/>
              <w:jc w:val="right"/>
            </w:pPr>
            <w:r>
              <w:rPr>
                <w:color w:val="1C3A36"/>
                <w:sz w:val="18"/>
              </w:rPr>
              <w:t>12,028</w:t>
            </w:r>
          </w:p>
        </w:tc>
        <w:tc>
          <w:tcPr>
            <w:tcW w:type="dxa" w:w="1325"/>
          </w:tcPr>
          <w:p>
            <w:pPr>
              <w:spacing w:after="20"/>
              <w:jc w:val="right"/>
            </w:pPr>
            <w:r>
              <w:rPr>
                <w:color w:val="1C3A36"/>
                <w:sz w:val="18"/>
              </w:rPr>
              <w:t>12,208</w:t>
            </w:r>
          </w:p>
        </w:tc>
      </w:tr>
      <w:tr>
        <w:tc>
          <w:tcPr>
            <w:tcW w:type="dxa" w:w="3600"/>
          </w:tcPr>
          <w:p>
            <w:pPr>
              <w:spacing w:after="20"/>
            </w:pPr>
            <w:r>
              <w:rPr>
                <w:color w:val="1C3A36"/>
                <w:sz w:val="18"/>
              </w:rPr>
              <w:t>− Capex</w:t>
            </w:r>
          </w:p>
        </w:tc>
        <w:tc>
          <w:tcPr>
            <w:tcW w:type="dxa" w:w="1325"/>
          </w:tcPr>
          <w:p>
            <w:pPr>
              <w:spacing w:after="20"/>
              <w:jc w:val="right"/>
            </w:pPr>
            <w:r>
              <w:rPr>
                <w:color w:val="1C3A36"/>
                <w:sz w:val="18"/>
              </w:rPr>
              <w:t>(13,739)</w:t>
            </w:r>
          </w:p>
        </w:tc>
        <w:tc>
          <w:tcPr>
            <w:tcW w:type="dxa" w:w="1325"/>
          </w:tcPr>
          <w:p>
            <w:pPr>
              <w:spacing w:after="20"/>
              <w:jc w:val="right"/>
            </w:pPr>
            <w:r>
              <w:rPr>
                <w:color w:val="1C3A36"/>
                <w:sz w:val="18"/>
              </w:rPr>
              <w:t>(13,891)</w:t>
            </w:r>
          </w:p>
        </w:tc>
        <w:tc>
          <w:tcPr>
            <w:tcW w:type="dxa" w:w="1325"/>
          </w:tcPr>
          <w:p>
            <w:pPr>
              <w:spacing w:after="20"/>
              <w:jc w:val="right"/>
            </w:pPr>
            <w:r>
              <w:rPr>
                <w:color w:val="1C3A36"/>
                <w:sz w:val="18"/>
              </w:rPr>
              <w:t>(14,037)</w:t>
            </w:r>
          </w:p>
        </w:tc>
        <w:tc>
          <w:tcPr>
            <w:tcW w:type="dxa" w:w="1325"/>
          </w:tcPr>
          <w:p>
            <w:pPr>
              <w:spacing w:after="20"/>
              <w:jc w:val="right"/>
            </w:pPr>
            <w:r>
              <w:rPr>
                <w:color w:val="1C3A36"/>
                <w:sz w:val="18"/>
              </w:rPr>
              <w:t>(14,223)</w:t>
            </w:r>
          </w:p>
        </w:tc>
        <w:tc>
          <w:tcPr>
            <w:tcW w:type="dxa" w:w="1325"/>
          </w:tcPr>
          <w:p>
            <w:pPr>
              <w:spacing w:after="20"/>
              <w:jc w:val="right"/>
            </w:pPr>
            <w:r>
              <w:rPr>
                <w:color w:val="1C3A36"/>
                <w:sz w:val="18"/>
              </w:rPr>
              <w:t>(14,468)</w:t>
            </w:r>
          </w:p>
        </w:tc>
      </w:tr>
      <w:tr>
        <w:tc>
          <w:tcPr>
            <w:tcW w:type="dxa" w:w="3600"/>
          </w:tcPr>
          <w:p>
            <w:pPr>
              <w:spacing w:after="20"/>
            </w:pPr>
            <w:r>
              <w:rPr>
                <w:color w:val="1C3A36"/>
                <w:sz w:val="18"/>
              </w:rPr>
              <w:t>− Δ working capital</w:t>
            </w:r>
          </w:p>
        </w:tc>
        <w:tc>
          <w:tcPr>
            <w:tcW w:type="dxa" w:w="1325"/>
          </w:tcPr>
          <w:p>
            <w:pPr>
              <w:spacing w:after="20"/>
              <w:jc w:val="right"/>
            </w:pPr>
            <w:r>
              <w:rPr>
                <w:color w:val="1C3A36"/>
                <w:sz w:val="18"/>
              </w:rPr>
              <w:t>(119)</w:t>
            </w:r>
          </w:p>
        </w:tc>
        <w:tc>
          <w:tcPr>
            <w:tcW w:type="dxa" w:w="1325"/>
          </w:tcPr>
          <w:p>
            <w:pPr>
              <w:spacing w:after="20"/>
              <w:jc w:val="right"/>
            </w:pPr>
            <w:r>
              <w:rPr>
                <w:color w:val="1C3A36"/>
                <w:sz w:val="18"/>
              </w:rPr>
              <w:t>(123)</w:t>
            </w:r>
          </w:p>
        </w:tc>
        <w:tc>
          <w:tcPr>
            <w:tcW w:type="dxa" w:w="1325"/>
          </w:tcPr>
          <w:p>
            <w:pPr>
              <w:spacing w:after="20"/>
              <w:jc w:val="right"/>
            </w:pPr>
            <w:r>
              <w:rPr>
                <w:color w:val="1C3A36"/>
                <w:sz w:val="18"/>
              </w:rPr>
              <w:t>(128)</w:t>
            </w:r>
          </w:p>
        </w:tc>
        <w:tc>
          <w:tcPr>
            <w:tcW w:type="dxa" w:w="1325"/>
          </w:tcPr>
          <w:p>
            <w:pPr>
              <w:spacing w:after="20"/>
              <w:jc w:val="right"/>
            </w:pPr>
            <w:r>
              <w:rPr>
                <w:color w:val="1C3A36"/>
                <w:sz w:val="18"/>
              </w:rPr>
              <w:t>(132)</w:t>
            </w:r>
          </w:p>
        </w:tc>
        <w:tc>
          <w:tcPr>
            <w:tcW w:type="dxa" w:w="1325"/>
          </w:tcPr>
          <w:p>
            <w:pPr>
              <w:spacing w:after="20"/>
              <w:jc w:val="right"/>
            </w:pPr>
            <w:r>
              <w:rPr>
                <w:color w:val="1C3A36"/>
                <w:sz w:val="18"/>
              </w:rPr>
              <w:t>(136)</w:t>
            </w:r>
          </w:p>
        </w:tc>
      </w:tr>
      <w:tr>
        <w:tc>
          <w:tcPr>
            <w:tcW w:type="dxa" w:w="3600"/>
            <w:shd w:val="clear" w:color="auto" w:fill="F6F1E6"/>
          </w:tcPr>
          <w:p>
            <w:pPr>
              <w:spacing w:after="20"/>
            </w:pPr>
            <w:r>
              <w:rPr>
                <w:b/>
                <w:color w:val="1C3A36"/>
                <w:sz w:val="18"/>
              </w:rPr>
              <w:t>Free cash flow to firm</w:t>
            </w:r>
          </w:p>
        </w:tc>
        <w:tc>
          <w:tcPr>
            <w:tcW w:type="dxa" w:w="1325"/>
            <w:shd w:val="clear" w:color="auto" w:fill="F6F1E6"/>
          </w:tcPr>
          <w:p>
            <w:pPr>
              <w:spacing w:after="20"/>
              <w:jc w:val="right"/>
            </w:pPr>
            <w:r>
              <w:rPr>
                <w:b/>
                <w:color w:val="1C3A36"/>
                <w:sz w:val="18"/>
              </w:rPr>
              <w:t>12,070</w:t>
            </w:r>
          </w:p>
        </w:tc>
        <w:tc>
          <w:tcPr>
            <w:tcW w:type="dxa" w:w="1325"/>
            <w:shd w:val="clear" w:color="auto" w:fill="F6F1E6"/>
          </w:tcPr>
          <w:p>
            <w:pPr>
              <w:spacing w:after="20"/>
              <w:jc w:val="right"/>
            </w:pPr>
            <w:r>
              <w:rPr>
                <w:b/>
                <w:color w:val="1C3A36"/>
                <w:sz w:val="18"/>
              </w:rPr>
              <w:t>12,835</w:t>
            </w:r>
          </w:p>
        </w:tc>
        <w:tc>
          <w:tcPr>
            <w:tcW w:type="dxa" w:w="1325"/>
            <w:shd w:val="clear" w:color="auto" w:fill="F6F1E6"/>
          </w:tcPr>
          <w:p>
            <w:pPr>
              <w:spacing w:after="20"/>
              <w:jc w:val="right"/>
            </w:pPr>
            <w:r>
              <w:rPr>
                <w:b/>
                <w:color w:val="1C3A36"/>
                <w:sz w:val="18"/>
              </w:rPr>
              <w:t>13,640</w:t>
            </w:r>
          </w:p>
        </w:tc>
        <w:tc>
          <w:tcPr>
            <w:tcW w:type="dxa" w:w="1325"/>
            <w:shd w:val="clear" w:color="auto" w:fill="F6F1E6"/>
          </w:tcPr>
          <w:p>
            <w:pPr>
              <w:spacing w:after="20"/>
              <w:jc w:val="right"/>
            </w:pPr>
            <w:r>
              <w:rPr>
                <w:b/>
                <w:color w:val="1C3A36"/>
                <w:sz w:val="18"/>
              </w:rPr>
              <w:t>14,355</w:t>
            </w:r>
          </w:p>
        </w:tc>
        <w:tc>
          <w:tcPr>
            <w:tcW w:type="dxa" w:w="1325"/>
            <w:shd w:val="clear" w:color="auto" w:fill="F6F1E6"/>
          </w:tcPr>
          <w:p>
            <w:pPr>
              <w:spacing w:after="20"/>
              <w:jc w:val="right"/>
            </w:pPr>
            <w:r>
              <w:rPr>
                <w:b/>
                <w:color w:val="1C3A36"/>
                <w:sz w:val="18"/>
              </w:rPr>
              <w:t>15,016</w:t>
            </w:r>
          </w:p>
        </w:tc>
      </w:tr>
      <w:tr>
        <w:tc>
          <w:tcPr>
            <w:tcW w:type="dxa" w:w="3600"/>
          </w:tcPr>
          <w:p>
            <w:pPr>
              <w:spacing w:after="20"/>
            </w:pPr>
            <w:r>
              <w:rPr>
                <w:color w:val="1C3A36"/>
                <w:sz w:val="18"/>
              </w:rPr>
              <w:t>Discount factor @ 7.62%</w:t>
            </w:r>
          </w:p>
        </w:tc>
        <w:tc>
          <w:tcPr>
            <w:tcW w:type="dxa" w:w="1325"/>
          </w:tcPr>
          <w:p>
            <w:pPr>
              <w:spacing w:after="20"/>
              <w:jc w:val="right"/>
            </w:pPr>
            <w:r>
              <w:rPr>
                <w:color w:val="1C3A36"/>
                <w:sz w:val="18"/>
              </w:rPr>
              <w:t>0.929</w:t>
            </w:r>
          </w:p>
        </w:tc>
        <w:tc>
          <w:tcPr>
            <w:tcW w:type="dxa" w:w="1325"/>
          </w:tcPr>
          <w:p>
            <w:pPr>
              <w:spacing w:after="20"/>
              <w:jc w:val="right"/>
            </w:pPr>
            <w:r>
              <w:rPr>
                <w:color w:val="1C3A36"/>
                <w:sz w:val="18"/>
              </w:rPr>
              <w:t>0.863</w:t>
            </w:r>
          </w:p>
        </w:tc>
        <w:tc>
          <w:tcPr>
            <w:tcW w:type="dxa" w:w="1325"/>
          </w:tcPr>
          <w:p>
            <w:pPr>
              <w:spacing w:after="20"/>
              <w:jc w:val="right"/>
            </w:pPr>
            <w:r>
              <w:rPr>
                <w:color w:val="1C3A36"/>
                <w:sz w:val="18"/>
              </w:rPr>
              <w:t>0.802</w:t>
            </w:r>
          </w:p>
        </w:tc>
        <w:tc>
          <w:tcPr>
            <w:tcW w:type="dxa" w:w="1325"/>
          </w:tcPr>
          <w:p>
            <w:pPr>
              <w:spacing w:after="20"/>
              <w:jc w:val="right"/>
            </w:pPr>
            <w:r>
              <w:rPr>
                <w:color w:val="1C3A36"/>
                <w:sz w:val="18"/>
              </w:rPr>
              <w:t>0.745</w:t>
            </w:r>
          </w:p>
        </w:tc>
        <w:tc>
          <w:tcPr>
            <w:tcW w:type="dxa" w:w="1325"/>
          </w:tcPr>
          <w:p>
            <w:pPr>
              <w:spacing w:after="20"/>
              <w:jc w:val="right"/>
            </w:pPr>
            <w:r>
              <w:rPr>
                <w:color w:val="1C3A36"/>
                <w:sz w:val="18"/>
              </w:rPr>
              <w:t>0.693</w:t>
            </w:r>
          </w:p>
        </w:tc>
      </w:tr>
      <w:tr>
        <w:tc>
          <w:tcPr>
            <w:tcW w:type="dxa" w:w="3600"/>
            <w:shd w:val="clear" w:color="auto" w:fill="F6F1E6"/>
          </w:tcPr>
          <w:p>
            <w:pPr>
              <w:spacing w:after="20"/>
            </w:pPr>
            <w:r>
              <w:rPr>
                <w:b/>
                <w:color w:val="1C3A36"/>
                <w:sz w:val="18"/>
              </w:rPr>
              <w:t>PV of FCFF</w:t>
            </w:r>
          </w:p>
        </w:tc>
        <w:tc>
          <w:tcPr>
            <w:tcW w:type="dxa" w:w="1325"/>
            <w:shd w:val="clear" w:color="auto" w:fill="F6F1E6"/>
          </w:tcPr>
          <w:p>
            <w:pPr>
              <w:spacing w:after="20"/>
              <w:jc w:val="right"/>
            </w:pPr>
            <w:r>
              <w:rPr>
                <w:b/>
                <w:color w:val="1C3A36"/>
                <w:sz w:val="18"/>
              </w:rPr>
              <w:t>11,215</w:t>
            </w:r>
          </w:p>
        </w:tc>
        <w:tc>
          <w:tcPr>
            <w:tcW w:type="dxa" w:w="1325"/>
            <w:shd w:val="clear" w:color="auto" w:fill="F6F1E6"/>
          </w:tcPr>
          <w:p>
            <w:pPr>
              <w:spacing w:after="20"/>
              <w:jc w:val="right"/>
            </w:pPr>
            <w:r>
              <w:rPr>
                <w:b/>
                <w:color w:val="1C3A36"/>
                <w:sz w:val="18"/>
              </w:rPr>
              <w:t>11,082</w:t>
            </w:r>
          </w:p>
        </w:tc>
        <w:tc>
          <w:tcPr>
            <w:tcW w:type="dxa" w:w="1325"/>
            <w:shd w:val="clear" w:color="auto" w:fill="F6F1E6"/>
          </w:tcPr>
          <w:p>
            <w:pPr>
              <w:spacing w:after="20"/>
              <w:jc w:val="right"/>
            </w:pPr>
            <w:r>
              <w:rPr>
                <w:b/>
                <w:color w:val="1C3A36"/>
                <w:sz w:val="18"/>
              </w:rPr>
              <w:t>10,942</w:t>
            </w:r>
          </w:p>
        </w:tc>
        <w:tc>
          <w:tcPr>
            <w:tcW w:type="dxa" w:w="1325"/>
            <w:shd w:val="clear" w:color="auto" w:fill="F6F1E6"/>
          </w:tcPr>
          <w:p>
            <w:pPr>
              <w:spacing w:after="20"/>
              <w:jc w:val="right"/>
            </w:pPr>
            <w:r>
              <w:rPr>
                <w:b/>
                <w:color w:val="1C3A36"/>
                <w:sz w:val="18"/>
              </w:rPr>
              <w:t>10,701</w:t>
            </w:r>
          </w:p>
        </w:tc>
        <w:tc>
          <w:tcPr>
            <w:tcW w:type="dxa" w:w="1325"/>
            <w:shd w:val="clear" w:color="auto" w:fill="F6F1E6"/>
          </w:tcPr>
          <w:p>
            <w:pPr>
              <w:spacing w:after="20"/>
              <w:jc w:val="right"/>
            </w:pPr>
            <w:r>
              <w:rPr>
                <w:b/>
                <w:color w:val="1C3A36"/>
                <w:sz w:val="18"/>
              </w:rPr>
              <w:t>10,401</w:t>
            </w:r>
          </w:p>
        </w:tc>
      </w:tr>
    </w:tbl>
    <w:p>
      <w:pPr>
        <w:spacing w:after="40"/>
      </w:pPr>
    </w:p>
    <w:p>
      <w:pPr>
        <w:spacing w:after="120" w:before="0"/>
      </w:pPr>
      <w:r>
        <w:rPr>
          <w:b/>
          <w:i w:val="0"/>
          <w:color w:val="1C3A36"/>
          <w:sz w:val="20"/>
        </w:rPr>
        <w:t xml:space="preserve">Sum of PV (FY26–30E) </w:t>
      </w:r>
      <w:r>
        <w:rPr>
          <w:b w:val="0"/>
          <w:i w:val="0"/>
          <w:color w:val="1C3A36"/>
          <w:sz w:val="20"/>
        </w:rPr>
        <w:t xml:space="preserve">AED 54,340 mn · </w:t>
      </w:r>
      <w:r>
        <w:rPr>
          <w:b/>
          <w:i w:val="0"/>
          <w:color w:val="1C3A36"/>
          <w:sz w:val="20"/>
        </w:rPr>
        <w:t xml:space="preserve">PV of terminal value </w:t>
      </w:r>
      <w:r>
        <w:rPr>
          <w:b w:val="0"/>
          <w:i w:val="0"/>
          <w:color w:val="1C3A36"/>
          <w:sz w:val="20"/>
        </w:rPr>
        <w:t xml:space="preserve">AED 208,147 mn · </w:t>
      </w:r>
      <w:r>
        <w:rPr>
          <w:b/>
          <w:i w:val="0"/>
          <w:color w:val="1C3A36"/>
          <w:sz w:val="20"/>
        </w:rPr>
        <w:t xml:space="preserve">core EV </w:t>
      </w:r>
      <w:r>
        <w:rPr>
          <w:b w:val="0"/>
          <w:i w:val="0"/>
          <w:color w:val="1C3A36"/>
          <w:sz w:val="20"/>
        </w:rPr>
        <w:t xml:space="preserve">AED 262,488 mn. </w:t>
      </w:r>
      <w:r>
        <w:rPr>
          <w:b w:val="0"/>
          <w:i w:val="0"/>
          <w:color w:val="1C3A36"/>
          <w:sz w:val="20"/>
        </w:rPr>
        <w:t xml:space="preserve">Terminal value is </w:t>
      </w:r>
      <w:r>
        <w:rPr>
          <w:b/>
          <w:i w:val="0"/>
          <w:color w:val="1C3A36"/>
          <w:sz w:val="20"/>
        </w:rPr>
        <w:t>79% of core EV</w:t>
      </w:r>
      <w:r>
        <w:rPr>
          <w:b w:val="0"/>
          <w:i w:val="0"/>
          <w:color w:val="1C3A36"/>
          <w:sz w:val="20"/>
        </w:rPr>
        <w:t xml:space="preserve"> — a long-duration valuation, disclosed deliberately: the DCF is a statement about the franchise’s terminal economics, and §1.9 stresses exactly that.</w:t>
      </w:r>
    </w:p>
    <w:p>
      <w:pPr>
        <w:spacing w:after="120" w:before="80"/>
      </w:pPr>
      <w:r>
        <w:rPr>
          <w:b/>
          <w:i w:val="0"/>
          <w:color w:val="1C3A36"/>
          <w:sz w:val="21"/>
        </w:rPr>
        <w:t>The bridge from core EV to equity — every mark sourced and dated: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384"/>
            <w:shd w:val="clear" w:color="auto" w:fill="EAF0EE"/>
          </w:tcPr>
          <w:p>
            <w:pPr>
              <w:spacing w:after="20"/>
            </w:pPr>
            <w:r>
              <w:rPr>
                <w:b/>
                <w:color w:val="1C3A36"/>
                <w:sz w:val="17"/>
              </w:rPr>
              <w:t>Bridge line</w:t>
            </w:r>
          </w:p>
        </w:tc>
        <w:tc>
          <w:tcPr>
            <w:tcW w:type="dxa" w:w="1224"/>
            <w:shd w:val="clear" w:color="auto" w:fill="EAF0EE"/>
          </w:tcPr>
          <w:p>
            <w:pPr>
              <w:spacing w:after="20"/>
            </w:pPr>
            <w:r>
              <w:rPr>
                <w:b/>
                <w:color w:val="1C3A36"/>
                <w:sz w:val="17"/>
              </w:rPr>
              <w:t>AED mn</w:t>
            </w:r>
          </w:p>
        </w:tc>
        <w:tc>
          <w:tcPr>
            <w:tcW w:type="dxa" w:w="1008"/>
            <w:shd w:val="clear" w:color="auto" w:fill="EAF0EE"/>
          </w:tcPr>
          <w:p>
            <w:pPr>
              <w:spacing w:after="20"/>
            </w:pPr>
            <w:r>
              <w:rPr>
                <w:b/>
                <w:color w:val="1C3A36"/>
                <w:sz w:val="17"/>
              </w:rPr>
              <w:t>AED/sh</w:t>
            </w:r>
          </w:p>
        </w:tc>
        <w:tc>
          <w:tcPr>
            <w:tcW w:type="dxa" w:w="4176"/>
            <w:shd w:val="clear" w:color="auto" w:fill="EAF0EE"/>
          </w:tcPr>
          <w:p>
            <w:pPr>
              <w:spacing w:after="20"/>
            </w:pPr>
            <w:r>
              <w:rPr>
                <w:b/>
                <w:color w:val="1C3A36"/>
                <w:sz w:val="17"/>
              </w:rPr>
              <w:t>Source / note</w:t>
            </w:r>
          </w:p>
        </w:tc>
      </w:tr>
      <w:tr>
        <w:tc>
          <w:tcPr>
            <w:tcW w:type="dxa" w:w="3384"/>
          </w:tcPr>
          <w:p>
            <w:pPr>
              <w:spacing w:after="20"/>
            </w:pPr>
            <w:r>
              <w:rPr>
                <w:color w:val="1C3A36"/>
                <w:sz w:val="17"/>
              </w:rPr>
              <w:t>Core enterprise value (DCF above)</w:t>
            </w:r>
          </w:p>
        </w:tc>
        <w:tc>
          <w:tcPr>
            <w:tcW w:type="dxa" w:w="1224"/>
          </w:tcPr>
          <w:p>
            <w:pPr>
              <w:spacing w:after="20"/>
              <w:jc w:val="right"/>
            </w:pPr>
            <w:r>
              <w:rPr>
                <w:color w:val="1C3A36"/>
                <w:sz w:val="17"/>
              </w:rPr>
              <w:t>262,488</w:t>
            </w:r>
          </w:p>
        </w:tc>
        <w:tc>
          <w:tcPr>
            <w:tcW w:type="dxa" w:w="1008"/>
          </w:tcPr>
          <w:p>
            <w:pPr>
              <w:spacing w:after="20"/>
              <w:jc w:val="right"/>
            </w:pPr>
            <w:r>
              <w:rPr>
                <w:color w:val="1C3A36"/>
                <w:sz w:val="17"/>
              </w:rPr>
              <w:t>30.18</w:t>
            </w:r>
          </w:p>
        </w:tc>
        <w:tc>
          <w:tcPr>
            <w:tcW w:type="dxa" w:w="4176"/>
          </w:tcPr>
          <w:p>
            <w:pPr>
              <w:spacing w:after="20"/>
              <w:jc w:val="right"/>
            </w:pPr>
            <w:r>
              <w:rPr>
                <w:color w:val="1C3A36"/>
                <w:sz w:val="17"/>
              </w:rPr>
              <w:t>this model</w:t>
            </w:r>
          </w:p>
        </w:tc>
      </w:tr>
      <w:tr>
        <w:tc>
          <w:tcPr>
            <w:tcW w:type="dxa" w:w="3384"/>
          </w:tcPr>
          <w:p>
            <w:pPr>
              <w:spacing w:after="20"/>
            </w:pPr>
            <w:r>
              <w:rPr>
                <w:color w:val="1C3A36"/>
                <w:sz w:val="17"/>
              </w:rPr>
              <w:t>+ Vodafone at deal value</w:t>
            </w:r>
          </w:p>
        </w:tc>
        <w:tc>
          <w:tcPr>
            <w:tcW w:type="dxa" w:w="1224"/>
          </w:tcPr>
          <w:p>
            <w:pPr>
              <w:spacing w:after="20"/>
              <w:jc w:val="right"/>
            </w:pPr>
            <w:r>
              <w:rPr>
                <w:color w:val="1C3A36"/>
                <w:sz w:val="17"/>
              </w:rPr>
              <w:t>21,800</w:t>
            </w:r>
          </w:p>
        </w:tc>
        <w:tc>
          <w:tcPr>
            <w:tcW w:type="dxa" w:w="1008"/>
          </w:tcPr>
          <w:p>
            <w:pPr>
              <w:spacing w:after="20"/>
              <w:jc w:val="right"/>
            </w:pPr>
            <w:r>
              <w:rPr>
                <w:color w:val="1C3A36"/>
                <w:sz w:val="17"/>
              </w:rPr>
              <w:t>2.51</w:t>
            </w:r>
          </w:p>
        </w:tc>
        <w:tc>
          <w:tcPr>
            <w:tcW w:type="dxa" w:w="4176"/>
          </w:tcPr>
          <w:p>
            <w:pPr>
              <w:spacing w:after="20"/>
              <w:jc w:val="right"/>
            </w:pPr>
            <w:r>
              <w:rPr>
                <w:color w:val="1C3A36"/>
                <w:sz w:val="17"/>
              </w:rPr>
              <w:t>112.5p × 3,944.7mn sh, announced 10-Jul-26; undisturbed mkt ≈ 19,063</w:t>
            </w:r>
          </w:p>
        </w:tc>
      </w:tr>
      <w:tr>
        <w:tc>
          <w:tcPr>
            <w:tcW w:type="dxa" w:w="3384"/>
          </w:tcPr>
          <w:p>
            <w:pPr>
              <w:spacing w:after="20"/>
            </w:pPr>
            <w:r>
              <w:rPr>
                <w:color w:val="1C3A36"/>
                <w:sz w:val="17"/>
              </w:rPr>
              <w:t>+ Mobily 28.0% at market</w:t>
            </w:r>
          </w:p>
        </w:tc>
        <w:tc>
          <w:tcPr>
            <w:tcW w:type="dxa" w:w="1224"/>
          </w:tcPr>
          <w:p>
            <w:pPr>
              <w:spacing w:after="20"/>
              <w:jc w:val="right"/>
            </w:pPr>
            <w:r>
              <w:rPr>
                <w:color w:val="1C3A36"/>
                <w:sz w:val="17"/>
              </w:rPr>
              <w:t>12,572</w:t>
            </w:r>
          </w:p>
        </w:tc>
        <w:tc>
          <w:tcPr>
            <w:tcW w:type="dxa" w:w="1008"/>
          </w:tcPr>
          <w:p>
            <w:pPr>
              <w:spacing w:after="20"/>
              <w:jc w:val="right"/>
            </w:pPr>
            <w:r>
              <w:rPr>
                <w:color w:val="1C3A36"/>
                <w:sz w:val="17"/>
              </w:rPr>
              <w:t>1.45</w:t>
            </w:r>
          </w:p>
        </w:tc>
        <w:tc>
          <w:tcPr>
            <w:tcW w:type="dxa" w:w="4176"/>
          </w:tcPr>
          <w:p>
            <w:pPr>
              <w:spacing w:after="20"/>
              <w:jc w:val="right"/>
            </w:pPr>
            <w:r>
              <w:rPr>
                <w:color w:val="1C3A36"/>
                <w:sz w:val="17"/>
              </w:rPr>
              <w:t>SAR 59.70, 6-Jul-26</w:t>
            </w:r>
          </w:p>
        </w:tc>
      </w:tr>
      <w:tr>
        <w:tc>
          <w:tcPr>
            <w:tcW w:type="dxa" w:w="3384"/>
          </w:tcPr>
          <w:p>
            <w:pPr>
              <w:spacing w:after="20"/>
            </w:pPr>
            <w:r>
              <w:rPr>
                <w:color w:val="1C3A36"/>
                <w:sz w:val="17"/>
              </w:rPr>
              <w:t>+ Term deposits (amortised cost)</w:t>
            </w:r>
          </w:p>
        </w:tc>
        <w:tc>
          <w:tcPr>
            <w:tcW w:type="dxa" w:w="1224"/>
          </w:tcPr>
          <w:p>
            <w:pPr>
              <w:spacing w:after="20"/>
              <w:jc w:val="right"/>
            </w:pPr>
            <w:r>
              <w:rPr>
                <w:color w:val="1C3A36"/>
                <w:sz w:val="17"/>
              </w:rPr>
              <w:t>10,765</w:t>
            </w:r>
          </w:p>
        </w:tc>
        <w:tc>
          <w:tcPr>
            <w:tcW w:type="dxa" w:w="1008"/>
          </w:tcPr>
          <w:p>
            <w:pPr>
              <w:spacing w:after="20"/>
              <w:jc w:val="right"/>
            </w:pPr>
            <w:r>
              <w:rPr>
                <w:color w:val="1C3A36"/>
                <w:sz w:val="17"/>
              </w:rPr>
              <w:t>1.24</w:t>
            </w:r>
          </w:p>
        </w:tc>
        <w:tc>
          <w:tcPr>
            <w:tcW w:type="dxa" w:w="4176"/>
          </w:tcPr>
          <w:p>
            <w:pPr>
              <w:spacing w:after="20"/>
              <w:jc w:val="right"/>
            </w:pPr>
            <w:r>
              <w:rPr>
                <w:color w:val="1C3A36"/>
                <w:sz w:val="17"/>
              </w:rPr>
              <w:t>Q1-26 interim FS</w:t>
            </w:r>
          </w:p>
        </w:tc>
      </w:tr>
      <w:tr>
        <w:tc>
          <w:tcPr>
            <w:tcW w:type="dxa" w:w="3384"/>
          </w:tcPr>
          <w:p>
            <w:pPr>
              <w:spacing w:after="20"/>
            </w:pPr>
            <w:r>
              <w:rPr>
                <w:color w:val="1C3A36"/>
                <w:sz w:val="17"/>
              </w:rPr>
              <w:t>+ Other investments (book)</w:t>
            </w:r>
          </w:p>
        </w:tc>
        <w:tc>
          <w:tcPr>
            <w:tcW w:type="dxa" w:w="1224"/>
          </w:tcPr>
          <w:p>
            <w:pPr>
              <w:spacing w:after="20"/>
              <w:jc w:val="right"/>
            </w:pPr>
            <w:r>
              <w:rPr>
                <w:color w:val="1C3A36"/>
                <w:sz w:val="17"/>
              </w:rPr>
              <w:t>2,541</w:t>
            </w:r>
          </w:p>
        </w:tc>
        <w:tc>
          <w:tcPr>
            <w:tcW w:type="dxa" w:w="1008"/>
          </w:tcPr>
          <w:p>
            <w:pPr>
              <w:spacing w:after="20"/>
              <w:jc w:val="right"/>
            </w:pPr>
            <w:r>
              <w:rPr>
                <w:color w:val="1C3A36"/>
                <w:sz w:val="17"/>
              </w:rPr>
              <w:t>0.29</w:t>
            </w:r>
          </w:p>
        </w:tc>
        <w:tc>
          <w:tcPr>
            <w:tcW w:type="dxa" w:w="4176"/>
          </w:tcPr>
          <w:p>
            <w:pPr>
              <w:spacing w:after="20"/>
              <w:jc w:val="right"/>
            </w:pPr>
            <w:r>
              <w:rPr>
                <w:color w:val="1C3A36"/>
                <w:sz w:val="17"/>
              </w:rPr>
              <w:t>Q1-26 interim FS</w:t>
            </w:r>
          </w:p>
        </w:tc>
      </w:tr>
      <w:tr>
        <w:tc>
          <w:tcPr>
            <w:tcW w:type="dxa" w:w="3384"/>
          </w:tcPr>
          <w:p>
            <w:pPr>
              <w:spacing w:after="20"/>
            </w:pPr>
            <w:r>
              <w:rPr>
                <w:color w:val="1C3A36"/>
                <w:sz w:val="17"/>
              </w:rPr>
              <w:t>− Net debt (Mar-26)</w:t>
            </w:r>
          </w:p>
        </w:tc>
        <w:tc>
          <w:tcPr>
            <w:tcW w:type="dxa" w:w="1224"/>
          </w:tcPr>
          <w:p>
            <w:pPr>
              <w:spacing w:after="20"/>
              <w:jc w:val="right"/>
            </w:pPr>
            <w:r>
              <w:rPr>
                <w:color w:val="1C3A36"/>
                <w:sz w:val="17"/>
              </w:rPr>
              <w:t>(29,792)</w:t>
            </w:r>
          </w:p>
        </w:tc>
        <w:tc>
          <w:tcPr>
            <w:tcW w:type="dxa" w:w="1008"/>
          </w:tcPr>
          <w:p>
            <w:pPr>
              <w:spacing w:after="20"/>
              <w:jc w:val="right"/>
            </w:pPr>
            <w:r>
              <w:rPr>
                <w:color w:val="1C3A36"/>
                <w:sz w:val="17"/>
              </w:rPr>
              <w:t>(3.43)</w:t>
            </w:r>
          </w:p>
        </w:tc>
        <w:tc>
          <w:tcPr>
            <w:tcW w:type="dxa" w:w="4176"/>
          </w:tcPr>
          <w:p>
            <w:pPr>
              <w:spacing w:after="20"/>
              <w:jc w:val="right"/>
            </w:pPr>
            <w:r>
              <w:rPr>
                <w:color w:val="1C3A36"/>
                <w:sz w:val="17"/>
              </w:rPr>
              <w:t>borrowings 66,574 − cash 36,782</w:t>
            </w:r>
          </w:p>
        </w:tc>
      </w:tr>
      <w:tr>
        <w:tc>
          <w:tcPr>
            <w:tcW w:type="dxa" w:w="3384"/>
          </w:tcPr>
          <w:p>
            <w:pPr>
              <w:spacing w:after="20"/>
            </w:pPr>
            <w:r>
              <w:rPr>
                <w:color w:val="1C3A36"/>
                <w:sz w:val="17"/>
              </w:rPr>
              <w:t>− PPF NCI put liability</w:t>
            </w:r>
          </w:p>
        </w:tc>
        <w:tc>
          <w:tcPr>
            <w:tcW w:type="dxa" w:w="1224"/>
          </w:tcPr>
          <w:p>
            <w:pPr>
              <w:spacing w:after="20"/>
              <w:jc w:val="right"/>
            </w:pPr>
            <w:r>
              <w:rPr>
                <w:color w:val="1C3A36"/>
                <w:sz w:val="17"/>
              </w:rPr>
              <w:t>(11,658)</w:t>
            </w:r>
          </w:p>
        </w:tc>
        <w:tc>
          <w:tcPr>
            <w:tcW w:type="dxa" w:w="1008"/>
          </w:tcPr>
          <w:p>
            <w:pPr>
              <w:spacing w:after="20"/>
              <w:jc w:val="right"/>
            </w:pPr>
            <w:r>
              <w:rPr>
                <w:color w:val="1C3A36"/>
                <w:sz w:val="17"/>
              </w:rPr>
              <w:t>(1.34)</w:t>
            </w:r>
          </w:p>
        </w:tc>
        <w:tc>
          <w:tcPr>
            <w:tcW w:type="dxa" w:w="4176"/>
          </w:tcPr>
          <w:p>
            <w:pPr>
              <w:spacing w:after="20"/>
              <w:jc w:val="right"/>
            </w:pPr>
            <w:r>
              <w:rPr>
                <w:color w:val="1C3A36"/>
                <w:sz w:val="17"/>
              </w:rPr>
              <w:t>on-BS conditional commitment (the PPF 49.9% claim)</w:t>
            </w:r>
          </w:p>
        </w:tc>
      </w:tr>
      <w:tr>
        <w:tc>
          <w:tcPr>
            <w:tcW w:type="dxa" w:w="3384"/>
          </w:tcPr>
          <w:p>
            <w:pPr>
              <w:spacing w:after="20"/>
            </w:pPr>
            <w:r>
              <w:rPr>
                <w:color w:val="1C3A36"/>
                <w:sz w:val="17"/>
              </w:rPr>
              <w:t>− NCI: Maroc Telecom 47% at market</w:t>
            </w:r>
          </w:p>
        </w:tc>
        <w:tc>
          <w:tcPr>
            <w:tcW w:type="dxa" w:w="1224"/>
          </w:tcPr>
          <w:p>
            <w:pPr>
              <w:spacing w:after="20"/>
              <w:jc w:val="right"/>
            </w:pPr>
            <w:r>
              <w:rPr>
                <w:color w:val="1C3A36"/>
                <w:sz w:val="17"/>
              </w:rPr>
              <w:t>(15,190)</w:t>
            </w:r>
          </w:p>
        </w:tc>
        <w:tc>
          <w:tcPr>
            <w:tcW w:type="dxa" w:w="1008"/>
          </w:tcPr>
          <w:p>
            <w:pPr>
              <w:spacing w:after="20"/>
              <w:jc w:val="right"/>
            </w:pPr>
            <w:r>
              <w:rPr>
                <w:color w:val="1C3A36"/>
                <w:sz w:val="17"/>
              </w:rPr>
              <w:t>(1.75)</w:t>
            </w:r>
          </w:p>
        </w:tc>
        <w:tc>
          <w:tcPr>
            <w:tcW w:type="dxa" w:w="4176"/>
          </w:tcPr>
          <w:p>
            <w:pPr>
              <w:spacing w:after="20"/>
              <w:jc w:val="right"/>
            </w:pPr>
            <w:r>
              <w:rPr>
                <w:color w:val="1C3A36"/>
                <w:sz w:val="17"/>
              </w:rPr>
              <w:t>IAM MAD 91.90, 1-Jul-26 (cap ≈ AED 32.3bn)</w:t>
            </w:r>
          </w:p>
        </w:tc>
      </w:tr>
      <w:tr>
        <w:tc>
          <w:tcPr>
            <w:tcW w:type="dxa" w:w="3384"/>
          </w:tcPr>
          <w:p>
            <w:pPr>
              <w:spacing w:after="20"/>
            </w:pPr>
            <w:r>
              <w:rPr>
                <w:color w:val="1C3A36"/>
                <w:sz w:val="17"/>
              </w:rPr>
              <w:t>− NCI: PTCL 76.6% at market</w:t>
            </w:r>
          </w:p>
        </w:tc>
        <w:tc>
          <w:tcPr>
            <w:tcW w:type="dxa" w:w="1224"/>
          </w:tcPr>
          <w:p>
            <w:pPr>
              <w:spacing w:after="20"/>
              <w:jc w:val="right"/>
            </w:pPr>
            <w:r>
              <w:rPr>
                <w:color w:val="1C3A36"/>
                <w:sz w:val="17"/>
              </w:rPr>
              <w:t>(3,765)</w:t>
            </w:r>
          </w:p>
        </w:tc>
        <w:tc>
          <w:tcPr>
            <w:tcW w:type="dxa" w:w="1008"/>
          </w:tcPr>
          <w:p>
            <w:pPr>
              <w:spacing w:after="20"/>
              <w:jc w:val="right"/>
            </w:pPr>
            <w:r>
              <w:rPr>
                <w:color w:val="1C3A36"/>
                <w:sz w:val="17"/>
              </w:rPr>
              <w:t>(0.43)</w:t>
            </w:r>
          </w:p>
        </w:tc>
        <w:tc>
          <w:tcPr>
            <w:tcW w:type="dxa" w:w="4176"/>
          </w:tcPr>
          <w:p>
            <w:pPr>
              <w:spacing w:after="20"/>
              <w:jc w:val="right"/>
            </w:pPr>
            <w:r>
              <w:rPr>
                <w:color w:val="1C3A36"/>
                <w:sz w:val="17"/>
              </w:rPr>
              <w:t>PSX cap ≈ PKR 377bn, Jul-26</w:t>
            </w:r>
          </w:p>
        </w:tc>
      </w:tr>
      <w:tr>
        <w:tc>
          <w:tcPr>
            <w:tcW w:type="dxa" w:w="3384"/>
          </w:tcPr>
          <w:p>
            <w:pPr>
              <w:spacing w:after="20"/>
            </w:pPr>
            <w:r>
              <w:rPr>
                <w:color w:val="1C3A36"/>
                <w:sz w:val="17"/>
              </w:rPr>
              <w:t>− NCI: e&amp; Egypt 34%</w:t>
            </w:r>
          </w:p>
        </w:tc>
        <w:tc>
          <w:tcPr>
            <w:tcW w:type="dxa" w:w="1224"/>
          </w:tcPr>
          <w:p>
            <w:pPr>
              <w:spacing w:after="20"/>
              <w:jc w:val="right"/>
            </w:pPr>
            <w:r>
              <w:rPr>
                <w:color w:val="1C3A36"/>
                <w:sz w:val="17"/>
              </w:rPr>
              <w:t>(1,489)</w:t>
            </w:r>
          </w:p>
        </w:tc>
        <w:tc>
          <w:tcPr>
            <w:tcW w:type="dxa" w:w="1008"/>
          </w:tcPr>
          <w:p>
            <w:pPr>
              <w:spacing w:after="20"/>
              <w:jc w:val="right"/>
            </w:pPr>
            <w:r>
              <w:rPr>
                <w:color w:val="1C3A36"/>
                <w:sz w:val="17"/>
              </w:rPr>
              <w:t>(0.17)</w:t>
            </w:r>
          </w:p>
        </w:tc>
        <w:tc>
          <w:tcPr>
            <w:tcW w:type="dxa" w:w="4176"/>
          </w:tcPr>
          <w:p>
            <w:pPr>
              <w:spacing w:after="20"/>
              <w:jc w:val="right"/>
            </w:pPr>
            <w:r>
              <w:rPr>
                <w:color w:val="1C3A36"/>
                <w:sz w:val="17"/>
              </w:rPr>
              <w:t>4.0× EBITDA − debt; estimate, flagged</w:t>
            </w:r>
          </w:p>
        </w:tc>
      </w:tr>
      <w:tr>
        <w:tc>
          <w:tcPr>
            <w:tcW w:type="dxa" w:w="3384"/>
          </w:tcPr>
          <w:p>
            <w:pPr>
              <w:spacing w:after="20"/>
            </w:pPr>
            <w:r>
              <w:rPr>
                <w:color w:val="1C3A36"/>
                <w:sz w:val="17"/>
              </w:rPr>
              <w:t>− NCI: Careem (half-weight) + other</w:t>
            </w:r>
          </w:p>
        </w:tc>
        <w:tc>
          <w:tcPr>
            <w:tcW w:type="dxa" w:w="1224"/>
          </w:tcPr>
          <w:p>
            <w:pPr>
              <w:spacing w:after="20"/>
              <w:jc w:val="right"/>
            </w:pPr>
            <w:r>
              <w:rPr>
                <w:color w:val="1C3A36"/>
                <w:sz w:val="17"/>
              </w:rPr>
              <w:t>(1,418)</w:t>
            </w:r>
          </w:p>
        </w:tc>
        <w:tc>
          <w:tcPr>
            <w:tcW w:type="dxa" w:w="1008"/>
          </w:tcPr>
          <w:p>
            <w:pPr>
              <w:spacing w:after="20"/>
              <w:jc w:val="right"/>
            </w:pPr>
            <w:r>
              <w:rPr>
                <w:color w:val="1C3A36"/>
                <w:sz w:val="17"/>
              </w:rPr>
              <w:t>(0.16)</w:t>
            </w:r>
          </w:p>
        </w:tc>
        <w:tc>
          <w:tcPr>
            <w:tcW w:type="dxa" w:w="4176"/>
          </w:tcPr>
          <w:p>
            <w:pPr>
              <w:spacing w:after="20"/>
              <w:jc w:val="right"/>
            </w:pPr>
            <w:r>
              <w:rPr>
                <w:color w:val="1C3A36"/>
                <w:sz w:val="17"/>
              </w:rPr>
              <w:t>deal-implied $800mn, pending Uber close; book residual</w:t>
            </w:r>
          </w:p>
        </w:tc>
      </w:tr>
      <w:tr>
        <w:tc>
          <w:tcPr>
            <w:tcW w:type="dxa" w:w="3384"/>
            <w:shd w:val="clear" w:color="auto" w:fill="F6F1E6"/>
          </w:tcPr>
          <w:p>
            <w:pPr>
              <w:spacing w:after="20"/>
            </w:pPr>
            <w:r>
              <w:rPr>
                <w:b/>
                <w:color w:val="1C3A36"/>
                <w:sz w:val="17"/>
              </w:rPr>
              <w:t>Equity value / per share</w:t>
            </w:r>
          </w:p>
        </w:tc>
        <w:tc>
          <w:tcPr>
            <w:tcW w:type="dxa" w:w="1224"/>
            <w:shd w:val="clear" w:color="auto" w:fill="F6F1E6"/>
          </w:tcPr>
          <w:p>
            <w:pPr>
              <w:spacing w:after="20"/>
              <w:jc w:val="right"/>
            </w:pPr>
            <w:r>
              <w:rPr>
                <w:b/>
                <w:color w:val="1C3A36"/>
                <w:sz w:val="17"/>
              </w:rPr>
              <w:t>246,853</w:t>
            </w:r>
          </w:p>
        </w:tc>
        <w:tc>
          <w:tcPr>
            <w:tcW w:type="dxa" w:w="1008"/>
            <w:shd w:val="clear" w:color="auto" w:fill="F6F1E6"/>
          </w:tcPr>
          <w:p>
            <w:pPr>
              <w:spacing w:after="20"/>
              <w:jc w:val="right"/>
            </w:pPr>
            <w:r>
              <w:rPr>
                <w:b/>
                <w:color w:val="1C3A36"/>
                <w:sz w:val="17"/>
              </w:rPr>
              <w:t>28.38</w:t>
            </w:r>
          </w:p>
        </w:tc>
        <w:tc>
          <w:tcPr>
            <w:tcW w:type="dxa" w:w="4176"/>
            <w:shd w:val="clear" w:color="auto" w:fill="F6F1E6"/>
          </w:tcPr>
          <w:p>
            <w:pPr>
              <w:spacing w:after="20"/>
              <w:jc w:val="right"/>
            </w:pPr>
            <w:r>
              <w:rPr>
                <w:b/>
                <w:color w:val="1C3A36"/>
                <w:sz w:val="17"/>
              </w:rPr>
              <w:t>vs spot 19.66: 44.4%</w:t>
            </w:r>
          </w:p>
        </w:tc>
      </w:tr>
    </w:tbl>
    <w:p>
      <w:pPr>
        <w:spacing w:after="40"/>
      </w:pPr>
    </w:p>
    <w:p>
      <w:pPr>
        <w:spacing w:after="120" w:before="0"/>
      </w:pPr>
      <w:r>
        <w:rPr>
          <w:b w:val="0"/>
          <w:i/>
          <w:color w:val="6E7B77"/>
          <w:sz w:val="18"/>
        </w:rPr>
        <w:t>Both framings, stated: the Vodafone sale is AED 21.8 bn gross but only ~AED 4.7 bn net new cash once the financing collateralised against the stake unwinds — the bridge already carries that financing inside net debt, so adding the gross stake value is the internally consistent treatment, not the optimistic one.</w:t>
      </w:r>
    </w:p>
    <w:p>
      <w:pPr>
        <w:spacing w:after="120" w:before="80"/>
      </w:pPr>
      <w:r>
        <w:rPr>
          <w:b/>
          <w:i w:val="0"/>
          <w:color w:val="1C3A36"/>
          <w:sz w:val="21"/>
        </w:rPr>
        <w:t>Cost of capital — bottom-up and sourced: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232"/>
            <w:shd w:val="clear" w:color="auto" w:fill="EAF0EE"/>
          </w:tcPr>
          <w:p>
            <w:pPr>
              <w:spacing w:after="20"/>
            </w:pPr>
            <w:r>
              <w:rPr>
                <w:b/>
                <w:color w:val="1C3A36"/>
                <w:sz w:val="17"/>
              </w:rPr>
              <w:t>Component</w:t>
            </w:r>
          </w:p>
        </w:tc>
        <w:tc>
          <w:tcPr>
            <w:tcW w:type="dxa" w:w="1800"/>
            <w:shd w:val="clear" w:color="auto" w:fill="EAF0EE"/>
          </w:tcPr>
          <w:p>
            <w:pPr>
              <w:spacing w:after="20"/>
            </w:pPr>
            <w:r>
              <w:rPr>
                <w:b/>
                <w:color w:val="1C3A36"/>
                <w:sz w:val="17"/>
              </w:rPr>
              <w:t>Value</w:t>
            </w:r>
          </w:p>
        </w:tc>
        <w:tc>
          <w:tcPr>
            <w:tcW w:type="dxa" w:w="5760"/>
            <w:shd w:val="clear" w:color="auto" w:fill="EAF0EE"/>
          </w:tcPr>
          <w:p>
            <w:pPr>
              <w:spacing w:after="20"/>
            </w:pPr>
            <w:r>
              <w:rPr>
                <w:b/>
                <w:color w:val="1C3A36"/>
                <w:sz w:val="17"/>
              </w:rPr>
              <w:t>Source</w:t>
            </w:r>
          </w:p>
        </w:tc>
      </w:tr>
      <w:tr>
        <w:tc>
          <w:tcPr>
            <w:tcW w:type="dxa" w:w="2232"/>
          </w:tcPr>
          <w:p>
            <w:pPr>
              <w:spacing w:after="20"/>
            </w:pPr>
            <w:r>
              <w:rPr>
                <w:color w:val="1C3A36"/>
                <w:sz w:val="17"/>
              </w:rPr>
              <w:t>Risk-free (AED)</w:t>
            </w:r>
          </w:p>
        </w:tc>
        <w:tc>
          <w:tcPr>
            <w:tcW w:type="dxa" w:w="1800"/>
          </w:tcPr>
          <w:p>
            <w:pPr>
              <w:spacing w:after="20"/>
              <w:jc w:val="right"/>
            </w:pPr>
            <w:r>
              <w:rPr>
                <w:color w:val="1C3A36"/>
                <w:sz w:val="17"/>
              </w:rPr>
              <w:t>4.30%</w:t>
            </w:r>
          </w:p>
        </w:tc>
        <w:tc>
          <w:tcPr>
            <w:tcW w:type="dxa" w:w="5760"/>
          </w:tcPr>
          <w:p>
            <w:pPr>
              <w:spacing w:after="20"/>
              <w:jc w:val="right"/>
            </w:pPr>
            <w:r>
              <w:rPr>
                <w:color w:val="1C3A36"/>
                <w:sz w:val="17"/>
              </w:rPr>
              <w:t>UAE MoF T-Bond auction 23-May-26: Jan-2031 YTM 4.30% — longest AED point</w:t>
            </w:r>
          </w:p>
        </w:tc>
      </w:tr>
      <w:tr>
        <w:tc>
          <w:tcPr>
            <w:tcW w:type="dxa" w:w="2232"/>
          </w:tcPr>
          <w:p>
            <w:pPr>
              <w:spacing w:after="20"/>
            </w:pPr>
            <w:r>
              <w:rPr>
                <w:color w:val="1C3A36"/>
                <w:sz w:val="17"/>
              </w:rPr>
              <w:t>ERP — rating basis</w:t>
            </w:r>
          </w:p>
        </w:tc>
        <w:tc>
          <w:tcPr>
            <w:tcW w:type="dxa" w:w="1800"/>
          </w:tcPr>
          <w:p>
            <w:pPr>
              <w:spacing w:after="20"/>
              <w:jc w:val="right"/>
            </w:pPr>
            <w:r>
              <w:rPr>
                <w:color w:val="1C3A36"/>
                <w:sz w:val="17"/>
              </w:rPr>
              <w:t>4.87%</w:t>
            </w:r>
          </w:p>
        </w:tc>
        <w:tc>
          <w:tcPr>
            <w:tcW w:type="dxa" w:w="5760"/>
          </w:tcPr>
          <w:p>
            <w:pPr>
              <w:spacing w:after="20"/>
              <w:jc w:val="right"/>
            </w:pPr>
            <w:r>
              <w:rPr>
                <w:color w:val="1C3A36"/>
                <w:sz w:val="17"/>
              </w:rPr>
              <w:t>Damodaran original file 5-Jan-26: UAE Aa2 (CRP 0.64% over mature 4.23%)</w:t>
            </w:r>
          </w:p>
        </w:tc>
      </w:tr>
      <w:tr>
        <w:tc>
          <w:tcPr>
            <w:tcW w:type="dxa" w:w="2232"/>
          </w:tcPr>
          <w:p>
            <w:pPr>
              <w:spacing w:after="20"/>
            </w:pPr>
            <w:r>
              <w:rPr>
                <w:color w:val="1C3A36"/>
                <w:sz w:val="17"/>
              </w:rPr>
              <w:t>ERP — CDS basis (alt.)</w:t>
            </w:r>
          </w:p>
        </w:tc>
        <w:tc>
          <w:tcPr>
            <w:tcW w:type="dxa" w:w="1800"/>
          </w:tcPr>
          <w:p>
            <w:pPr>
              <w:spacing w:after="20"/>
              <w:jc w:val="right"/>
            </w:pPr>
            <w:r>
              <w:rPr>
                <w:color w:val="1C3A36"/>
                <w:sz w:val="17"/>
              </w:rPr>
              <w:t>4.93%</w:t>
            </w:r>
          </w:p>
        </w:tc>
        <w:tc>
          <w:tcPr>
            <w:tcW w:type="dxa" w:w="5760"/>
          </w:tcPr>
          <w:p>
            <w:pPr>
              <w:spacing w:after="20"/>
              <w:jc w:val="right"/>
            </w:pPr>
            <w:r>
              <w:rPr>
                <w:color w:val="1C3A36"/>
                <w:sz w:val="17"/>
              </w:rPr>
              <w:t>Abu Dhabi sovereign CDS 4.93% (no UAE-federal CDS exists)</w:t>
            </w:r>
          </w:p>
        </w:tc>
      </w:tr>
      <w:tr>
        <w:tc>
          <w:tcPr>
            <w:tcW w:type="dxa" w:w="2232"/>
          </w:tcPr>
          <w:p>
            <w:pPr>
              <w:spacing w:after="20"/>
            </w:pPr>
            <w:r>
              <w:rPr>
                <w:color w:val="1C3A36"/>
                <w:sz w:val="17"/>
              </w:rPr>
              <w:t>Beta</w:t>
            </w:r>
          </w:p>
        </w:tc>
        <w:tc>
          <w:tcPr>
            <w:tcW w:type="dxa" w:w="1800"/>
          </w:tcPr>
          <w:p>
            <w:pPr>
              <w:spacing w:after="20"/>
              <w:jc w:val="right"/>
            </w:pPr>
            <w:r>
              <w:rPr>
                <w:color w:val="1C3A36"/>
                <w:sz w:val="17"/>
              </w:rPr>
              <w:t>1.00</w:t>
            </w:r>
          </w:p>
        </w:tc>
        <w:tc>
          <w:tcPr>
            <w:tcW w:type="dxa" w:w="5760"/>
          </w:tcPr>
          <w:p>
            <w:pPr>
              <w:spacing w:after="20"/>
              <w:jc w:val="right"/>
            </w:pPr>
            <w:r>
              <w:rPr>
                <w:color w:val="1C3A36"/>
                <w:sz w:val="17"/>
              </w:rPr>
              <w:t>regression inaccessible this session (no ADX index series) — assumed, grid 0.8–1.3 in §1.9</w:t>
            </w:r>
          </w:p>
        </w:tc>
      </w:tr>
      <w:tr>
        <w:tc>
          <w:tcPr>
            <w:tcW w:type="dxa" w:w="2232"/>
          </w:tcPr>
          <w:p>
            <w:pPr>
              <w:spacing w:after="20"/>
            </w:pPr>
            <w:r>
              <w:rPr>
                <w:color w:val="1C3A36"/>
                <w:sz w:val="17"/>
              </w:rPr>
              <w:t>Ke = rf + β·ERP</w:t>
            </w:r>
          </w:p>
        </w:tc>
        <w:tc>
          <w:tcPr>
            <w:tcW w:type="dxa" w:w="1800"/>
          </w:tcPr>
          <w:p>
            <w:pPr>
              <w:spacing w:after="20"/>
              <w:jc w:val="right"/>
            </w:pPr>
            <w:r>
              <w:rPr>
                <w:color w:val="1C3A36"/>
                <w:sz w:val="17"/>
              </w:rPr>
              <w:t>9.17% / 9.23%</w:t>
            </w:r>
          </w:p>
        </w:tc>
        <w:tc>
          <w:tcPr>
            <w:tcW w:type="dxa" w:w="5760"/>
          </w:tcPr>
          <w:p>
            <w:pPr>
              <w:spacing w:after="20"/>
              <w:jc w:val="right"/>
            </w:pPr>
            <w:r>
              <w:rPr>
                <w:color w:val="1C3A36"/>
                <w:sz w:val="17"/>
              </w:rPr>
              <w:t>rating / CDS basis</w:t>
            </w:r>
          </w:p>
        </w:tc>
      </w:tr>
      <w:tr>
        <w:tc>
          <w:tcPr>
            <w:tcW w:type="dxa" w:w="2232"/>
          </w:tcPr>
          <w:p>
            <w:pPr>
              <w:spacing w:after="20"/>
            </w:pPr>
            <w:r>
              <w:rPr>
                <w:color w:val="1C3A36"/>
                <w:sz w:val="17"/>
              </w:rPr>
              <w:t>Kd pre-tax (blended)</w:t>
            </w:r>
          </w:p>
        </w:tc>
        <w:tc>
          <w:tcPr>
            <w:tcW w:type="dxa" w:w="1800"/>
          </w:tcPr>
          <w:p>
            <w:pPr>
              <w:spacing w:after="20"/>
              <w:jc w:val="right"/>
            </w:pPr>
            <w:r>
              <w:rPr>
                <w:color w:val="1C3A36"/>
                <w:sz w:val="17"/>
              </w:rPr>
              <w:t>4.86%</w:t>
            </w:r>
          </w:p>
        </w:tc>
        <w:tc>
          <w:tcPr>
            <w:tcW w:type="dxa" w:w="5760"/>
          </w:tcPr>
          <w:p>
            <w:pPr>
              <w:spacing w:after="20"/>
              <w:jc w:val="right"/>
            </w:pPr>
            <w:r>
              <w:rPr>
                <w:color w:val="1C3A36"/>
                <w:sz w:val="17"/>
              </w:rPr>
              <w:t>AED 48% @ EIBOR+65bp, EUR 33% @ ~3.4%, PKR/MAD/other @ ~5–13%</w:t>
            </w:r>
          </w:p>
        </w:tc>
      </w:tr>
      <w:tr>
        <w:tc>
          <w:tcPr>
            <w:tcW w:type="dxa" w:w="2232"/>
          </w:tcPr>
          <w:p>
            <w:pPr>
              <w:spacing w:after="20"/>
            </w:pPr>
            <w:r>
              <w:rPr>
                <w:color w:val="1C3A36"/>
                <w:sz w:val="17"/>
              </w:rPr>
              <w:t>Weights E / D</w:t>
            </w:r>
          </w:p>
        </w:tc>
        <w:tc>
          <w:tcPr>
            <w:tcW w:type="dxa" w:w="1800"/>
          </w:tcPr>
          <w:p>
            <w:pPr>
              <w:spacing w:after="20"/>
              <w:jc w:val="right"/>
            </w:pPr>
            <w:r>
              <w:rPr>
                <w:color w:val="1C3A36"/>
                <w:sz w:val="17"/>
              </w:rPr>
              <w:t>72% / 28%</w:t>
            </w:r>
          </w:p>
        </w:tc>
        <w:tc>
          <w:tcPr>
            <w:tcW w:type="dxa" w:w="5760"/>
          </w:tcPr>
          <w:p>
            <w:pPr>
              <w:spacing w:after="20"/>
              <w:jc w:val="right"/>
            </w:pPr>
            <w:r>
              <w:rPr>
                <w:color w:val="1C3A36"/>
                <w:sz w:val="17"/>
              </w:rPr>
              <w:t>mkt cap 171.0bn vs borrowings 66.6bn (Q1-26)</w:t>
            </w:r>
          </w:p>
        </w:tc>
      </w:tr>
      <w:tr>
        <w:tc>
          <w:tcPr>
            <w:tcW w:type="dxa" w:w="2232"/>
            <w:shd w:val="clear" w:color="auto" w:fill="F6F1E6"/>
          </w:tcPr>
          <w:p>
            <w:pPr>
              <w:spacing w:after="20"/>
            </w:pPr>
            <w:r>
              <w:rPr>
                <w:b/>
                <w:color w:val="1C3A36"/>
                <w:sz w:val="17"/>
              </w:rPr>
              <w:t>WACC</w:t>
            </w:r>
          </w:p>
        </w:tc>
        <w:tc>
          <w:tcPr>
            <w:tcW w:type="dxa" w:w="1800"/>
            <w:shd w:val="clear" w:color="auto" w:fill="F6F1E6"/>
          </w:tcPr>
          <w:p>
            <w:pPr>
              <w:spacing w:after="20"/>
              <w:jc w:val="right"/>
            </w:pPr>
            <w:r>
              <w:rPr>
                <w:b/>
                <w:color w:val="1C3A36"/>
                <w:sz w:val="17"/>
              </w:rPr>
              <w:t>7.62% / 7.66%</w:t>
            </w:r>
          </w:p>
        </w:tc>
        <w:tc>
          <w:tcPr>
            <w:tcW w:type="dxa" w:w="5760"/>
            <w:shd w:val="clear" w:color="auto" w:fill="F6F1E6"/>
          </w:tcPr>
          <w:p>
            <w:pPr>
              <w:spacing w:after="20"/>
              <w:jc w:val="right"/>
            </w:pPr>
            <w:r>
              <w:rPr>
                <w:b/>
                <w:color w:val="1C3A36"/>
                <w:sz w:val="17"/>
              </w:rPr>
              <w:t>rating / CDS basis — both published, deliberately</w:t>
            </w:r>
          </w:p>
        </w:tc>
      </w:tr>
    </w:tbl>
    <w:p>
      <w:pPr>
        <w:spacing w:after="40"/>
      </w:pPr>
    </w:p>
    <w:p>
      <w:pPr>
        <w:spacing w:after="80" w:before="200"/>
      </w:pPr>
      <w:r>
        <w:rPr>
          <w:b/>
          <w:i w:val="0"/>
          <w:color w:val="1C3A36"/>
          <w:sz w:val="24"/>
        </w:rPr>
        <w:t>1.2  Dividend discount — the policy lens</w:t>
      </w:r>
    </w:p>
    <w:p>
      <w:pPr>
        <w:spacing w:after="120" w:before="0"/>
      </w:pPr>
      <w:r>
        <w:rPr>
          <w:b w:val="0"/>
          <w:i w:val="0"/>
          <w:color w:val="1C3A36"/>
          <w:sz w:val="21"/>
        </w:rPr>
        <w:t>What a holder actually receives: 95 fils guided for FY26, grown ~4% a year with earnings to 1.11 by FY30E, then 3.5% forever, discounted at the 9.17% cost of equity. That machine is worth AED 17.03 — below spot — and the gap to the DCF is the whole telecom-conglomerate argument in one number: e&amp; retains ~30% of earnings and reinvests at returns the DDM refuses to credit until they arrive as dividends. Terminal value is 77% of the DDM too; neither lens escapes the long duration.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160"/>
            <w:shd w:val="clear" w:color="auto" w:fill="EAF0EE"/>
          </w:tcPr>
          <w:p>
            <w:pPr>
              <w:spacing w:after="20"/>
            </w:pPr>
            <w:r>
              <w:rPr>
                <w:b/>
                <w:color w:val="1C3A36"/>
                <w:sz w:val="18"/>
              </w:rPr>
            </w:r>
          </w:p>
        </w:tc>
        <w:tc>
          <w:tcPr>
            <w:tcW w:type="dxa" w:w="1224"/>
            <w:shd w:val="clear" w:color="auto" w:fill="EAF0EE"/>
          </w:tcPr>
          <w:p>
            <w:pPr>
              <w:spacing w:after="20"/>
            </w:pPr>
            <w:r>
              <w:rPr>
                <w:b/>
                <w:color w:val="1C3A36"/>
                <w:sz w:val="18"/>
              </w:rPr>
              <w:t>FY26E</w:t>
            </w:r>
          </w:p>
        </w:tc>
        <w:tc>
          <w:tcPr>
            <w:tcW w:type="dxa" w:w="1224"/>
            <w:shd w:val="clear" w:color="auto" w:fill="EAF0EE"/>
          </w:tcPr>
          <w:p>
            <w:pPr>
              <w:spacing w:after="20"/>
            </w:pPr>
            <w:r>
              <w:rPr>
                <w:b/>
                <w:color w:val="1C3A36"/>
                <w:sz w:val="18"/>
              </w:rPr>
              <w:t>FY27E</w:t>
            </w:r>
          </w:p>
        </w:tc>
        <w:tc>
          <w:tcPr>
            <w:tcW w:type="dxa" w:w="1224"/>
            <w:shd w:val="clear" w:color="auto" w:fill="EAF0EE"/>
          </w:tcPr>
          <w:p>
            <w:pPr>
              <w:spacing w:after="20"/>
            </w:pPr>
            <w:r>
              <w:rPr>
                <w:b/>
                <w:color w:val="1C3A36"/>
                <w:sz w:val="18"/>
              </w:rPr>
              <w:t>FY28E</w:t>
            </w:r>
          </w:p>
        </w:tc>
        <w:tc>
          <w:tcPr>
            <w:tcW w:type="dxa" w:w="1224"/>
            <w:shd w:val="clear" w:color="auto" w:fill="EAF0EE"/>
          </w:tcPr>
          <w:p>
            <w:pPr>
              <w:spacing w:after="20"/>
            </w:pPr>
            <w:r>
              <w:rPr>
                <w:b/>
                <w:color w:val="1C3A36"/>
                <w:sz w:val="18"/>
              </w:rPr>
              <w:t>FY29E</w:t>
            </w:r>
          </w:p>
        </w:tc>
        <w:tc>
          <w:tcPr>
            <w:tcW w:type="dxa" w:w="1224"/>
            <w:shd w:val="clear" w:color="auto" w:fill="EAF0EE"/>
          </w:tcPr>
          <w:p>
            <w:pPr>
              <w:spacing w:after="20"/>
            </w:pPr>
            <w:r>
              <w:rPr>
                <w:b/>
                <w:color w:val="1C3A36"/>
                <w:sz w:val="18"/>
              </w:rPr>
              <w:t>FY30E</w:t>
            </w:r>
          </w:p>
        </w:tc>
        <w:tc>
          <w:tcPr>
            <w:tcW w:type="dxa" w:w="1368"/>
            <w:shd w:val="clear" w:color="auto" w:fill="EAF0EE"/>
          </w:tcPr>
          <w:p>
            <w:pPr>
              <w:spacing w:after="20"/>
            </w:pPr>
            <w:r>
              <w:rPr>
                <w:b/>
                <w:color w:val="1C3A36"/>
                <w:sz w:val="18"/>
              </w:rPr>
              <w:t>Terminal</w:t>
            </w:r>
          </w:p>
        </w:tc>
      </w:tr>
      <w:tr>
        <w:tc>
          <w:tcPr>
            <w:tcW w:type="dxa" w:w="2160"/>
          </w:tcPr>
          <w:p>
            <w:pPr>
              <w:spacing w:after="20"/>
            </w:pPr>
            <w:r>
              <w:rPr>
                <w:color w:val="1C3A36"/>
                <w:sz w:val="18"/>
              </w:rPr>
              <w:t>DPS (AED)</w:t>
            </w:r>
          </w:p>
        </w:tc>
        <w:tc>
          <w:tcPr>
            <w:tcW w:type="dxa" w:w="1224"/>
          </w:tcPr>
          <w:p>
            <w:pPr>
              <w:spacing w:after="20"/>
              <w:jc w:val="right"/>
            </w:pPr>
            <w:r>
              <w:rPr>
                <w:color w:val="1C3A36"/>
                <w:sz w:val="18"/>
              </w:rPr>
              <w:t>0.95</w:t>
            </w:r>
          </w:p>
        </w:tc>
        <w:tc>
          <w:tcPr>
            <w:tcW w:type="dxa" w:w="1224"/>
          </w:tcPr>
          <w:p>
            <w:pPr>
              <w:spacing w:after="20"/>
              <w:jc w:val="right"/>
            </w:pPr>
            <w:r>
              <w:rPr>
                <w:color w:val="1C3A36"/>
                <w:sz w:val="18"/>
              </w:rPr>
              <w:t>0.99</w:t>
            </w:r>
          </w:p>
        </w:tc>
        <w:tc>
          <w:tcPr>
            <w:tcW w:type="dxa" w:w="1224"/>
          </w:tcPr>
          <w:p>
            <w:pPr>
              <w:spacing w:after="20"/>
              <w:jc w:val="right"/>
            </w:pPr>
            <w:r>
              <w:rPr>
                <w:color w:val="1C3A36"/>
                <w:sz w:val="18"/>
              </w:rPr>
              <w:t>1.03</w:t>
            </w:r>
          </w:p>
        </w:tc>
        <w:tc>
          <w:tcPr>
            <w:tcW w:type="dxa" w:w="1224"/>
          </w:tcPr>
          <w:p>
            <w:pPr>
              <w:spacing w:after="20"/>
              <w:jc w:val="right"/>
            </w:pPr>
            <w:r>
              <w:rPr>
                <w:color w:val="1C3A36"/>
                <w:sz w:val="18"/>
              </w:rPr>
              <w:t>1.07</w:t>
            </w:r>
          </w:p>
        </w:tc>
        <w:tc>
          <w:tcPr>
            <w:tcW w:type="dxa" w:w="1224"/>
          </w:tcPr>
          <w:p>
            <w:pPr>
              <w:spacing w:after="20"/>
              <w:jc w:val="right"/>
            </w:pPr>
            <w:r>
              <w:rPr>
                <w:color w:val="1C3A36"/>
                <w:sz w:val="18"/>
              </w:rPr>
              <w:t>1.11</w:t>
            </w:r>
          </w:p>
        </w:tc>
        <w:tc>
          <w:tcPr>
            <w:tcW w:type="dxa" w:w="1368"/>
          </w:tcPr>
          <w:p>
            <w:pPr>
              <w:spacing w:after="20"/>
              <w:jc w:val="right"/>
            </w:pPr>
            <w:r>
              <w:rPr>
                <w:color w:val="1C3A36"/>
                <w:sz w:val="18"/>
              </w:rPr>
              <w:t>1.15+</w:t>
            </w:r>
          </w:p>
        </w:tc>
      </w:tr>
      <w:tr>
        <w:tc>
          <w:tcPr>
            <w:tcW w:type="dxa" w:w="2160"/>
          </w:tcPr>
          <w:p>
            <w:pPr>
              <w:spacing w:after="20"/>
            </w:pPr>
            <w:r>
              <w:rPr>
                <w:color w:val="1C3A36"/>
                <w:sz w:val="18"/>
              </w:rPr>
              <w:t>PV @ Ke 9.17%</w:t>
            </w:r>
          </w:p>
        </w:tc>
        <w:tc>
          <w:tcPr>
            <w:tcW w:type="dxa" w:w="1224"/>
          </w:tcPr>
          <w:p>
            <w:pPr>
              <w:spacing w:after="20"/>
              <w:jc w:val="right"/>
            </w:pPr>
            <w:r>
              <w:rPr>
                <w:color w:val="1C3A36"/>
                <w:sz w:val="18"/>
              </w:rPr>
              <w:t>0.87</w:t>
            </w:r>
          </w:p>
        </w:tc>
        <w:tc>
          <w:tcPr>
            <w:tcW w:type="dxa" w:w="1224"/>
          </w:tcPr>
          <w:p>
            <w:pPr>
              <w:spacing w:after="20"/>
              <w:jc w:val="right"/>
            </w:pPr>
            <w:r>
              <w:rPr>
                <w:color w:val="1C3A36"/>
                <w:sz w:val="18"/>
              </w:rPr>
              <w:t>0.83</w:t>
            </w:r>
          </w:p>
        </w:tc>
        <w:tc>
          <w:tcPr>
            <w:tcW w:type="dxa" w:w="1224"/>
          </w:tcPr>
          <w:p>
            <w:pPr>
              <w:spacing w:after="20"/>
              <w:jc w:val="right"/>
            </w:pPr>
            <w:r>
              <w:rPr>
                <w:color w:val="1C3A36"/>
                <w:sz w:val="18"/>
              </w:rPr>
              <w:t>0.79</w:t>
            </w:r>
          </w:p>
        </w:tc>
        <w:tc>
          <w:tcPr>
            <w:tcW w:type="dxa" w:w="1224"/>
          </w:tcPr>
          <w:p>
            <w:pPr>
              <w:spacing w:after="20"/>
              <w:jc w:val="right"/>
            </w:pPr>
            <w:r>
              <w:rPr>
                <w:color w:val="1C3A36"/>
                <w:sz w:val="18"/>
              </w:rPr>
              <w:t>0.75</w:t>
            </w:r>
          </w:p>
        </w:tc>
        <w:tc>
          <w:tcPr>
            <w:tcW w:type="dxa" w:w="1224"/>
          </w:tcPr>
          <w:p>
            <w:pPr>
              <w:spacing w:after="20"/>
              <w:jc w:val="right"/>
            </w:pPr>
            <w:r>
              <w:rPr>
                <w:color w:val="1C3A36"/>
                <w:sz w:val="18"/>
              </w:rPr>
              <w:t>0.72</w:t>
            </w:r>
          </w:p>
        </w:tc>
        <w:tc>
          <w:tcPr>
            <w:tcW w:type="dxa" w:w="1368"/>
          </w:tcPr>
          <w:p>
            <w:pPr>
              <w:spacing w:after="20"/>
              <w:jc w:val="right"/>
            </w:pPr>
            <w:r>
              <w:rPr>
                <w:color w:val="1C3A36"/>
                <w:sz w:val="18"/>
              </w:rPr>
              <w:t>13.07</w:t>
            </w:r>
          </w:p>
        </w:tc>
      </w:tr>
    </w:tbl>
    <w:p>
      <w:pPr>
        <w:spacing w:after="40"/>
      </w:pPr>
    </w:p>
    <w:p>
      <w:pPr>
        <w:spacing w:after="120" w:before="0"/>
      </w:pPr>
      <w:r>
        <w:rPr>
          <w:b w:val="0"/>
          <w:i w:val="0"/>
          <w:color w:val="1C3A36"/>
          <w:sz w:val="19"/>
        </w:rPr>
        <w:t>Bear (flat 95 fils, Ke +50bp, g 2.5%): 12.19 · base 17.03 · bull (payout step-up toward the Vodafone proceeds, g 4.0%): 21.62.</w:t>
      </w:r>
    </w:p>
    <w:p>
      <w:pPr>
        <w:spacing w:after="80" w:before="200"/>
      </w:pPr>
      <w:r>
        <w:rPr>
          <w:b/>
          <w:i w:val="0"/>
          <w:color w:val="1C3A36"/>
          <w:sz w:val="24"/>
        </w:rPr>
        <w:t>1.3  Relative multiples</w:t>
      </w:r>
    </w:p>
    <w:p>
      <w:pPr>
        <w:spacing w:after="120" w:before="0"/>
      </w:pPr>
      <w:r>
        <w:rPr>
          <w:b w:val="0"/>
          <w:i w:val="0"/>
          <w:color w:val="1C3A36"/>
          <w:sz w:val="21"/>
        </w:rPr>
        <w:t>Peer EV/EBITDA anchors: stc ~7.5×, du ~6.3×, Zain and Ooredoo 5–6×, Maroc Telecom ~5.5×. e&amp; deserves neither the pure UAE-duopoly multiple nor the EM-holdings discount alone — the base 6.5× on FY26E EBITDA of AED 34,149 mn, run through the same stake bridge as the DCF, gives AED 23.72; 6.0–7.0× spans 21.76–25.69. Using one bridge for both lenses keeps the comparison honest: only the multiple moves.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736"/>
            <w:shd w:val="clear" w:color="auto" w:fill="EAF0EE"/>
          </w:tcPr>
          <w:p>
            <w:pPr>
              <w:spacing w:after="20"/>
            </w:pPr>
            <w:r>
              <w:rPr>
                <w:b/>
                <w:color w:val="1C3A36"/>
                <w:sz w:val="18"/>
              </w:rPr>
              <w:t>EV/EBITDA</w:t>
            </w:r>
          </w:p>
        </w:tc>
        <w:tc>
          <w:tcPr>
            <w:tcW w:type="dxa" w:w="1944"/>
            <w:shd w:val="clear" w:color="auto" w:fill="EAF0EE"/>
          </w:tcPr>
          <w:p>
            <w:pPr>
              <w:spacing w:after="20"/>
            </w:pPr>
            <w:r>
              <w:rPr>
                <w:b/>
                <w:color w:val="1C3A36"/>
                <w:sz w:val="18"/>
              </w:rPr>
              <w:t>6.0× (bear)</w:t>
            </w:r>
          </w:p>
        </w:tc>
        <w:tc>
          <w:tcPr>
            <w:tcW w:type="dxa" w:w="1944"/>
            <w:shd w:val="clear" w:color="auto" w:fill="EAF0EE"/>
          </w:tcPr>
          <w:p>
            <w:pPr>
              <w:spacing w:after="20"/>
            </w:pPr>
            <w:r>
              <w:rPr>
                <w:b/>
                <w:color w:val="1C3A36"/>
                <w:sz w:val="18"/>
              </w:rPr>
              <w:t>6.5× (base)</w:t>
            </w:r>
          </w:p>
        </w:tc>
        <w:tc>
          <w:tcPr>
            <w:tcW w:type="dxa" w:w="1944"/>
            <w:shd w:val="clear" w:color="auto" w:fill="EAF0EE"/>
          </w:tcPr>
          <w:p>
            <w:pPr>
              <w:spacing w:after="20"/>
            </w:pPr>
            <w:r>
              <w:rPr>
                <w:b/>
                <w:color w:val="1C3A36"/>
                <w:sz w:val="18"/>
              </w:rPr>
              <w:t>7.0× (bull)</w:t>
            </w:r>
          </w:p>
        </w:tc>
      </w:tr>
      <w:tr>
        <w:tc>
          <w:tcPr>
            <w:tcW w:type="dxa" w:w="2736"/>
          </w:tcPr>
          <w:p>
            <w:pPr>
              <w:spacing w:after="20"/>
            </w:pPr>
            <w:r>
              <w:rPr>
                <w:color w:val="1C3A36"/>
                <w:sz w:val="18"/>
              </w:rPr>
              <w:t>Implied equity / share</w:t>
            </w:r>
          </w:p>
        </w:tc>
        <w:tc>
          <w:tcPr>
            <w:tcW w:type="dxa" w:w="1944"/>
          </w:tcPr>
          <w:p>
            <w:pPr>
              <w:spacing w:after="20"/>
              <w:jc w:val="right"/>
            </w:pPr>
            <w:r>
              <w:rPr>
                <w:color w:val="1C3A36"/>
                <w:sz w:val="18"/>
              </w:rPr>
              <w:t>21.76</w:t>
            </w:r>
          </w:p>
        </w:tc>
        <w:tc>
          <w:tcPr>
            <w:tcW w:type="dxa" w:w="1944"/>
          </w:tcPr>
          <w:p>
            <w:pPr>
              <w:spacing w:after="20"/>
              <w:jc w:val="right"/>
            </w:pPr>
            <w:r>
              <w:rPr>
                <w:color w:val="1C3A36"/>
                <w:sz w:val="18"/>
              </w:rPr>
              <w:t>23.72</w:t>
            </w:r>
          </w:p>
        </w:tc>
        <w:tc>
          <w:tcPr>
            <w:tcW w:type="dxa" w:w="1944"/>
          </w:tcPr>
          <w:p>
            <w:pPr>
              <w:spacing w:after="20"/>
              <w:jc w:val="right"/>
            </w:pPr>
            <w:r>
              <w:rPr>
                <w:color w:val="1C3A36"/>
                <w:sz w:val="18"/>
              </w:rPr>
              <w:t>25.69</w:t>
            </w:r>
          </w:p>
        </w:tc>
      </w:tr>
      <w:tr>
        <w:tc>
          <w:tcPr>
            <w:tcW w:type="dxa" w:w="2736"/>
          </w:tcPr>
          <w:p>
            <w:pPr>
              <w:spacing w:after="20"/>
            </w:pPr>
            <w:r>
              <w:rPr>
                <w:color w:val="1C3A36"/>
                <w:sz w:val="18"/>
              </w:rPr>
              <w:t>vs spot</w:t>
            </w:r>
          </w:p>
        </w:tc>
        <w:tc>
          <w:tcPr>
            <w:tcW w:type="dxa" w:w="1944"/>
          </w:tcPr>
          <w:p>
            <w:pPr>
              <w:spacing w:after="20"/>
              <w:jc w:val="right"/>
            </w:pPr>
            <w:r>
              <w:rPr>
                <w:color w:val="1C3A36"/>
                <w:sz w:val="18"/>
              </w:rPr>
              <w:t>10.7%</w:t>
            </w:r>
          </w:p>
        </w:tc>
        <w:tc>
          <w:tcPr>
            <w:tcW w:type="dxa" w:w="1944"/>
          </w:tcPr>
          <w:p>
            <w:pPr>
              <w:spacing w:after="20"/>
              <w:jc w:val="right"/>
            </w:pPr>
            <w:r>
              <w:rPr>
                <w:color w:val="1C3A36"/>
                <w:sz w:val="18"/>
              </w:rPr>
              <w:t>20.7%</w:t>
            </w:r>
          </w:p>
        </w:tc>
        <w:tc>
          <w:tcPr>
            <w:tcW w:type="dxa" w:w="1944"/>
          </w:tcPr>
          <w:p>
            <w:pPr>
              <w:spacing w:after="20"/>
              <w:jc w:val="right"/>
            </w:pPr>
            <w:r>
              <w:rPr>
                <w:color w:val="1C3A36"/>
                <w:sz w:val="18"/>
              </w:rPr>
              <w:t>30.7%</w:t>
            </w:r>
          </w:p>
        </w:tc>
      </w:tr>
    </w:tbl>
    <w:p>
      <w:pPr>
        <w:spacing w:after="40"/>
      </w:pPr>
    </w:p>
    <w:p>
      <w:pPr>
        <w:spacing w:after="120" w:before="40"/>
      </w:pPr>
      <w:r>
        <w:rPr>
          <w:b w:val="0"/>
          <w:i w:val="0"/>
          <w:color w:val="1C3A36"/>
          <w:sz w:val="19"/>
        </w:rPr>
        <w:t>Cross-check on the multiple that matters more for a capex-heavy operator — EV/OpFCF (operating free cash flow = EBITDA − capex), the sector’s truer cash yardstick because it penalises capex intensity that EV/EBITDA ignores: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4464"/>
            <w:shd w:val="clear" w:color="auto" w:fill="EAF0EE"/>
          </w:tcPr>
          <w:p>
            <w:pPr>
              <w:spacing w:after="20"/>
            </w:pPr>
            <w:r>
              <w:rPr>
                <w:b/>
                <w:color w:val="1C3A36"/>
                <w:sz w:val="18"/>
              </w:rPr>
              <w:t>EV/OpFCF on FY26E OpFCF of AED 20,410 mn</w:t>
            </w:r>
          </w:p>
        </w:tc>
        <w:tc>
          <w:tcPr>
            <w:tcW w:type="dxa" w:w="1440"/>
            <w:shd w:val="clear" w:color="auto" w:fill="EAF0EE"/>
          </w:tcPr>
          <w:p>
            <w:pPr>
              <w:spacing w:after="20"/>
            </w:pPr>
            <w:r>
              <w:rPr>
                <w:b/>
                <w:color w:val="1C3A36"/>
                <w:sz w:val="18"/>
              </w:rPr>
              <w:t>10.0×</w:t>
            </w:r>
          </w:p>
        </w:tc>
        <w:tc>
          <w:tcPr>
            <w:tcW w:type="dxa" w:w="1440"/>
            <w:shd w:val="clear" w:color="auto" w:fill="EAF0EE"/>
          </w:tcPr>
          <w:p>
            <w:pPr>
              <w:spacing w:after="20"/>
            </w:pPr>
            <w:r>
              <w:rPr>
                <w:b/>
                <w:color w:val="1C3A36"/>
                <w:sz w:val="18"/>
              </w:rPr>
              <w:t>11.0×</w:t>
            </w:r>
          </w:p>
        </w:tc>
        <w:tc>
          <w:tcPr>
            <w:tcW w:type="dxa" w:w="1440"/>
            <w:shd w:val="clear" w:color="auto" w:fill="EAF0EE"/>
          </w:tcPr>
          <w:p>
            <w:pPr>
              <w:spacing w:after="20"/>
            </w:pPr>
            <w:r>
              <w:rPr>
                <w:b/>
                <w:color w:val="1C3A36"/>
                <w:sz w:val="18"/>
              </w:rPr>
              <w:t>12.0×</w:t>
            </w:r>
          </w:p>
        </w:tc>
      </w:tr>
      <w:tr>
        <w:tc>
          <w:tcPr>
            <w:tcW w:type="dxa" w:w="4464"/>
          </w:tcPr>
          <w:p>
            <w:pPr>
              <w:spacing w:after="20"/>
            </w:pPr>
            <w:r>
              <w:rPr>
                <w:color w:val="1C3A36"/>
                <w:sz w:val="18"/>
              </w:rPr>
              <w:t>Implied equity / share (same bridge)</w:t>
            </w:r>
          </w:p>
        </w:tc>
        <w:tc>
          <w:tcPr>
            <w:tcW w:type="dxa" w:w="1440"/>
          </w:tcPr>
          <w:p>
            <w:pPr>
              <w:spacing w:after="20"/>
              <w:jc w:val="right"/>
            </w:pPr>
            <w:r>
              <w:rPr>
                <w:color w:val="1C3A36"/>
                <w:sz w:val="18"/>
              </w:rPr>
              <w:t>21.67</w:t>
            </w:r>
          </w:p>
        </w:tc>
        <w:tc>
          <w:tcPr>
            <w:tcW w:type="dxa" w:w="1440"/>
          </w:tcPr>
          <w:p>
            <w:pPr>
              <w:spacing w:after="20"/>
              <w:jc w:val="right"/>
            </w:pPr>
            <w:r>
              <w:rPr>
                <w:color w:val="1C3A36"/>
                <w:sz w:val="18"/>
              </w:rPr>
              <w:t>24.02</w:t>
            </w:r>
          </w:p>
        </w:tc>
        <w:tc>
          <w:tcPr>
            <w:tcW w:type="dxa" w:w="1440"/>
          </w:tcPr>
          <w:p>
            <w:pPr>
              <w:spacing w:after="20"/>
              <w:jc w:val="right"/>
            </w:pPr>
            <w:r>
              <w:rPr>
                <w:color w:val="1C3A36"/>
                <w:sz w:val="18"/>
              </w:rPr>
              <w:t>26.36</w:t>
            </w:r>
          </w:p>
        </w:tc>
      </w:tr>
    </w:tbl>
    <w:p>
      <w:pPr>
        <w:spacing w:after="40"/>
      </w:pPr>
    </w:p>
    <w:p>
      <w:pPr>
        <w:spacing w:after="120" w:before="0"/>
      </w:pPr>
      <w:r>
        <w:rPr>
          <w:b w:val="0"/>
          <w:i w:val="0"/>
          <w:color w:val="1C3A36"/>
          <w:sz w:val="19"/>
        </w:rPr>
        <w:t>Spot implies just 9.1× EV/OpFCF — a cash-flow multiple normally seen on operators with structurally worse capex conversion than an 80%-UAE cash engine. The two relative reads agree: the market pays a full EBITDA multiple but a thin cash-flow one.</w:t>
      </w:r>
    </w:p>
    <w:p>
      <w:pPr>
        <w:spacing w:after="80" w:before="200"/>
      </w:pPr>
      <w:r>
        <w:rPr>
          <w:b/>
          <w:i w:val="0"/>
          <w:color w:val="1C3A36"/>
          <w:sz w:val="24"/>
        </w:rPr>
        <w:t>1.4  Normalized earnings power</w:t>
      </w:r>
    </w:p>
    <w:p>
      <w:pPr>
        <w:spacing w:after="120" w:before="0"/>
      </w:pPr>
      <w:r>
        <w:rPr>
          <w:b w:val="0"/>
          <w:i w:val="0"/>
          <w:color w:val="1C3A36"/>
          <w:sz w:val="21"/>
        </w:rPr>
        <w:t>Strip the one-offs (FY25 reported EPS 1.65 carried the Khazna gain, the Maroc Telecom legal settlement and the Vodafone bargain-purchase; the company’s own ex-one-offs figure is 1.31) and the earning power entering 2026 is the guided ~1.35. GCC telecom trades 12–16×: the base 14× × 1.35 gives AED 18.90, with 15.60–22.72 across the grid. This is the lens most loyal to what the market already pays for GCC telecom earnings — and it lands within a dirham of spot.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304"/>
            <w:shd w:val="clear" w:color="auto" w:fill="EAF0EE"/>
          </w:tcPr>
          <w:p>
            <w:pPr>
              <w:spacing w:after="20"/>
            </w:pPr>
            <w:r>
              <w:rPr>
                <w:b/>
                <w:color w:val="1C3A36"/>
                <w:sz w:val="18"/>
              </w:rPr>
              <w:t>Clean EPS × P/E</w:t>
            </w:r>
          </w:p>
        </w:tc>
        <w:tc>
          <w:tcPr>
            <w:tcW w:type="dxa" w:w="1728"/>
            <w:shd w:val="clear" w:color="auto" w:fill="EAF0EE"/>
          </w:tcPr>
          <w:p>
            <w:pPr>
              <w:spacing w:after="20"/>
            </w:pPr>
            <w:r>
              <w:rPr>
                <w:b/>
                <w:color w:val="1C3A36"/>
                <w:sz w:val="18"/>
              </w:rPr>
              <w:t>12×</w:t>
            </w:r>
          </w:p>
        </w:tc>
        <w:tc>
          <w:tcPr>
            <w:tcW w:type="dxa" w:w="1728"/>
            <w:shd w:val="clear" w:color="auto" w:fill="EAF0EE"/>
          </w:tcPr>
          <w:p>
            <w:pPr>
              <w:spacing w:after="20"/>
            </w:pPr>
            <w:r>
              <w:rPr>
                <w:b/>
                <w:color w:val="1C3A36"/>
                <w:sz w:val="18"/>
              </w:rPr>
              <w:t>14×</w:t>
            </w:r>
          </w:p>
        </w:tc>
        <w:tc>
          <w:tcPr>
            <w:tcW w:type="dxa" w:w="1728"/>
            <w:shd w:val="clear" w:color="auto" w:fill="EAF0EE"/>
          </w:tcPr>
          <w:p>
            <w:pPr>
              <w:spacing w:after="20"/>
            </w:pPr>
            <w:r>
              <w:rPr>
                <w:b/>
                <w:color w:val="1C3A36"/>
                <w:sz w:val="18"/>
              </w:rPr>
              <w:t>16×</w:t>
            </w:r>
          </w:p>
        </w:tc>
      </w:tr>
      <w:tr>
        <w:tc>
          <w:tcPr>
            <w:tcW w:type="dxa" w:w="2304"/>
          </w:tcPr>
          <w:p>
            <w:pPr>
              <w:spacing w:after="20"/>
            </w:pPr>
            <w:r>
              <w:rPr>
                <w:color w:val="1C3A36"/>
                <w:sz w:val="18"/>
              </w:rPr>
              <w:t>1.30</w:t>
            </w:r>
          </w:p>
        </w:tc>
        <w:tc>
          <w:tcPr>
            <w:tcW w:type="dxa" w:w="1728"/>
          </w:tcPr>
          <w:p>
            <w:pPr>
              <w:spacing w:after="20"/>
              <w:jc w:val="right"/>
            </w:pPr>
            <w:r>
              <w:rPr>
                <w:color w:val="1C3A36"/>
                <w:sz w:val="18"/>
              </w:rPr>
              <w:t>15.60</w:t>
            </w:r>
          </w:p>
        </w:tc>
        <w:tc>
          <w:tcPr>
            <w:tcW w:type="dxa" w:w="1728"/>
          </w:tcPr>
          <w:p>
            <w:pPr>
              <w:spacing w:after="20"/>
              <w:jc w:val="right"/>
            </w:pPr>
            <w:r>
              <w:rPr>
                <w:color w:val="1C3A36"/>
                <w:sz w:val="18"/>
              </w:rPr>
              <w:t>18.20</w:t>
            </w:r>
          </w:p>
        </w:tc>
        <w:tc>
          <w:tcPr>
            <w:tcW w:type="dxa" w:w="1728"/>
          </w:tcPr>
          <w:p>
            <w:pPr>
              <w:spacing w:after="20"/>
              <w:jc w:val="right"/>
            </w:pPr>
            <w:r>
              <w:rPr>
                <w:color w:val="1C3A36"/>
                <w:sz w:val="18"/>
              </w:rPr>
              <w:t>20.80</w:t>
            </w:r>
          </w:p>
        </w:tc>
      </w:tr>
      <w:tr>
        <w:tc>
          <w:tcPr>
            <w:tcW w:type="dxa" w:w="2304"/>
            <w:shd w:val="clear" w:color="auto" w:fill="F6F1E6"/>
          </w:tcPr>
          <w:p>
            <w:pPr>
              <w:spacing w:after="20"/>
            </w:pPr>
            <w:r>
              <w:rPr>
                <w:b/>
                <w:color w:val="1C3A36"/>
                <w:sz w:val="18"/>
              </w:rPr>
              <w:t>1.35 (base)</w:t>
            </w:r>
          </w:p>
        </w:tc>
        <w:tc>
          <w:tcPr>
            <w:tcW w:type="dxa" w:w="1728"/>
            <w:shd w:val="clear" w:color="auto" w:fill="F6F1E6"/>
          </w:tcPr>
          <w:p>
            <w:pPr>
              <w:spacing w:after="20"/>
              <w:jc w:val="right"/>
            </w:pPr>
            <w:r>
              <w:rPr>
                <w:b/>
                <w:color w:val="1C3A36"/>
                <w:sz w:val="18"/>
              </w:rPr>
              <w:t>16.20</w:t>
            </w:r>
          </w:p>
        </w:tc>
        <w:tc>
          <w:tcPr>
            <w:tcW w:type="dxa" w:w="1728"/>
            <w:shd w:val="clear" w:color="auto" w:fill="F6F1E6"/>
          </w:tcPr>
          <w:p>
            <w:pPr>
              <w:spacing w:after="20"/>
              <w:jc w:val="right"/>
            </w:pPr>
            <w:r>
              <w:rPr>
                <w:b/>
                <w:color w:val="1C3A36"/>
                <w:sz w:val="18"/>
              </w:rPr>
              <w:t>18.90</w:t>
            </w:r>
          </w:p>
        </w:tc>
        <w:tc>
          <w:tcPr>
            <w:tcW w:type="dxa" w:w="1728"/>
            <w:shd w:val="clear" w:color="auto" w:fill="F6F1E6"/>
          </w:tcPr>
          <w:p>
            <w:pPr>
              <w:spacing w:after="20"/>
              <w:jc w:val="right"/>
            </w:pPr>
            <w:r>
              <w:rPr>
                <w:b/>
                <w:color w:val="1C3A36"/>
                <w:sz w:val="18"/>
              </w:rPr>
              <w:t>21.60</w:t>
            </w:r>
          </w:p>
        </w:tc>
      </w:tr>
      <w:tr>
        <w:tc>
          <w:tcPr>
            <w:tcW w:type="dxa" w:w="2304"/>
          </w:tcPr>
          <w:p>
            <w:pPr>
              <w:spacing w:after="20"/>
            </w:pPr>
            <w:r>
              <w:rPr>
                <w:color w:val="1C3A36"/>
                <w:sz w:val="18"/>
              </w:rPr>
              <w:t>1.42</w:t>
            </w:r>
          </w:p>
        </w:tc>
        <w:tc>
          <w:tcPr>
            <w:tcW w:type="dxa" w:w="1728"/>
          </w:tcPr>
          <w:p>
            <w:pPr>
              <w:spacing w:after="20"/>
              <w:jc w:val="right"/>
            </w:pPr>
            <w:r>
              <w:rPr>
                <w:color w:val="1C3A36"/>
                <w:sz w:val="18"/>
              </w:rPr>
              <w:t>17.04</w:t>
            </w:r>
          </w:p>
        </w:tc>
        <w:tc>
          <w:tcPr>
            <w:tcW w:type="dxa" w:w="1728"/>
          </w:tcPr>
          <w:p>
            <w:pPr>
              <w:spacing w:after="20"/>
              <w:jc w:val="right"/>
            </w:pPr>
            <w:r>
              <w:rPr>
                <w:color w:val="1C3A36"/>
                <w:sz w:val="18"/>
              </w:rPr>
              <w:t>19.88</w:t>
            </w:r>
          </w:p>
        </w:tc>
        <w:tc>
          <w:tcPr>
            <w:tcW w:type="dxa" w:w="1728"/>
          </w:tcPr>
          <w:p>
            <w:pPr>
              <w:spacing w:after="20"/>
              <w:jc w:val="right"/>
            </w:pPr>
            <w:r>
              <w:rPr>
                <w:color w:val="1C3A36"/>
                <w:sz w:val="18"/>
              </w:rPr>
              <w:t>22.72</w:t>
            </w:r>
          </w:p>
        </w:tc>
      </w:tr>
    </w:tbl>
    <w:p>
      <w:pPr>
        <w:spacing w:after="40"/>
      </w:pPr>
    </w:p>
    <w:p>
      <w:pPr>
        <w:spacing w:after="80" w:before="200"/>
      </w:pPr>
      <w:r>
        <w:rPr>
          <w:b/>
          <w:i w:val="0"/>
          <w:color w:val="1C3A36"/>
          <w:sz w:val="24"/>
        </w:rPr>
        <w:t>1.5  Synthesis — four lenses, one field</w:t>
      </w:r>
    </w:p>
    <w:p>
      <w:pPr>
        <w:spacing w:after="40"/>
        <w:jc w:val="center"/>
      </w:pPr>
      <w:r>
        <w:drawing>
          <wp:inline xmlns:a="http://schemas.openxmlformats.org/drawingml/2006/main" xmlns:pic="http://schemas.openxmlformats.org/drawingml/2006/picture">
            <wp:extent cx="6126480" cy="2583801"/>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126480" cy="2583801"/>
                    </a:xfrm>
                    <a:prstGeom prst="rect"/>
                  </pic:spPr>
                </pic:pic>
              </a:graphicData>
            </a:graphic>
          </wp:inline>
        </w:drawing>
      </w:r>
    </w:p>
    <w:p>
      <w:pPr>
        <w:spacing w:after="200" w:before="0"/>
      </w:pPr>
      <w:r>
        <w:rPr>
          <w:b w:val="0"/>
          <w:i/>
          <w:color w:val="6E7B77"/>
          <w:sz w:val="17"/>
        </w:rPr>
        <w:t>Figure 1 · The football field: each lens’s bear–bull span, its base (brass), spot (ink), and the weighted central band (gold).</w:t>
      </w:r>
    </w:p>
    <w:p>
      <w:pPr>
        <w:spacing w:after="120" w:before="0"/>
      </w:pPr>
      <w:r>
        <w:rPr>
          <w:b w:val="0"/>
          <w:i w:val="0"/>
          <w:color w:val="1C3A36"/>
          <w:sz w:val="21"/>
        </w:rPr>
        <w:t>The reading is asymmetric by construction. The two cash-mechanics lenses (DDM, normalized) straddle spot; the two enterprise lenses (DCF, relative-through-the-bridge) sit well above it. The weighted central of AED 22.72 says the market is paying for the dividend and giving the retained-earnings engine away at a discount — which is only true if the 2027 royalty regime, the NCI structure and the terminal economics resolve tolerably. That is why the crux section is the royalty, not the revenue line. The returns test agrees with the enterprise lenses: FY25 ROIC of ~12.7% against a 7.6% WACC is a +5.1pp spread — this is a value-creating capital base, not a utility earning its keep.</w:t>
      </w:r>
    </w:p>
    <w:p>
      <w:pPr>
        <w:spacing w:after="120" w:before="0"/>
      </w:pPr>
      <w:r>
        <w:rPr>
          <w:b w:val="0"/>
          <w:i/>
          <w:color w:val="6E7B77"/>
          <w:sz w:val="18"/>
        </w:rPr>
        <w:t>A structural note on the PTCL segment: PTCL Group completed its acquisition of Telenor Pakistan and Orion Towers on 31-Dec-2025, consolidating from Q1-2026 — after the FY23–FY25 window used for the segment baseline above. Q1-2026 PTCL revenue was +58.0% year-on-year reported (+2.9% like-for-like ex-Telenor) and EBITDA +132.7% reported (+44.5% like-for-like); the FY25 PTCL figures in this study are pre-acquisition and not directly comparable to FY26E onward. The PTCL NCI mark in the SOTP bridge is unaffected, since it is read directly off the PSX-listed market price, which already prices the deal. Separately, “Moov Africa” is Maroc Telecom Group’s brand for its West and Central African mobile subsidiaries (Burkina Faso, Togo, Niger, Mali, Benin and others) — already inside the Maroc Telecom (MT) segment above, not a separate consolidated entity.</w:t>
      </w:r>
    </w:p>
    <w:p>
      <w:pPr>
        <w:spacing w:after="80" w:before="200"/>
      </w:pPr>
      <w:r>
        <w:rPr>
          <w:b/>
          <w:i w:val="0"/>
          <w:color w:val="1C3A36"/>
          <w:sz w:val="24"/>
        </w:rPr>
        <w:t>1.6  The drivers — sourcing gate first, then the build</w:t>
      </w:r>
    </w:p>
    <w:p>
      <w:pPr>
        <w:spacing w:after="120" w:before="0"/>
      </w:pPr>
      <w:r>
        <w:rPr>
          <w:b w:val="0"/>
          <w:i/>
          <w:color w:val="6E7B77"/>
          <w:sz w:val="19"/>
        </w:rPr>
        <w:t>Every forecast driver passes a sourcing gate before it is used: bottom-up only where the research produced a disclosed figure or a dated market quote; top-down, and flagged as such, everywhere else. The full research register closes Appendix B.</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168"/>
            <w:shd w:val="clear" w:color="auto" w:fill="EAF0EE"/>
          </w:tcPr>
          <w:p>
            <w:pPr>
              <w:spacing w:after="20"/>
            </w:pPr>
            <w:r>
              <w:rPr>
                <w:b/>
                <w:color w:val="1C3A36"/>
                <w:sz w:val="17"/>
              </w:rPr>
              <w:t>Driver</w:t>
            </w:r>
          </w:p>
        </w:tc>
        <w:tc>
          <w:tcPr>
            <w:tcW w:type="dxa" w:w="1944"/>
            <w:shd w:val="clear" w:color="auto" w:fill="EAF0EE"/>
          </w:tcPr>
          <w:p>
            <w:pPr>
              <w:spacing w:after="20"/>
            </w:pPr>
            <w:r>
              <w:rPr>
                <w:b/>
                <w:color w:val="1C3A36"/>
                <w:sz w:val="17"/>
              </w:rPr>
              <w:t>Mode</w:t>
            </w:r>
          </w:p>
        </w:tc>
        <w:tc>
          <w:tcPr>
            <w:tcW w:type="dxa" w:w="3384"/>
            <w:shd w:val="clear" w:color="auto" w:fill="EAF0EE"/>
          </w:tcPr>
          <w:p>
            <w:pPr>
              <w:spacing w:after="20"/>
            </w:pPr>
            <w:r>
              <w:rPr>
                <w:b/>
                <w:color w:val="1C3A36"/>
                <w:sz w:val="17"/>
              </w:rPr>
              <w:t>Justification</w:t>
            </w:r>
          </w:p>
        </w:tc>
        <w:tc>
          <w:tcPr>
            <w:tcW w:type="dxa" w:w="1512"/>
            <w:shd w:val="clear" w:color="auto" w:fill="EAF0EE"/>
          </w:tcPr>
          <w:p>
            <w:pPr>
              <w:spacing w:after="20"/>
            </w:pPr>
            <w:r>
              <w:rPr>
                <w:b/>
                <w:color w:val="1C3A36"/>
                <w:sz w:val="17"/>
              </w:rPr>
              <w:t>Register ref.</w:t>
            </w:r>
          </w:p>
        </w:tc>
      </w:tr>
      <w:tr>
        <w:tc>
          <w:tcPr>
            <w:tcW w:type="dxa" w:w="3168"/>
          </w:tcPr>
          <w:p>
            <w:pPr>
              <w:spacing w:after="20"/>
            </w:pPr>
            <w:r>
              <w:rPr>
                <w:color w:val="1C3A36"/>
                <w:sz w:val="17"/>
              </w:rPr>
              <w:t>FY26E revenue growth (+8.5% rep.)</w:t>
            </w:r>
          </w:p>
        </w:tc>
        <w:tc>
          <w:tcPr>
            <w:tcW w:type="dxa" w:w="1944"/>
          </w:tcPr>
          <w:p>
            <w:pPr>
              <w:spacing w:after="20"/>
              <w:jc w:val="right"/>
            </w:pPr>
            <w:r>
              <w:rPr>
                <w:color w:val="1C3A36"/>
                <w:sz w:val="17"/>
              </w:rPr>
              <w:t>bottom-up (guidance)</w:t>
            </w:r>
          </w:p>
        </w:tc>
        <w:tc>
          <w:tcPr>
            <w:tcW w:type="dxa" w:w="3384"/>
          </w:tcPr>
          <w:p>
            <w:pPr>
              <w:spacing w:after="20"/>
              <w:jc w:val="right"/>
            </w:pPr>
            <w:r>
              <w:rPr>
                <w:color w:val="1C3A36"/>
                <w:sz w:val="17"/>
              </w:rPr>
              <w:t>FY26 guidance +8-10% cc; Q1 +11.3% cc</w:t>
            </w:r>
          </w:p>
        </w:tc>
        <w:tc>
          <w:tcPr>
            <w:tcW w:type="dxa" w:w="1512"/>
          </w:tcPr>
          <w:p>
            <w:pPr>
              <w:spacing w:after="20"/>
              <w:jc w:val="right"/>
            </w:pPr>
            <w:r>
              <w:rPr>
                <w:color w:val="1C3A36"/>
                <w:sz w:val="17"/>
              </w:rPr>
              <w:t>Company/Guidance</w:t>
            </w:r>
          </w:p>
        </w:tc>
      </w:tr>
      <w:tr>
        <w:tc>
          <w:tcPr>
            <w:tcW w:type="dxa" w:w="3168"/>
          </w:tcPr>
          <w:p>
            <w:pPr>
              <w:spacing w:after="20"/>
            </w:pPr>
            <w:r>
              <w:rPr>
                <w:color w:val="1C3A36"/>
                <w:sz w:val="17"/>
              </w:rPr>
              <w:t>FY27-30E revenue growth (3.0-3.5%)</w:t>
            </w:r>
          </w:p>
        </w:tc>
        <w:tc>
          <w:tcPr>
            <w:tcW w:type="dxa" w:w="1944"/>
          </w:tcPr>
          <w:p>
            <w:pPr>
              <w:spacing w:after="20"/>
              <w:jc w:val="right"/>
            </w:pPr>
            <w:r>
              <w:rPr>
                <w:color w:val="1C3A36"/>
                <w:sz w:val="17"/>
              </w:rPr>
              <w:t>top-down</w:t>
            </w:r>
          </w:p>
        </w:tc>
        <w:tc>
          <w:tcPr>
            <w:tcW w:type="dxa" w:w="3384"/>
          </w:tcPr>
          <w:p>
            <w:pPr>
              <w:spacing w:after="20"/>
              <w:jc w:val="right"/>
            </w:pPr>
            <w:r>
              <w:rPr>
                <w:color w:val="1C3A36"/>
                <w:sz w:val="17"/>
              </w:rPr>
              <w:t>sector CAGR 3-4% (industry ring); no multi-year guidance</w:t>
            </w:r>
          </w:p>
        </w:tc>
        <w:tc>
          <w:tcPr>
            <w:tcW w:type="dxa" w:w="1512"/>
          </w:tcPr>
          <w:p>
            <w:pPr>
              <w:spacing w:after="20"/>
              <w:jc w:val="right"/>
            </w:pPr>
            <w:r>
              <w:rPr>
                <w:color w:val="1C3A36"/>
                <w:sz w:val="17"/>
              </w:rPr>
              <w:t>Industry/Demand</w:t>
            </w:r>
          </w:p>
        </w:tc>
      </w:tr>
      <w:tr>
        <w:tc>
          <w:tcPr>
            <w:tcW w:type="dxa" w:w="3168"/>
          </w:tcPr>
          <w:p>
            <w:pPr>
              <w:spacing w:after="20"/>
            </w:pPr>
            <w:r>
              <w:rPr>
                <w:color w:val="1C3A36"/>
                <w:sz w:val="17"/>
              </w:rPr>
              <w:t>EBITDA margin path 42.4-&gt;43.6%</w:t>
            </w:r>
          </w:p>
        </w:tc>
        <w:tc>
          <w:tcPr>
            <w:tcW w:type="dxa" w:w="1944"/>
          </w:tcPr>
          <w:p>
            <w:pPr>
              <w:spacing w:after="20"/>
              <w:jc w:val="right"/>
            </w:pPr>
            <w:r>
              <w:rPr>
                <w:color w:val="1C3A36"/>
                <w:sz w:val="17"/>
              </w:rPr>
              <w:t>bottom-up (guidance+segments)</w:t>
            </w:r>
          </w:p>
        </w:tc>
        <w:tc>
          <w:tcPr>
            <w:tcW w:type="dxa" w:w="3384"/>
          </w:tcPr>
          <w:p>
            <w:pPr>
              <w:spacing w:after="20"/>
              <w:jc w:val="right"/>
            </w:pPr>
            <w:r>
              <w:rPr>
                <w:color w:val="1C3A36"/>
                <w:sz w:val="17"/>
              </w:rPr>
              <w:t>EBITDA +4-5% cc guide; Careem-drag removal; segment table</w:t>
            </w:r>
          </w:p>
        </w:tc>
        <w:tc>
          <w:tcPr>
            <w:tcW w:type="dxa" w:w="1512"/>
          </w:tcPr>
          <w:p>
            <w:pPr>
              <w:spacing w:after="20"/>
              <w:jc w:val="right"/>
            </w:pPr>
            <w:r>
              <w:rPr>
                <w:color w:val="1C3A36"/>
                <w:sz w:val="17"/>
              </w:rPr>
              <w:t>Company/Guidance + One-offs</w:t>
            </w:r>
          </w:p>
        </w:tc>
      </w:tr>
      <w:tr>
        <w:tc>
          <w:tcPr>
            <w:tcW w:type="dxa" w:w="3168"/>
          </w:tcPr>
          <w:p>
            <w:pPr>
              <w:spacing w:after="20"/>
            </w:pPr>
            <w:r>
              <w:rPr>
                <w:color w:val="1C3A36"/>
                <w:sz w:val="17"/>
              </w:rPr>
              <w:t>Royalty+tax t_eff 36.5% (43.6% UAE / 27% intl)</w:t>
            </w:r>
          </w:p>
        </w:tc>
        <w:tc>
          <w:tcPr>
            <w:tcW w:type="dxa" w:w="1944"/>
          </w:tcPr>
          <w:p>
            <w:pPr>
              <w:spacing w:after="20"/>
              <w:jc w:val="right"/>
            </w:pPr>
            <w:r>
              <w:rPr>
                <w:color w:val="1C3A36"/>
                <w:sz w:val="17"/>
              </w:rPr>
              <w:t>bottom-up (regime)</w:t>
            </w:r>
          </w:p>
        </w:tc>
        <w:tc>
          <w:tcPr>
            <w:tcW w:type="dxa" w:w="3384"/>
          </w:tcPr>
          <w:p>
            <w:pPr>
              <w:spacing w:after="20"/>
              <w:jc w:val="right"/>
            </w:pPr>
            <w:r>
              <w:rPr>
                <w:color w:val="1C3A36"/>
                <w:sz w:val="17"/>
              </w:rPr>
              <w:t>disclosed 38%+9% regime + segment EBIT split; 2027 reset sensitised</w:t>
            </w:r>
          </w:p>
        </w:tc>
        <w:tc>
          <w:tcPr>
            <w:tcW w:type="dxa" w:w="1512"/>
          </w:tcPr>
          <w:p>
            <w:pPr>
              <w:spacing w:after="20"/>
              <w:jc w:val="right"/>
            </w:pPr>
            <w:r>
              <w:rPr>
                <w:color w:val="1C3A36"/>
                <w:sz w:val="17"/>
              </w:rPr>
              <w:t>Country/Regulatory</w:t>
            </w:r>
          </w:p>
        </w:tc>
      </w:tr>
      <w:tr>
        <w:tc>
          <w:tcPr>
            <w:tcW w:type="dxa" w:w="3168"/>
          </w:tcPr>
          <w:p>
            <w:pPr>
              <w:spacing w:after="20"/>
            </w:pPr>
            <w:r>
              <w:rPr>
                <w:color w:val="1C3A36"/>
                <w:sz w:val="17"/>
              </w:rPr>
              <w:t>Capex 17.5-&gt;16.0% all-in</w:t>
            </w:r>
          </w:p>
        </w:tc>
        <w:tc>
          <w:tcPr>
            <w:tcW w:type="dxa" w:w="1944"/>
          </w:tcPr>
          <w:p>
            <w:pPr>
              <w:spacing w:after="20"/>
              <w:jc w:val="right"/>
            </w:pPr>
            <w:r>
              <w:rPr>
                <w:color w:val="1C3A36"/>
                <w:sz w:val="17"/>
              </w:rPr>
              <w:t>bottom-up (guidance)</w:t>
            </w:r>
          </w:p>
        </w:tc>
        <w:tc>
          <w:tcPr>
            <w:tcW w:type="dxa" w:w="3384"/>
          </w:tcPr>
          <w:p>
            <w:pPr>
              <w:spacing w:after="20"/>
              <w:jc w:val="right"/>
            </w:pPr>
            <w:r>
              <w:rPr>
                <w:color w:val="1C3A36"/>
                <w:sz w:val="17"/>
              </w:rPr>
              <w:t>16-17% ex-spectrum guide + spectrum allowance</w:t>
            </w:r>
          </w:p>
        </w:tc>
        <w:tc>
          <w:tcPr>
            <w:tcW w:type="dxa" w:w="1512"/>
          </w:tcPr>
          <w:p>
            <w:pPr>
              <w:spacing w:after="20"/>
              <w:jc w:val="right"/>
            </w:pPr>
            <w:r>
              <w:rPr>
                <w:color w:val="1C3A36"/>
                <w:sz w:val="17"/>
              </w:rPr>
              <w:t>Company/Guidance</w:t>
            </w:r>
          </w:p>
        </w:tc>
      </w:tr>
      <w:tr>
        <w:tc>
          <w:tcPr>
            <w:tcW w:type="dxa" w:w="3168"/>
          </w:tcPr>
          <w:p>
            <w:pPr>
              <w:spacing w:after="20"/>
            </w:pPr>
            <w:r>
              <w:rPr>
                <w:color w:val="1C3A36"/>
                <w:sz w:val="17"/>
              </w:rPr>
              <w:t>Stake marks (VOD deal / Mobily / IAM / PTCL)</w:t>
            </w:r>
          </w:p>
        </w:tc>
        <w:tc>
          <w:tcPr>
            <w:tcW w:type="dxa" w:w="1944"/>
          </w:tcPr>
          <w:p>
            <w:pPr>
              <w:spacing w:after="20"/>
              <w:jc w:val="right"/>
            </w:pPr>
            <w:r>
              <w:rPr>
                <w:color w:val="1C3A36"/>
                <w:sz w:val="17"/>
              </w:rPr>
              <w:t>bottom-up (market quotes)</w:t>
            </w:r>
          </w:p>
        </w:tc>
        <w:tc>
          <w:tcPr>
            <w:tcW w:type="dxa" w:w="3384"/>
          </w:tcPr>
          <w:p>
            <w:pPr>
              <w:spacing w:after="20"/>
              <w:jc w:val="right"/>
            </w:pPr>
            <w:r>
              <w:rPr>
                <w:color w:val="1C3A36"/>
                <w:sz w:val="17"/>
              </w:rPr>
              <w:t>named transactions verified; dated quotes</w:t>
            </w:r>
          </w:p>
        </w:tc>
        <w:tc>
          <w:tcPr>
            <w:tcW w:type="dxa" w:w="1512"/>
          </w:tcPr>
          <w:p>
            <w:pPr>
              <w:spacing w:after="20"/>
              <w:jc w:val="right"/>
            </w:pPr>
            <w:r>
              <w:rPr>
                <w:color w:val="1C3A36"/>
                <w:sz w:val="17"/>
              </w:rPr>
              <w:t>Company/Ownership</w:t>
            </w:r>
          </w:p>
        </w:tc>
      </w:tr>
      <w:tr>
        <w:tc>
          <w:tcPr>
            <w:tcW w:type="dxa" w:w="3168"/>
          </w:tcPr>
          <w:p>
            <w:pPr>
              <w:spacing w:after="20"/>
            </w:pPr>
            <w:r>
              <w:rPr>
                <w:color w:val="1C3A36"/>
                <w:sz w:val="17"/>
              </w:rPr>
              <w:t>WACC inputs (rf 4.30 / ERP 4.87 / beta 1.0)</w:t>
            </w:r>
          </w:p>
        </w:tc>
        <w:tc>
          <w:tcPr>
            <w:tcW w:type="dxa" w:w="1944"/>
          </w:tcPr>
          <w:p>
            <w:pPr>
              <w:spacing w:after="20"/>
              <w:jc w:val="right"/>
            </w:pPr>
            <w:r>
              <w:rPr>
                <w:color w:val="1C3A36"/>
                <w:sz w:val="17"/>
              </w:rPr>
              <w:t>bottom-up (sourced)</w:t>
            </w:r>
          </w:p>
        </w:tc>
        <w:tc>
          <w:tcPr>
            <w:tcW w:type="dxa" w:w="3384"/>
          </w:tcPr>
          <w:p>
            <w:pPr>
              <w:spacing w:after="20"/>
              <w:jc w:val="right"/>
            </w:pPr>
            <w:r>
              <w:rPr>
                <w:color w:val="1C3A36"/>
                <w:sz w:val="17"/>
              </w:rPr>
              <w:t>MoF auction; Damodaran original; beta fallback documented</w:t>
            </w:r>
          </w:p>
        </w:tc>
        <w:tc>
          <w:tcPr>
            <w:tcW w:type="dxa" w:w="1512"/>
          </w:tcPr>
          <w:p>
            <w:pPr>
              <w:spacing w:after="20"/>
              <w:jc w:val="right"/>
            </w:pPr>
            <w:r>
              <w:rPr>
                <w:color w:val="1C3A36"/>
                <w:sz w:val="17"/>
              </w:rPr>
              <w:t>Country/Sovereign + Global/Rates</w:t>
            </w:r>
          </w:p>
        </w:tc>
      </w:tr>
      <w:tr>
        <w:tc>
          <w:tcPr>
            <w:tcW w:type="dxa" w:w="3168"/>
          </w:tcPr>
          <w:p>
            <w:pPr>
              <w:spacing w:after="20"/>
            </w:pPr>
            <w:r>
              <w:rPr>
                <w:color w:val="1C3A36"/>
                <w:sz w:val="17"/>
              </w:rPr>
              <w:t>Terminal g 2.5%</w:t>
            </w:r>
          </w:p>
        </w:tc>
        <w:tc>
          <w:tcPr>
            <w:tcW w:type="dxa" w:w="1944"/>
          </w:tcPr>
          <w:p>
            <w:pPr>
              <w:spacing w:after="20"/>
              <w:jc w:val="right"/>
            </w:pPr>
            <w:r>
              <w:rPr>
                <w:color w:val="1C3A36"/>
                <w:sz w:val="17"/>
              </w:rPr>
              <w:t>top-down</w:t>
            </w:r>
          </w:p>
        </w:tc>
        <w:tc>
          <w:tcPr>
            <w:tcW w:type="dxa" w:w="3384"/>
          </w:tcPr>
          <w:p>
            <w:pPr>
              <w:spacing w:after="20"/>
              <w:jc w:val="right"/>
            </w:pPr>
            <w:r>
              <w:rPr>
                <w:color w:val="1C3A36"/>
                <w:sz w:val="17"/>
              </w:rPr>
              <w:t>UAE inflation ~2% + modest real; house view, sensitised</w:t>
            </w:r>
          </w:p>
        </w:tc>
        <w:tc>
          <w:tcPr>
            <w:tcW w:type="dxa" w:w="1512"/>
          </w:tcPr>
          <w:p>
            <w:pPr>
              <w:spacing w:after="20"/>
              <w:jc w:val="right"/>
            </w:pPr>
            <w:r>
              <w:rPr>
                <w:color w:val="1C3A36"/>
                <w:sz w:val="17"/>
              </w:rPr>
              <w:t>Country/Sovereign</w:t>
            </w:r>
          </w:p>
        </w:tc>
      </w:tr>
    </w:tbl>
    <w:p>
      <w:pPr>
        <w:spacing w:after="40"/>
      </w:pPr>
    </w:p>
    <w:p>
      <w:pPr>
        <w:spacing w:after="40"/>
        <w:jc w:val="center"/>
      </w:pPr>
      <w:r>
        <w:drawing>
          <wp:inline xmlns:a="http://schemas.openxmlformats.org/drawingml/2006/main" xmlns:pic="http://schemas.openxmlformats.org/drawingml/2006/picture">
            <wp:extent cx="6126480" cy="2463224"/>
            <wp:docPr id="2" name="Picture 2"/>
            <wp:cNvGraphicFramePr>
              <a:graphicFrameLocks noChangeAspect="1"/>
            </wp:cNvGraphicFramePr>
            <a:graphic>
              <a:graphicData uri="http://schemas.openxmlformats.org/drawingml/2006/picture">
                <pic:pic>
                  <pic:nvPicPr>
                    <pic:cNvPr id="0" name="fig7_segments.png"/>
                    <pic:cNvPicPr/>
                  </pic:nvPicPr>
                  <pic:blipFill>
                    <a:blip r:embed="rId10"/>
                    <a:stretch>
                      <a:fillRect/>
                    </a:stretch>
                  </pic:blipFill>
                  <pic:spPr>
                    <a:xfrm>
                      <a:off x="0" y="0"/>
                      <a:ext cx="6126480" cy="2463224"/>
                    </a:xfrm>
                    <a:prstGeom prst="rect"/>
                  </pic:spPr>
                </pic:pic>
              </a:graphicData>
            </a:graphic>
          </wp:inline>
        </w:drawing>
      </w:r>
    </w:p>
    <w:p>
      <w:pPr>
        <w:spacing w:after="200" w:before="0"/>
      </w:pPr>
      <w:r>
        <w:rPr>
          <w:b w:val="0"/>
          <w:i/>
          <w:color w:val="6E7B77"/>
          <w:sz w:val="17"/>
        </w:rPr>
        <w:t>Figure 2 · FY2025 revenue and EBITDA by segment (AED bn). The UAE is half the revenue and well over half the profit pool; Mobily and Vodafone sit outside the bars as associates.</w:t>
      </w:r>
    </w:p>
    <w:p>
      <w:pPr>
        <w:spacing w:after="120" w:before="40"/>
      </w:pPr>
      <w:r>
        <w:rPr>
          <w:b/>
          <w:i w:val="0"/>
          <w:color w:val="1C3A36"/>
          <w:sz w:val="21"/>
        </w:rPr>
        <w:t>The forecast in driver terms: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96"/>
            <w:shd w:val="clear" w:color="auto" w:fill="EAF0EE"/>
          </w:tcPr>
          <w:p>
            <w:pPr>
              <w:spacing w:after="20"/>
            </w:pPr>
            <w:r>
              <w:rPr>
                <w:b/>
                <w:color w:val="1C3A36"/>
                <w:sz w:val="18"/>
              </w:rPr>
              <w:t>Driver</w:t>
            </w:r>
          </w:p>
        </w:tc>
        <w:tc>
          <w:tcPr>
            <w:tcW w:type="dxa" w:w="1296"/>
            <w:shd w:val="clear" w:color="auto" w:fill="EAF0EE"/>
          </w:tcPr>
          <w:p>
            <w:pPr>
              <w:spacing w:after="20"/>
            </w:pPr>
            <w:r>
              <w:rPr>
                <w:b/>
                <w:color w:val="1C3A36"/>
                <w:sz w:val="18"/>
              </w:rPr>
              <w:t>FY26E</w:t>
            </w:r>
          </w:p>
        </w:tc>
        <w:tc>
          <w:tcPr>
            <w:tcW w:type="dxa" w:w="1296"/>
            <w:shd w:val="clear" w:color="auto" w:fill="EAF0EE"/>
          </w:tcPr>
          <w:p>
            <w:pPr>
              <w:spacing w:after="20"/>
            </w:pPr>
            <w:r>
              <w:rPr>
                <w:b/>
                <w:color w:val="1C3A36"/>
                <w:sz w:val="18"/>
              </w:rPr>
              <w:t>FY27E</w:t>
            </w:r>
          </w:p>
        </w:tc>
        <w:tc>
          <w:tcPr>
            <w:tcW w:type="dxa" w:w="1296"/>
            <w:shd w:val="clear" w:color="auto" w:fill="EAF0EE"/>
          </w:tcPr>
          <w:p>
            <w:pPr>
              <w:spacing w:after="20"/>
            </w:pPr>
            <w:r>
              <w:rPr>
                <w:b/>
                <w:color w:val="1C3A36"/>
                <w:sz w:val="18"/>
              </w:rPr>
              <w:t>FY28E</w:t>
            </w:r>
          </w:p>
        </w:tc>
        <w:tc>
          <w:tcPr>
            <w:tcW w:type="dxa" w:w="1296"/>
            <w:shd w:val="clear" w:color="auto" w:fill="EAF0EE"/>
          </w:tcPr>
          <w:p>
            <w:pPr>
              <w:spacing w:after="20"/>
            </w:pPr>
            <w:r>
              <w:rPr>
                <w:b/>
                <w:color w:val="1C3A36"/>
                <w:sz w:val="18"/>
              </w:rPr>
              <w:t>FY29E</w:t>
            </w:r>
          </w:p>
        </w:tc>
        <w:tc>
          <w:tcPr>
            <w:tcW w:type="dxa" w:w="1296"/>
            <w:shd w:val="clear" w:color="auto" w:fill="EAF0EE"/>
          </w:tcPr>
          <w:p>
            <w:pPr>
              <w:spacing w:after="20"/>
            </w:pPr>
            <w:r>
              <w:rPr>
                <w:b/>
                <w:color w:val="1C3A36"/>
                <w:sz w:val="18"/>
              </w:rPr>
              <w:t>FY30E</w:t>
            </w:r>
          </w:p>
        </w:tc>
      </w:tr>
      <w:tr>
        <w:tc>
          <w:tcPr>
            <w:tcW w:type="dxa" w:w="3096"/>
          </w:tcPr>
          <w:p>
            <w:pPr>
              <w:spacing w:after="20"/>
            </w:pPr>
            <w:r>
              <w:rPr>
                <w:color w:val="1C3A36"/>
                <w:sz w:val="18"/>
              </w:rPr>
              <w:t>Revenue growth</w:t>
            </w:r>
          </w:p>
        </w:tc>
        <w:tc>
          <w:tcPr>
            <w:tcW w:type="dxa" w:w="1296"/>
          </w:tcPr>
          <w:p>
            <w:pPr>
              <w:spacing w:after="20"/>
              <w:jc w:val="right"/>
            </w:pPr>
            <w:r>
              <w:rPr>
                <w:color w:val="1C3A36"/>
                <w:sz w:val="18"/>
              </w:rPr>
              <w:t>9.0%</w:t>
            </w:r>
          </w:p>
        </w:tc>
        <w:tc>
          <w:tcPr>
            <w:tcW w:type="dxa" w:w="1296"/>
          </w:tcPr>
          <w:p>
            <w:pPr>
              <w:spacing w:after="20"/>
              <w:jc w:val="right"/>
            </w:pPr>
            <w:r>
              <w:rPr>
                <w:color w:val="1C3A36"/>
                <w:sz w:val="18"/>
              </w:rPr>
              <w:t>3.5%</w:t>
            </w:r>
          </w:p>
        </w:tc>
        <w:tc>
          <w:tcPr>
            <w:tcW w:type="dxa" w:w="1296"/>
          </w:tcPr>
          <w:p>
            <w:pPr>
              <w:spacing w:after="20"/>
              <w:jc w:val="right"/>
            </w:pPr>
            <w:r>
              <w:rPr>
                <w:color w:val="1C3A36"/>
                <w:sz w:val="18"/>
              </w:rPr>
              <w:t>3.5%</w:t>
            </w:r>
          </w:p>
        </w:tc>
        <w:tc>
          <w:tcPr>
            <w:tcW w:type="dxa" w:w="1296"/>
          </w:tcPr>
          <w:p>
            <w:pPr>
              <w:spacing w:after="20"/>
              <w:jc w:val="right"/>
            </w:pPr>
            <w:r>
              <w:rPr>
                <w:color w:val="1C3A36"/>
                <w:sz w:val="18"/>
              </w:rPr>
              <w:t>3.2%</w:t>
            </w:r>
          </w:p>
        </w:tc>
        <w:tc>
          <w:tcPr>
            <w:tcW w:type="dxa" w:w="1296"/>
          </w:tcPr>
          <w:p>
            <w:pPr>
              <w:spacing w:after="20"/>
              <w:jc w:val="right"/>
            </w:pPr>
            <w:r>
              <w:rPr>
                <w:color w:val="1C3A36"/>
                <w:sz w:val="18"/>
              </w:rPr>
              <w:t>3.0%</w:t>
            </w:r>
          </w:p>
        </w:tc>
      </w:tr>
      <w:tr>
        <w:tc>
          <w:tcPr>
            <w:tcW w:type="dxa" w:w="3096"/>
          </w:tcPr>
          <w:p>
            <w:pPr>
              <w:spacing w:after="20"/>
            </w:pPr>
            <w:r>
              <w:rPr>
                <w:color w:val="1C3A36"/>
                <w:sz w:val="18"/>
              </w:rPr>
              <w:t>EBITDA margin</w:t>
            </w:r>
          </w:p>
        </w:tc>
        <w:tc>
          <w:tcPr>
            <w:tcW w:type="dxa" w:w="1296"/>
          </w:tcPr>
          <w:p>
            <w:pPr>
              <w:spacing w:after="20"/>
              <w:jc w:val="right"/>
            </w:pPr>
            <w:r>
              <w:rPr>
                <w:color w:val="1C3A36"/>
                <w:sz w:val="18"/>
              </w:rPr>
              <w:t>43.0%</w:t>
            </w:r>
          </w:p>
        </w:tc>
        <w:tc>
          <w:tcPr>
            <w:tcW w:type="dxa" w:w="1296"/>
          </w:tcPr>
          <w:p>
            <w:pPr>
              <w:spacing w:after="20"/>
              <w:jc w:val="right"/>
            </w:pPr>
            <w:r>
              <w:rPr>
                <w:color w:val="1C3A36"/>
                <w:sz w:val="18"/>
              </w:rPr>
              <w:t>43.2%</w:t>
            </w:r>
          </w:p>
        </w:tc>
        <w:tc>
          <w:tcPr>
            <w:tcW w:type="dxa" w:w="1296"/>
          </w:tcPr>
          <w:p>
            <w:pPr>
              <w:spacing w:after="20"/>
              <w:jc w:val="right"/>
            </w:pPr>
            <w:r>
              <w:rPr>
                <w:color w:val="1C3A36"/>
                <w:sz w:val="18"/>
              </w:rPr>
              <w:t>43.4%</w:t>
            </w:r>
          </w:p>
        </w:tc>
        <w:tc>
          <w:tcPr>
            <w:tcW w:type="dxa" w:w="1296"/>
          </w:tcPr>
          <w:p>
            <w:pPr>
              <w:spacing w:after="20"/>
              <w:jc w:val="right"/>
            </w:pPr>
            <w:r>
              <w:rPr>
                <w:color w:val="1C3A36"/>
                <w:sz w:val="18"/>
              </w:rPr>
              <w:t>43.6%</w:t>
            </w:r>
          </w:p>
        </w:tc>
        <w:tc>
          <w:tcPr>
            <w:tcW w:type="dxa" w:w="1296"/>
          </w:tcPr>
          <w:p>
            <w:pPr>
              <w:spacing w:after="20"/>
              <w:jc w:val="right"/>
            </w:pPr>
            <w:r>
              <w:rPr>
                <w:color w:val="1C3A36"/>
                <w:sz w:val="18"/>
              </w:rPr>
              <w:t>43.8%</w:t>
            </w:r>
          </w:p>
        </w:tc>
      </w:tr>
      <w:tr>
        <w:tc>
          <w:tcPr>
            <w:tcW w:type="dxa" w:w="3096"/>
          </w:tcPr>
          <w:p>
            <w:pPr>
              <w:spacing w:after="20"/>
            </w:pPr>
            <w:r>
              <w:rPr>
                <w:color w:val="1C3A36"/>
                <w:sz w:val="18"/>
              </w:rPr>
              <w:t>D&amp;A % revenue</w:t>
            </w:r>
          </w:p>
        </w:tc>
        <w:tc>
          <w:tcPr>
            <w:tcW w:type="dxa" w:w="1296"/>
          </w:tcPr>
          <w:p>
            <w:pPr>
              <w:spacing w:after="20"/>
              <w:jc w:val="right"/>
            </w:pPr>
            <w:r>
              <w:rPr>
                <w:color w:val="1C3A36"/>
                <w:sz w:val="18"/>
              </w:rPr>
              <w:t>14.6%</w:t>
            </w:r>
          </w:p>
        </w:tc>
        <w:tc>
          <w:tcPr>
            <w:tcW w:type="dxa" w:w="1296"/>
          </w:tcPr>
          <w:p>
            <w:pPr>
              <w:spacing w:after="20"/>
              <w:jc w:val="right"/>
            </w:pPr>
            <w:r>
              <w:rPr>
                <w:color w:val="1C3A36"/>
                <w:sz w:val="18"/>
              </w:rPr>
              <w:t>14.3%</w:t>
            </w:r>
          </w:p>
        </w:tc>
        <w:tc>
          <w:tcPr>
            <w:tcW w:type="dxa" w:w="1296"/>
          </w:tcPr>
          <w:p>
            <w:pPr>
              <w:spacing w:after="20"/>
              <w:jc w:val="right"/>
            </w:pPr>
            <w:r>
              <w:rPr>
                <w:color w:val="1C3A36"/>
                <w:sz w:val="18"/>
              </w:rPr>
              <w:t>14.0%</w:t>
            </w:r>
          </w:p>
        </w:tc>
        <w:tc>
          <w:tcPr>
            <w:tcW w:type="dxa" w:w="1296"/>
          </w:tcPr>
          <w:p>
            <w:pPr>
              <w:spacing w:after="20"/>
              <w:jc w:val="right"/>
            </w:pPr>
            <w:r>
              <w:rPr>
                <w:color w:val="1C3A36"/>
                <w:sz w:val="18"/>
              </w:rPr>
              <w:t>13.7%</w:t>
            </w:r>
          </w:p>
        </w:tc>
        <w:tc>
          <w:tcPr>
            <w:tcW w:type="dxa" w:w="1296"/>
          </w:tcPr>
          <w:p>
            <w:pPr>
              <w:spacing w:after="20"/>
              <w:jc w:val="right"/>
            </w:pPr>
            <w:r>
              <w:rPr>
                <w:color w:val="1C3A36"/>
                <w:sz w:val="18"/>
              </w:rPr>
              <w:t>13.5%</w:t>
            </w:r>
          </w:p>
        </w:tc>
      </w:tr>
      <w:tr>
        <w:tc>
          <w:tcPr>
            <w:tcW w:type="dxa" w:w="3096"/>
          </w:tcPr>
          <w:p>
            <w:pPr>
              <w:spacing w:after="20"/>
            </w:pPr>
            <w:r>
              <w:rPr>
                <w:color w:val="1C3A36"/>
                <w:sz w:val="18"/>
              </w:rPr>
              <w:t>Capex % revenue (all-in)</w:t>
            </w:r>
          </w:p>
        </w:tc>
        <w:tc>
          <w:tcPr>
            <w:tcW w:type="dxa" w:w="1296"/>
          </w:tcPr>
          <w:p>
            <w:pPr>
              <w:spacing w:after="20"/>
              <w:jc w:val="right"/>
            </w:pPr>
            <w:r>
              <w:rPr>
                <w:color w:val="1C3A36"/>
                <w:sz w:val="18"/>
              </w:rPr>
              <w:t>17.3%</w:t>
            </w:r>
          </w:p>
        </w:tc>
        <w:tc>
          <w:tcPr>
            <w:tcW w:type="dxa" w:w="1296"/>
          </w:tcPr>
          <w:p>
            <w:pPr>
              <w:spacing w:after="20"/>
              <w:jc w:val="right"/>
            </w:pPr>
            <w:r>
              <w:rPr>
                <w:color w:val="1C3A36"/>
                <w:sz w:val="18"/>
              </w:rPr>
              <w:t>16.9%</w:t>
            </w:r>
          </w:p>
        </w:tc>
        <w:tc>
          <w:tcPr>
            <w:tcW w:type="dxa" w:w="1296"/>
          </w:tcPr>
          <w:p>
            <w:pPr>
              <w:spacing w:after="20"/>
              <w:jc w:val="right"/>
            </w:pPr>
            <w:r>
              <w:rPr>
                <w:color w:val="1C3A36"/>
                <w:sz w:val="18"/>
              </w:rPr>
              <w:t>16.5%</w:t>
            </w:r>
          </w:p>
        </w:tc>
        <w:tc>
          <w:tcPr>
            <w:tcW w:type="dxa" w:w="1296"/>
          </w:tcPr>
          <w:p>
            <w:pPr>
              <w:spacing w:after="20"/>
              <w:jc w:val="right"/>
            </w:pPr>
            <w:r>
              <w:rPr>
                <w:color w:val="1C3A36"/>
                <w:sz w:val="18"/>
              </w:rPr>
              <w:t>16.2%</w:t>
            </w:r>
          </w:p>
        </w:tc>
        <w:tc>
          <w:tcPr>
            <w:tcW w:type="dxa" w:w="1296"/>
          </w:tcPr>
          <w:p>
            <w:pPr>
              <w:spacing w:after="20"/>
              <w:jc w:val="right"/>
            </w:pPr>
            <w:r>
              <w:rPr>
                <w:color w:val="1C3A36"/>
                <w:sz w:val="18"/>
              </w:rPr>
              <w:t>16.0%</w:t>
            </w:r>
          </w:p>
        </w:tc>
      </w:tr>
      <w:tr>
        <w:tc>
          <w:tcPr>
            <w:tcW w:type="dxa" w:w="3096"/>
          </w:tcPr>
          <w:p>
            <w:pPr>
              <w:spacing w:after="20"/>
            </w:pPr>
            <w:r>
              <w:rPr>
                <w:color w:val="1C3A36"/>
                <w:sz w:val="18"/>
              </w:rPr>
              <w:t>Royalty+tax on EBIT (t_eff)</w:t>
            </w:r>
          </w:p>
        </w:tc>
        <w:tc>
          <w:tcPr>
            <w:tcW w:type="dxa" w:w="1296"/>
          </w:tcPr>
          <w:p>
            <w:pPr>
              <w:spacing w:after="20"/>
              <w:jc w:val="right"/>
            </w:pPr>
            <w:r>
              <w:rPr>
                <w:color w:val="1C3A36"/>
                <w:sz w:val="18"/>
              </w:rPr>
              <w:t>36.5%</w:t>
            </w:r>
          </w:p>
        </w:tc>
        <w:tc>
          <w:tcPr>
            <w:tcW w:type="dxa" w:w="1296"/>
          </w:tcPr>
          <w:p>
            <w:pPr>
              <w:spacing w:after="20"/>
              <w:jc w:val="right"/>
            </w:pPr>
            <w:r>
              <w:rPr>
                <w:color w:val="1C3A36"/>
                <w:sz w:val="18"/>
              </w:rPr>
              <w:t>36.5%</w:t>
            </w:r>
          </w:p>
        </w:tc>
        <w:tc>
          <w:tcPr>
            <w:tcW w:type="dxa" w:w="1296"/>
          </w:tcPr>
          <w:p>
            <w:pPr>
              <w:spacing w:after="20"/>
              <w:jc w:val="right"/>
            </w:pPr>
            <w:r>
              <w:rPr>
                <w:color w:val="1C3A36"/>
                <w:sz w:val="18"/>
              </w:rPr>
              <w:t>36.5%</w:t>
            </w:r>
          </w:p>
        </w:tc>
        <w:tc>
          <w:tcPr>
            <w:tcW w:type="dxa" w:w="1296"/>
          </w:tcPr>
          <w:p>
            <w:pPr>
              <w:spacing w:after="20"/>
              <w:jc w:val="right"/>
            </w:pPr>
            <w:r>
              <w:rPr>
                <w:color w:val="1C3A36"/>
                <w:sz w:val="18"/>
              </w:rPr>
              <w:t>36.5%</w:t>
            </w:r>
          </w:p>
        </w:tc>
        <w:tc>
          <w:tcPr>
            <w:tcW w:type="dxa" w:w="1296"/>
          </w:tcPr>
          <w:p>
            <w:pPr>
              <w:spacing w:after="20"/>
              <w:jc w:val="right"/>
            </w:pPr>
            <w:r>
              <w:rPr>
                <w:color w:val="1C3A36"/>
                <w:sz w:val="18"/>
              </w:rPr>
              <w:t>36.5%</w:t>
            </w:r>
          </w:p>
        </w:tc>
      </w:tr>
      <w:tr>
        <w:tc>
          <w:tcPr>
            <w:tcW w:type="dxa" w:w="3096"/>
          </w:tcPr>
          <w:p>
            <w:pPr>
              <w:spacing w:after="20"/>
            </w:pPr>
            <w:r>
              <w:rPr>
                <w:color w:val="1C3A36"/>
                <w:sz w:val="18"/>
              </w:rPr>
              <w:t>DPS (AED)</w:t>
            </w:r>
          </w:p>
        </w:tc>
        <w:tc>
          <w:tcPr>
            <w:tcW w:type="dxa" w:w="1296"/>
          </w:tcPr>
          <w:p>
            <w:pPr>
              <w:spacing w:after="20"/>
              <w:jc w:val="right"/>
            </w:pPr>
            <w:r>
              <w:rPr>
                <w:color w:val="1C3A36"/>
                <w:sz w:val="18"/>
              </w:rPr>
              <w:t>0.95</w:t>
            </w:r>
          </w:p>
        </w:tc>
        <w:tc>
          <w:tcPr>
            <w:tcW w:type="dxa" w:w="1296"/>
          </w:tcPr>
          <w:p>
            <w:pPr>
              <w:spacing w:after="20"/>
              <w:jc w:val="right"/>
            </w:pPr>
            <w:r>
              <w:rPr>
                <w:color w:val="1C3A36"/>
                <w:sz w:val="18"/>
              </w:rPr>
              <w:t>0.99</w:t>
            </w:r>
          </w:p>
        </w:tc>
        <w:tc>
          <w:tcPr>
            <w:tcW w:type="dxa" w:w="1296"/>
          </w:tcPr>
          <w:p>
            <w:pPr>
              <w:spacing w:after="20"/>
              <w:jc w:val="right"/>
            </w:pPr>
            <w:r>
              <w:rPr>
                <w:color w:val="1C3A36"/>
                <w:sz w:val="18"/>
              </w:rPr>
              <w:t>1.03</w:t>
            </w:r>
          </w:p>
        </w:tc>
        <w:tc>
          <w:tcPr>
            <w:tcW w:type="dxa" w:w="1296"/>
          </w:tcPr>
          <w:p>
            <w:pPr>
              <w:spacing w:after="20"/>
              <w:jc w:val="right"/>
            </w:pPr>
            <w:r>
              <w:rPr>
                <w:color w:val="1C3A36"/>
                <w:sz w:val="18"/>
              </w:rPr>
              <w:t>1.07</w:t>
            </w:r>
          </w:p>
        </w:tc>
        <w:tc>
          <w:tcPr>
            <w:tcW w:type="dxa" w:w="1296"/>
          </w:tcPr>
          <w:p>
            <w:pPr>
              <w:spacing w:after="20"/>
              <w:jc w:val="right"/>
            </w:pPr>
            <w:r>
              <w:rPr>
                <w:color w:val="1C3A36"/>
                <w:sz w:val="18"/>
              </w:rPr>
              <w:t>1.11</w:t>
            </w:r>
          </w:p>
        </w:tc>
      </w:tr>
    </w:tbl>
    <w:p>
      <w:pPr>
        <w:spacing w:after="40"/>
      </w:pPr>
    </w:p>
    <w:p>
      <w:pPr>
        <w:spacing w:after="120" w:before="0"/>
      </w:pPr>
      <w:r>
        <w:rPr>
          <w:b w:val="0"/>
          <w:i w:val="0"/>
          <w:color w:val="1C3A36"/>
          <w:sz w:val="19"/>
        </w:rPr>
        <w:t>UAE growth is held to low single digits deliberately: du is gaining mobile share (~35%, subscribers +10.8% y/y) and e&amp;’s blended UAE mobile ARPU drifted from 80 to 76 through 2025 — the research register’s named-competitor finding, and the reason no share-gain assumption appears anywhere in the build.</w:t>
      </w:r>
    </w:p>
    <w:p>
      <w:pPr>
        <w:spacing w:after="60" w:before="80"/>
      </w:pPr>
      <w:r>
        <w:rPr>
          <w:b/>
          <w:i w:val="0"/>
          <w:color w:val="1C3A36"/>
          <w:sz w:val="21"/>
        </w:rPr>
        <w:t>The telco dashboard — the operating measures that distinguish a telecom read from a generic industrial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096"/>
            <w:shd w:val="clear" w:color="auto" w:fill="EAF0EE"/>
          </w:tcPr>
          <w:p>
            <w:pPr>
              <w:spacing w:after="20"/>
            </w:pPr>
            <w:r>
              <w:rPr>
                <w:b/>
                <w:color w:val="1C3A36"/>
                <w:sz w:val="17"/>
              </w:rPr>
              <w:t>Operating KPI</w:t>
            </w:r>
          </w:p>
        </w:tc>
        <w:tc>
          <w:tcPr>
            <w:tcW w:type="dxa" w:w="2664"/>
            <w:shd w:val="clear" w:color="auto" w:fill="EAF0EE"/>
          </w:tcPr>
          <w:p>
            <w:pPr>
              <w:spacing w:after="20"/>
            </w:pPr>
            <w:r>
              <w:rPr>
                <w:b/>
                <w:color w:val="1C3A36"/>
                <w:sz w:val="17"/>
              </w:rPr>
              <w:t>Value</w:t>
            </w:r>
          </w:p>
        </w:tc>
        <w:tc>
          <w:tcPr>
            <w:tcW w:type="dxa" w:w="3744"/>
            <w:shd w:val="clear" w:color="auto" w:fill="EAF0EE"/>
          </w:tcPr>
          <w:p>
            <w:pPr>
              <w:spacing w:after="20"/>
            </w:pPr>
            <w:r>
              <w:rPr>
                <w:b/>
                <w:color w:val="1C3A36"/>
                <w:sz w:val="17"/>
              </w:rPr>
              <w:t>Reading</w:t>
            </w:r>
          </w:p>
        </w:tc>
      </w:tr>
      <w:tr>
        <w:tc>
          <w:tcPr>
            <w:tcW w:type="dxa" w:w="3096"/>
          </w:tcPr>
          <w:p>
            <w:pPr>
              <w:spacing w:after="20"/>
            </w:pPr>
            <w:r>
              <w:rPr>
                <w:color w:val="1C3A36"/>
                <w:sz w:val="17"/>
              </w:rPr>
              <w:t>Subscribers — group / UAE</w:t>
            </w:r>
          </w:p>
        </w:tc>
        <w:tc>
          <w:tcPr>
            <w:tcW w:type="dxa" w:w="2664"/>
          </w:tcPr>
          <w:p>
            <w:pPr>
              <w:spacing w:after="20"/>
              <w:jc w:val="right"/>
            </w:pPr>
            <w:r>
              <w:rPr>
                <w:color w:val="1C3A36"/>
                <w:sz w:val="17"/>
              </w:rPr>
              <w:t>244.7 mn (FY25) / 16.6 mn (Q1-26)</w:t>
            </w:r>
          </w:p>
        </w:tc>
        <w:tc>
          <w:tcPr>
            <w:tcW w:type="dxa" w:w="3744"/>
          </w:tcPr>
          <w:p>
            <w:pPr>
              <w:spacing w:after="20"/>
              <w:jc w:val="right"/>
            </w:pPr>
            <w:r>
              <w:rPr>
                <w:color w:val="1C3A36"/>
                <w:sz w:val="17"/>
              </w:rPr>
              <w:t>scale is EM-wide; the profit pool is domestic</w:t>
            </w:r>
          </w:p>
        </w:tc>
      </w:tr>
      <w:tr>
        <w:tc>
          <w:tcPr>
            <w:tcW w:type="dxa" w:w="3096"/>
          </w:tcPr>
          <w:p>
            <w:pPr>
              <w:spacing w:after="20"/>
            </w:pPr>
            <w:r>
              <w:rPr>
                <w:color w:val="1C3A36"/>
                <w:sz w:val="17"/>
              </w:rPr>
              <w:t>UAE blended mobile ARPU</w:t>
            </w:r>
          </w:p>
        </w:tc>
        <w:tc>
          <w:tcPr>
            <w:tcW w:type="dxa" w:w="2664"/>
          </w:tcPr>
          <w:p>
            <w:pPr>
              <w:spacing w:after="20"/>
              <w:jc w:val="right"/>
            </w:pPr>
            <w:r>
              <w:rPr>
                <w:color w:val="1C3A36"/>
                <w:sz w:val="17"/>
              </w:rPr>
              <w:t>AED 76 (Q4-25) vs 80 (Q4-24)</w:t>
            </w:r>
          </w:p>
        </w:tc>
        <w:tc>
          <w:tcPr>
            <w:tcW w:type="dxa" w:w="3744"/>
          </w:tcPr>
          <w:p>
            <w:pPr>
              <w:spacing w:after="20"/>
              <w:jc w:val="right"/>
            </w:pPr>
            <w:r>
              <w:rPr>
                <w:color w:val="1C3A36"/>
                <w:sz w:val="17"/>
              </w:rPr>
              <w:t>mild drift — competition, not a price war</w:t>
            </w:r>
          </w:p>
        </w:tc>
      </w:tr>
      <w:tr>
        <w:tc>
          <w:tcPr>
            <w:tcW w:type="dxa" w:w="3096"/>
          </w:tcPr>
          <w:p>
            <w:pPr>
              <w:spacing w:after="20"/>
            </w:pPr>
            <w:r>
              <w:rPr>
                <w:color w:val="1C3A36"/>
                <w:sz w:val="17"/>
              </w:rPr>
              <w:t>UAE fixed ARPL</w:t>
            </w:r>
          </w:p>
        </w:tc>
        <w:tc>
          <w:tcPr>
            <w:tcW w:type="dxa" w:w="2664"/>
          </w:tcPr>
          <w:p>
            <w:pPr>
              <w:spacing w:after="20"/>
              <w:jc w:val="right"/>
            </w:pPr>
            <w:r>
              <w:rPr>
                <w:color w:val="1C3A36"/>
                <w:sz w:val="17"/>
              </w:rPr>
              <w:t>AED 466 (Q4-25)</w:t>
            </w:r>
          </w:p>
        </w:tc>
        <w:tc>
          <w:tcPr>
            <w:tcW w:type="dxa" w:w="3744"/>
          </w:tcPr>
          <w:p>
            <w:pPr>
              <w:spacing w:after="20"/>
              <w:jc w:val="right"/>
            </w:pPr>
            <w:r>
              <w:rPr>
                <w:color w:val="1C3A36"/>
                <w:sz w:val="17"/>
              </w:rPr>
              <w:t>premium fixed base intact</w:t>
            </w:r>
          </w:p>
        </w:tc>
      </w:tr>
      <w:tr>
        <w:tc>
          <w:tcPr>
            <w:tcW w:type="dxa" w:w="3096"/>
          </w:tcPr>
          <w:p>
            <w:pPr>
              <w:spacing w:after="20"/>
            </w:pPr>
            <w:r>
              <w:rPr>
                <w:color w:val="1C3A36"/>
                <w:sz w:val="17"/>
              </w:rPr>
              <w:t>Competitor pulse (du)</w:t>
            </w:r>
          </w:p>
        </w:tc>
        <w:tc>
          <w:tcPr>
            <w:tcW w:type="dxa" w:w="2664"/>
          </w:tcPr>
          <w:p>
            <w:pPr>
              <w:spacing w:after="20"/>
              <w:jc w:val="right"/>
            </w:pPr>
            <w:r>
              <w:rPr>
                <w:color w:val="1C3A36"/>
                <w:sz w:val="17"/>
              </w:rPr>
              <w:t>9.7 mn mobile (+10.8% y/y)</w:t>
            </w:r>
          </w:p>
        </w:tc>
        <w:tc>
          <w:tcPr>
            <w:tcW w:type="dxa" w:w="3744"/>
          </w:tcPr>
          <w:p>
            <w:pPr>
              <w:spacing w:after="20"/>
              <w:jc w:val="right"/>
            </w:pPr>
            <w:r>
              <w:rPr>
                <w:color w:val="1C3A36"/>
                <w:sz w:val="17"/>
              </w:rPr>
              <w:t>the reason UAE growth is modelled low-single-digit</w:t>
            </w:r>
          </w:p>
        </w:tc>
      </w:tr>
      <w:tr>
        <w:tc>
          <w:tcPr>
            <w:tcW w:type="dxa" w:w="3096"/>
          </w:tcPr>
          <w:p>
            <w:pPr>
              <w:spacing w:after="20"/>
            </w:pPr>
            <w:r>
              <w:rPr>
                <w:color w:val="1C3A36"/>
                <w:sz w:val="17"/>
              </w:rPr>
              <w:t>OpFCF (EBITDA − capex), FY25</w:t>
            </w:r>
          </w:p>
        </w:tc>
        <w:tc>
          <w:tcPr>
            <w:tcW w:type="dxa" w:w="2664"/>
          </w:tcPr>
          <w:p>
            <w:pPr>
              <w:spacing w:after="20"/>
              <w:jc w:val="right"/>
            </w:pPr>
            <w:r>
              <w:rPr>
                <w:color w:val="1C3A36"/>
                <w:sz w:val="17"/>
              </w:rPr>
              <w:t>AED 18,354 mn</w:t>
            </w:r>
          </w:p>
        </w:tc>
        <w:tc>
          <w:tcPr>
            <w:tcW w:type="dxa" w:w="3744"/>
          </w:tcPr>
          <w:p>
            <w:pPr>
              <w:spacing w:after="20"/>
              <w:jc w:val="right"/>
            </w:pPr>
            <w:r>
              <w:rPr>
                <w:color w:val="1C3A36"/>
                <w:sz w:val="17"/>
              </w:rPr>
              <w:t>UAE alone is 80% of it</w:t>
            </w:r>
          </w:p>
        </w:tc>
      </w:tr>
      <w:tr>
        <w:tc>
          <w:tcPr>
            <w:tcW w:type="dxa" w:w="3096"/>
          </w:tcPr>
          <w:p>
            <w:pPr>
              <w:spacing w:after="20"/>
            </w:pPr>
            <w:r>
              <w:rPr>
                <w:color w:val="1C3A36"/>
                <w:sz w:val="17"/>
              </w:rPr>
              <w:t>OpFCF margin path FY26E→30E</w:t>
            </w:r>
          </w:p>
        </w:tc>
        <w:tc>
          <w:tcPr>
            <w:tcW w:type="dxa" w:w="2664"/>
          </w:tcPr>
          <w:p>
            <w:pPr>
              <w:spacing w:after="20"/>
              <w:jc w:val="right"/>
            </w:pPr>
            <w:r>
              <w:rPr>
                <w:color w:val="1C3A36"/>
                <w:sz w:val="17"/>
              </w:rPr>
              <w:t>26% → 26% → 27% → 27% → 28%</w:t>
            </w:r>
          </w:p>
        </w:tc>
        <w:tc>
          <w:tcPr>
            <w:tcW w:type="dxa" w:w="3744"/>
          </w:tcPr>
          <w:p>
            <w:pPr>
              <w:spacing w:after="20"/>
              <w:jc w:val="right"/>
            </w:pPr>
            <w:r>
              <w:rPr>
                <w:color w:val="1C3A36"/>
                <w:sz w:val="17"/>
              </w:rPr>
              <w:t>capex fade does the work</w:t>
            </w:r>
          </w:p>
        </w:tc>
      </w:tr>
      <w:tr>
        <w:tc>
          <w:tcPr>
            <w:tcW w:type="dxa" w:w="3096"/>
          </w:tcPr>
          <w:p>
            <w:pPr>
              <w:spacing w:after="20"/>
            </w:pPr>
            <w:r>
              <w:rPr>
                <w:color w:val="1C3A36"/>
                <w:sz w:val="17"/>
              </w:rPr>
              <w:t>ROIC vs WACC (FY25)</w:t>
            </w:r>
          </w:p>
        </w:tc>
        <w:tc>
          <w:tcPr>
            <w:tcW w:type="dxa" w:w="2664"/>
          </w:tcPr>
          <w:p>
            <w:pPr>
              <w:spacing w:after="20"/>
              <w:jc w:val="right"/>
            </w:pPr>
            <w:r>
              <w:rPr>
                <w:color w:val="1C3A36"/>
                <w:sz w:val="17"/>
              </w:rPr>
              <w:t>12.7% vs 7.6%</w:t>
            </w:r>
          </w:p>
        </w:tc>
        <w:tc>
          <w:tcPr>
            <w:tcW w:type="dxa" w:w="3744"/>
          </w:tcPr>
          <w:p>
            <w:pPr>
              <w:spacing w:after="20"/>
              <w:jc w:val="right"/>
            </w:pPr>
            <w:r>
              <w:rPr>
                <w:color w:val="1C3A36"/>
                <w:sz w:val="17"/>
              </w:rPr>
              <w:t>+5.1pp spread — value-creating</w:t>
            </w:r>
          </w:p>
        </w:tc>
      </w:tr>
      <w:tr>
        <w:tc>
          <w:tcPr>
            <w:tcW w:type="dxa" w:w="3096"/>
          </w:tcPr>
          <w:p>
            <w:pPr>
              <w:spacing w:after="20"/>
            </w:pPr>
            <w:r>
              <w:rPr>
                <w:color w:val="1C3A36"/>
                <w:sz w:val="17"/>
              </w:rPr>
              <w:t>ROE — reported / ex-one-offs</w:t>
            </w:r>
          </w:p>
        </w:tc>
        <w:tc>
          <w:tcPr>
            <w:tcW w:type="dxa" w:w="2664"/>
          </w:tcPr>
          <w:p>
            <w:pPr>
              <w:spacing w:after="20"/>
              <w:jc w:val="right"/>
            </w:pPr>
            <w:r>
              <w:rPr>
                <w:color w:val="1C3A36"/>
                <w:sz w:val="17"/>
              </w:rPr>
              <w:t>27.8% / 22.0%</w:t>
            </w:r>
          </w:p>
        </w:tc>
        <w:tc>
          <w:tcPr>
            <w:tcW w:type="dxa" w:w="3744"/>
          </w:tcPr>
          <w:p>
            <w:pPr>
              <w:spacing w:after="20"/>
              <w:jc w:val="right"/>
            </w:pPr>
            <w:r>
              <w:rPr>
                <w:color w:val="1C3A36"/>
                <w:sz w:val="17"/>
              </w:rPr>
              <w:t>high-20s flatters; low-20s is the run-rate</w:t>
            </w:r>
          </w:p>
        </w:tc>
      </w:tr>
      <w:tr>
        <w:tc>
          <w:tcPr>
            <w:tcW w:type="dxa" w:w="3096"/>
          </w:tcPr>
          <w:p>
            <w:pPr>
              <w:spacing w:after="20"/>
            </w:pPr>
            <w:r>
              <w:rPr>
                <w:color w:val="1C3A36"/>
                <w:sz w:val="17"/>
              </w:rPr>
              <w:t>Interest cover (EBITDA / gross interest)</w:t>
            </w:r>
          </w:p>
        </w:tc>
        <w:tc>
          <w:tcPr>
            <w:tcW w:type="dxa" w:w="2664"/>
          </w:tcPr>
          <w:p>
            <w:pPr>
              <w:spacing w:after="20"/>
              <w:jc w:val="right"/>
            </w:pPr>
            <w:r>
              <w:rPr>
                <w:color w:val="1C3A36"/>
                <w:sz w:val="17"/>
              </w:rPr>
              <w:t>9.9×</w:t>
            </w:r>
          </w:p>
        </w:tc>
        <w:tc>
          <w:tcPr>
            <w:tcW w:type="dxa" w:w="3744"/>
          </w:tcPr>
          <w:p>
            <w:pPr>
              <w:spacing w:after="20"/>
              <w:jc w:val="right"/>
            </w:pPr>
            <w:r>
              <w:rPr>
                <w:color w:val="1C3A36"/>
                <w:sz w:val="17"/>
              </w:rPr>
              <w:t>ample</w:t>
            </w:r>
          </w:p>
        </w:tc>
      </w:tr>
      <w:tr>
        <w:tc>
          <w:tcPr>
            <w:tcW w:type="dxa" w:w="3096"/>
          </w:tcPr>
          <w:p>
            <w:pPr>
              <w:spacing w:after="20"/>
            </w:pPr>
            <w:r>
              <w:rPr>
                <w:color w:val="1C3A36"/>
                <w:sz w:val="17"/>
              </w:rPr>
              <w:t>Leverage — plain / incl. PPF put</w:t>
            </w:r>
          </w:p>
        </w:tc>
        <w:tc>
          <w:tcPr>
            <w:tcW w:type="dxa" w:w="2664"/>
          </w:tcPr>
          <w:p>
            <w:pPr>
              <w:spacing w:after="20"/>
              <w:jc w:val="right"/>
            </w:pPr>
            <w:r>
              <w:rPr>
                <w:color w:val="1C3A36"/>
                <w:sz w:val="17"/>
              </w:rPr>
              <w:t>0.91× / 1.27×</w:t>
            </w:r>
          </w:p>
        </w:tc>
        <w:tc>
          <w:tcPr>
            <w:tcW w:type="dxa" w:w="3744"/>
          </w:tcPr>
          <w:p>
            <w:pPr>
              <w:spacing w:after="20"/>
              <w:jc w:val="right"/>
            </w:pPr>
            <w:r>
              <w:rPr>
                <w:color w:val="1C3A36"/>
                <w:sz w:val="17"/>
              </w:rPr>
              <w:t>the honest number is the adjusted one</w:t>
            </w:r>
          </w:p>
        </w:tc>
      </w:tr>
      <w:tr>
        <w:tc>
          <w:tcPr>
            <w:tcW w:type="dxa" w:w="3096"/>
          </w:tcPr>
          <w:p>
            <w:pPr>
              <w:spacing w:after="20"/>
            </w:pPr>
            <w:r>
              <w:rPr>
                <w:color w:val="1C3A36"/>
                <w:sz w:val="17"/>
              </w:rPr>
              <w:t>FCF yield — trailing / FY26E attributable</w:t>
            </w:r>
          </w:p>
        </w:tc>
        <w:tc>
          <w:tcPr>
            <w:tcW w:type="dxa" w:w="2664"/>
          </w:tcPr>
          <w:p>
            <w:pPr>
              <w:spacing w:after="20"/>
              <w:jc w:val="right"/>
            </w:pPr>
            <w:r>
              <w:rPr>
                <w:color w:val="1C3A36"/>
                <w:sz w:val="17"/>
              </w:rPr>
              <w:t>7.2% / 5.7%</w:t>
            </w:r>
          </w:p>
        </w:tc>
        <w:tc>
          <w:tcPr>
            <w:tcW w:type="dxa" w:w="3744"/>
          </w:tcPr>
          <w:p>
            <w:pPr>
              <w:spacing w:after="20"/>
              <w:jc w:val="right"/>
            </w:pPr>
            <w:r>
              <w:rPr>
                <w:color w:val="1C3A36"/>
                <w:sz w:val="17"/>
              </w:rPr>
              <w:t>funds the 4.8% dividend with room</w:t>
            </w:r>
          </w:p>
        </w:tc>
      </w:tr>
      <w:tr>
        <w:tc>
          <w:tcPr>
            <w:tcW w:type="dxa" w:w="3096"/>
          </w:tcPr>
          <w:p>
            <w:pPr>
              <w:spacing w:after="20"/>
            </w:pPr>
            <w:r>
              <w:rPr>
                <w:color w:val="1C3A36"/>
                <w:sz w:val="17"/>
              </w:rPr>
              <w:t>Payout on FCF (FY25)</w:t>
            </w:r>
          </w:p>
        </w:tc>
        <w:tc>
          <w:tcPr>
            <w:tcW w:type="dxa" w:w="2664"/>
          </w:tcPr>
          <w:p>
            <w:pPr>
              <w:spacing w:after="20"/>
              <w:jc w:val="right"/>
            </w:pPr>
            <w:r>
              <w:rPr>
                <w:color w:val="1C3A36"/>
                <w:sz w:val="17"/>
              </w:rPr>
              <w:t>65%</w:t>
            </w:r>
          </w:p>
        </w:tc>
        <w:tc>
          <w:tcPr>
            <w:tcW w:type="dxa" w:w="3744"/>
          </w:tcPr>
          <w:p>
            <w:pPr>
              <w:spacing w:after="20"/>
              <w:jc w:val="right"/>
            </w:pPr>
            <w:r>
              <w:rPr>
                <w:color w:val="1C3A36"/>
                <w:sz w:val="17"/>
              </w:rPr>
              <w:t>policy is cash-covered, not accounting-covered</w:t>
            </w:r>
          </w:p>
        </w:tc>
      </w:tr>
    </w:tbl>
    <w:p>
      <w:pPr>
        <w:spacing w:after="40"/>
      </w:pPr>
    </w:p>
    <w:p>
      <w:pPr>
        <w:spacing w:after="60" w:before="0"/>
      </w:pPr>
      <w:r>
        <w:rPr>
          <w:b/>
          <w:i w:val="0"/>
          <w:color w:val="1C3A36"/>
          <w:sz w:val="21"/>
        </w:rPr>
        <w:t>OpFCF by segment, FY2025 — where the cash conversion actually lives: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448"/>
            <w:shd w:val="clear" w:color="auto" w:fill="EAF0EE"/>
          </w:tcPr>
          <w:p>
            <w:pPr>
              <w:spacing w:after="20"/>
            </w:pPr>
            <w:r>
              <w:rPr>
                <w:b/>
                <w:color w:val="1C3A36"/>
                <w:sz w:val="17"/>
              </w:rPr>
              <w:t>Segment</w:t>
            </w:r>
          </w:p>
        </w:tc>
        <w:tc>
          <w:tcPr>
            <w:tcW w:type="dxa" w:w="1584"/>
            <w:shd w:val="clear" w:color="auto" w:fill="EAF0EE"/>
          </w:tcPr>
          <w:p>
            <w:pPr>
              <w:spacing w:after="20"/>
            </w:pPr>
            <w:r>
              <w:rPr>
                <w:b/>
                <w:color w:val="1C3A36"/>
                <w:sz w:val="17"/>
              </w:rPr>
              <w:t>EBITDA</w:t>
            </w:r>
          </w:p>
        </w:tc>
        <w:tc>
          <w:tcPr>
            <w:tcW w:type="dxa" w:w="1440"/>
            <w:shd w:val="clear" w:color="auto" w:fill="EAF0EE"/>
          </w:tcPr>
          <w:p>
            <w:pPr>
              <w:spacing w:after="20"/>
            </w:pPr>
            <w:r>
              <w:rPr>
                <w:b/>
                <w:color w:val="1C3A36"/>
                <w:sz w:val="17"/>
              </w:rPr>
              <w:t>Capex</w:t>
            </w:r>
          </w:p>
        </w:tc>
        <w:tc>
          <w:tcPr>
            <w:tcW w:type="dxa" w:w="1440"/>
            <w:shd w:val="clear" w:color="auto" w:fill="EAF0EE"/>
          </w:tcPr>
          <w:p>
            <w:pPr>
              <w:spacing w:after="20"/>
            </w:pPr>
            <w:r>
              <w:rPr>
                <w:b/>
                <w:color w:val="1C3A36"/>
                <w:sz w:val="17"/>
              </w:rPr>
              <w:t>OpFCF</w:t>
            </w:r>
          </w:p>
        </w:tc>
        <w:tc>
          <w:tcPr>
            <w:tcW w:type="dxa" w:w="1656"/>
            <w:shd w:val="clear" w:color="auto" w:fill="EAF0EE"/>
          </w:tcPr>
          <w:p>
            <w:pPr>
              <w:spacing w:after="20"/>
            </w:pPr>
            <w:r>
              <w:rPr>
                <w:b/>
                <w:color w:val="1C3A36"/>
                <w:sz w:val="17"/>
              </w:rPr>
              <w:t>Conversion</w:t>
            </w:r>
          </w:p>
        </w:tc>
      </w:tr>
      <w:tr>
        <w:tc>
          <w:tcPr>
            <w:tcW w:type="dxa" w:w="2448"/>
          </w:tcPr>
          <w:p>
            <w:pPr>
              <w:spacing w:after="20"/>
            </w:pPr>
            <w:r>
              <w:rPr>
                <w:color w:val="1C3A36"/>
                <w:sz w:val="17"/>
              </w:rPr>
              <w:t>e&amp; UAE</w:t>
            </w:r>
          </w:p>
        </w:tc>
        <w:tc>
          <w:tcPr>
            <w:tcW w:type="dxa" w:w="1584"/>
          </w:tcPr>
          <w:p>
            <w:pPr>
              <w:spacing w:after="20"/>
              <w:jc w:val="right"/>
            </w:pPr>
            <w:r>
              <w:rPr>
                <w:color w:val="1C3A36"/>
                <w:sz w:val="17"/>
              </w:rPr>
              <w:t>17,772</w:t>
            </w:r>
          </w:p>
        </w:tc>
        <w:tc>
          <w:tcPr>
            <w:tcW w:type="dxa" w:w="1440"/>
          </w:tcPr>
          <w:p>
            <w:pPr>
              <w:spacing w:after="20"/>
              <w:jc w:val="right"/>
            </w:pPr>
            <w:r>
              <w:rPr>
                <w:color w:val="1C3A36"/>
                <w:sz w:val="17"/>
              </w:rPr>
              <w:t>3,118</w:t>
            </w:r>
          </w:p>
        </w:tc>
        <w:tc>
          <w:tcPr>
            <w:tcW w:type="dxa" w:w="1440"/>
          </w:tcPr>
          <w:p>
            <w:pPr>
              <w:spacing w:after="20"/>
              <w:jc w:val="right"/>
            </w:pPr>
            <w:r>
              <w:rPr>
                <w:color w:val="1C3A36"/>
                <w:sz w:val="17"/>
              </w:rPr>
              <w:t>14,654</w:t>
            </w:r>
          </w:p>
        </w:tc>
        <w:tc>
          <w:tcPr>
            <w:tcW w:type="dxa" w:w="1656"/>
          </w:tcPr>
          <w:p>
            <w:pPr>
              <w:spacing w:after="20"/>
              <w:jc w:val="right"/>
            </w:pPr>
            <w:r>
              <w:rPr>
                <w:color w:val="1C3A36"/>
                <w:sz w:val="17"/>
              </w:rPr>
              <w:t>82%</w:t>
            </w:r>
          </w:p>
        </w:tc>
      </w:tr>
      <w:tr>
        <w:tc>
          <w:tcPr>
            <w:tcW w:type="dxa" w:w="2448"/>
          </w:tcPr>
          <w:p>
            <w:pPr>
              <w:spacing w:after="20"/>
            </w:pPr>
            <w:r>
              <w:rPr>
                <w:color w:val="1C3A36"/>
                <w:sz w:val="17"/>
              </w:rPr>
              <w:t>Maroc Telecom</w:t>
            </w:r>
          </w:p>
        </w:tc>
        <w:tc>
          <w:tcPr>
            <w:tcW w:type="dxa" w:w="1584"/>
          </w:tcPr>
          <w:p>
            <w:pPr>
              <w:spacing w:after="20"/>
              <w:jc w:val="right"/>
            </w:pPr>
            <w:r>
              <w:rPr>
                <w:color w:val="1C3A36"/>
                <w:sz w:val="17"/>
              </w:rPr>
              <w:t>7,250</w:t>
            </w:r>
          </w:p>
        </w:tc>
        <w:tc>
          <w:tcPr>
            <w:tcW w:type="dxa" w:w="1440"/>
          </w:tcPr>
          <w:p>
            <w:pPr>
              <w:spacing w:after="20"/>
              <w:jc w:val="right"/>
            </w:pPr>
            <w:r>
              <w:rPr>
                <w:color w:val="1C3A36"/>
                <w:sz w:val="17"/>
              </w:rPr>
              <w:t>4,324</w:t>
            </w:r>
          </w:p>
        </w:tc>
        <w:tc>
          <w:tcPr>
            <w:tcW w:type="dxa" w:w="1440"/>
          </w:tcPr>
          <w:p>
            <w:pPr>
              <w:spacing w:after="20"/>
              <w:jc w:val="right"/>
            </w:pPr>
            <w:r>
              <w:rPr>
                <w:color w:val="1C3A36"/>
                <w:sz w:val="17"/>
              </w:rPr>
              <w:t>2,926</w:t>
            </w:r>
          </w:p>
        </w:tc>
        <w:tc>
          <w:tcPr>
            <w:tcW w:type="dxa" w:w="1656"/>
          </w:tcPr>
          <w:p>
            <w:pPr>
              <w:spacing w:after="20"/>
              <w:jc w:val="right"/>
            </w:pPr>
            <w:r>
              <w:rPr>
                <w:color w:val="1C3A36"/>
                <w:sz w:val="17"/>
              </w:rPr>
              <w:t>40%</w:t>
            </w:r>
          </w:p>
        </w:tc>
      </w:tr>
      <w:tr>
        <w:tc>
          <w:tcPr>
            <w:tcW w:type="dxa" w:w="2448"/>
          </w:tcPr>
          <w:p>
            <w:pPr>
              <w:spacing w:after="20"/>
            </w:pPr>
            <w:r>
              <w:rPr>
                <w:color w:val="1C3A36"/>
                <w:sz w:val="17"/>
              </w:rPr>
              <w:t>PPF / e&amp; CEE</w:t>
            </w:r>
          </w:p>
        </w:tc>
        <w:tc>
          <w:tcPr>
            <w:tcW w:type="dxa" w:w="1584"/>
          </w:tcPr>
          <w:p>
            <w:pPr>
              <w:spacing w:after="20"/>
              <w:jc w:val="right"/>
            </w:pPr>
            <w:r>
              <w:rPr>
                <w:color w:val="1C3A36"/>
                <w:sz w:val="17"/>
              </w:rPr>
              <w:t>4,433</w:t>
            </w:r>
          </w:p>
        </w:tc>
        <w:tc>
          <w:tcPr>
            <w:tcW w:type="dxa" w:w="1440"/>
          </w:tcPr>
          <w:p>
            <w:pPr>
              <w:spacing w:after="20"/>
              <w:jc w:val="right"/>
            </w:pPr>
            <w:r>
              <w:rPr>
                <w:color w:val="1C3A36"/>
                <w:sz w:val="17"/>
              </w:rPr>
              <w:t>2,955</w:t>
            </w:r>
          </w:p>
        </w:tc>
        <w:tc>
          <w:tcPr>
            <w:tcW w:type="dxa" w:w="1440"/>
          </w:tcPr>
          <w:p>
            <w:pPr>
              <w:spacing w:after="20"/>
              <w:jc w:val="right"/>
            </w:pPr>
            <w:r>
              <w:rPr>
                <w:color w:val="1C3A36"/>
                <w:sz w:val="17"/>
              </w:rPr>
              <w:t>1,478</w:t>
            </w:r>
          </w:p>
        </w:tc>
        <w:tc>
          <w:tcPr>
            <w:tcW w:type="dxa" w:w="1656"/>
          </w:tcPr>
          <w:p>
            <w:pPr>
              <w:spacing w:after="20"/>
              <w:jc w:val="right"/>
            </w:pPr>
            <w:r>
              <w:rPr>
                <w:color w:val="1C3A36"/>
                <w:sz w:val="17"/>
              </w:rPr>
              <w:t>33%</w:t>
            </w:r>
          </w:p>
        </w:tc>
      </w:tr>
      <w:tr>
        <w:tc>
          <w:tcPr>
            <w:tcW w:type="dxa" w:w="2448"/>
          </w:tcPr>
          <w:p>
            <w:pPr>
              <w:spacing w:after="20"/>
            </w:pPr>
            <w:r>
              <w:rPr>
                <w:color w:val="1C3A36"/>
                <w:sz w:val="17"/>
              </w:rPr>
              <w:t>e&amp; Egypt</w:t>
            </w:r>
          </w:p>
        </w:tc>
        <w:tc>
          <w:tcPr>
            <w:tcW w:type="dxa" w:w="1584"/>
          </w:tcPr>
          <w:p>
            <w:pPr>
              <w:spacing w:after="20"/>
              <w:jc w:val="right"/>
            </w:pPr>
            <w:r>
              <w:rPr>
                <w:color w:val="1C3A36"/>
                <w:sz w:val="17"/>
              </w:rPr>
              <w:t>1,570</w:t>
            </w:r>
          </w:p>
        </w:tc>
        <w:tc>
          <w:tcPr>
            <w:tcW w:type="dxa" w:w="1440"/>
          </w:tcPr>
          <w:p>
            <w:pPr>
              <w:spacing w:after="20"/>
              <w:jc w:val="right"/>
            </w:pPr>
            <w:r>
              <w:rPr>
                <w:color w:val="1C3A36"/>
                <w:sz w:val="17"/>
              </w:rPr>
              <w:t>1,594</w:t>
            </w:r>
          </w:p>
        </w:tc>
        <w:tc>
          <w:tcPr>
            <w:tcW w:type="dxa" w:w="1440"/>
          </w:tcPr>
          <w:p>
            <w:pPr>
              <w:spacing w:after="20"/>
              <w:jc w:val="right"/>
            </w:pPr>
            <w:r>
              <w:rPr>
                <w:color w:val="1C3A36"/>
                <w:sz w:val="17"/>
              </w:rPr>
              <w:t>-24</w:t>
            </w:r>
          </w:p>
        </w:tc>
        <w:tc>
          <w:tcPr>
            <w:tcW w:type="dxa" w:w="1656"/>
          </w:tcPr>
          <w:p>
            <w:pPr>
              <w:spacing w:after="20"/>
              <w:jc w:val="right"/>
            </w:pPr>
            <w:r>
              <w:rPr>
                <w:color w:val="1C3A36"/>
                <w:sz w:val="17"/>
              </w:rPr>
              <w:t>-2%</w:t>
            </w:r>
          </w:p>
        </w:tc>
      </w:tr>
      <w:tr>
        <w:tc>
          <w:tcPr>
            <w:tcW w:type="dxa" w:w="2448"/>
          </w:tcPr>
          <w:p>
            <w:pPr>
              <w:spacing w:after="20"/>
            </w:pPr>
            <w:r>
              <w:rPr>
                <w:color w:val="1C3A36"/>
                <w:sz w:val="17"/>
              </w:rPr>
              <w:t>PTCL</w:t>
            </w:r>
          </w:p>
        </w:tc>
        <w:tc>
          <w:tcPr>
            <w:tcW w:type="dxa" w:w="1584"/>
          </w:tcPr>
          <w:p>
            <w:pPr>
              <w:spacing w:after="20"/>
              <w:jc w:val="right"/>
            </w:pPr>
            <w:r>
              <w:rPr>
                <w:color w:val="1C3A36"/>
                <w:sz w:val="17"/>
              </w:rPr>
              <w:t>938</w:t>
            </w:r>
          </w:p>
        </w:tc>
        <w:tc>
          <w:tcPr>
            <w:tcW w:type="dxa" w:w="1440"/>
          </w:tcPr>
          <w:p>
            <w:pPr>
              <w:spacing w:after="20"/>
              <w:jc w:val="right"/>
            </w:pPr>
            <w:r>
              <w:rPr>
                <w:color w:val="1C3A36"/>
                <w:sz w:val="17"/>
              </w:rPr>
              <w:t>705</w:t>
            </w:r>
          </w:p>
        </w:tc>
        <w:tc>
          <w:tcPr>
            <w:tcW w:type="dxa" w:w="1440"/>
          </w:tcPr>
          <w:p>
            <w:pPr>
              <w:spacing w:after="20"/>
              <w:jc w:val="right"/>
            </w:pPr>
            <w:r>
              <w:rPr>
                <w:color w:val="1C3A36"/>
                <w:sz w:val="17"/>
              </w:rPr>
              <w:t>233</w:t>
            </w:r>
          </w:p>
        </w:tc>
        <w:tc>
          <w:tcPr>
            <w:tcW w:type="dxa" w:w="1656"/>
          </w:tcPr>
          <w:p>
            <w:pPr>
              <w:spacing w:after="20"/>
              <w:jc w:val="right"/>
            </w:pPr>
            <w:r>
              <w:rPr>
                <w:color w:val="1C3A36"/>
                <w:sz w:val="17"/>
              </w:rPr>
              <w:t>25%</w:t>
            </w:r>
          </w:p>
        </w:tc>
      </w:tr>
      <w:tr>
        <w:tc>
          <w:tcPr>
            <w:tcW w:type="dxa" w:w="2448"/>
            <w:shd w:val="clear" w:color="auto" w:fill="F6F1E6"/>
          </w:tcPr>
          <w:p>
            <w:pPr>
              <w:spacing w:after="20"/>
            </w:pPr>
            <w:r>
              <w:rPr>
                <w:b/>
                <w:color w:val="1C3A36"/>
                <w:sz w:val="17"/>
              </w:rPr>
              <w:t>Group (incl. other)</w:t>
            </w:r>
          </w:p>
        </w:tc>
        <w:tc>
          <w:tcPr>
            <w:tcW w:type="dxa" w:w="1584"/>
            <w:shd w:val="clear" w:color="auto" w:fill="F6F1E6"/>
          </w:tcPr>
          <w:p>
            <w:pPr>
              <w:spacing w:after="20"/>
              <w:jc w:val="right"/>
            </w:pPr>
            <w:r>
              <w:rPr>
                <w:b/>
                <w:color w:val="1C3A36"/>
                <w:sz w:val="17"/>
              </w:rPr>
              <w:t>32,022</w:t>
            </w:r>
          </w:p>
        </w:tc>
        <w:tc>
          <w:tcPr>
            <w:tcW w:type="dxa" w:w="1440"/>
            <w:shd w:val="clear" w:color="auto" w:fill="F6F1E6"/>
          </w:tcPr>
          <w:p>
            <w:pPr>
              <w:spacing w:after="20"/>
              <w:jc w:val="right"/>
            </w:pPr>
            <w:r>
              <w:rPr>
                <w:b/>
                <w:color w:val="1C3A36"/>
                <w:sz w:val="17"/>
              </w:rPr>
              <w:t>13,668</w:t>
            </w:r>
          </w:p>
        </w:tc>
        <w:tc>
          <w:tcPr>
            <w:tcW w:type="dxa" w:w="1440"/>
            <w:shd w:val="clear" w:color="auto" w:fill="F6F1E6"/>
          </w:tcPr>
          <w:p>
            <w:pPr>
              <w:spacing w:after="20"/>
              <w:jc w:val="right"/>
            </w:pPr>
            <w:r>
              <w:rPr>
                <w:b/>
                <w:color w:val="1C3A36"/>
                <w:sz w:val="17"/>
              </w:rPr>
              <w:t>18,354</w:t>
            </w:r>
          </w:p>
        </w:tc>
        <w:tc>
          <w:tcPr>
            <w:tcW w:type="dxa" w:w="1656"/>
            <w:shd w:val="clear" w:color="auto" w:fill="F6F1E6"/>
          </w:tcPr>
          <w:p>
            <w:pPr>
              <w:spacing w:after="20"/>
              <w:jc w:val="right"/>
            </w:pPr>
            <w:r>
              <w:rPr>
                <w:b/>
                <w:color w:val="1C3A36"/>
                <w:sz w:val="17"/>
              </w:rPr>
              <w:t>57%</w:t>
            </w:r>
          </w:p>
        </w:tc>
      </w:tr>
    </w:tbl>
    <w:p>
      <w:pPr>
        <w:spacing w:after="40"/>
      </w:pPr>
    </w:p>
    <w:p>
      <w:pPr>
        <w:spacing w:after="120" w:before="0"/>
      </w:pPr>
      <w:r>
        <w:rPr>
          <w:b w:val="0"/>
          <w:i w:val="0"/>
          <w:color w:val="1C3A36"/>
          <w:sz w:val="18"/>
        </w:rPr>
        <w:t>The table is the conglomerate argument in miniature: Maroc Telecom converts 40% of EBITDA to cash and nearly half of that belongs to minorities; Egypt’s FY25 build cycle consumed its entire EBITDA; the UAE converts 82% and all of it is e&amp;’s. Measures the disclosure does not support — churn, acquisition cost, per-opco ARPU, and the lease-adjusted (after-lease) EBITDA split — are flagged rather than estimated.</w:t>
      </w:r>
    </w:p>
    <w:p>
      <w:pPr>
        <w:spacing w:after="80" w:before="200"/>
      </w:pPr>
      <w:r>
        <w:rPr>
          <w:b/>
          <w:i w:val="0"/>
          <w:color w:val="1C3A36"/>
          <w:sz w:val="24"/>
        </w:rPr>
        <w:t>1.7  The crux — the 2027 royalty reset, in real units</w:t>
      </w:r>
    </w:p>
    <w:p>
      <w:pPr>
        <w:spacing w:after="120" w:before="0"/>
      </w:pPr>
      <w:r>
        <w:rPr>
          <w:b w:val="0"/>
          <w:i w:val="0"/>
          <w:color w:val="1C3A36"/>
          <w:sz w:val="21"/>
        </w:rPr>
        <w:t>Since 2012 the UAE federal royalty has been the single largest claim on e&amp;’s domestic profit. The current guidelines — 38% of UAE net profit (regulated and non-regulated alike), deductible against the 9% corporate tax, with a combined floor of AED 5.7 bn a year — expire on 31 December 2026, and nothing about 2027 has been announced. Each combination implies a different UAE effective rate: at 38% the combined take is 43.6% of UAE profit; the group-level t_eff blends that with ~27% internationally to 36.5%. The table prices the reset directly: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1944"/>
            <w:shd w:val="clear" w:color="auto" w:fill="EAF0EE"/>
          </w:tcPr>
          <w:p>
            <w:pPr>
              <w:spacing w:after="20"/>
            </w:pPr>
            <w:r>
              <w:rPr>
                <w:b/>
                <w:color w:val="1C3A36"/>
                <w:sz w:val="18"/>
              </w:rPr>
              <w:t>2027+ royalty rate</w:t>
            </w:r>
          </w:p>
        </w:tc>
        <w:tc>
          <w:tcPr>
            <w:tcW w:type="dxa" w:w="1584"/>
            <w:shd w:val="clear" w:color="auto" w:fill="EAF0EE"/>
          </w:tcPr>
          <w:p>
            <w:pPr>
              <w:spacing w:after="20"/>
            </w:pPr>
            <w:r>
              <w:rPr>
                <w:b/>
                <w:color w:val="1C3A36"/>
                <w:sz w:val="18"/>
              </w:rPr>
              <w:t>t_eff (group)</w:t>
            </w:r>
          </w:p>
        </w:tc>
        <w:tc>
          <w:tcPr>
            <w:tcW w:type="dxa" w:w="1872"/>
            <w:shd w:val="clear" w:color="auto" w:fill="EAF0EE"/>
          </w:tcPr>
          <w:p>
            <w:pPr>
              <w:spacing w:after="20"/>
            </w:pPr>
            <w:r>
              <w:rPr>
                <w:b/>
                <w:color w:val="1C3A36"/>
                <w:sz w:val="18"/>
              </w:rPr>
              <w:t>DCF value (AED/sh)</w:t>
            </w:r>
          </w:p>
        </w:tc>
        <w:tc>
          <w:tcPr>
            <w:tcW w:type="dxa" w:w="1368"/>
            <w:shd w:val="clear" w:color="auto" w:fill="EAF0EE"/>
          </w:tcPr>
          <w:p>
            <w:pPr>
              <w:spacing w:after="20"/>
            </w:pPr>
            <w:r>
              <w:rPr>
                <w:b/>
                <w:color w:val="1C3A36"/>
                <w:sz w:val="18"/>
              </w:rPr>
              <w:t>Δ vs base</w:t>
            </w:r>
          </w:p>
        </w:tc>
        <w:tc>
          <w:tcPr>
            <w:tcW w:type="dxa" w:w="3024"/>
            <w:shd w:val="clear" w:color="auto" w:fill="EAF0EE"/>
          </w:tcPr>
          <w:p>
            <w:pPr>
              <w:spacing w:after="20"/>
            </w:pPr>
            <w:r>
              <w:rPr>
                <w:b/>
                <w:color w:val="1C3A36"/>
                <w:sz w:val="18"/>
              </w:rPr>
              <w:t>Reading</w:t>
            </w:r>
          </w:p>
        </w:tc>
      </w:tr>
      <w:tr>
        <w:tc>
          <w:tcPr>
            <w:tcW w:type="dxa" w:w="1944"/>
          </w:tcPr>
          <w:p>
            <w:pPr>
              <w:spacing w:after="20"/>
            </w:pPr>
            <w:r>
              <w:rPr>
                <w:color w:val="1C3A36"/>
                <w:sz w:val="18"/>
              </w:rPr>
              <w:t>30%</w:t>
            </w:r>
          </w:p>
        </w:tc>
        <w:tc>
          <w:tcPr>
            <w:tcW w:type="dxa" w:w="1584"/>
          </w:tcPr>
          <w:p>
            <w:pPr>
              <w:spacing w:after="20"/>
              <w:jc w:val="right"/>
            </w:pPr>
            <w:r>
              <w:rPr>
                <w:color w:val="1C3A36"/>
                <w:sz w:val="18"/>
              </w:rPr>
              <w:t>32.3%</w:t>
            </w:r>
          </w:p>
        </w:tc>
        <w:tc>
          <w:tcPr>
            <w:tcW w:type="dxa" w:w="1872"/>
          </w:tcPr>
          <w:p>
            <w:pPr>
              <w:spacing w:after="20"/>
              <w:jc w:val="right"/>
            </w:pPr>
            <w:r>
              <w:rPr>
                <w:color w:val="1C3A36"/>
                <w:sz w:val="18"/>
              </w:rPr>
              <w:t>30.67</w:t>
            </w:r>
          </w:p>
        </w:tc>
        <w:tc>
          <w:tcPr>
            <w:tcW w:type="dxa" w:w="1368"/>
          </w:tcPr>
          <w:p>
            <w:pPr>
              <w:spacing w:after="20"/>
              <w:jc w:val="right"/>
            </w:pPr>
            <w:r>
              <w:rPr>
                <w:color w:val="1C3A36"/>
                <w:sz w:val="18"/>
              </w:rPr>
              <w:t>+2.29</w:t>
            </w:r>
          </w:p>
        </w:tc>
        <w:tc>
          <w:tcPr>
            <w:tcW w:type="dxa" w:w="3024"/>
          </w:tcPr>
          <w:p>
            <w:pPr>
              <w:spacing w:after="20"/>
              <w:jc w:val="right"/>
            </w:pPr>
            <w:r>
              <w:rPr>
                <w:color w:val="1C3A36"/>
                <w:sz w:val="18"/>
              </w:rPr>
              <w:t>aligned toward CT-era logic</w:t>
            </w:r>
          </w:p>
        </w:tc>
      </w:tr>
      <w:tr>
        <w:tc>
          <w:tcPr>
            <w:tcW w:type="dxa" w:w="1944"/>
          </w:tcPr>
          <w:p>
            <w:pPr>
              <w:spacing w:after="20"/>
            </w:pPr>
            <w:r>
              <w:rPr>
                <w:color w:val="1C3A36"/>
                <w:sz w:val="18"/>
              </w:rPr>
              <w:t>34%</w:t>
            </w:r>
          </w:p>
        </w:tc>
        <w:tc>
          <w:tcPr>
            <w:tcW w:type="dxa" w:w="1584"/>
          </w:tcPr>
          <w:p>
            <w:pPr>
              <w:spacing w:after="20"/>
              <w:jc w:val="right"/>
            </w:pPr>
            <w:r>
              <w:rPr>
                <w:color w:val="1C3A36"/>
                <w:sz w:val="18"/>
              </w:rPr>
              <w:t>34.4%</w:t>
            </w:r>
          </w:p>
        </w:tc>
        <w:tc>
          <w:tcPr>
            <w:tcW w:type="dxa" w:w="1872"/>
          </w:tcPr>
          <w:p>
            <w:pPr>
              <w:spacing w:after="20"/>
              <w:jc w:val="right"/>
            </w:pPr>
            <w:r>
              <w:rPr>
                <w:color w:val="1C3A36"/>
                <w:sz w:val="18"/>
              </w:rPr>
              <w:t>29.53</w:t>
            </w:r>
          </w:p>
        </w:tc>
        <w:tc>
          <w:tcPr>
            <w:tcW w:type="dxa" w:w="1368"/>
          </w:tcPr>
          <w:p>
            <w:pPr>
              <w:spacing w:after="20"/>
              <w:jc w:val="right"/>
            </w:pPr>
            <w:r>
              <w:rPr>
                <w:color w:val="1C3A36"/>
                <w:sz w:val="18"/>
              </w:rPr>
              <w:t>+1.14</w:t>
            </w:r>
          </w:p>
        </w:tc>
        <w:tc>
          <w:tcPr>
            <w:tcW w:type="dxa" w:w="3024"/>
          </w:tcPr>
          <w:p>
            <w:pPr>
              <w:spacing w:after="20"/>
              <w:jc w:val="right"/>
            </w:pPr>
            <w:r>
              <w:rPr>
                <w:color w:val="1C3A36"/>
                <w:sz w:val="18"/>
              </w:rPr>
              <w:t>aligned toward CT-era logic</w:t>
            </w:r>
          </w:p>
        </w:tc>
      </w:tr>
      <w:tr>
        <w:tc>
          <w:tcPr>
            <w:tcW w:type="dxa" w:w="1944"/>
            <w:shd w:val="clear" w:color="auto" w:fill="F6F1E6"/>
          </w:tcPr>
          <w:p>
            <w:pPr>
              <w:spacing w:after="20"/>
            </w:pPr>
            <w:r>
              <w:rPr>
                <w:b/>
                <w:color w:val="1C3A36"/>
                <w:sz w:val="18"/>
              </w:rPr>
              <w:t>38%</w:t>
            </w:r>
          </w:p>
        </w:tc>
        <w:tc>
          <w:tcPr>
            <w:tcW w:type="dxa" w:w="1584"/>
            <w:shd w:val="clear" w:color="auto" w:fill="F6F1E6"/>
          </w:tcPr>
          <w:p>
            <w:pPr>
              <w:spacing w:after="20"/>
              <w:jc w:val="right"/>
            </w:pPr>
            <w:r>
              <w:rPr>
                <w:b/>
                <w:color w:val="1C3A36"/>
                <w:sz w:val="18"/>
              </w:rPr>
              <w:t>36.5%</w:t>
            </w:r>
          </w:p>
        </w:tc>
        <w:tc>
          <w:tcPr>
            <w:tcW w:type="dxa" w:w="1872"/>
            <w:shd w:val="clear" w:color="auto" w:fill="F6F1E6"/>
          </w:tcPr>
          <w:p>
            <w:pPr>
              <w:spacing w:after="20"/>
              <w:jc w:val="right"/>
            </w:pPr>
            <w:r>
              <w:rPr>
                <w:b/>
                <w:color w:val="1C3A36"/>
                <w:sz w:val="18"/>
              </w:rPr>
              <w:t>28.38</w:t>
            </w:r>
          </w:p>
        </w:tc>
        <w:tc>
          <w:tcPr>
            <w:tcW w:type="dxa" w:w="1368"/>
            <w:shd w:val="clear" w:color="auto" w:fill="F6F1E6"/>
          </w:tcPr>
          <w:p>
            <w:pPr>
              <w:spacing w:after="20"/>
              <w:jc w:val="right"/>
            </w:pPr>
            <w:r>
              <w:rPr>
                <w:b/>
                <w:color w:val="1C3A36"/>
                <w:sz w:val="18"/>
              </w:rPr>
              <w:t>+0.00</w:t>
            </w:r>
          </w:p>
        </w:tc>
        <w:tc>
          <w:tcPr>
            <w:tcW w:type="dxa" w:w="3024"/>
            <w:shd w:val="clear" w:color="auto" w:fill="F6F1E6"/>
          </w:tcPr>
          <w:p>
            <w:pPr>
              <w:spacing w:after="20"/>
              <w:jc w:val="right"/>
            </w:pPr>
            <w:r>
              <w:rPr>
                <w:b/>
                <w:color w:val="1C3A36"/>
                <w:sz w:val="18"/>
              </w:rPr>
              <w:t>current regime rolled</w:t>
            </w:r>
          </w:p>
        </w:tc>
      </w:tr>
      <w:tr>
        <w:tc>
          <w:tcPr>
            <w:tcW w:type="dxa" w:w="1944"/>
          </w:tcPr>
          <w:p>
            <w:pPr>
              <w:spacing w:after="20"/>
            </w:pPr>
            <w:r>
              <w:rPr>
                <w:color w:val="1C3A36"/>
                <w:sz w:val="18"/>
              </w:rPr>
              <w:t>42%</w:t>
            </w:r>
          </w:p>
        </w:tc>
        <w:tc>
          <w:tcPr>
            <w:tcW w:type="dxa" w:w="1584"/>
          </w:tcPr>
          <w:p>
            <w:pPr>
              <w:spacing w:after="20"/>
              <w:jc w:val="right"/>
            </w:pPr>
            <w:r>
              <w:rPr>
                <w:color w:val="1C3A36"/>
                <w:sz w:val="18"/>
              </w:rPr>
              <w:t>38.5%</w:t>
            </w:r>
          </w:p>
        </w:tc>
        <w:tc>
          <w:tcPr>
            <w:tcW w:type="dxa" w:w="1872"/>
          </w:tcPr>
          <w:p>
            <w:pPr>
              <w:spacing w:after="20"/>
              <w:jc w:val="right"/>
            </w:pPr>
            <w:r>
              <w:rPr>
                <w:color w:val="1C3A36"/>
                <w:sz w:val="18"/>
              </w:rPr>
              <w:t>27.24</w:t>
            </w:r>
          </w:p>
        </w:tc>
        <w:tc>
          <w:tcPr>
            <w:tcW w:type="dxa" w:w="1368"/>
          </w:tcPr>
          <w:p>
            <w:pPr>
              <w:spacing w:after="20"/>
              <w:jc w:val="right"/>
            </w:pPr>
            <w:r>
              <w:rPr>
                <w:color w:val="1C3A36"/>
                <w:sz w:val="18"/>
              </w:rPr>
              <w:t>-1.14</w:t>
            </w:r>
          </w:p>
        </w:tc>
        <w:tc>
          <w:tcPr>
            <w:tcW w:type="dxa" w:w="3024"/>
          </w:tcPr>
          <w:p>
            <w:pPr>
              <w:spacing w:after="20"/>
              <w:jc w:val="right"/>
            </w:pPr>
            <w:r>
              <w:rPr>
                <w:color w:val="1C3A36"/>
                <w:sz w:val="18"/>
              </w:rPr>
              <w:t>broadened / raised</w:t>
            </w:r>
          </w:p>
        </w:tc>
      </w:tr>
      <w:tr>
        <w:tc>
          <w:tcPr>
            <w:tcW w:type="dxa" w:w="1944"/>
          </w:tcPr>
          <w:p>
            <w:pPr>
              <w:spacing w:after="20"/>
            </w:pPr>
            <w:r>
              <w:rPr>
                <w:color w:val="1C3A36"/>
                <w:sz w:val="18"/>
              </w:rPr>
              <w:t>46%</w:t>
            </w:r>
          </w:p>
        </w:tc>
        <w:tc>
          <w:tcPr>
            <w:tcW w:type="dxa" w:w="1584"/>
          </w:tcPr>
          <w:p>
            <w:pPr>
              <w:spacing w:after="20"/>
              <w:jc w:val="right"/>
            </w:pPr>
            <w:r>
              <w:rPr>
                <w:color w:val="1C3A36"/>
                <w:sz w:val="18"/>
              </w:rPr>
              <w:t>40.6%</w:t>
            </w:r>
          </w:p>
        </w:tc>
        <w:tc>
          <w:tcPr>
            <w:tcW w:type="dxa" w:w="1872"/>
          </w:tcPr>
          <w:p>
            <w:pPr>
              <w:spacing w:after="20"/>
              <w:jc w:val="right"/>
            </w:pPr>
            <w:r>
              <w:rPr>
                <w:color w:val="1C3A36"/>
                <w:sz w:val="18"/>
              </w:rPr>
              <w:t>26.09</w:t>
            </w:r>
          </w:p>
        </w:tc>
        <w:tc>
          <w:tcPr>
            <w:tcW w:type="dxa" w:w="1368"/>
          </w:tcPr>
          <w:p>
            <w:pPr>
              <w:spacing w:after="20"/>
              <w:jc w:val="right"/>
            </w:pPr>
            <w:r>
              <w:rPr>
                <w:color w:val="1C3A36"/>
                <w:sz w:val="18"/>
              </w:rPr>
              <w:t>-2.29</w:t>
            </w:r>
          </w:p>
        </w:tc>
        <w:tc>
          <w:tcPr>
            <w:tcW w:type="dxa" w:w="3024"/>
          </w:tcPr>
          <w:p>
            <w:pPr>
              <w:spacing w:after="20"/>
              <w:jc w:val="right"/>
            </w:pPr>
            <w:r>
              <w:rPr>
                <w:color w:val="1C3A36"/>
                <w:sz w:val="18"/>
              </w:rPr>
              <w:t>broadened / raised</w:t>
            </w:r>
          </w:p>
        </w:tc>
      </w:tr>
    </w:tbl>
    <w:p>
      <w:pPr>
        <w:spacing w:after="40"/>
      </w:pPr>
    </w:p>
    <w:p>
      <w:pPr>
        <w:spacing w:after="40"/>
        <w:jc w:val="center"/>
      </w:pPr>
      <w:r>
        <w:drawing>
          <wp:inline xmlns:a="http://schemas.openxmlformats.org/drawingml/2006/main" xmlns:pic="http://schemas.openxmlformats.org/drawingml/2006/picture">
            <wp:extent cx="5394960" cy="2555507"/>
            <wp:docPr id="3" name="Picture 3"/>
            <wp:cNvGraphicFramePr>
              <a:graphicFrameLocks noChangeAspect="1"/>
            </wp:cNvGraphicFramePr>
            <a:graphic>
              <a:graphicData uri="http://schemas.openxmlformats.org/drawingml/2006/picture">
                <pic:pic>
                  <pic:nvPicPr>
                    <pic:cNvPr id="0" name="fig8_royalty.png"/>
                    <pic:cNvPicPr/>
                  </pic:nvPicPr>
                  <pic:blipFill>
                    <a:blip r:embed="rId11"/>
                    <a:stretch>
                      <a:fillRect/>
                    </a:stretch>
                  </pic:blipFill>
                  <pic:spPr>
                    <a:xfrm>
                      <a:off x="0" y="0"/>
                      <a:ext cx="5394960" cy="2555507"/>
                    </a:xfrm>
                    <a:prstGeom prst="rect"/>
                  </pic:spPr>
                </pic:pic>
              </a:graphicData>
            </a:graphic>
          </wp:inline>
        </w:drawing>
      </w:r>
    </w:p>
    <w:p>
      <w:pPr>
        <w:spacing w:after="200" w:before="0"/>
      </w:pPr>
      <w:r>
        <w:rPr>
          <w:b w:val="0"/>
          <w:i/>
          <w:color w:val="6E7B77"/>
          <w:sz w:val="17"/>
        </w:rPr>
        <w:t>Figure 3 · The crux line: DCF fair value against the 2027 royalty rate. Four points of royalty ≈ AED 1.1 per share.</w:t>
      </w:r>
    </w:p>
    <w:p>
      <w:pPr>
        <w:spacing w:after="120" w:before="40"/>
      </w:pPr>
      <w:r>
        <w:rPr>
          <w:b w:val="0"/>
          <w:i w:val="0"/>
          <w:color w:val="1C3A36"/>
          <w:sz w:val="21"/>
        </w:rPr>
        <w:t>The second real-units test is dividend cover, because the Vodafone proceeds have raised expectations of a payout step-up: at the guided 95 fils the bill is AED 8.3 bn.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736"/>
            <w:shd w:val="clear" w:color="auto" w:fill="EAF0EE"/>
          </w:tcPr>
          <w:p>
            <w:pPr>
              <w:spacing w:after="20"/>
            </w:pPr>
            <w:r>
              <w:rPr>
                <w:b/>
                <w:color w:val="1C3A36"/>
                <w:sz w:val="18"/>
              </w:rPr>
              <w:t>FY26E capex intensity</w:t>
            </w:r>
          </w:p>
        </w:tc>
        <w:tc>
          <w:tcPr>
            <w:tcW w:type="dxa" w:w="2448"/>
            <w:shd w:val="clear" w:color="auto" w:fill="EAF0EE"/>
          </w:tcPr>
          <w:p>
            <w:pPr>
              <w:spacing w:after="20"/>
            </w:pPr>
            <w:r>
              <w:rPr>
                <w:b/>
                <w:color w:val="1C3A36"/>
                <w:sz w:val="18"/>
              </w:rPr>
              <w:t>Attributable FCF (AED bn)</w:t>
            </w:r>
          </w:p>
        </w:tc>
        <w:tc>
          <w:tcPr>
            <w:tcW w:type="dxa" w:w="2232"/>
            <w:shd w:val="clear" w:color="auto" w:fill="EAF0EE"/>
          </w:tcPr>
          <w:p>
            <w:pPr>
              <w:spacing w:after="20"/>
            </w:pPr>
            <w:r>
              <w:rPr>
                <w:b/>
                <w:color w:val="1C3A36"/>
                <w:sz w:val="18"/>
              </w:rPr>
              <w:t>Dividend bill (AED bn)</w:t>
            </w:r>
          </w:p>
        </w:tc>
        <w:tc>
          <w:tcPr>
            <w:tcW w:type="dxa" w:w="1224"/>
            <w:shd w:val="clear" w:color="auto" w:fill="EAF0EE"/>
          </w:tcPr>
          <w:p>
            <w:pPr>
              <w:spacing w:after="20"/>
            </w:pPr>
            <w:r>
              <w:rPr>
                <w:b/>
                <w:color w:val="1C3A36"/>
                <w:sz w:val="18"/>
              </w:rPr>
              <w:t>Cover</w:t>
            </w:r>
          </w:p>
        </w:tc>
      </w:tr>
      <w:tr>
        <w:tc>
          <w:tcPr>
            <w:tcW w:type="dxa" w:w="2736"/>
          </w:tcPr>
          <w:p>
            <w:pPr>
              <w:spacing w:after="20"/>
            </w:pPr>
            <w:r>
              <w:rPr>
                <w:color w:val="1C3A36"/>
                <w:sz w:val="18"/>
              </w:rPr>
              <w:t>16.0%</w:t>
            </w:r>
          </w:p>
        </w:tc>
        <w:tc>
          <w:tcPr>
            <w:tcW w:type="dxa" w:w="2448"/>
          </w:tcPr>
          <w:p>
            <w:pPr>
              <w:spacing w:after="20"/>
              <w:jc w:val="right"/>
            </w:pPr>
            <w:r>
              <w:rPr>
                <w:color w:val="1C3A36"/>
                <w:sz w:val="18"/>
              </w:rPr>
              <w:t>11.1</w:t>
            </w:r>
          </w:p>
        </w:tc>
        <w:tc>
          <w:tcPr>
            <w:tcW w:type="dxa" w:w="2232"/>
          </w:tcPr>
          <w:p>
            <w:pPr>
              <w:spacing w:after="20"/>
              <w:jc w:val="right"/>
            </w:pPr>
            <w:r>
              <w:rPr>
                <w:color w:val="1C3A36"/>
                <w:sz w:val="18"/>
              </w:rPr>
              <w:t>8.3</w:t>
            </w:r>
          </w:p>
        </w:tc>
        <w:tc>
          <w:tcPr>
            <w:tcW w:type="dxa" w:w="1224"/>
          </w:tcPr>
          <w:p>
            <w:pPr>
              <w:spacing w:after="20"/>
              <w:jc w:val="right"/>
            </w:pPr>
            <w:r>
              <w:rPr>
                <w:color w:val="1C3A36"/>
                <w:sz w:val="18"/>
              </w:rPr>
              <w:t>1.35×</w:t>
            </w:r>
          </w:p>
        </w:tc>
      </w:tr>
      <w:tr>
        <w:tc>
          <w:tcPr>
            <w:tcW w:type="dxa" w:w="2736"/>
            <w:shd w:val="clear" w:color="auto" w:fill="F6F1E6"/>
          </w:tcPr>
          <w:p>
            <w:pPr>
              <w:spacing w:after="20"/>
            </w:pPr>
            <w:r>
              <w:rPr>
                <w:b/>
                <w:color w:val="1C3A36"/>
                <w:sz w:val="18"/>
              </w:rPr>
              <w:t>17.3% (base FY26E all-in)</w:t>
            </w:r>
          </w:p>
        </w:tc>
        <w:tc>
          <w:tcPr>
            <w:tcW w:type="dxa" w:w="2448"/>
            <w:shd w:val="clear" w:color="auto" w:fill="F6F1E6"/>
          </w:tcPr>
          <w:p>
            <w:pPr>
              <w:spacing w:after="20"/>
              <w:jc w:val="right"/>
            </w:pPr>
            <w:r>
              <w:rPr>
                <w:b/>
                <w:color w:val="1C3A36"/>
                <w:sz w:val="18"/>
              </w:rPr>
              <w:t>10.3</w:t>
            </w:r>
          </w:p>
        </w:tc>
        <w:tc>
          <w:tcPr>
            <w:tcW w:type="dxa" w:w="2232"/>
            <w:shd w:val="clear" w:color="auto" w:fill="F6F1E6"/>
          </w:tcPr>
          <w:p>
            <w:pPr>
              <w:spacing w:after="20"/>
              <w:jc w:val="right"/>
            </w:pPr>
            <w:r>
              <w:rPr>
                <w:b/>
                <w:color w:val="1C3A36"/>
                <w:sz w:val="18"/>
              </w:rPr>
              <w:t>8.3</w:t>
            </w:r>
          </w:p>
        </w:tc>
        <w:tc>
          <w:tcPr>
            <w:tcW w:type="dxa" w:w="1224"/>
            <w:shd w:val="clear" w:color="auto" w:fill="F6F1E6"/>
          </w:tcPr>
          <w:p>
            <w:pPr>
              <w:spacing w:after="20"/>
              <w:jc w:val="right"/>
            </w:pPr>
            <w:r>
              <w:rPr>
                <w:b/>
                <w:color w:val="1C3A36"/>
                <w:sz w:val="18"/>
              </w:rPr>
              <w:t>1.24×</w:t>
            </w:r>
          </w:p>
        </w:tc>
      </w:tr>
      <w:tr>
        <w:tc>
          <w:tcPr>
            <w:tcW w:type="dxa" w:w="2736"/>
          </w:tcPr>
          <w:p>
            <w:pPr>
              <w:spacing w:after="20"/>
            </w:pPr>
            <w:r>
              <w:rPr>
                <w:color w:val="1C3A36"/>
                <w:sz w:val="18"/>
              </w:rPr>
              <w:t>19.0% (stress)</w:t>
            </w:r>
          </w:p>
        </w:tc>
        <w:tc>
          <w:tcPr>
            <w:tcW w:type="dxa" w:w="2448"/>
          </w:tcPr>
          <w:p>
            <w:pPr>
              <w:spacing w:after="20"/>
              <w:jc w:val="right"/>
            </w:pPr>
            <w:r>
              <w:rPr>
                <w:color w:val="1C3A36"/>
                <w:sz w:val="18"/>
              </w:rPr>
              <w:t>9.1</w:t>
            </w:r>
          </w:p>
        </w:tc>
        <w:tc>
          <w:tcPr>
            <w:tcW w:type="dxa" w:w="2232"/>
          </w:tcPr>
          <w:p>
            <w:pPr>
              <w:spacing w:after="20"/>
              <w:jc w:val="right"/>
            </w:pPr>
            <w:r>
              <w:rPr>
                <w:color w:val="1C3A36"/>
                <w:sz w:val="18"/>
              </w:rPr>
              <w:t>8.3</w:t>
            </w:r>
          </w:p>
        </w:tc>
        <w:tc>
          <w:tcPr>
            <w:tcW w:type="dxa" w:w="1224"/>
          </w:tcPr>
          <w:p>
            <w:pPr>
              <w:spacing w:after="20"/>
              <w:jc w:val="right"/>
            </w:pPr>
            <w:r>
              <w:rPr>
                <w:color w:val="1C3A36"/>
                <w:sz w:val="18"/>
              </w:rPr>
              <w:t>1.10×</w:t>
            </w:r>
          </w:p>
        </w:tc>
      </w:tr>
    </w:tbl>
    <w:p>
      <w:pPr>
        <w:spacing w:after="40"/>
      </w:pPr>
    </w:p>
    <w:p>
      <w:pPr>
        <w:spacing w:after="40"/>
        <w:jc w:val="center"/>
      </w:pPr>
      <w:r>
        <w:drawing>
          <wp:inline xmlns:a="http://schemas.openxmlformats.org/drawingml/2006/main" xmlns:pic="http://schemas.openxmlformats.org/drawingml/2006/picture">
            <wp:extent cx="5943600" cy="2144598"/>
            <wp:docPr id="4" name="Picture 4"/>
            <wp:cNvGraphicFramePr>
              <a:graphicFrameLocks noChangeAspect="1"/>
            </wp:cNvGraphicFramePr>
            <a:graphic>
              <a:graphicData uri="http://schemas.openxmlformats.org/drawingml/2006/picture">
                <pic:pic>
                  <pic:nvPicPr>
                    <pic:cNvPr id="0" name="fig9_dps_cover.png"/>
                    <pic:cNvPicPr/>
                  </pic:nvPicPr>
                  <pic:blipFill>
                    <a:blip r:embed="rId12"/>
                    <a:stretch>
                      <a:fillRect/>
                    </a:stretch>
                  </pic:blipFill>
                  <pic:spPr>
                    <a:xfrm>
                      <a:off x="0" y="0"/>
                      <a:ext cx="5943600" cy="2144598"/>
                    </a:xfrm>
                    <a:prstGeom prst="rect"/>
                  </pic:spPr>
                </pic:pic>
              </a:graphicData>
            </a:graphic>
          </wp:inline>
        </w:drawing>
      </w:r>
    </w:p>
    <w:p>
      <w:pPr>
        <w:spacing w:after="200" w:before="0"/>
      </w:pPr>
      <w:r>
        <w:rPr>
          <w:b w:val="0"/>
          <w:i/>
          <w:color w:val="6E7B77"/>
          <w:sz w:val="17"/>
        </w:rPr>
        <w:t>Figure 4 · The DPS schedule (declared, then modelled) and FY26E cover under three capex intensities. Cover holds above 1.0× even at the 19% stress — before any Vodafone proceeds.</w:t>
      </w:r>
    </w:p>
    <w:p>
      <w:pPr>
        <w:spacing w:after="80" w:before="200"/>
      </w:pPr>
      <w:r>
        <w:rPr>
          <w:b/>
          <w:i w:val="0"/>
          <w:color w:val="1C3A36"/>
          <w:sz w:val="24"/>
        </w:rPr>
        <w:t>1.8  Macro and country — rates, the peg, the neighbourhood, and the sourced cost of capital</w:t>
      </w:r>
    </w:p>
    <w:p>
      <w:pPr>
        <w:spacing w:after="120" w:before="0"/>
      </w:pPr>
      <w:r>
        <w:rPr>
          <w:b w:val="0"/>
          <w:i w:val="0"/>
          <w:color w:val="1C3A36"/>
          <w:sz w:val="21"/>
        </w:rPr>
        <w:t>The AED peg makes UAE rates a USD derivative: the CBUAE base rate tracks the Fed (3.65%, held 17-Jun-2026 — this is also the Monte Carlo’s carry-rf, per the production UAE market profile), 3-month EIBOR prints 3.93% (6-Jul, a related money-market reference used in the debt-cost build, not the MC carry), and the Ministry of Finance’s dirham T-bond programme — the study’s DCF/WACC risk-free source — cleared its Jan-2031 tranche at 4.30% on 23 May, within 14bp of comparable Treasuries even as the regional escalation that began in late February ran through the spring. e&amp;’s own Q1 filings note the March impact (enterprise corporate spend −2.4% q/q) and the normalisation since; the study treats a re-escalation as a priced discrete factor, not a base-case assumption. On the fiscal side the 9% corporate tax (2024) and the 15% DMTT (2025) are already in the numbers; the royalty is the open question and has its own section.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312"/>
            <w:shd w:val="clear" w:color="auto" w:fill="EAF0EE"/>
          </w:tcPr>
          <w:p>
            <w:pPr>
              <w:spacing w:after="20"/>
            </w:pPr>
            <w:r>
              <w:rPr>
                <w:b/>
                <w:color w:val="1C3A36"/>
                <w:sz w:val="17"/>
              </w:rPr>
              <w:t>Sourced market input</w:t>
            </w:r>
          </w:p>
        </w:tc>
        <w:tc>
          <w:tcPr>
            <w:tcW w:type="dxa" w:w="1800"/>
            <w:shd w:val="clear" w:color="auto" w:fill="EAF0EE"/>
          </w:tcPr>
          <w:p>
            <w:pPr>
              <w:spacing w:after="20"/>
            </w:pPr>
            <w:r>
              <w:rPr>
                <w:b/>
                <w:color w:val="1C3A36"/>
                <w:sz w:val="17"/>
              </w:rPr>
              <w:t>Value</w:t>
            </w:r>
          </w:p>
        </w:tc>
        <w:tc>
          <w:tcPr>
            <w:tcW w:type="dxa" w:w="1296"/>
            <w:shd w:val="clear" w:color="auto" w:fill="EAF0EE"/>
          </w:tcPr>
          <w:p>
            <w:pPr>
              <w:spacing w:after="20"/>
            </w:pPr>
            <w:r>
              <w:rPr>
                <w:b/>
                <w:color w:val="1C3A36"/>
                <w:sz w:val="17"/>
              </w:rPr>
              <w:t>Date</w:t>
            </w:r>
          </w:p>
        </w:tc>
        <w:tc>
          <w:tcPr>
            <w:tcW w:type="dxa" w:w="3312"/>
            <w:shd w:val="clear" w:color="auto" w:fill="EAF0EE"/>
          </w:tcPr>
          <w:p>
            <w:pPr>
              <w:spacing w:after="20"/>
            </w:pPr>
            <w:r>
              <w:rPr>
                <w:b/>
                <w:color w:val="1C3A36"/>
                <w:sz w:val="17"/>
              </w:rPr>
              <w:t>Source</w:t>
            </w:r>
          </w:p>
        </w:tc>
      </w:tr>
      <w:tr>
        <w:tc>
          <w:tcPr>
            <w:tcW w:type="dxa" w:w="3312"/>
          </w:tcPr>
          <w:p>
            <w:pPr>
              <w:spacing w:after="20"/>
            </w:pPr>
            <w:r>
              <w:rPr>
                <w:color w:val="1C3A36"/>
                <w:sz w:val="17"/>
              </w:rPr>
              <w:t>CBUAE Base Rate (MC carry-rf)</w:t>
            </w:r>
          </w:p>
        </w:tc>
        <w:tc>
          <w:tcPr>
            <w:tcW w:type="dxa" w:w="1800"/>
          </w:tcPr>
          <w:p>
            <w:pPr>
              <w:spacing w:after="20"/>
              <w:jc w:val="right"/>
            </w:pPr>
            <w:r>
              <w:rPr>
                <w:color w:val="1C3A36"/>
                <w:sz w:val="17"/>
              </w:rPr>
              <w:t>3.65%</w:t>
            </w:r>
          </w:p>
        </w:tc>
        <w:tc>
          <w:tcPr>
            <w:tcW w:type="dxa" w:w="1296"/>
          </w:tcPr>
          <w:p>
            <w:pPr>
              <w:spacing w:after="20"/>
              <w:jc w:val="right"/>
            </w:pPr>
            <w:r>
              <w:rPr>
                <w:color w:val="1C3A36"/>
                <w:sz w:val="17"/>
              </w:rPr>
              <w:t>17-Jun-26</w:t>
            </w:r>
          </w:p>
        </w:tc>
        <w:tc>
          <w:tcPr>
            <w:tcW w:type="dxa" w:w="3312"/>
          </w:tcPr>
          <w:p>
            <w:pPr>
              <w:spacing w:after="20"/>
              <w:jc w:val="right"/>
            </w:pPr>
            <w:r>
              <w:rPr>
                <w:color w:val="1C3A36"/>
                <w:sz w:val="17"/>
              </w:rPr>
              <w:t>production UAE market profile</w:t>
            </w:r>
          </w:p>
        </w:tc>
      </w:tr>
      <w:tr>
        <w:tc>
          <w:tcPr>
            <w:tcW w:type="dxa" w:w="3312"/>
          </w:tcPr>
          <w:p>
            <w:pPr>
              <w:spacing w:after="20"/>
            </w:pPr>
            <w:r>
              <w:rPr>
                <w:color w:val="1C3A36"/>
                <w:sz w:val="17"/>
              </w:rPr>
              <w:t>3M EIBOR (debt-cost reference only)</w:t>
            </w:r>
          </w:p>
        </w:tc>
        <w:tc>
          <w:tcPr>
            <w:tcW w:type="dxa" w:w="1800"/>
          </w:tcPr>
          <w:p>
            <w:pPr>
              <w:spacing w:after="20"/>
              <w:jc w:val="right"/>
            </w:pPr>
            <w:r>
              <w:rPr>
                <w:color w:val="1C3A36"/>
                <w:sz w:val="17"/>
              </w:rPr>
              <w:t>3.93%</w:t>
            </w:r>
          </w:p>
        </w:tc>
        <w:tc>
          <w:tcPr>
            <w:tcW w:type="dxa" w:w="1296"/>
          </w:tcPr>
          <w:p>
            <w:pPr>
              <w:spacing w:after="20"/>
              <w:jc w:val="right"/>
            </w:pPr>
            <w:r>
              <w:rPr>
                <w:color w:val="1C3A36"/>
                <w:sz w:val="17"/>
              </w:rPr>
              <w:t>6-Jul-26</w:t>
            </w:r>
          </w:p>
        </w:tc>
        <w:tc>
          <w:tcPr>
            <w:tcW w:type="dxa" w:w="3312"/>
          </w:tcPr>
          <w:p>
            <w:pPr>
              <w:spacing w:after="20"/>
              <w:jc w:val="right"/>
            </w:pPr>
            <w:r>
              <w:rPr>
                <w:color w:val="1C3A36"/>
                <w:sz w:val="17"/>
              </w:rPr>
              <w:t>CBUAE via TradingEconomics</w:t>
            </w:r>
          </w:p>
        </w:tc>
      </w:tr>
      <w:tr>
        <w:tc>
          <w:tcPr>
            <w:tcW w:type="dxa" w:w="3312"/>
          </w:tcPr>
          <w:p>
            <w:pPr>
              <w:spacing w:after="20"/>
            </w:pPr>
            <w:r>
              <w:rPr>
                <w:color w:val="1C3A36"/>
                <w:sz w:val="17"/>
              </w:rPr>
              <w:t>AED T-Bond Jan-2031 YTM (DCF rf)</w:t>
            </w:r>
          </w:p>
        </w:tc>
        <w:tc>
          <w:tcPr>
            <w:tcW w:type="dxa" w:w="1800"/>
          </w:tcPr>
          <w:p>
            <w:pPr>
              <w:spacing w:after="20"/>
              <w:jc w:val="right"/>
            </w:pPr>
            <w:r>
              <w:rPr>
                <w:color w:val="1C3A36"/>
                <w:sz w:val="17"/>
              </w:rPr>
              <w:t>4.30%</w:t>
            </w:r>
          </w:p>
        </w:tc>
        <w:tc>
          <w:tcPr>
            <w:tcW w:type="dxa" w:w="1296"/>
          </w:tcPr>
          <w:p>
            <w:pPr>
              <w:spacing w:after="20"/>
              <w:jc w:val="right"/>
            </w:pPr>
            <w:r>
              <w:rPr>
                <w:color w:val="1C3A36"/>
                <w:sz w:val="17"/>
              </w:rPr>
              <w:t>23-May-26</w:t>
            </w:r>
          </w:p>
        </w:tc>
        <w:tc>
          <w:tcPr>
            <w:tcW w:type="dxa" w:w="3312"/>
          </w:tcPr>
          <w:p>
            <w:pPr>
              <w:spacing w:after="20"/>
              <w:jc w:val="right"/>
            </w:pPr>
            <w:r>
              <w:rPr>
                <w:color w:val="1C3A36"/>
                <w:sz w:val="17"/>
              </w:rPr>
              <w:t>UAE MoF auction release</w:t>
            </w:r>
          </w:p>
        </w:tc>
      </w:tr>
      <w:tr>
        <w:tc>
          <w:tcPr>
            <w:tcW w:type="dxa" w:w="3312"/>
          </w:tcPr>
          <w:p>
            <w:pPr>
              <w:spacing w:after="20"/>
            </w:pPr>
            <w:r>
              <w:rPr>
                <w:color w:val="1C3A36"/>
                <w:sz w:val="17"/>
              </w:rPr>
              <w:t>UAE ERP — rating basis</w:t>
            </w:r>
          </w:p>
        </w:tc>
        <w:tc>
          <w:tcPr>
            <w:tcW w:type="dxa" w:w="1800"/>
          </w:tcPr>
          <w:p>
            <w:pPr>
              <w:spacing w:after="20"/>
              <w:jc w:val="right"/>
            </w:pPr>
            <w:r>
              <w:rPr>
                <w:color w:val="1C3A36"/>
                <w:sz w:val="17"/>
              </w:rPr>
              <w:t>4.87%</w:t>
            </w:r>
          </w:p>
        </w:tc>
        <w:tc>
          <w:tcPr>
            <w:tcW w:type="dxa" w:w="1296"/>
          </w:tcPr>
          <w:p>
            <w:pPr>
              <w:spacing w:after="20"/>
              <w:jc w:val="right"/>
            </w:pPr>
            <w:r>
              <w:rPr>
                <w:color w:val="1C3A36"/>
                <w:sz w:val="17"/>
              </w:rPr>
              <w:t>5-Jan-26</w:t>
            </w:r>
          </w:p>
        </w:tc>
        <w:tc>
          <w:tcPr>
            <w:tcW w:type="dxa" w:w="3312"/>
          </w:tcPr>
          <w:p>
            <w:pPr>
              <w:spacing w:after="20"/>
              <w:jc w:val="right"/>
            </w:pPr>
            <w:r>
              <w:rPr>
                <w:color w:val="1C3A36"/>
                <w:sz w:val="17"/>
              </w:rPr>
              <w:t>Damodaran original country-risk file (Aa2)</w:t>
            </w:r>
          </w:p>
        </w:tc>
      </w:tr>
      <w:tr>
        <w:tc>
          <w:tcPr>
            <w:tcW w:type="dxa" w:w="3312"/>
          </w:tcPr>
          <w:p>
            <w:pPr>
              <w:spacing w:after="20"/>
            </w:pPr>
            <w:r>
              <w:rPr>
                <w:color w:val="1C3A36"/>
                <w:sz w:val="17"/>
              </w:rPr>
              <w:t>Abu Dhabi ERP — CDS basis</w:t>
            </w:r>
          </w:p>
        </w:tc>
        <w:tc>
          <w:tcPr>
            <w:tcW w:type="dxa" w:w="1800"/>
          </w:tcPr>
          <w:p>
            <w:pPr>
              <w:spacing w:after="20"/>
              <w:jc w:val="right"/>
            </w:pPr>
            <w:r>
              <w:rPr>
                <w:color w:val="1C3A36"/>
                <w:sz w:val="17"/>
              </w:rPr>
              <w:t>4.93%</w:t>
            </w:r>
          </w:p>
        </w:tc>
        <w:tc>
          <w:tcPr>
            <w:tcW w:type="dxa" w:w="1296"/>
          </w:tcPr>
          <w:p>
            <w:pPr>
              <w:spacing w:after="20"/>
              <w:jc w:val="right"/>
            </w:pPr>
            <w:r>
              <w:rPr>
                <w:color w:val="1C3A36"/>
                <w:sz w:val="17"/>
              </w:rPr>
              <w:t>5-Jan-26</w:t>
            </w:r>
          </w:p>
        </w:tc>
        <w:tc>
          <w:tcPr>
            <w:tcW w:type="dxa" w:w="3312"/>
          </w:tcPr>
          <w:p>
            <w:pPr>
              <w:spacing w:after="20"/>
              <w:jc w:val="right"/>
            </w:pPr>
            <w:r>
              <w:rPr>
                <w:color w:val="1C3A36"/>
                <w:sz w:val="17"/>
              </w:rPr>
              <w:t>same file; no UAE-federal CDS</w:t>
            </w:r>
          </w:p>
        </w:tc>
      </w:tr>
      <w:tr>
        <w:tc>
          <w:tcPr>
            <w:tcW w:type="dxa" w:w="3312"/>
          </w:tcPr>
          <w:p>
            <w:pPr>
              <w:spacing w:after="20"/>
            </w:pPr>
            <w:r>
              <w:rPr>
                <w:color w:val="1C3A36"/>
                <w:sz w:val="17"/>
              </w:rPr>
              <w:t>Mobily mark</w:t>
            </w:r>
          </w:p>
        </w:tc>
        <w:tc>
          <w:tcPr>
            <w:tcW w:type="dxa" w:w="1800"/>
          </w:tcPr>
          <w:p>
            <w:pPr>
              <w:spacing w:after="20"/>
              <w:jc w:val="right"/>
            </w:pPr>
            <w:r>
              <w:rPr>
                <w:color w:val="1C3A36"/>
                <w:sz w:val="17"/>
              </w:rPr>
              <w:t>SAR 59.70</w:t>
            </w:r>
          </w:p>
        </w:tc>
        <w:tc>
          <w:tcPr>
            <w:tcW w:type="dxa" w:w="1296"/>
          </w:tcPr>
          <w:p>
            <w:pPr>
              <w:spacing w:after="20"/>
              <w:jc w:val="right"/>
            </w:pPr>
            <w:r>
              <w:rPr>
                <w:color w:val="1C3A36"/>
                <w:sz w:val="17"/>
              </w:rPr>
              <w:t>6-Jul-26</w:t>
            </w:r>
          </w:p>
        </w:tc>
        <w:tc>
          <w:tcPr>
            <w:tcW w:type="dxa" w:w="3312"/>
          </w:tcPr>
          <w:p>
            <w:pPr>
              <w:spacing w:after="20"/>
              <w:jc w:val="right"/>
            </w:pPr>
            <w:r>
              <w:rPr>
                <w:color w:val="1C3A36"/>
                <w:sz w:val="17"/>
              </w:rPr>
              <w:t>Tadawul close (PitchBook)</w:t>
            </w:r>
          </w:p>
        </w:tc>
      </w:tr>
      <w:tr>
        <w:tc>
          <w:tcPr>
            <w:tcW w:type="dxa" w:w="3312"/>
          </w:tcPr>
          <w:p>
            <w:pPr>
              <w:spacing w:after="20"/>
            </w:pPr>
            <w:r>
              <w:rPr>
                <w:color w:val="1C3A36"/>
                <w:sz w:val="17"/>
              </w:rPr>
              <w:t>Maroc Telecom mark</w:t>
            </w:r>
          </w:p>
        </w:tc>
        <w:tc>
          <w:tcPr>
            <w:tcW w:type="dxa" w:w="1800"/>
          </w:tcPr>
          <w:p>
            <w:pPr>
              <w:spacing w:after="20"/>
              <w:jc w:val="right"/>
            </w:pPr>
            <w:r>
              <w:rPr>
                <w:color w:val="1C3A36"/>
                <w:sz w:val="17"/>
              </w:rPr>
              <w:t>MAD 91.90</w:t>
            </w:r>
          </w:p>
        </w:tc>
        <w:tc>
          <w:tcPr>
            <w:tcW w:type="dxa" w:w="1296"/>
          </w:tcPr>
          <w:p>
            <w:pPr>
              <w:spacing w:after="20"/>
              <w:jc w:val="right"/>
            </w:pPr>
            <w:r>
              <w:rPr>
                <w:color w:val="1C3A36"/>
                <w:sz w:val="17"/>
              </w:rPr>
              <w:t>1-Jul-26</w:t>
            </w:r>
          </w:p>
        </w:tc>
        <w:tc>
          <w:tcPr>
            <w:tcW w:type="dxa" w:w="3312"/>
          </w:tcPr>
          <w:p>
            <w:pPr>
              <w:spacing w:after="20"/>
              <w:jc w:val="right"/>
            </w:pPr>
            <w:r>
              <w:rPr>
                <w:color w:val="1C3A36"/>
                <w:sz w:val="17"/>
              </w:rPr>
              <w:t>BMCE Capital Bourse</w:t>
            </w:r>
          </w:p>
        </w:tc>
      </w:tr>
      <w:tr>
        <w:tc>
          <w:tcPr>
            <w:tcW w:type="dxa" w:w="3312"/>
          </w:tcPr>
          <w:p>
            <w:pPr>
              <w:spacing w:after="20"/>
            </w:pPr>
            <w:r>
              <w:rPr>
                <w:color w:val="1C3A36"/>
                <w:sz w:val="17"/>
              </w:rPr>
              <w:t>PTCL market cap</w:t>
            </w:r>
          </w:p>
        </w:tc>
        <w:tc>
          <w:tcPr>
            <w:tcW w:type="dxa" w:w="1800"/>
          </w:tcPr>
          <w:p>
            <w:pPr>
              <w:spacing w:after="20"/>
              <w:jc w:val="right"/>
            </w:pPr>
            <w:r>
              <w:rPr>
                <w:color w:val="1C3A36"/>
                <w:sz w:val="17"/>
              </w:rPr>
              <w:t>PKR 377bn</w:t>
            </w:r>
          </w:p>
        </w:tc>
        <w:tc>
          <w:tcPr>
            <w:tcW w:type="dxa" w:w="1296"/>
          </w:tcPr>
          <w:p>
            <w:pPr>
              <w:spacing w:after="20"/>
              <w:jc w:val="right"/>
            </w:pPr>
            <w:r>
              <w:rPr>
                <w:color w:val="1C3A36"/>
                <w:sz w:val="17"/>
              </w:rPr>
              <w:t>Jul-26</w:t>
            </w:r>
          </w:p>
        </w:tc>
        <w:tc>
          <w:tcPr>
            <w:tcW w:type="dxa" w:w="3312"/>
          </w:tcPr>
          <w:p>
            <w:pPr>
              <w:spacing w:after="20"/>
              <w:jc w:val="right"/>
            </w:pPr>
            <w:r>
              <w:rPr>
                <w:color w:val="1C3A36"/>
                <w:sz w:val="17"/>
              </w:rPr>
              <w:t>PSX (TradingView)</w:t>
            </w:r>
          </w:p>
        </w:tc>
      </w:tr>
      <w:tr>
        <w:tc>
          <w:tcPr>
            <w:tcW w:type="dxa" w:w="3312"/>
          </w:tcPr>
          <w:p>
            <w:pPr>
              <w:spacing w:after="20"/>
            </w:pPr>
            <w:r>
              <w:rPr>
                <w:color w:val="1C3A36"/>
                <w:sz w:val="17"/>
              </w:rPr>
              <w:t>Vodafone deal</w:t>
            </w:r>
          </w:p>
        </w:tc>
        <w:tc>
          <w:tcPr>
            <w:tcW w:type="dxa" w:w="1800"/>
          </w:tcPr>
          <w:p>
            <w:pPr>
              <w:spacing w:after="20"/>
              <w:jc w:val="right"/>
            </w:pPr>
            <w:r>
              <w:rPr>
                <w:color w:val="1C3A36"/>
                <w:sz w:val="17"/>
              </w:rPr>
              <w:t>112.5p / AED 21.8bn</w:t>
            </w:r>
          </w:p>
        </w:tc>
        <w:tc>
          <w:tcPr>
            <w:tcW w:type="dxa" w:w="1296"/>
          </w:tcPr>
          <w:p>
            <w:pPr>
              <w:spacing w:after="20"/>
              <w:jc w:val="right"/>
            </w:pPr>
            <w:r>
              <w:rPr>
                <w:color w:val="1C3A36"/>
                <w:sz w:val="17"/>
              </w:rPr>
              <w:t>10-Jul-26</w:t>
            </w:r>
          </w:p>
        </w:tc>
        <w:tc>
          <w:tcPr>
            <w:tcW w:type="dxa" w:w="3312"/>
          </w:tcPr>
          <w:p>
            <w:pPr>
              <w:spacing w:after="20"/>
              <w:jc w:val="right"/>
            </w:pPr>
            <w:r>
              <w:rPr>
                <w:color w:val="1C3A36"/>
                <w:sz w:val="17"/>
              </w:rPr>
              <w:t>e&amp; announcement (AGBI, Reuters)</w:t>
            </w:r>
          </w:p>
        </w:tc>
      </w:tr>
    </w:tbl>
    <w:p>
      <w:pPr>
        <w:spacing w:after="40"/>
      </w:pPr>
    </w:p>
    <w:p>
      <w:pPr>
        <w:spacing w:after="80" w:before="200"/>
      </w:pPr>
      <w:r>
        <w:rPr>
          <w:b/>
          <w:i w:val="0"/>
          <w:color w:val="1C3A36"/>
          <w:sz w:val="24"/>
        </w:rPr>
        <w:t>1.9  Sensitivity — the rate, the growth, the margin, the capex, and the beta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1656"/>
            <w:shd w:val="clear" w:color="auto" w:fill="EAF0EE"/>
          </w:tcPr>
          <w:p>
            <w:pPr>
              <w:spacing w:after="20"/>
            </w:pPr>
            <w:r>
              <w:rPr>
                <w:b/>
                <w:color w:val="1C3A36"/>
                <w:sz w:val="18"/>
              </w:rPr>
              <w:t>WACC \ g</w:t>
            </w:r>
          </w:p>
        </w:tc>
        <w:tc>
          <w:tcPr>
            <w:tcW w:type="dxa" w:w="1656"/>
            <w:shd w:val="clear" w:color="auto" w:fill="EAF0EE"/>
          </w:tcPr>
          <w:p>
            <w:pPr>
              <w:spacing w:after="20"/>
            </w:pPr>
            <w:r>
              <w:rPr>
                <w:b/>
                <w:color w:val="1C3A36"/>
                <w:sz w:val="18"/>
              </w:rPr>
              <w:t>1.50%</w:t>
            </w:r>
          </w:p>
        </w:tc>
        <w:tc>
          <w:tcPr>
            <w:tcW w:type="dxa" w:w="1656"/>
            <w:shd w:val="clear" w:color="auto" w:fill="EAF0EE"/>
          </w:tcPr>
          <w:p>
            <w:pPr>
              <w:spacing w:after="20"/>
            </w:pPr>
            <w:r>
              <w:rPr>
                <w:b/>
                <w:color w:val="1C3A36"/>
                <w:sz w:val="18"/>
              </w:rPr>
              <w:t>2.00%</w:t>
            </w:r>
          </w:p>
        </w:tc>
        <w:tc>
          <w:tcPr>
            <w:tcW w:type="dxa" w:w="1656"/>
            <w:shd w:val="clear" w:color="auto" w:fill="EAF0EE"/>
          </w:tcPr>
          <w:p>
            <w:pPr>
              <w:spacing w:after="20"/>
            </w:pPr>
            <w:r>
              <w:rPr>
                <w:b/>
                <w:color w:val="1C3A36"/>
                <w:sz w:val="18"/>
              </w:rPr>
              <w:t>2.50%</w:t>
            </w:r>
          </w:p>
        </w:tc>
        <w:tc>
          <w:tcPr>
            <w:tcW w:type="dxa" w:w="1656"/>
            <w:shd w:val="clear" w:color="auto" w:fill="EAF0EE"/>
          </w:tcPr>
          <w:p>
            <w:pPr>
              <w:spacing w:after="20"/>
            </w:pPr>
            <w:r>
              <w:rPr>
                <w:b/>
                <w:color w:val="1C3A36"/>
                <w:sz w:val="18"/>
              </w:rPr>
              <w:t>3.00%</w:t>
            </w:r>
          </w:p>
        </w:tc>
        <w:tc>
          <w:tcPr>
            <w:tcW w:type="dxa" w:w="1656"/>
            <w:shd w:val="clear" w:color="auto" w:fill="EAF0EE"/>
          </w:tcPr>
          <w:p>
            <w:pPr>
              <w:spacing w:after="20"/>
            </w:pPr>
            <w:r>
              <w:rPr>
                <w:b/>
                <w:color w:val="1C3A36"/>
                <w:sz w:val="18"/>
              </w:rPr>
              <w:t>3.50%</w:t>
            </w:r>
          </w:p>
        </w:tc>
      </w:tr>
      <w:tr>
        <w:tc>
          <w:tcPr>
            <w:tcW w:type="dxa" w:w="1656"/>
          </w:tcPr>
          <w:p>
            <w:pPr>
              <w:spacing w:after="20"/>
            </w:pPr>
            <w:r>
              <w:rPr>
                <w:color w:val="1C3A36"/>
                <w:sz w:val="18"/>
              </w:rPr>
              <w:t>6.62%</w:t>
            </w:r>
          </w:p>
        </w:tc>
        <w:tc>
          <w:tcPr>
            <w:tcW w:type="dxa" w:w="1656"/>
          </w:tcPr>
          <w:p>
            <w:pPr>
              <w:spacing w:after="20"/>
              <w:jc w:val="right"/>
            </w:pPr>
            <w:r>
              <w:rPr>
                <w:color w:val="1C3A36"/>
                <w:sz w:val="18"/>
              </w:rPr>
              <w:t>29.46</w:t>
            </w:r>
          </w:p>
        </w:tc>
        <w:tc>
          <w:tcPr>
            <w:tcW w:type="dxa" w:w="1656"/>
          </w:tcPr>
          <w:p>
            <w:pPr>
              <w:spacing w:after="20"/>
              <w:jc w:val="right"/>
            </w:pPr>
            <w:r>
              <w:rPr>
                <w:color w:val="1C3A36"/>
                <w:sz w:val="18"/>
              </w:rPr>
              <w:t>32.28</w:t>
            </w:r>
          </w:p>
        </w:tc>
        <w:tc>
          <w:tcPr>
            <w:tcW w:type="dxa" w:w="1656"/>
          </w:tcPr>
          <w:p>
            <w:pPr>
              <w:spacing w:after="20"/>
              <w:jc w:val="right"/>
            </w:pPr>
            <w:r>
              <w:rPr>
                <w:color w:val="1C3A36"/>
                <w:sz w:val="18"/>
              </w:rPr>
              <w:t>35.79</w:t>
            </w:r>
          </w:p>
        </w:tc>
        <w:tc>
          <w:tcPr>
            <w:tcW w:type="dxa" w:w="1656"/>
          </w:tcPr>
          <w:p>
            <w:pPr>
              <w:spacing w:after="20"/>
              <w:jc w:val="right"/>
            </w:pPr>
            <w:r>
              <w:rPr>
                <w:color w:val="1C3A36"/>
                <w:sz w:val="18"/>
              </w:rPr>
              <w:t>40.26</w:t>
            </w:r>
          </w:p>
        </w:tc>
        <w:tc>
          <w:tcPr>
            <w:tcW w:type="dxa" w:w="1656"/>
          </w:tcPr>
          <w:p>
            <w:pPr>
              <w:spacing w:after="20"/>
              <w:jc w:val="right"/>
            </w:pPr>
            <w:r>
              <w:rPr>
                <w:color w:val="1C3A36"/>
                <w:sz w:val="18"/>
              </w:rPr>
              <w:t>46.17</w:t>
            </w:r>
          </w:p>
        </w:tc>
      </w:tr>
      <w:tr>
        <w:tc>
          <w:tcPr>
            <w:tcW w:type="dxa" w:w="1656"/>
          </w:tcPr>
          <w:p>
            <w:pPr>
              <w:spacing w:after="20"/>
            </w:pPr>
            <w:r>
              <w:rPr>
                <w:color w:val="1C3A36"/>
                <w:sz w:val="18"/>
              </w:rPr>
              <w:t>7.12%</w:t>
            </w:r>
          </w:p>
        </w:tc>
        <w:tc>
          <w:tcPr>
            <w:tcW w:type="dxa" w:w="1656"/>
          </w:tcPr>
          <w:p>
            <w:pPr>
              <w:spacing w:after="20"/>
              <w:jc w:val="right"/>
            </w:pPr>
            <w:r>
              <w:rPr>
                <w:color w:val="1C3A36"/>
                <w:sz w:val="18"/>
              </w:rPr>
              <w:t>26.64</w:t>
            </w:r>
          </w:p>
        </w:tc>
        <w:tc>
          <w:tcPr>
            <w:tcW w:type="dxa" w:w="1656"/>
          </w:tcPr>
          <w:p>
            <w:pPr>
              <w:spacing w:after="20"/>
              <w:jc w:val="right"/>
            </w:pPr>
            <w:r>
              <w:rPr>
                <w:color w:val="1C3A36"/>
                <w:sz w:val="18"/>
              </w:rPr>
              <w:t>28.92</w:t>
            </w:r>
          </w:p>
        </w:tc>
        <w:tc>
          <w:tcPr>
            <w:tcW w:type="dxa" w:w="1656"/>
          </w:tcPr>
          <w:p>
            <w:pPr>
              <w:spacing w:after="20"/>
              <w:jc w:val="right"/>
            </w:pPr>
            <w:r>
              <w:rPr>
                <w:color w:val="1C3A36"/>
                <w:sz w:val="18"/>
              </w:rPr>
              <w:t>31.69</w:t>
            </w:r>
          </w:p>
        </w:tc>
        <w:tc>
          <w:tcPr>
            <w:tcW w:type="dxa" w:w="1656"/>
          </w:tcPr>
          <w:p>
            <w:pPr>
              <w:spacing w:after="20"/>
              <w:jc w:val="right"/>
            </w:pPr>
            <w:r>
              <w:rPr>
                <w:color w:val="1C3A36"/>
                <w:sz w:val="18"/>
              </w:rPr>
              <w:t>35.13</w:t>
            </w:r>
          </w:p>
        </w:tc>
        <w:tc>
          <w:tcPr>
            <w:tcW w:type="dxa" w:w="1656"/>
          </w:tcPr>
          <w:p>
            <w:pPr>
              <w:spacing w:after="20"/>
              <w:jc w:val="right"/>
            </w:pPr>
            <w:r>
              <w:rPr>
                <w:color w:val="1C3A36"/>
                <w:sz w:val="18"/>
              </w:rPr>
              <w:t>39.52</w:t>
            </w:r>
          </w:p>
        </w:tc>
      </w:tr>
      <w:tr>
        <w:tc>
          <w:tcPr>
            <w:tcW w:type="dxa" w:w="1656"/>
          </w:tcPr>
          <w:p>
            <w:pPr>
              <w:spacing w:after="20"/>
            </w:pPr>
            <w:r>
              <w:rPr>
                <w:color w:val="1C3A36"/>
                <w:sz w:val="18"/>
              </w:rPr>
              <w:t>7.62%</w:t>
            </w:r>
          </w:p>
        </w:tc>
        <w:tc>
          <w:tcPr>
            <w:tcW w:type="dxa" w:w="1656"/>
          </w:tcPr>
          <w:p>
            <w:pPr>
              <w:spacing w:after="20"/>
              <w:jc w:val="right"/>
            </w:pPr>
            <w:r>
              <w:rPr>
                <w:color w:val="1C3A36"/>
                <w:sz w:val="18"/>
              </w:rPr>
              <w:t>24.28</w:t>
            </w:r>
          </w:p>
        </w:tc>
        <w:tc>
          <w:tcPr>
            <w:tcW w:type="dxa" w:w="1656"/>
          </w:tcPr>
          <w:p>
            <w:pPr>
              <w:spacing w:after="20"/>
              <w:jc w:val="right"/>
            </w:pPr>
            <w:r>
              <w:rPr>
                <w:color w:val="1C3A36"/>
                <w:sz w:val="18"/>
              </w:rPr>
              <w:t>26.15</w:t>
            </w:r>
          </w:p>
        </w:tc>
        <w:tc>
          <w:tcPr>
            <w:tcW w:type="dxa" w:w="1656"/>
          </w:tcPr>
          <w:p>
            <w:pPr>
              <w:spacing w:after="20"/>
              <w:jc w:val="right"/>
            </w:pPr>
            <w:r>
              <w:rPr>
                <w:color w:val="1C3A36"/>
                <w:sz w:val="18"/>
              </w:rPr>
              <w:t>28.38</w:t>
            </w:r>
          </w:p>
        </w:tc>
        <w:tc>
          <w:tcPr>
            <w:tcW w:type="dxa" w:w="1656"/>
          </w:tcPr>
          <w:p>
            <w:pPr>
              <w:spacing w:after="20"/>
              <w:jc w:val="right"/>
            </w:pPr>
            <w:r>
              <w:rPr>
                <w:color w:val="1C3A36"/>
                <w:sz w:val="18"/>
              </w:rPr>
              <w:t>31.10</w:t>
            </w:r>
          </w:p>
        </w:tc>
        <w:tc>
          <w:tcPr>
            <w:tcW w:type="dxa" w:w="1656"/>
          </w:tcPr>
          <w:p>
            <w:pPr>
              <w:spacing w:after="20"/>
              <w:jc w:val="right"/>
            </w:pPr>
            <w:r>
              <w:rPr>
                <w:color w:val="1C3A36"/>
                <w:sz w:val="18"/>
              </w:rPr>
              <w:t>34.48</w:t>
            </w:r>
          </w:p>
        </w:tc>
      </w:tr>
      <w:tr>
        <w:tc>
          <w:tcPr>
            <w:tcW w:type="dxa" w:w="1656"/>
          </w:tcPr>
          <w:p>
            <w:pPr>
              <w:spacing w:after="20"/>
            </w:pPr>
            <w:r>
              <w:rPr>
                <w:color w:val="1C3A36"/>
                <w:sz w:val="18"/>
              </w:rPr>
              <w:t>8.12%</w:t>
            </w:r>
          </w:p>
        </w:tc>
        <w:tc>
          <w:tcPr>
            <w:tcW w:type="dxa" w:w="1656"/>
          </w:tcPr>
          <w:p>
            <w:pPr>
              <w:spacing w:after="20"/>
              <w:jc w:val="right"/>
            </w:pPr>
            <w:r>
              <w:rPr>
                <w:color w:val="1C3A36"/>
                <w:sz w:val="18"/>
              </w:rPr>
              <w:t>22.28</w:t>
            </w:r>
          </w:p>
        </w:tc>
        <w:tc>
          <w:tcPr>
            <w:tcW w:type="dxa" w:w="1656"/>
          </w:tcPr>
          <w:p>
            <w:pPr>
              <w:spacing w:after="20"/>
              <w:jc w:val="right"/>
            </w:pPr>
            <w:r>
              <w:rPr>
                <w:color w:val="1C3A36"/>
                <w:sz w:val="18"/>
              </w:rPr>
              <w:t>23.84</w:t>
            </w:r>
          </w:p>
        </w:tc>
        <w:tc>
          <w:tcPr>
            <w:tcW w:type="dxa" w:w="1656"/>
          </w:tcPr>
          <w:p>
            <w:pPr>
              <w:spacing w:after="20"/>
              <w:jc w:val="right"/>
            </w:pPr>
            <w:r>
              <w:rPr>
                <w:color w:val="1C3A36"/>
                <w:sz w:val="18"/>
              </w:rPr>
              <w:t>25.67</w:t>
            </w:r>
          </w:p>
        </w:tc>
        <w:tc>
          <w:tcPr>
            <w:tcW w:type="dxa" w:w="1656"/>
          </w:tcPr>
          <w:p>
            <w:pPr>
              <w:spacing w:after="20"/>
              <w:jc w:val="right"/>
            </w:pPr>
            <w:r>
              <w:rPr>
                <w:color w:val="1C3A36"/>
                <w:sz w:val="18"/>
              </w:rPr>
              <w:t>27.87</w:t>
            </w:r>
          </w:p>
        </w:tc>
        <w:tc>
          <w:tcPr>
            <w:tcW w:type="dxa" w:w="1656"/>
          </w:tcPr>
          <w:p>
            <w:pPr>
              <w:spacing w:after="20"/>
              <w:jc w:val="right"/>
            </w:pPr>
            <w:r>
              <w:rPr>
                <w:color w:val="1C3A36"/>
                <w:sz w:val="18"/>
              </w:rPr>
              <w:t>30.53</w:t>
            </w:r>
          </w:p>
        </w:tc>
      </w:tr>
      <w:tr>
        <w:tc>
          <w:tcPr>
            <w:tcW w:type="dxa" w:w="1656"/>
          </w:tcPr>
          <w:p>
            <w:pPr>
              <w:spacing w:after="20"/>
            </w:pPr>
            <w:r>
              <w:rPr>
                <w:color w:val="1C3A36"/>
                <w:sz w:val="18"/>
              </w:rPr>
              <w:t>8.62%</w:t>
            </w:r>
          </w:p>
        </w:tc>
        <w:tc>
          <w:tcPr>
            <w:tcW w:type="dxa" w:w="1656"/>
          </w:tcPr>
          <w:p>
            <w:pPr>
              <w:spacing w:after="20"/>
              <w:jc w:val="right"/>
            </w:pPr>
            <w:r>
              <w:rPr>
                <w:color w:val="1C3A36"/>
                <w:sz w:val="18"/>
              </w:rPr>
              <w:t>20.56</w:t>
            </w:r>
          </w:p>
        </w:tc>
        <w:tc>
          <w:tcPr>
            <w:tcW w:type="dxa" w:w="1656"/>
          </w:tcPr>
          <w:p>
            <w:pPr>
              <w:spacing w:after="20"/>
              <w:jc w:val="right"/>
            </w:pPr>
            <w:r>
              <w:rPr>
                <w:color w:val="1C3A36"/>
                <w:sz w:val="18"/>
              </w:rPr>
              <w:t>21.87</w:t>
            </w:r>
          </w:p>
        </w:tc>
        <w:tc>
          <w:tcPr>
            <w:tcW w:type="dxa" w:w="1656"/>
          </w:tcPr>
          <w:p>
            <w:pPr>
              <w:spacing w:after="20"/>
              <w:jc w:val="right"/>
            </w:pPr>
            <w:r>
              <w:rPr>
                <w:color w:val="1C3A36"/>
                <w:sz w:val="18"/>
              </w:rPr>
              <w:t>23.40</w:t>
            </w:r>
          </w:p>
        </w:tc>
        <w:tc>
          <w:tcPr>
            <w:tcW w:type="dxa" w:w="1656"/>
          </w:tcPr>
          <w:p>
            <w:pPr>
              <w:spacing w:after="20"/>
              <w:jc w:val="right"/>
            </w:pPr>
            <w:r>
              <w:rPr>
                <w:color w:val="1C3A36"/>
                <w:sz w:val="18"/>
              </w:rPr>
              <w:t>25.20</w:t>
            </w:r>
          </w:p>
        </w:tc>
        <w:tc>
          <w:tcPr>
            <w:tcW w:type="dxa" w:w="1656"/>
          </w:tcPr>
          <w:p>
            <w:pPr>
              <w:spacing w:after="20"/>
              <w:jc w:val="right"/>
            </w:pPr>
            <w:r>
              <w:rPr>
                <w:color w:val="1C3A36"/>
                <w:sz w:val="18"/>
              </w:rPr>
              <w:t>27.36</w:t>
            </w:r>
          </w:p>
        </w:tc>
      </w:tr>
    </w:tbl>
    <w:p>
      <w:pPr>
        <w:spacing w:after="40"/>
      </w:pPr>
    </w:p>
    <w:p>
      <w:pPr>
        <w:spacing w:after="40"/>
        <w:jc w:val="center"/>
      </w:pPr>
      <w:r>
        <w:drawing>
          <wp:inline xmlns:a="http://schemas.openxmlformats.org/drawingml/2006/main" xmlns:pic="http://schemas.openxmlformats.org/drawingml/2006/picture">
            <wp:extent cx="5394960" cy="2626494"/>
            <wp:docPr id="5" name="Picture 5"/>
            <wp:cNvGraphicFramePr>
              <a:graphicFrameLocks noChangeAspect="1"/>
            </wp:cNvGraphicFramePr>
            <a:graphic>
              <a:graphicData uri="http://schemas.openxmlformats.org/drawingml/2006/picture">
                <pic:pic>
                  <pic:nvPicPr>
                    <pic:cNvPr id="0" name="fig2_sens.png"/>
                    <pic:cNvPicPr/>
                  </pic:nvPicPr>
                  <pic:blipFill>
                    <a:blip r:embed="rId13"/>
                    <a:stretch>
                      <a:fillRect/>
                    </a:stretch>
                  </pic:blipFill>
                  <pic:spPr>
                    <a:xfrm>
                      <a:off x="0" y="0"/>
                      <a:ext cx="5394960" cy="2626494"/>
                    </a:xfrm>
                    <a:prstGeom prst="rect"/>
                  </pic:spPr>
                </pic:pic>
              </a:graphicData>
            </a:graphic>
          </wp:inline>
        </w:drawing>
      </w:r>
    </w:p>
    <w:p>
      <w:pPr>
        <w:spacing w:after="200" w:before="0"/>
      </w:pPr>
      <w:r>
        <w:rPr>
          <w:b w:val="0"/>
          <w:i/>
          <w:color w:val="6E7B77"/>
          <w:sz w:val="17"/>
        </w:rPr>
        <w:t>Figure 5 · DCF value across EBITDA margin × capex intensity; bold cells bracket spot.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296"/>
            <w:shd w:val="clear" w:color="auto" w:fill="EAF0EE"/>
          </w:tcPr>
          <w:p>
            <w:pPr>
              <w:spacing w:after="20"/>
            </w:pPr>
            <w:r>
              <w:rPr>
                <w:b/>
                <w:color w:val="1C3A36"/>
                <w:sz w:val="18"/>
              </w:rPr>
              <w:t>Beta</w:t>
            </w:r>
          </w:p>
        </w:tc>
        <w:tc>
          <w:tcPr>
            <w:tcW w:type="dxa" w:w="1728"/>
            <w:shd w:val="clear" w:color="auto" w:fill="EAF0EE"/>
          </w:tcPr>
          <w:p>
            <w:pPr>
              <w:spacing w:after="20"/>
            </w:pPr>
            <w:r>
              <w:rPr>
                <w:b/>
                <w:color w:val="1C3A36"/>
                <w:sz w:val="18"/>
              </w:rPr>
              <w:t>Ke</w:t>
            </w:r>
          </w:p>
        </w:tc>
        <w:tc>
          <w:tcPr>
            <w:tcW w:type="dxa" w:w="1728"/>
            <w:shd w:val="clear" w:color="auto" w:fill="EAF0EE"/>
          </w:tcPr>
          <w:p>
            <w:pPr>
              <w:spacing w:after="20"/>
            </w:pPr>
            <w:r>
              <w:rPr>
                <w:b/>
                <w:color w:val="1C3A36"/>
                <w:sz w:val="18"/>
              </w:rPr>
              <w:t>WACC</w:t>
            </w:r>
          </w:p>
        </w:tc>
        <w:tc>
          <w:tcPr>
            <w:tcW w:type="dxa" w:w="1944"/>
            <w:shd w:val="clear" w:color="auto" w:fill="EAF0EE"/>
          </w:tcPr>
          <w:p>
            <w:pPr>
              <w:spacing w:after="20"/>
            </w:pPr>
            <w:r>
              <w:rPr>
                <w:b/>
                <w:color w:val="1C3A36"/>
                <w:sz w:val="18"/>
              </w:rPr>
              <w:t>DCF (AED/sh)</w:t>
            </w:r>
          </w:p>
        </w:tc>
      </w:tr>
      <w:tr>
        <w:tc>
          <w:tcPr>
            <w:tcW w:type="dxa" w:w="1296"/>
          </w:tcPr>
          <w:p>
            <w:pPr>
              <w:spacing w:after="20"/>
            </w:pPr>
            <w:r>
              <w:rPr>
                <w:color w:val="1C3A36"/>
                <w:sz w:val="18"/>
              </w:rPr>
              <w:t>0.8</w:t>
            </w:r>
          </w:p>
        </w:tc>
        <w:tc>
          <w:tcPr>
            <w:tcW w:type="dxa" w:w="1728"/>
          </w:tcPr>
          <w:p>
            <w:pPr>
              <w:spacing w:after="20"/>
              <w:jc w:val="right"/>
            </w:pPr>
            <w:r>
              <w:rPr>
                <w:color w:val="1C3A36"/>
                <w:sz w:val="18"/>
              </w:rPr>
              <w:t>8.20%</w:t>
            </w:r>
          </w:p>
        </w:tc>
        <w:tc>
          <w:tcPr>
            <w:tcW w:type="dxa" w:w="1728"/>
          </w:tcPr>
          <w:p>
            <w:pPr>
              <w:spacing w:after="20"/>
              <w:jc w:val="right"/>
            </w:pPr>
            <w:r>
              <w:rPr>
                <w:color w:val="1C3A36"/>
                <w:sz w:val="18"/>
              </w:rPr>
              <w:t>6.92%</w:t>
            </w:r>
          </w:p>
        </w:tc>
        <w:tc>
          <w:tcPr>
            <w:tcW w:type="dxa" w:w="1944"/>
          </w:tcPr>
          <w:p>
            <w:pPr>
              <w:spacing w:after="20"/>
              <w:jc w:val="right"/>
            </w:pPr>
            <w:r>
              <w:rPr>
                <w:color w:val="1C3A36"/>
                <w:sz w:val="18"/>
              </w:rPr>
              <w:t>33.22</w:t>
            </w:r>
          </w:p>
        </w:tc>
      </w:tr>
      <w:tr>
        <w:tc>
          <w:tcPr>
            <w:tcW w:type="dxa" w:w="1296"/>
          </w:tcPr>
          <w:p>
            <w:pPr>
              <w:spacing w:after="20"/>
            </w:pPr>
            <w:r>
              <w:rPr>
                <w:color w:val="1C3A36"/>
                <w:sz w:val="18"/>
              </w:rPr>
              <w:t>0.9</w:t>
            </w:r>
          </w:p>
        </w:tc>
        <w:tc>
          <w:tcPr>
            <w:tcW w:type="dxa" w:w="1728"/>
          </w:tcPr>
          <w:p>
            <w:pPr>
              <w:spacing w:after="20"/>
              <w:jc w:val="right"/>
            </w:pPr>
            <w:r>
              <w:rPr>
                <w:color w:val="1C3A36"/>
                <w:sz w:val="18"/>
              </w:rPr>
              <w:t>8.68%</w:t>
            </w:r>
          </w:p>
        </w:tc>
        <w:tc>
          <w:tcPr>
            <w:tcW w:type="dxa" w:w="1728"/>
          </w:tcPr>
          <w:p>
            <w:pPr>
              <w:spacing w:after="20"/>
              <w:jc w:val="right"/>
            </w:pPr>
            <w:r>
              <w:rPr>
                <w:color w:val="1C3A36"/>
                <w:sz w:val="18"/>
              </w:rPr>
              <w:t>7.27%</w:t>
            </w:r>
          </w:p>
        </w:tc>
        <w:tc>
          <w:tcPr>
            <w:tcW w:type="dxa" w:w="1944"/>
          </w:tcPr>
          <w:p>
            <w:pPr>
              <w:spacing w:after="20"/>
              <w:jc w:val="right"/>
            </w:pPr>
            <w:r>
              <w:rPr>
                <w:color w:val="1C3A36"/>
                <w:sz w:val="18"/>
              </w:rPr>
              <w:t>30.63</w:t>
            </w:r>
          </w:p>
        </w:tc>
      </w:tr>
      <w:tr>
        <w:tc>
          <w:tcPr>
            <w:tcW w:type="dxa" w:w="1296"/>
            <w:shd w:val="clear" w:color="auto" w:fill="F6F1E6"/>
          </w:tcPr>
          <w:p>
            <w:pPr>
              <w:spacing w:after="20"/>
            </w:pPr>
            <w:r>
              <w:rPr>
                <w:b/>
                <w:color w:val="1C3A36"/>
                <w:sz w:val="18"/>
              </w:rPr>
              <w:t>1.0</w:t>
            </w:r>
          </w:p>
        </w:tc>
        <w:tc>
          <w:tcPr>
            <w:tcW w:type="dxa" w:w="1728"/>
            <w:shd w:val="clear" w:color="auto" w:fill="F6F1E6"/>
          </w:tcPr>
          <w:p>
            <w:pPr>
              <w:spacing w:after="20"/>
              <w:jc w:val="right"/>
            </w:pPr>
            <w:r>
              <w:rPr>
                <w:b/>
                <w:color w:val="1C3A36"/>
                <w:sz w:val="18"/>
              </w:rPr>
              <w:t>9.17%</w:t>
            </w:r>
          </w:p>
        </w:tc>
        <w:tc>
          <w:tcPr>
            <w:tcW w:type="dxa" w:w="1728"/>
            <w:shd w:val="clear" w:color="auto" w:fill="F6F1E6"/>
          </w:tcPr>
          <w:p>
            <w:pPr>
              <w:spacing w:after="20"/>
              <w:jc w:val="right"/>
            </w:pPr>
            <w:r>
              <w:rPr>
                <w:b/>
                <w:color w:val="1C3A36"/>
                <w:sz w:val="18"/>
              </w:rPr>
              <w:t>7.62%</w:t>
            </w:r>
          </w:p>
        </w:tc>
        <w:tc>
          <w:tcPr>
            <w:tcW w:type="dxa" w:w="1944"/>
            <w:shd w:val="clear" w:color="auto" w:fill="F6F1E6"/>
          </w:tcPr>
          <w:p>
            <w:pPr>
              <w:spacing w:after="20"/>
              <w:jc w:val="right"/>
            </w:pPr>
            <w:r>
              <w:rPr>
                <w:b/>
                <w:color w:val="1C3A36"/>
                <w:sz w:val="18"/>
              </w:rPr>
              <w:t>28.38</w:t>
            </w:r>
          </w:p>
        </w:tc>
      </w:tr>
      <w:tr>
        <w:tc>
          <w:tcPr>
            <w:tcW w:type="dxa" w:w="1296"/>
          </w:tcPr>
          <w:p>
            <w:pPr>
              <w:spacing w:after="20"/>
            </w:pPr>
            <w:r>
              <w:rPr>
                <w:color w:val="1C3A36"/>
                <w:sz w:val="18"/>
              </w:rPr>
              <w:t>1.1</w:t>
            </w:r>
          </w:p>
        </w:tc>
        <w:tc>
          <w:tcPr>
            <w:tcW w:type="dxa" w:w="1728"/>
          </w:tcPr>
          <w:p>
            <w:pPr>
              <w:spacing w:after="20"/>
              <w:jc w:val="right"/>
            </w:pPr>
            <w:r>
              <w:rPr>
                <w:color w:val="1C3A36"/>
                <w:sz w:val="18"/>
              </w:rPr>
              <w:t>9.66%</w:t>
            </w:r>
          </w:p>
        </w:tc>
        <w:tc>
          <w:tcPr>
            <w:tcW w:type="dxa" w:w="1728"/>
          </w:tcPr>
          <w:p>
            <w:pPr>
              <w:spacing w:after="20"/>
              <w:jc w:val="right"/>
            </w:pPr>
            <w:r>
              <w:rPr>
                <w:color w:val="1C3A36"/>
                <w:sz w:val="18"/>
              </w:rPr>
              <w:t>7.97%</w:t>
            </w:r>
          </w:p>
        </w:tc>
        <w:tc>
          <w:tcPr>
            <w:tcW w:type="dxa" w:w="1944"/>
          </w:tcPr>
          <w:p>
            <w:pPr>
              <w:spacing w:after="20"/>
              <w:jc w:val="right"/>
            </w:pPr>
            <w:r>
              <w:rPr>
                <w:color w:val="1C3A36"/>
                <w:sz w:val="18"/>
              </w:rPr>
              <w:t>26.43</w:t>
            </w:r>
          </w:p>
        </w:tc>
      </w:tr>
      <w:tr>
        <w:tc>
          <w:tcPr>
            <w:tcW w:type="dxa" w:w="1296"/>
          </w:tcPr>
          <w:p>
            <w:pPr>
              <w:spacing w:after="20"/>
            </w:pPr>
            <w:r>
              <w:rPr>
                <w:color w:val="1C3A36"/>
                <w:sz w:val="18"/>
              </w:rPr>
              <w:t>1.2</w:t>
            </w:r>
          </w:p>
        </w:tc>
        <w:tc>
          <w:tcPr>
            <w:tcW w:type="dxa" w:w="1728"/>
          </w:tcPr>
          <w:p>
            <w:pPr>
              <w:spacing w:after="20"/>
              <w:jc w:val="right"/>
            </w:pPr>
            <w:r>
              <w:rPr>
                <w:color w:val="1C3A36"/>
                <w:sz w:val="18"/>
              </w:rPr>
              <w:t>10.14%</w:t>
            </w:r>
          </w:p>
        </w:tc>
        <w:tc>
          <w:tcPr>
            <w:tcW w:type="dxa" w:w="1728"/>
          </w:tcPr>
          <w:p>
            <w:pPr>
              <w:spacing w:after="20"/>
              <w:jc w:val="right"/>
            </w:pPr>
            <w:r>
              <w:rPr>
                <w:color w:val="1C3A36"/>
                <w:sz w:val="18"/>
              </w:rPr>
              <w:t>8.32%</w:t>
            </w:r>
          </w:p>
        </w:tc>
        <w:tc>
          <w:tcPr>
            <w:tcW w:type="dxa" w:w="1944"/>
          </w:tcPr>
          <w:p>
            <w:pPr>
              <w:spacing w:after="20"/>
              <w:jc w:val="right"/>
            </w:pPr>
            <w:r>
              <w:rPr>
                <w:color w:val="1C3A36"/>
                <w:sz w:val="18"/>
              </w:rPr>
              <w:t>24.71</w:t>
            </w:r>
          </w:p>
        </w:tc>
      </w:tr>
      <w:tr>
        <w:tc>
          <w:tcPr>
            <w:tcW w:type="dxa" w:w="1296"/>
          </w:tcPr>
          <w:p>
            <w:pPr>
              <w:spacing w:after="20"/>
            </w:pPr>
            <w:r>
              <w:rPr>
                <w:color w:val="1C3A36"/>
                <w:sz w:val="18"/>
              </w:rPr>
              <w:t>1.3</w:t>
            </w:r>
          </w:p>
        </w:tc>
        <w:tc>
          <w:tcPr>
            <w:tcW w:type="dxa" w:w="1728"/>
          </w:tcPr>
          <w:p>
            <w:pPr>
              <w:spacing w:after="20"/>
              <w:jc w:val="right"/>
            </w:pPr>
            <w:r>
              <w:rPr>
                <w:color w:val="1C3A36"/>
                <w:sz w:val="18"/>
              </w:rPr>
              <w:t>10.63%</w:t>
            </w:r>
          </w:p>
        </w:tc>
        <w:tc>
          <w:tcPr>
            <w:tcW w:type="dxa" w:w="1728"/>
          </w:tcPr>
          <w:p>
            <w:pPr>
              <w:spacing w:after="20"/>
              <w:jc w:val="right"/>
            </w:pPr>
            <w:r>
              <w:rPr>
                <w:color w:val="1C3A36"/>
                <w:sz w:val="18"/>
              </w:rPr>
              <w:t>8.67%</w:t>
            </w:r>
          </w:p>
        </w:tc>
        <w:tc>
          <w:tcPr>
            <w:tcW w:type="dxa" w:w="1944"/>
          </w:tcPr>
          <w:p>
            <w:pPr>
              <w:spacing w:after="20"/>
              <w:jc w:val="right"/>
            </w:pPr>
            <w:r>
              <w:rPr>
                <w:color w:val="1C3A36"/>
                <w:sz w:val="18"/>
              </w:rPr>
              <w:t>23.19</w:t>
            </w:r>
          </w:p>
        </w:tc>
      </w:tr>
    </w:tbl>
    <w:p>
      <w:pPr>
        <w:spacing w:after="40"/>
      </w:pPr>
    </w:p>
    <w:p>
      <w:pPr>
        <w:spacing w:after="120" w:before="0"/>
      </w:pPr>
      <w:r>
        <w:rPr>
          <w:b w:val="0"/>
          <w:i w:val="0"/>
          <w:color w:val="1C3A36"/>
          <w:sz w:val="19"/>
        </w:rPr>
        <w:t>The beta row is the honesty tax for an assumed 1.0: even at 1.3 — a beta e&amp;’s realised volatility does not support — the DCF stays above spot; at 0.8 it runs past AED 33. The valuation’s rate sensitivity is real but it is the royalty and terminal-growth cells that move the verdict.</w:t>
      </w:r>
    </w:p>
    <w:p>
      <w:pPr>
        <w:spacing w:after="120" w:before="280"/>
      </w:pPr>
      <w:r>
        <w:rPr>
          <w:b/>
          <w:i w:val="0"/>
          <w:color w:val="1C3A36"/>
          <w:sz w:val="30"/>
        </w:rPr>
        <w:t>2  Technical and price structure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448"/>
            <w:shd w:val="clear" w:color="auto" w:fill="EAF0EE"/>
          </w:tcPr>
          <w:p>
            <w:pPr>
              <w:spacing w:after="20"/>
            </w:pPr>
            <w:r>
              <w:rPr>
                <w:b/>
                <w:color w:val="1C3A36"/>
                <w:sz w:val="18"/>
              </w:rPr>
              <w:t>Indicator</w:t>
            </w:r>
          </w:p>
        </w:tc>
        <w:tc>
          <w:tcPr>
            <w:tcW w:type="dxa" w:w="2736"/>
            <w:shd w:val="clear" w:color="auto" w:fill="EAF0EE"/>
          </w:tcPr>
          <w:p>
            <w:pPr>
              <w:spacing w:after="20"/>
            </w:pPr>
            <w:r>
              <w:rPr>
                <w:b/>
                <w:color w:val="1C3A36"/>
                <w:sz w:val="18"/>
              </w:rPr>
              <w:t>Value</w:t>
            </w:r>
          </w:p>
        </w:tc>
        <w:tc>
          <w:tcPr>
            <w:tcW w:type="dxa" w:w="4320"/>
            <w:shd w:val="clear" w:color="auto" w:fill="EAF0EE"/>
          </w:tcPr>
          <w:p>
            <w:pPr>
              <w:spacing w:after="20"/>
            </w:pPr>
            <w:r>
              <w:rPr>
                <w:b/>
                <w:color w:val="1C3A36"/>
                <w:sz w:val="18"/>
              </w:rPr>
              <w:t>Reading</w:t>
            </w:r>
          </w:p>
        </w:tc>
      </w:tr>
      <w:tr>
        <w:tc>
          <w:tcPr>
            <w:tcW w:type="dxa" w:w="2448"/>
          </w:tcPr>
          <w:p>
            <w:pPr>
              <w:spacing w:after="20"/>
            </w:pPr>
            <w:r>
              <w:rPr>
                <w:color w:val="1C3A36"/>
                <w:sz w:val="18"/>
              </w:rPr>
              <w:t>Price vs SMA 20 / 50</w:t>
            </w:r>
          </w:p>
        </w:tc>
        <w:tc>
          <w:tcPr>
            <w:tcW w:type="dxa" w:w="2736"/>
          </w:tcPr>
          <w:p>
            <w:pPr>
              <w:spacing w:after="20"/>
              <w:jc w:val="right"/>
            </w:pPr>
            <w:r>
              <w:rPr>
                <w:color w:val="1C3A36"/>
                <w:sz w:val="18"/>
              </w:rPr>
              <w:t>19.43 / 18.99</w:t>
            </w:r>
          </w:p>
        </w:tc>
        <w:tc>
          <w:tcPr>
            <w:tcW w:type="dxa" w:w="4320"/>
          </w:tcPr>
          <w:p>
            <w:pPr>
              <w:spacing w:after="20"/>
              <w:jc w:val="right"/>
            </w:pPr>
            <w:r>
              <w:rPr>
                <w:color w:val="1C3A36"/>
                <w:sz w:val="18"/>
              </w:rPr>
              <w:t>above both — the spring uptrend is intact</w:t>
            </w:r>
          </w:p>
        </w:tc>
      </w:tr>
      <w:tr>
        <w:tc>
          <w:tcPr>
            <w:tcW w:type="dxa" w:w="2448"/>
          </w:tcPr>
          <w:p>
            <w:pPr>
              <w:spacing w:after="20"/>
            </w:pPr>
            <w:r>
              <w:rPr>
                <w:color w:val="1C3A36"/>
                <w:sz w:val="18"/>
              </w:rPr>
              <w:t>Price vs SMA 100 / 200</w:t>
            </w:r>
          </w:p>
        </w:tc>
        <w:tc>
          <w:tcPr>
            <w:tcW w:type="dxa" w:w="2736"/>
          </w:tcPr>
          <w:p>
            <w:pPr>
              <w:spacing w:after="20"/>
              <w:jc w:val="right"/>
            </w:pPr>
            <w:r>
              <w:rPr>
                <w:color w:val="1C3A36"/>
                <w:sz w:val="18"/>
              </w:rPr>
              <w:t>19.33 / 19.09</w:t>
            </w:r>
          </w:p>
        </w:tc>
        <w:tc>
          <w:tcPr>
            <w:tcW w:type="dxa" w:w="4320"/>
          </w:tcPr>
          <w:p>
            <w:pPr>
              <w:spacing w:after="20"/>
              <w:jc w:val="right"/>
            </w:pPr>
            <w:r>
              <w:rPr>
                <w:color w:val="1C3A36"/>
                <w:sz w:val="18"/>
              </w:rPr>
              <w:t>above both — the stack is fully bullish-ordered</w:t>
            </w:r>
          </w:p>
        </w:tc>
      </w:tr>
      <w:tr>
        <w:tc>
          <w:tcPr>
            <w:tcW w:type="dxa" w:w="2448"/>
          </w:tcPr>
          <w:p>
            <w:pPr>
              <w:spacing w:after="20"/>
            </w:pPr>
            <w:r>
              <w:rPr>
                <w:color w:val="1C3A36"/>
                <w:sz w:val="18"/>
              </w:rPr>
              <w:t>RSI (14)</w:t>
            </w:r>
          </w:p>
        </w:tc>
        <w:tc>
          <w:tcPr>
            <w:tcW w:type="dxa" w:w="2736"/>
          </w:tcPr>
          <w:p>
            <w:pPr>
              <w:spacing w:after="20"/>
              <w:jc w:val="right"/>
            </w:pPr>
            <w:r>
              <w:rPr>
                <w:color w:val="1C3A36"/>
                <w:sz w:val="18"/>
              </w:rPr>
              <w:t>58</w:t>
            </w:r>
          </w:p>
        </w:tc>
        <w:tc>
          <w:tcPr>
            <w:tcW w:type="dxa" w:w="4320"/>
          </w:tcPr>
          <w:p>
            <w:pPr>
              <w:spacing w:after="20"/>
              <w:jc w:val="right"/>
            </w:pPr>
            <w:r>
              <w:rPr>
                <w:color w:val="1C3A36"/>
                <w:sz w:val="18"/>
              </w:rPr>
              <w:t>warm but not overbought</w:t>
            </w:r>
          </w:p>
        </w:tc>
      </w:tr>
      <w:tr>
        <w:tc>
          <w:tcPr>
            <w:tcW w:type="dxa" w:w="2448"/>
          </w:tcPr>
          <w:p>
            <w:pPr>
              <w:spacing w:after="20"/>
            </w:pPr>
            <w:r>
              <w:rPr>
                <w:color w:val="1C3A36"/>
                <w:sz w:val="18"/>
              </w:rPr>
              <w:t>MACD (12,26,9)</w:t>
            </w:r>
          </w:p>
        </w:tc>
        <w:tc>
          <w:tcPr>
            <w:tcW w:type="dxa" w:w="2736"/>
          </w:tcPr>
          <w:p>
            <w:pPr>
              <w:spacing w:after="20"/>
              <w:jc w:val="right"/>
            </w:pPr>
            <w:r>
              <w:rPr>
                <w:color w:val="1C3A36"/>
                <w:sz w:val="18"/>
              </w:rPr>
              <w:t>0.195 / 0.182 / +0.013</w:t>
            </w:r>
          </w:p>
        </w:tc>
        <w:tc>
          <w:tcPr>
            <w:tcW w:type="dxa" w:w="4320"/>
          </w:tcPr>
          <w:p>
            <w:pPr>
              <w:spacing w:after="20"/>
              <w:jc w:val="right"/>
            </w:pPr>
            <w:r>
              <w:rPr>
                <w:color w:val="1C3A36"/>
                <w:sz w:val="18"/>
              </w:rPr>
              <w:t>positive histogram — bullish momentum, flattening</w:t>
            </w:r>
          </w:p>
        </w:tc>
      </w:tr>
      <w:tr>
        <w:tc>
          <w:tcPr>
            <w:tcW w:type="dxa" w:w="2448"/>
          </w:tcPr>
          <w:p>
            <w:pPr>
              <w:spacing w:after="20"/>
            </w:pPr>
            <w:r>
              <w:rPr>
                <w:color w:val="1C3A36"/>
                <w:sz w:val="18"/>
              </w:rPr>
              <w:t>52-week range</w:t>
            </w:r>
          </w:p>
        </w:tc>
        <w:tc>
          <w:tcPr>
            <w:tcW w:type="dxa" w:w="2736"/>
          </w:tcPr>
          <w:p>
            <w:pPr>
              <w:spacing w:after="20"/>
              <w:jc w:val="right"/>
            </w:pPr>
            <w:r>
              <w:rPr>
                <w:color w:val="1C3A36"/>
                <w:sz w:val="18"/>
              </w:rPr>
              <w:t>17.40 – 21.60</w:t>
            </w:r>
          </w:p>
        </w:tc>
        <w:tc>
          <w:tcPr>
            <w:tcW w:type="dxa" w:w="4320"/>
          </w:tcPr>
          <w:p>
            <w:pPr>
              <w:spacing w:after="20"/>
              <w:jc w:val="right"/>
            </w:pPr>
            <w:r>
              <w:rPr>
                <w:color w:val="1C3A36"/>
                <w:sz w:val="18"/>
              </w:rPr>
              <w:t>spot sits 54% up the range</w:t>
            </w:r>
          </w:p>
        </w:tc>
      </w:tr>
      <w:tr>
        <w:tc>
          <w:tcPr>
            <w:tcW w:type="dxa" w:w="2448"/>
          </w:tcPr>
          <w:p>
            <w:pPr>
              <w:spacing w:after="20"/>
            </w:pPr>
            <w:r>
              <w:rPr>
                <w:color w:val="1C3A36"/>
                <w:sz w:val="18"/>
              </w:rPr>
              <w:t>Move 20d / 60d / 252d</w:t>
            </w:r>
          </w:p>
        </w:tc>
        <w:tc>
          <w:tcPr>
            <w:tcW w:type="dxa" w:w="2736"/>
          </w:tcPr>
          <w:p>
            <w:pPr>
              <w:spacing w:after="20"/>
              <w:jc w:val="right"/>
            </w:pPr>
            <w:r>
              <w:rPr>
                <w:color w:val="1C3A36"/>
                <w:sz w:val="18"/>
              </w:rPr>
              <w:t>+8.0% / -1.1% / +12.3%</w:t>
            </w:r>
          </w:p>
        </w:tc>
        <w:tc>
          <w:tcPr>
            <w:tcW w:type="dxa" w:w="4320"/>
          </w:tcPr>
          <w:p>
            <w:pPr>
              <w:spacing w:after="20"/>
              <w:jc w:val="right"/>
            </w:pPr>
            <w:r>
              <w:rPr>
                <w:color w:val="1C3A36"/>
                <w:sz w:val="18"/>
              </w:rPr>
              <w:t>steady grind higher over the year</w:t>
            </w:r>
          </w:p>
        </w:tc>
      </w:tr>
      <w:tr>
        <w:tc>
          <w:tcPr>
            <w:tcW w:type="dxa" w:w="2448"/>
          </w:tcPr>
          <w:p>
            <w:pPr>
              <w:spacing w:after="20"/>
            </w:pPr>
            <w:r>
              <w:rPr>
                <w:color w:val="1C3A36"/>
                <w:sz w:val="18"/>
              </w:rPr>
              <w:t>Realised vol (252d)</w:t>
            </w:r>
          </w:p>
        </w:tc>
        <w:tc>
          <w:tcPr>
            <w:tcW w:type="dxa" w:w="2736"/>
          </w:tcPr>
          <w:p>
            <w:pPr>
              <w:spacing w:after="20"/>
              <w:jc w:val="right"/>
            </w:pPr>
            <w:r>
              <w:rPr>
                <w:color w:val="1C3A36"/>
                <w:sz w:val="18"/>
              </w:rPr>
              <w:t>22.3%</w:t>
            </w:r>
          </w:p>
        </w:tc>
        <w:tc>
          <w:tcPr>
            <w:tcW w:type="dxa" w:w="4320"/>
          </w:tcPr>
          <w:p>
            <w:pPr>
              <w:spacing w:after="20"/>
              <w:jc w:val="right"/>
            </w:pPr>
            <w:r>
              <w:rPr>
                <w:color w:val="1C3A36"/>
                <w:sz w:val="18"/>
              </w:rPr>
              <w:t>low-vol regime versus the 2022–24 de-rating years</w:t>
            </w:r>
          </w:p>
        </w:tc>
      </w:tr>
    </w:tbl>
    <w:p>
      <w:pPr>
        <w:spacing w:after="40"/>
      </w:pPr>
    </w:p>
    <w:p>
      <w:pPr>
        <w:spacing w:after="40"/>
        <w:jc w:val="center"/>
      </w:pPr>
      <w:r>
        <w:drawing>
          <wp:inline xmlns:a="http://schemas.openxmlformats.org/drawingml/2006/main" xmlns:pic="http://schemas.openxmlformats.org/drawingml/2006/picture">
            <wp:extent cx="6217920" cy="2422566"/>
            <wp:docPr id="6" name="Picture 6"/>
            <wp:cNvGraphicFramePr>
              <a:graphicFrameLocks noChangeAspect="1"/>
            </wp:cNvGraphicFramePr>
            <a:graphic>
              <a:graphicData uri="http://schemas.openxmlformats.org/drawingml/2006/picture">
                <pic:pic>
                  <pic:nvPicPr>
                    <pic:cNvPr id="0" name="fig3_ma.png"/>
                    <pic:cNvPicPr/>
                  </pic:nvPicPr>
                  <pic:blipFill>
                    <a:blip r:embed="rId14"/>
                    <a:stretch>
                      <a:fillRect/>
                    </a:stretch>
                  </pic:blipFill>
                  <pic:spPr>
                    <a:xfrm>
                      <a:off x="0" y="0"/>
                      <a:ext cx="6217920" cy="2422566"/>
                    </a:xfrm>
                    <a:prstGeom prst="rect"/>
                  </pic:spPr>
                </pic:pic>
              </a:graphicData>
            </a:graphic>
          </wp:inline>
        </w:drawing>
      </w:r>
    </w:p>
    <w:p>
      <w:pPr>
        <w:spacing w:after="200" w:before="0"/>
      </w:pPr>
      <w:r>
        <w:rPr>
          <w:b w:val="0"/>
          <w:i/>
          <w:color w:val="6E7B77"/>
          <w:sz w:val="17"/>
        </w:rPr>
        <w:t>Figure 6 · Price against the moving-average stack, last 260 sessions. The 9-Jul close pre-dates the Vodafone announcement.</w:t>
      </w:r>
    </w:p>
    <w:p>
      <w:pPr>
        <w:spacing w:after="120" w:before="0"/>
      </w:pPr>
      <w:r>
        <w:rPr>
          <w:b w:val="0"/>
          <w:i w:val="0"/>
          <w:color w:val="1C3A36"/>
          <w:sz w:val="20"/>
        </w:rPr>
        <w:t>Structure: the moving-average stack is fully bullish-ordered (price above the 20/50/100/200-day averages), with the 52-week range at 17.40–21.60 — spot sits 54% up that range. The 20-day (AED 19.43) and 50-day (AED 18.99) averages are the near supports; the 52-week high at 21.60 is the overhead reference. The technical read is constructive but not extended into an event tape: the Vodafone announcement lands one session after the anchor close.</w:t>
      </w:r>
    </w:p>
    <w:p>
      <w:pPr>
        <w:spacing w:after="120" w:before="280"/>
      </w:pPr>
      <w:r>
        <w:rPr>
          <w:b/>
          <w:i w:val="0"/>
          <w:color w:val="1C3A36"/>
          <w:sz w:val="30"/>
        </w:rPr>
        <w:t>3  Monte Carlo — a probabilistic price map</w:t>
      </w:r>
    </w:p>
    <w:p>
      <w:pPr>
        <w:spacing w:after="60" w:before="0"/>
      </w:pPr>
      <w:r>
        <w:rPr>
          <w:b/>
          <w:i w:val="0"/>
          <w:color w:val="1C3A36"/>
          <w:sz w:val="21"/>
        </w:rPr>
        <w:t>The probability read, before anything else: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392"/>
            <w:shd w:val="clear" w:color="auto" w:fill="EAF0EE"/>
          </w:tcPr>
          <w:p>
            <w:pPr>
              <w:spacing w:after="20"/>
            </w:pPr>
            <w:r>
              <w:rPr>
                <w:b/>
                <w:color w:val="1C3A36"/>
                <w:sz w:val="19"/>
              </w:rPr>
              <w:t>Question</w:t>
            </w:r>
          </w:p>
        </w:tc>
        <w:tc>
          <w:tcPr>
            <w:tcW w:type="dxa" w:w="5112"/>
            <w:shd w:val="clear" w:color="auto" w:fill="EAF0EE"/>
          </w:tcPr>
          <w:p>
            <w:pPr>
              <w:spacing w:after="20"/>
            </w:pPr>
            <w:r>
              <w:rPr>
                <w:b/>
                <w:color w:val="1C3A36"/>
                <w:sz w:val="19"/>
              </w:rPr>
              <w:t>Answer</w:t>
            </w:r>
          </w:p>
        </w:tc>
      </w:tr>
      <w:tr>
        <w:tc>
          <w:tcPr>
            <w:tcW w:type="dxa" w:w="4392"/>
          </w:tcPr>
          <w:p>
            <w:pPr>
              <w:spacing w:after="20"/>
            </w:pPr>
            <w:r>
              <w:rPr>
                <w:color w:val="1C3A36"/>
                <w:sz w:val="19"/>
              </w:rPr>
              <w:t>P(price above spot at T+60)?</w:t>
            </w:r>
          </w:p>
        </w:tc>
        <w:tc>
          <w:tcPr>
            <w:tcW w:type="dxa" w:w="5112"/>
          </w:tcPr>
          <w:p>
            <w:pPr>
              <w:spacing w:after="20"/>
              <w:jc w:val="right"/>
            </w:pPr>
            <w:r>
              <w:rPr>
                <w:color w:val="1C3A36"/>
                <w:sz w:val="19"/>
              </w:rPr>
              <w:t>54.5%</w:t>
            </w:r>
          </w:p>
        </w:tc>
      </w:tr>
      <w:tr>
        <w:tc>
          <w:tcPr>
            <w:tcW w:type="dxa" w:w="4392"/>
          </w:tcPr>
          <w:p>
            <w:pPr>
              <w:spacing w:after="20"/>
            </w:pPr>
            <w:r>
              <w:rPr>
                <w:color w:val="1C3A36"/>
                <w:sz w:val="19"/>
              </w:rPr>
              <w:t>P(≥ +10%) vs P(≤ −10%) — the odds</w:t>
            </w:r>
          </w:p>
        </w:tc>
        <w:tc>
          <w:tcPr>
            <w:tcW w:type="dxa" w:w="5112"/>
          </w:tcPr>
          <w:p>
            <w:pPr>
              <w:spacing w:after="20"/>
              <w:jc w:val="right"/>
            </w:pPr>
            <w:r>
              <w:rPr>
                <w:color w:val="1C3A36"/>
                <w:sz w:val="19"/>
              </w:rPr>
              <w:t>17.8% vs 11.6% → odds 1.53</w:t>
            </w:r>
          </w:p>
        </w:tc>
      </w:tr>
      <w:tr>
        <w:tc>
          <w:tcPr>
            <w:tcW w:type="dxa" w:w="4392"/>
          </w:tcPr>
          <w:p>
            <w:pPr>
              <w:spacing w:after="20"/>
            </w:pPr>
            <w:r>
              <w:rPr>
                <w:color w:val="1C3A36"/>
                <w:sz w:val="19"/>
              </w:rPr>
              <w:t>Median path</w:t>
            </w:r>
          </w:p>
        </w:tc>
        <w:tc>
          <w:tcPr>
            <w:tcW w:type="dxa" w:w="5112"/>
          </w:tcPr>
          <w:p>
            <w:pPr>
              <w:spacing w:after="20"/>
              <w:jc w:val="right"/>
            </w:pPr>
            <w:r>
              <w:rPr>
                <w:color w:val="1C3A36"/>
                <w:sz w:val="19"/>
              </w:rPr>
              <w:t>AED 19.86 (+1.0%)</w:t>
            </w:r>
          </w:p>
        </w:tc>
      </w:tr>
      <w:tr>
        <w:tc>
          <w:tcPr>
            <w:tcW w:type="dxa" w:w="4392"/>
          </w:tcPr>
          <w:p>
            <w:pPr>
              <w:spacing w:after="20"/>
            </w:pPr>
            <w:r>
              <w:rPr>
                <w:color w:val="1C3A36"/>
                <w:sz w:val="19"/>
              </w:rPr>
              <w:t>The 50% band (25th–75th)</w:t>
            </w:r>
          </w:p>
        </w:tc>
        <w:tc>
          <w:tcPr>
            <w:tcW w:type="dxa" w:w="5112"/>
          </w:tcPr>
          <w:p>
            <w:pPr>
              <w:spacing w:after="20"/>
              <w:jc w:val="right"/>
            </w:pPr>
            <w:r>
              <w:rPr>
                <w:color w:val="1C3A36"/>
                <w:sz w:val="19"/>
              </w:rPr>
              <w:t>18.68 – 21.09  (-5.0% / +7.3%)</w:t>
            </w:r>
          </w:p>
        </w:tc>
      </w:tr>
      <w:tr>
        <w:tc>
          <w:tcPr>
            <w:tcW w:type="dxa" w:w="4392"/>
          </w:tcPr>
          <w:p>
            <w:pPr>
              <w:spacing w:after="20"/>
            </w:pPr>
            <w:r>
              <w:rPr>
                <w:color w:val="1C3A36"/>
                <w:sz w:val="19"/>
              </w:rPr>
              <w:t>Touch ±10% anytime within T+60</w:t>
            </w:r>
          </w:p>
        </w:tc>
        <w:tc>
          <w:tcPr>
            <w:tcW w:type="dxa" w:w="5112"/>
          </w:tcPr>
          <w:p>
            <w:pPr>
              <w:spacing w:after="20"/>
              <w:jc w:val="right"/>
            </w:pPr>
            <w:r>
              <w:rPr>
                <w:color w:val="1C3A36"/>
                <w:sz w:val="19"/>
              </w:rPr>
              <w:t>up 31% / down 22%</w:t>
            </w:r>
          </w:p>
        </w:tc>
      </w:tr>
    </w:tbl>
    <w:p>
      <w:pPr>
        <w:spacing w:after="40"/>
      </w:pPr>
    </w:p>
    <w:p>
      <w:pPr>
        <w:spacing w:after="120" w:before="0"/>
      </w:pPr>
      <w:r>
        <w:rPr>
          <w:b w:val="0"/>
          <w:i/>
          <w:color w:val="1C3A36"/>
          <w:sz w:val="19"/>
        </w:rPr>
        <w:t>Where the centre comes from, in one line: expected total return ≈ the 3.65% CBUAE Base Rate, and about 4.8 points of it is delivered as the dividend — so the price-only centre sits essentially flat (-0.27% per quarter) before the event ledger adds +1.00%.</w:t>
      </w:r>
    </w:p>
    <w:p>
      <w:pPr>
        <w:spacing w:after="120" w:before="0"/>
      </w:pPr>
      <w:r>
        <w:rPr>
          <w:b w:val="0"/>
          <w:i w:val="0"/>
          <w:color w:val="1C3A36"/>
          <w:sz w:val="19"/>
        </w:rPr>
        <w:t>Engine. Carry-anchored YZ-HAR with a Student-t(4) shape and a 1.07 width calibration — the production fit for the UAE market, estimated 10-Jul-2026 on a 10-name ADX/DFM panel (ADCB, FAB, ENBD, Emaar, Emaar Development, Aldar, ADNOC Gas, Agthia, IHC, Alpha Dhabi) and applied to e&amp; as a name joining an already-fitted market, per the standing per-market-fit rule — rather than a fresh single-name self-fit. A diagnostic replay of e&amp;’s own five-year tape under these parameters lands at CRPS skill −2.0%, closely tracking the panel-level −2.1%: this name behaves like the market it belongs to. 50,000 paths, 60 sessions, seed 42. The gap-aware Yang-Zhang variance proxy feeds a HAR forecast (daily/weekly/monthly lags); the drift is the sourced AED carry (CBUAE Base Rate less the forward dividend yield), never a view. Independence note: the fundamental value gap of §1 does not enter the Monte Carlo drift — if it did, the cone would just restate the DCF. Verdict: PARITY at both the panel and the name level, robust across bootstrap specifications — the engine is market-validated with no single-name edge claimed; the full backtest is published, pass or fail, on the public Calibration Ledger rather than in this document.</w:t>
      </w:r>
    </w:p>
    <w:p>
      <w:pPr>
        <w:spacing w:after="60" w:before="80"/>
      </w:pPr>
      <w:r>
        <w:rPr>
          <w:b/>
          <w:i w:val="0"/>
          <w:color w:val="1C3A36"/>
          <w:sz w:val="21"/>
        </w:rPr>
        <w:t>The seven continuous forces (tilt, not certainty):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576"/>
            <w:shd w:val="clear" w:color="auto" w:fill="EAF0EE"/>
          </w:tcPr>
          <w:p>
            <w:pPr>
              <w:spacing w:after="20"/>
            </w:pPr>
            <w:r>
              <w:rPr>
                <w:b/>
                <w:color w:val="1C3A36"/>
                <w:sz w:val="18"/>
              </w:rPr>
              <w:t>#</w:t>
            </w:r>
          </w:p>
        </w:tc>
        <w:tc>
          <w:tcPr>
            <w:tcW w:type="dxa" w:w="7632"/>
            <w:shd w:val="clear" w:color="auto" w:fill="EAF0EE"/>
          </w:tcPr>
          <w:p>
            <w:pPr>
              <w:spacing w:after="20"/>
            </w:pPr>
            <w:r>
              <w:rPr>
                <w:b/>
                <w:color w:val="1C3A36"/>
                <w:sz w:val="18"/>
              </w:rPr>
              <w:t>Force</w:t>
            </w:r>
          </w:p>
        </w:tc>
        <w:tc>
          <w:tcPr>
            <w:tcW w:type="dxa" w:w="1296"/>
            <w:shd w:val="clear" w:color="auto" w:fill="EAF0EE"/>
          </w:tcPr>
          <w:p>
            <w:pPr>
              <w:spacing w:after="20"/>
            </w:pPr>
            <w:r>
              <w:rPr>
                <w:b/>
                <w:color w:val="1C3A36"/>
                <w:sz w:val="18"/>
              </w:rPr>
              <w:t>Sign</w:t>
            </w:r>
          </w:p>
        </w:tc>
      </w:tr>
      <w:tr>
        <w:tc>
          <w:tcPr>
            <w:tcW w:type="dxa" w:w="576"/>
          </w:tcPr>
          <w:p>
            <w:pPr>
              <w:spacing w:after="20"/>
            </w:pPr>
            <w:r>
              <w:rPr>
                <w:color w:val="1C3A36"/>
                <w:sz w:val="18"/>
              </w:rPr>
              <w:t>1</w:t>
            </w:r>
          </w:p>
        </w:tc>
        <w:tc>
          <w:tcPr>
            <w:tcW w:type="dxa" w:w="7632"/>
          </w:tcPr>
          <w:p>
            <w:pPr>
              <w:spacing w:after="20"/>
              <w:jc w:val="right"/>
            </w:pPr>
            <w:r>
              <w:rPr>
                <w:color w:val="1C3A36"/>
                <w:sz w:val="18"/>
              </w:rPr>
              <w:t>Fed/CBUAE rate path (easing bias into 2027)</w:t>
            </w:r>
          </w:p>
        </w:tc>
        <w:tc>
          <w:tcPr>
            <w:tcW w:type="dxa" w:w="1296"/>
          </w:tcPr>
          <w:p>
            <w:pPr>
              <w:spacing w:after="20"/>
              <w:jc w:val="right"/>
            </w:pPr>
            <w:r>
              <w:rPr>
                <w:color w:val="1C3A36"/>
                <w:sz w:val="18"/>
              </w:rPr>
              <w:t>+</w:t>
            </w:r>
          </w:p>
        </w:tc>
      </w:tr>
      <w:tr>
        <w:tc>
          <w:tcPr>
            <w:tcW w:type="dxa" w:w="576"/>
          </w:tcPr>
          <w:p>
            <w:pPr>
              <w:spacing w:after="20"/>
            </w:pPr>
            <w:r>
              <w:rPr>
                <w:color w:val="1C3A36"/>
                <w:sz w:val="18"/>
              </w:rPr>
              <w:t>2</w:t>
            </w:r>
          </w:p>
        </w:tc>
        <w:tc>
          <w:tcPr>
            <w:tcW w:type="dxa" w:w="7632"/>
          </w:tcPr>
          <w:p>
            <w:pPr>
              <w:spacing w:after="20"/>
              <w:jc w:val="right"/>
            </w:pPr>
            <w:r>
              <w:rPr>
                <w:color w:val="1C3A36"/>
                <w:sz w:val="18"/>
              </w:rPr>
              <w:t>UAE non-oil GDP, population &amp; tourism growth</w:t>
            </w:r>
          </w:p>
        </w:tc>
        <w:tc>
          <w:tcPr>
            <w:tcW w:type="dxa" w:w="1296"/>
          </w:tcPr>
          <w:p>
            <w:pPr>
              <w:spacing w:after="20"/>
              <w:jc w:val="right"/>
            </w:pPr>
            <w:r>
              <w:rPr>
                <w:color w:val="1C3A36"/>
                <w:sz w:val="18"/>
              </w:rPr>
              <w:t>+</w:t>
            </w:r>
          </w:p>
        </w:tc>
      </w:tr>
      <w:tr>
        <w:tc>
          <w:tcPr>
            <w:tcW w:type="dxa" w:w="576"/>
          </w:tcPr>
          <w:p>
            <w:pPr>
              <w:spacing w:after="20"/>
            </w:pPr>
            <w:r>
              <w:rPr>
                <w:color w:val="1C3A36"/>
                <w:sz w:val="18"/>
              </w:rPr>
              <w:t>3</w:t>
            </w:r>
          </w:p>
        </w:tc>
        <w:tc>
          <w:tcPr>
            <w:tcW w:type="dxa" w:w="7632"/>
          </w:tcPr>
          <w:p>
            <w:pPr>
              <w:spacing w:after="20"/>
              <w:jc w:val="right"/>
            </w:pPr>
            <w:r>
              <w:rPr>
                <w:color w:val="1C3A36"/>
                <w:sz w:val="18"/>
              </w:rPr>
              <w:t>UAE mobile competition (du share gains, ARPU drift)</w:t>
            </w:r>
          </w:p>
        </w:tc>
        <w:tc>
          <w:tcPr>
            <w:tcW w:type="dxa" w:w="1296"/>
          </w:tcPr>
          <w:p>
            <w:pPr>
              <w:spacing w:after="20"/>
              <w:jc w:val="right"/>
            </w:pPr>
            <w:r>
              <w:rPr>
                <w:color w:val="1C3A36"/>
                <w:sz w:val="18"/>
              </w:rPr>
              <w:t>−</w:t>
            </w:r>
          </w:p>
        </w:tc>
      </w:tr>
      <w:tr>
        <w:tc>
          <w:tcPr>
            <w:tcW w:type="dxa" w:w="576"/>
          </w:tcPr>
          <w:p>
            <w:pPr>
              <w:spacing w:after="20"/>
            </w:pPr>
            <w:r>
              <w:rPr>
                <w:color w:val="1C3A36"/>
                <w:sz w:val="18"/>
              </w:rPr>
              <w:t>4</w:t>
            </w:r>
          </w:p>
        </w:tc>
        <w:tc>
          <w:tcPr>
            <w:tcW w:type="dxa" w:w="7632"/>
          </w:tcPr>
          <w:p>
            <w:pPr>
              <w:spacing w:after="20"/>
              <w:jc w:val="right"/>
            </w:pPr>
            <w:r>
              <w:rPr>
                <w:color w:val="1C3A36"/>
                <w:sz w:val="18"/>
              </w:rPr>
              <w:t>EUR/PKR/MAD translation on international revenue</w:t>
            </w:r>
          </w:p>
        </w:tc>
        <w:tc>
          <w:tcPr>
            <w:tcW w:type="dxa" w:w="1296"/>
          </w:tcPr>
          <w:p>
            <w:pPr>
              <w:spacing w:after="20"/>
              <w:jc w:val="right"/>
            </w:pPr>
            <w:r>
              <w:rPr>
                <w:color w:val="1C3A36"/>
                <w:sz w:val="18"/>
              </w:rPr>
              <w:t>±</w:t>
            </w:r>
          </w:p>
        </w:tc>
      </w:tr>
      <w:tr>
        <w:tc>
          <w:tcPr>
            <w:tcW w:type="dxa" w:w="576"/>
          </w:tcPr>
          <w:p>
            <w:pPr>
              <w:spacing w:after="20"/>
            </w:pPr>
            <w:r>
              <w:rPr>
                <w:color w:val="1C3A36"/>
                <w:sz w:val="18"/>
              </w:rPr>
              <w:t>5</w:t>
            </w:r>
          </w:p>
        </w:tc>
        <w:tc>
          <w:tcPr>
            <w:tcW w:type="dxa" w:w="7632"/>
          </w:tcPr>
          <w:p>
            <w:pPr>
              <w:spacing w:after="20"/>
              <w:jc w:val="right"/>
            </w:pPr>
            <w:r>
              <w:rPr>
                <w:color w:val="1C3A36"/>
                <w:sz w:val="18"/>
              </w:rPr>
              <w:t>International opco margin trajectory (PPF, Egypt, PTCL)</w:t>
            </w:r>
          </w:p>
        </w:tc>
        <w:tc>
          <w:tcPr>
            <w:tcW w:type="dxa" w:w="1296"/>
          </w:tcPr>
          <w:p>
            <w:pPr>
              <w:spacing w:after="20"/>
              <w:jc w:val="right"/>
            </w:pPr>
            <w:r>
              <w:rPr>
                <w:color w:val="1C3A36"/>
                <w:sz w:val="18"/>
              </w:rPr>
              <w:t>+</w:t>
            </w:r>
          </w:p>
        </w:tc>
      </w:tr>
      <w:tr>
        <w:tc>
          <w:tcPr>
            <w:tcW w:type="dxa" w:w="576"/>
          </w:tcPr>
          <w:p>
            <w:pPr>
              <w:spacing w:after="20"/>
            </w:pPr>
            <w:r>
              <w:rPr>
                <w:color w:val="1C3A36"/>
                <w:sz w:val="18"/>
              </w:rPr>
              <w:t>6</w:t>
            </w:r>
          </w:p>
        </w:tc>
        <w:tc>
          <w:tcPr>
            <w:tcW w:type="dxa" w:w="7632"/>
          </w:tcPr>
          <w:p>
            <w:pPr>
              <w:spacing w:after="20"/>
              <w:jc w:val="right"/>
            </w:pPr>
            <w:r>
              <w:rPr>
                <w:color w:val="1C3A36"/>
                <w:sz w:val="18"/>
              </w:rPr>
              <w:t>Enterprise/AI &amp; e&amp; life normalisation post-Careem</w:t>
            </w:r>
          </w:p>
        </w:tc>
        <w:tc>
          <w:tcPr>
            <w:tcW w:type="dxa" w:w="1296"/>
          </w:tcPr>
          <w:p>
            <w:pPr>
              <w:spacing w:after="20"/>
              <w:jc w:val="right"/>
            </w:pPr>
            <w:r>
              <w:rPr>
                <w:color w:val="1C3A36"/>
                <w:sz w:val="18"/>
              </w:rPr>
              <w:t>±</w:t>
            </w:r>
          </w:p>
        </w:tc>
      </w:tr>
      <w:tr>
        <w:tc>
          <w:tcPr>
            <w:tcW w:type="dxa" w:w="576"/>
          </w:tcPr>
          <w:p>
            <w:pPr>
              <w:spacing w:after="20"/>
            </w:pPr>
            <w:r>
              <w:rPr>
                <w:color w:val="1C3A36"/>
                <w:sz w:val="18"/>
              </w:rPr>
              <w:t>7</w:t>
            </w:r>
          </w:p>
        </w:tc>
        <w:tc>
          <w:tcPr>
            <w:tcW w:type="dxa" w:w="7632"/>
          </w:tcPr>
          <w:p>
            <w:pPr>
              <w:spacing w:after="20"/>
              <w:jc w:val="right"/>
            </w:pPr>
            <w:r>
              <w:rPr>
                <w:color w:val="1C3A36"/>
                <w:sz w:val="18"/>
              </w:rPr>
              <w:t>Index flows / 40% free float (EIA 60% anchor)</w:t>
            </w:r>
          </w:p>
        </w:tc>
        <w:tc>
          <w:tcPr>
            <w:tcW w:type="dxa" w:w="1296"/>
          </w:tcPr>
          <w:p>
            <w:pPr>
              <w:spacing w:after="20"/>
              <w:jc w:val="right"/>
            </w:pPr>
            <w:r>
              <w:rPr>
                <w:color w:val="1C3A36"/>
                <w:sz w:val="18"/>
              </w:rPr>
              <w:t>±</w:t>
            </w:r>
          </w:p>
        </w:tc>
      </w:tr>
    </w:tbl>
    <w:p>
      <w:pPr>
        <w:spacing w:after="40"/>
      </w:pPr>
    </w:p>
    <w:p>
      <w:pPr>
        <w:spacing w:after="60" w:before="80"/>
      </w:pPr>
      <w:r>
        <w:rPr>
          <w:b/>
          <w:i w:val="0"/>
          <w:color w:val="1C3A36"/>
          <w:sz w:val="21"/>
        </w:rPr>
        <w:t>The nine discrete events (probability-weighted jumps):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576"/>
            <w:shd w:val="clear" w:color="auto" w:fill="EAF0EE"/>
          </w:tcPr>
          <w:p>
            <w:pPr>
              <w:spacing w:after="20"/>
            </w:pPr>
            <w:r>
              <w:rPr>
                <w:b/>
                <w:color w:val="1C3A36"/>
                <w:sz w:val="18"/>
              </w:rPr>
              <w:t>#</w:t>
            </w:r>
          </w:p>
        </w:tc>
        <w:tc>
          <w:tcPr>
            <w:tcW w:type="dxa" w:w="6192"/>
            <w:shd w:val="clear" w:color="auto" w:fill="EAF0EE"/>
          </w:tcPr>
          <w:p>
            <w:pPr>
              <w:spacing w:after="20"/>
            </w:pPr>
            <w:r>
              <w:rPr>
                <w:b/>
                <w:color w:val="1C3A36"/>
                <w:sz w:val="18"/>
              </w:rPr>
              <w:t>Event</w:t>
            </w:r>
          </w:p>
        </w:tc>
        <w:tc>
          <w:tcPr>
            <w:tcW w:type="dxa" w:w="1080"/>
            <w:shd w:val="clear" w:color="auto" w:fill="EAF0EE"/>
          </w:tcPr>
          <w:p>
            <w:pPr>
              <w:spacing w:after="20"/>
            </w:pPr>
            <w:r>
              <w:rPr>
                <w:b/>
                <w:color w:val="1C3A36"/>
                <w:sz w:val="18"/>
              </w:rPr>
              <w:t>P</w:t>
            </w:r>
          </w:p>
        </w:tc>
        <w:tc>
          <w:tcPr>
            <w:tcW w:type="dxa" w:w="1368"/>
            <w:shd w:val="clear" w:color="auto" w:fill="EAF0EE"/>
          </w:tcPr>
          <w:p>
            <w:pPr>
              <w:spacing w:after="20"/>
            </w:pPr>
            <w:r>
              <w:rPr>
                <w:b/>
                <w:color w:val="1C3A36"/>
                <w:sz w:val="18"/>
              </w:rPr>
              <w:t>Impact</w:t>
            </w:r>
          </w:p>
        </w:tc>
      </w:tr>
      <w:tr>
        <w:tc>
          <w:tcPr>
            <w:tcW w:type="dxa" w:w="576"/>
          </w:tcPr>
          <w:p>
            <w:pPr>
              <w:spacing w:after="20"/>
            </w:pPr>
            <w:r>
              <w:rPr>
                <w:color w:val="1C3A36"/>
                <w:sz w:val="18"/>
              </w:rPr>
              <w:t>1</w:t>
            </w:r>
          </w:p>
        </w:tc>
        <w:tc>
          <w:tcPr>
            <w:tcW w:type="dxa" w:w="6192"/>
          </w:tcPr>
          <w:p>
            <w:pPr>
              <w:spacing w:after="20"/>
              <w:jc w:val="right"/>
            </w:pPr>
            <w:r>
              <w:rPr>
                <w:color w:val="1C3A36"/>
                <w:sz w:val="18"/>
              </w:rPr>
              <w:t>Vodafone sale completes (regulatory clearances)</w:t>
            </w:r>
          </w:p>
        </w:tc>
        <w:tc>
          <w:tcPr>
            <w:tcW w:type="dxa" w:w="1080"/>
          </w:tcPr>
          <w:p>
            <w:pPr>
              <w:spacing w:after="20"/>
              <w:jc w:val="right"/>
            </w:pPr>
            <w:r>
              <w:rPr>
                <w:color w:val="1C3A36"/>
                <w:sz w:val="18"/>
              </w:rPr>
              <w:t>75%</w:t>
            </w:r>
          </w:p>
        </w:tc>
        <w:tc>
          <w:tcPr>
            <w:tcW w:type="dxa" w:w="1368"/>
          </w:tcPr>
          <w:p>
            <w:pPr>
              <w:spacing w:after="20"/>
              <w:jc w:val="right"/>
            </w:pPr>
            <w:r>
              <w:rPr>
                <w:color w:val="1C3A36"/>
                <w:sz w:val="18"/>
              </w:rPr>
              <w:t>+0.8%</w:t>
            </w:r>
          </w:p>
        </w:tc>
      </w:tr>
      <w:tr>
        <w:tc>
          <w:tcPr>
            <w:tcW w:type="dxa" w:w="576"/>
          </w:tcPr>
          <w:p>
            <w:pPr>
              <w:spacing w:after="20"/>
            </w:pPr>
            <w:r>
              <w:rPr>
                <w:color w:val="1C3A36"/>
                <w:sz w:val="18"/>
              </w:rPr>
              <w:t>2</w:t>
            </w:r>
          </w:p>
        </w:tc>
        <w:tc>
          <w:tcPr>
            <w:tcW w:type="dxa" w:w="6192"/>
          </w:tcPr>
          <w:p>
            <w:pPr>
              <w:spacing w:after="20"/>
              <w:jc w:val="right"/>
            </w:pPr>
            <w:r>
              <w:rPr>
                <w:color w:val="1C3A36"/>
                <w:sz w:val="18"/>
              </w:rPr>
              <w:t>Vodafone sale delayed or blocked</w:t>
            </w:r>
          </w:p>
        </w:tc>
        <w:tc>
          <w:tcPr>
            <w:tcW w:type="dxa" w:w="1080"/>
          </w:tcPr>
          <w:p>
            <w:pPr>
              <w:spacing w:after="20"/>
              <w:jc w:val="right"/>
            </w:pPr>
            <w:r>
              <w:rPr>
                <w:color w:val="1C3A36"/>
                <w:sz w:val="18"/>
              </w:rPr>
              <w:t>10%</w:t>
            </w:r>
          </w:p>
        </w:tc>
        <w:tc>
          <w:tcPr>
            <w:tcW w:type="dxa" w:w="1368"/>
          </w:tcPr>
          <w:p>
            <w:pPr>
              <w:spacing w:after="20"/>
              <w:jc w:val="right"/>
            </w:pPr>
            <w:r>
              <w:rPr>
                <w:color w:val="1C3A36"/>
                <w:sz w:val="18"/>
              </w:rPr>
              <w:t>-1.5%</w:t>
            </w:r>
          </w:p>
        </w:tc>
      </w:tr>
      <w:tr>
        <w:tc>
          <w:tcPr>
            <w:tcW w:type="dxa" w:w="576"/>
          </w:tcPr>
          <w:p>
            <w:pPr>
              <w:spacing w:after="20"/>
            </w:pPr>
            <w:r>
              <w:rPr>
                <w:color w:val="1C3A36"/>
                <w:sz w:val="18"/>
              </w:rPr>
              <w:t>3</w:t>
            </w:r>
          </w:p>
        </w:tc>
        <w:tc>
          <w:tcPr>
            <w:tcW w:type="dxa" w:w="6192"/>
          </w:tcPr>
          <w:p>
            <w:pPr>
              <w:spacing w:after="20"/>
              <w:jc w:val="right"/>
            </w:pPr>
            <w:r>
              <w:rPr>
                <w:color w:val="1C3A36"/>
                <w:sz w:val="18"/>
              </w:rPr>
              <w:t>2Q26 results (~late Jul 2026)</w:t>
            </w:r>
          </w:p>
        </w:tc>
        <w:tc>
          <w:tcPr>
            <w:tcW w:type="dxa" w:w="1080"/>
          </w:tcPr>
          <w:p>
            <w:pPr>
              <w:spacing w:after="20"/>
              <w:jc w:val="right"/>
            </w:pPr>
            <w:r>
              <w:rPr>
                <w:color w:val="1C3A36"/>
                <w:sz w:val="18"/>
              </w:rPr>
              <w:t>90%</w:t>
            </w:r>
          </w:p>
        </w:tc>
        <w:tc>
          <w:tcPr>
            <w:tcW w:type="dxa" w:w="1368"/>
          </w:tcPr>
          <w:p>
            <w:pPr>
              <w:spacing w:after="20"/>
              <w:jc w:val="right"/>
            </w:pPr>
            <w:r>
              <w:rPr>
                <w:color w:val="1C3A36"/>
                <w:sz w:val="18"/>
              </w:rPr>
              <w:t>+0.4%</w:t>
            </w:r>
          </w:p>
        </w:tc>
      </w:tr>
      <w:tr>
        <w:tc>
          <w:tcPr>
            <w:tcW w:type="dxa" w:w="576"/>
          </w:tcPr>
          <w:p>
            <w:pPr>
              <w:spacing w:after="20"/>
            </w:pPr>
            <w:r>
              <w:rPr>
                <w:color w:val="1C3A36"/>
                <w:sz w:val="18"/>
              </w:rPr>
              <w:t>4</w:t>
            </w:r>
          </w:p>
        </w:tc>
        <w:tc>
          <w:tcPr>
            <w:tcW w:type="dxa" w:w="6192"/>
          </w:tcPr>
          <w:p>
            <w:pPr>
              <w:spacing w:after="20"/>
              <w:jc w:val="right"/>
            </w:pPr>
            <w:r>
              <w:rPr>
                <w:color w:val="1C3A36"/>
                <w:sz w:val="18"/>
              </w:rPr>
              <w:t>Special dividend / payout step-up from VOD proceeds</w:t>
            </w:r>
          </w:p>
        </w:tc>
        <w:tc>
          <w:tcPr>
            <w:tcW w:type="dxa" w:w="1080"/>
          </w:tcPr>
          <w:p>
            <w:pPr>
              <w:spacing w:after="20"/>
              <w:jc w:val="right"/>
            </w:pPr>
            <w:r>
              <w:rPr>
                <w:color w:val="1C3A36"/>
                <w:sz w:val="18"/>
              </w:rPr>
              <w:t>15%</w:t>
            </w:r>
          </w:p>
        </w:tc>
        <w:tc>
          <w:tcPr>
            <w:tcW w:type="dxa" w:w="1368"/>
          </w:tcPr>
          <w:p>
            <w:pPr>
              <w:spacing w:after="20"/>
              <w:jc w:val="right"/>
            </w:pPr>
            <w:r>
              <w:rPr>
                <w:color w:val="1C3A36"/>
                <w:sz w:val="18"/>
              </w:rPr>
              <w:t>+1.5%</w:t>
            </w:r>
          </w:p>
        </w:tc>
      </w:tr>
      <w:tr>
        <w:tc>
          <w:tcPr>
            <w:tcW w:type="dxa" w:w="576"/>
          </w:tcPr>
          <w:p>
            <w:pPr>
              <w:spacing w:after="20"/>
            </w:pPr>
            <w:r>
              <w:rPr>
                <w:color w:val="1C3A36"/>
                <w:sz w:val="18"/>
              </w:rPr>
              <w:t>5</w:t>
            </w:r>
          </w:p>
        </w:tc>
        <w:tc>
          <w:tcPr>
            <w:tcW w:type="dxa" w:w="6192"/>
          </w:tcPr>
          <w:p>
            <w:pPr>
              <w:spacing w:after="20"/>
              <w:jc w:val="right"/>
            </w:pPr>
            <w:r>
              <w:rPr>
                <w:color w:val="1C3A36"/>
                <w:sz w:val="18"/>
              </w:rPr>
              <w:t>Careem deconsolidation completes (Uber deal close)</w:t>
            </w:r>
          </w:p>
        </w:tc>
        <w:tc>
          <w:tcPr>
            <w:tcW w:type="dxa" w:w="1080"/>
          </w:tcPr>
          <w:p>
            <w:pPr>
              <w:spacing w:after="20"/>
              <w:jc w:val="right"/>
            </w:pPr>
            <w:r>
              <w:rPr>
                <w:color w:val="1C3A36"/>
                <w:sz w:val="18"/>
              </w:rPr>
              <w:t>70%</w:t>
            </w:r>
          </w:p>
        </w:tc>
        <w:tc>
          <w:tcPr>
            <w:tcW w:type="dxa" w:w="1368"/>
          </w:tcPr>
          <w:p>
            <w:pPr>
              <w:spacing w:after="20"/>
              <w:jc w:val="right"/>
            </w:pPr>
            <w:r>
              <w:rPr>
                <w:color w:val="1C3A36"/>
                <w:sz w:val="18"/>
              </w:rPr>
              <w:t>+0.3%</w:t>
            </w:r>
          </w:p>
        </w:tc>
      </w:tr>
      <w:tr>
        <w:tc>
          <w:tcPr>
            <w:tcW w:type="dxa" w:w="576"/>
          </w:tcPr>
          <w:p>
            <w:pPr>
              <w:spacing w:after="20"/>
            </w:pPr>
            <w:r>
              <w:rPr>
                <w:color w:val="1C3A36"/>
                <w:sz w:val="18"/>
              </w:rPr>
              <w:t>6</w:t>
            </w:r>
          </w:p>
        </w:tc>
        <w:tc>
          <w:tcPr>
            <w:tcW w:type="dxa" w:w="6192"/>
          </w:tcPr>
          <w:p>
            <w:pPr>
              <w:spacing w:after="20"/>
              <w:jc w:val="right"/>
            </w:pPr>
            <w:r>
              <w:rPr>
                <w:color w:val="1C3A36"/>
                <w:sz w:val="18"/>
              </w:rPr>
              <w:t>2027+ royalty regime set at or below 38% (favourable)</w:t>
            </w:r>
          </w:p>
        </w:tc>
        <w:tc>
          <w:tcPr>
            <w:tcW w:type="dxa" w:w="1080"/>
          </w:tcPr>
          <w:p>
            <w:pPr>
              <w:spacing w:after="20"/>
              <w:jc w:val="right"/>
            </w:pPr>
            <w:r>
              <w:rPr>
                <w:color w:val="1C3A36"/>
                <w:sz w:val="18"/>
              </w:rPr>
              <w:t>25%</w:t>
            </w:r>
          </w:p>
        </w:tc>
        <w:tc>
          <w:tcPr>
            <w:tcW w:type="dxa" w:w="1368"/>
          </w:tcPr>
          <w:p>
            <w:pPr>
              <w:spacing w:after="20"/>
              <w:jc w:val="right"/>
            </w:pPr>
            <w:r>
              <w:rPr>
                <w:color w:val="1C3A36"/>
                <w:sz w:val="18"/>
              </w:rPr>
              <w:t>+1.0%</w:t>
            </w:r>
          </w:p>
        </w:tc>
      </w:tr>
      <w:tr>
        <w:tc>
          <w:tcPr>
            <w:tcW w:type="dxa" w:w="576"/>
          </w:tcPr>
          <w:p>
            <w:pPr>
              <w:spacing w:after="20"/>
            </w:pPr>
            <w:r>
              <w:rPr>
                <w:color w:val="1C3A36"/>
                <w:sz w:val="18"/>
              </w:rPr>
              <w:t>7</w:t>
            </w:r>
          </w:p>
        </w:tc>
        <w:tc>
          <w:tcPr>
            <w:tcW w:type="dxa" w:w="6192"/>
          </w:tcPr>
          <w:p>
            <w:pPr>
              <w:spacing w:after="20"/>
              <w:jc w:val="right"/>
            </w:pPr>
            <w:r>
              <w:rPr>
                <w:color w:val="1C3A36"/>
                <w:sz w:val="18"/>
              </w:rPr>
              <w:t>2027+ royalty regime adverse (higher rate / wider base)</w:t>
            </w:r>
          </w:p>
        </w:tc>
        <w:tc>
          <w:tcPr>
            <w:tcW w:type="dxa" w:w="1080"/>
          </w:tcPr>
          <w:p>
            <w:pPr>
              <w:spacing w:after="20"/>
              <w:jc w:val="right"/>
            </w:pPr>
            <w:r>
              <w:rPr>
                <w:color w:val="1C3A36"/>
                <w:sz w:val="18"/>
              </w:rPr>
              <w:t>15%</w:t>
            </w:r>
          </w:p>
        </w:tc>
        <w:tc>
          <w:tcPr>
            <w:tcW w:type="dxa" w:w="1368"/>
          </w:tcPr>
          <w:p>
            <w:pPr>
              <w:spacing w:after="20"/>
              <w:jc w:val="right"/>
            </w:pPr>
            <w:r>
              <w:rPr>
                <w:color w:val="1C3A36"/>
                <w:sz w:val="18"/>
              </w:rPr>
              <w:t>-1.8%</w:t>
            </w:r>
          </w:p>
        </w:tc>
      </w:tr>
      <w:tr>
        <w:tc>
          <w:tcPr>
            <w:tcW w:type="dxa" w:w="576"/>
          </w:tcPr>
          <w:p>
            <w:pPr>
              <w:spacing w:after="20"/>
            </w:pPr>
            <w:r>
              <w:rPr>
                <w:color w:val="1C3A36"/>
                <w:sz w:val="18"/>
              </w:rPr>
              <w:t>8</w:t>
            </w:r>
          </w:p>
        </w:tc>
        <w:tc>
          <w:tcPr>
            <w:tcW w:type="dxa" w:w="6192"/>
          </w:tcPr>
          <w:p>
            <w:pPr>
              <w:spacing w:after="20"/>
              <w:jc w:val="right"/>
            </w:pPr>
            <w:r>
              <w:rPr>
                <w:color w:val="1C3A36"/>
                <w:sz w:val="18"/>
              </w:rPr>
              <w:t>Regional geopolitical re-escalation</w:t>
            </w:r>
          </w:p>
        </w:tc>
        <w:tc>
          <w:tcPr>
            <w:tcW w:type="dxa" w:w="1080"/>
          </w:tcPr>
          <w:p>
            <w:pPr>
              <w:spacing w:after="20"/>
              <w:jc w:val="right"/>
            </w:pPr>
            <w:r>
              <w:rPr>
                <w:color w:val="1C3A36"/>
                <w:sz w:val="18"/>
              </w:rPr>
              <w:t>25%</w:t>
            </w:r>
          </w:p>
        </w:tc>
        <w:tc>
          <w:tcPr>
            <w:tcW w:type="dxa" w:w="1368"/>
          </w:tcPr>
          <w:p>
            <w:pPr>
              <w:spacing w:after="20"/>
              <w:jc w:val="right"/>
            </w:pPr>
            <w:r>
              <w:rPr>
                <w:color w:val="1C3A36"/>
                <w:sz w:val="18"/>
              </w:rPr>
              <w:t>-2.0%</w:t>
            </w:r>
          </w:p>
        </w:tc>
      </w:tr>
      <w:tr>
        <w:tc>
          <w:tcPr>
            <w:tcW w:type="dxa" w:w="576"/>
          </w:tcPr>
          <w:p>
            <w:pPr>
              <w:spacing w:after="20"/>
            </w:pPr>
            <w:r>
              <w:rPr>
                <w:color w:val="1C3A36"/>
                <w:sz w:val="18"/>
              </w:rPr>
              <w:t>9</w:t>
            </w:r>
          </w:p>
        </w:tc>
        <w:tc>
          <w:tcPr>
            <w:tcW w:type="dxa" w:w="6192"/>
          </w:tcPr>
          <w:p>
            <w:pPr>
              <w:spacing w:after="20"/>
              <w:jc w:val="right"/>
            </w:pPr>
            <w:r>
              <w:rPr>
                <w:color w:val="1C3A36"/>
                <w:sz w:val="18"/>
              </w:rPr>
              <w:t>Fed/CBUAE cut &gt;=25bp (Sep/Oct FOMC)</w:t>
            </w:r>
          </w:p>
        </w:tc>
        <w:tc>
          <w:tcPr>
            <w:tcW w:type="dxa" w:w="1080"/>
          </w:tcPr>
          <w:p>
            <w:pPr>
              <w:spacing w:after="20"/>
              <w:jc w:val="right"/>
            </w:pPr>
            <w:r>
              <w:rPr>
                <w:color w:val="1C3A36"/>
                <w:sz w:val="18"/>
              </w:rPr>
              <w:t>55%</w:t>
            </w:r>
          </w:p>
        </w:tc>
        <w:tc>
          <w:tcPr>
            <w:tcW w:type="dxa" w:w="1368"/>
          </w:tcPr>
          <w:p>
            <w:pPr>
              <w:spacing w:after="20"/>
              <w:jc w:val="right"/>
            </w:pPr>
            <w:r>
              <w:rPr>
                <w:color w:val="1C3A36"/>
                <w:sz w:val="18"/>
              </w:rPr>
              <w:t>+0.5%</w:t>
            </w:r>
          </w:p>
        </w:tc>
      </w:tr>
    </w:tbl>
    <w:p>
      <w:pPr>
        <w:spacing w:after="40"/>
      </w:pPr>
    </w:p>
    <w:p>
      <w:pPr>
        <w:spacing w:after="120" w:before="0"/>
      </w:pPr>
      <w:r>
        <w:rPr>
          <w:b w:val="0"/>
          <w:i w:val="0"/>
          <w:color w:val="1C3A36"/>
          <w:sz w:val="19"/>
        </w:rPr>
        <w:t>Net event-ledger drift: +1.00% per quarter — the announced Vodafone crystallisation and the payout step-up possibility skew the ledger mildly positive; the 2027 royalty tail and a regional re-escalation are the offsetting downside masses.</w:t>
      </w:r>
    </w:p>
    <w:p>
      <w:pPr>
        <w:spacing w:after="80" w:before="200"/>
      </w:pPr>
      <w:r>
        <w:rPr>
          <w:b/>
          <w:i w:val="0"/>
          <w:color w:val="1C3A36"/>
          <w:sz w:val="24"/>
        </w:rPr>
        <w:t>Percentile map (AED/share)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728"/>
            <w:shd w:val="clear" w:color="auto" w:fill="EAF0EE"/>
          </w:tcPr>
          <w:p>
            <w:pPr>
              <w:spacing w:after="20"/>
            </w:pPr>
            <w:r>
              <w:rPr>
                <w:b/>
                <w:color w:val="1C3A36"/>
                <w:sz w:val="18"/>
              </w:rPr>
              <w:t>Percentile</w:t>
            </w:r>
          </w:p>
        </w:tc>
        <w:tc>
          <w:tcPr>
            <w:tcW w:type="dxa" w:w="1872"/>
            <w:shd w:val="clear" w:color="auto" w:fill="EAF0EE"/>
          </w:tcPr>
          <w:p>
            <w:pPr>
              <w:spacing w:after="20"/>
            </w:pPr>
            <w:r>
              <w:rPr>
                <w:b/>
                <w:color w:val="1C3A36"/>
                <w:sz w:val="18"/>
              </w:rPr>
              <w:t>T+20</w:t>
            </w:r>
          </w:p>
        </w:tc>
        <w:tc>
          <w:tcPr>
            <w:tcW w:type="dxa" w:w="1872"/>
            <w:shd w:val="clear" w:color="auto" w:fill="EAF0EE"/>
          </w:tcPr>
          <w:p>
            <w:pPr>
              <w:spacing w:after="20"/>
            </w:pPr>
            <w:r>
              <w:rPr>
                <w:b/>
                <w:color w:val="1C3A36"/>
                <w:sz w:val="18"/>
              </w:rPr>
              <w:t>T+60</w:t>
            </w:r>
          </w:p>
        </w:tc>
        <w:tc>
          <w:tcPr>
            <w:tcW w:type="dxa" w:w="2160"/>
            <w:shd w:val="clear" w:color="auto" w:fill="EAF0EE"/>
          </w:tcPr>
          <w:p>
            <w:pPr>
              <w:spacing w:after="20"/>
            </w:pPr>
            <w:r>
              <w:rPr>
                <w:b/>
                <w:color w:val="1C3A36"/>
                <w:sz w:val="18"/>
              </w:rPr>
              <w:t>move at T+60</w:t>
            </w:r>
          </w:p>
        </w:tc>
      </w:tr>
      <w:tr>
        <w:tc>
          <w:tcPr>
            <w:tcW w:type="dxa" w:w="1728"/>
          </w:tcPr>
          <w:p>
            <w:pPr>
              <w:spacing w:after="20"/>
            </w:pPr>
            <w:r>
              <w:rPr>
                <w:color w:val="1C3A36"/>
                <w:sz w:val="18"/>
              </w:rPr>
              <w:t>5th</w:t>
            </w:r>
          </w:p>
        </w:tc>
        <w:tc>
          <w:tcPr>
            <w:tcW w:type="dxa" w:w="1872"/>
          </w:tcPr>
          <w:p>
            <w:pPr>
              <w:spacing w:after="20"/>
              <w:jc w:val="right"/>
            </w:pPr>
            <w:r>
              <w:rPr>
                <w:color w:val="1C3A36"/>
                <w:sz w:val="18"/>
              </w:rPr>
              <w:t>17.84</w:t>
            </w:r>
          </w:p>
        </w:tc>
        <w:tc>
          <w:tcPr>
            <w:tcW w:type="dxa" w:w="1872"/>
          </w:tcPr>
          <w:p>
            <w:pPr>
              <w:spacing w:after="20"/>
              <w:jc w:val="right"/>
            </w:pPr>
            <w:r>
              <w:rPr>
                <w:color w:val="1C3A36"/>
                <w:sz w:val="18"/>
              </w:rPr>
              <w:t>16.70</w:t>
            </w:r>
          </w:p>
        </w:tc>
        <w:tc>
          <w:tcPr>
            <w:tcW w:type="dxa" w:w="2160"/>
          </w:tcPr>
          <w:p>
            <w:pPr>
              <w:spacing w:after="20"/>
              <w:jc w:val="right"/>
            </w:pPr>
            <w:r>
              <w:rPr>
                <w:color w:val="1C3A36"/>
                <w:sz w:val="18"/>
              </w:rPr>
              <w:t>-15.0%</w:t>
            </w:r>
          </w:p>
        </w:tc>
      </w:tr>
      <w:tr>
        <w:tc>
          <w:tcPr>
            <w:tcW w:type="dxa" w:w="1728"/>
          </w:tcPr>
          <w:p>
            <w:pPr>
              <w:spacing w:after="20"/>
            </w:pPr>
            <w:r>
              <w:rPr>
                <w:color w:val="1C3A36"/>
                <w:sz w:val="18"/>
              </w:rPr>
              <w:t>25th</w:t>
            </w:r>
          </w:p>
        </w:tc>
        <w:tc>
          <w:tcPr>
            <w:tcW w:type="dxa" w:w="1872"/>
          </w:tcPr>
          <w:p>
            <w:pPr>
              <w:spacing w:after="20"/>
              <w:jc w:val="right"/>
            </w:pPr>
            <w:r>
              <w:rPr>
                <w:color w:val="1C3A36"/>
                <w:sz w:val="18"/>
              </w:rPr>
              <w:t>19.05</w:t>
            </w:r>
          </w:p>
        </w:tc>
        <w:tc>
          <w:tcPr>
            <w:tcW w:type="dxa" w:w="1872"/>
          </w:tcPr>
          <w:p>
            <w:pPr>
              <w:spacing w:after="20"/>
              <w:jc w:val="right"/>
            </w:pPr>
            <w:r>
              <w:rPr>
                <w:color w:val="1C3A36"/>
                <w:sz w:val="18"/>
              </w:rPr>
              <w:t>18.68</w:t>
            </w:r>
          </w:p>
        </w:tc>
        <w:tc>
          <w:tcPr>
            <w:tcW w:type="dxa" w:w="2160"/>
          </w:tcPr>
          <w:p>
            <w:pPr>
              <w:spacing w:after="20"/>
              <w:jc w:val="right"/>
            </w:pPr>
            <w:r>
              <w:rPr>
                <w:color w:val="1C3A36"/>
                <w:sz w:val="18"/>
              </w:rPr>
              <w:t>-5.0%</w:t>
            </w:r>
          </w:p>
        </w:tc>
      </w:tr>
      <w:tr>
        <w:tc>
          <w:tcPr>
            <w:tcW w:type="dxa" w:w="1728"/>
            <w:shd w:val="clear" w:color="auto" w:fill="F6F1E6"/>
          </w:tcPr>
          <w:p>
            <w:pPr>
              <w:spacing w:after="20"/>
            </w:pPr>
            <w:r>
              <w:rPr>
                <w:b/>
                <w:color w:val="1C3A36"/>
                <w:sz w:val="18"/>
              </w:rPr>
              <w:t>50th</w:t>
            </w:r>
          </w:p>
        </w:tc>
        <w:tc>
          <w:tcPr>
            <w:tcW w:type="dxa" w:w="1872"/>
            <w:shd w:val="clear" w:color="auto" w:fill="F6F1E6"/>
          </w:tcPr>
          <w:p>
            <w:pPr>
              <w:spacing w:after="20"/>
              <w:jc w:val="right"/>
            </w:pPr>
            <w:r>
              <w:rPr>
                <w:b/>
                <w:color w:val="1C3A36"/>
                <w:sz w:val="18"/>
              </w:rPr>
              <w:t>19.72</w:t>
            </w:r>
          </w:p>
        </w:tc>
        <w:tc>
          <w:tcPr>
            <w:tcW w:type="dxa" w:w="1872"/>
            <w:shd w:val="clear" w:color="auto" w:fill="F6F1E6"/>
          </w:tcPr>
          <w:p>
            <w:pPr>
              <w:spacing w:after="20"/>
              <w:jc w:val="right"/>
            </w:pPr>
            <w:r>
              <w:rPr>
                <w:b/>
                <w:color w:val="1C3A36"/>
                <w:sz w:val="18"/>
              </w:rPr>
              <w:t>19.86</w:t>
            </w:r>
          </w:p>
        </w:tc>
        <w:tc>
          <w:tcPr>
            <w:tcW w:type="dxa" w:w="2160"/>
            <w:shd w:val="clear" w:color="auto" w:fill="F6F1E6"/>
          </w:tcPr>
          <w:p>
            <w:pPr>
              <w:spacing w:after="20"/>
              <w:jc w:val="right"/>
            </w:pPr>
            <w:r>
              <w:rPr>
                <w:b/>
                <w:color w:val="1C3A36"/>
                <w:sz w:val="18"/>
              </w:rPr>
              <w:t>1.0%</w:t>
            </w:r>
          </w:p>
        </w:tc>
      </w:tr>
      <w:tr>
        <w:tc>
          <w:tcPr>
            <w:tcW w:type="dxa" w:w="1728"/>
          </w:tcPr>
          <w:p>
            <w:pPr>
              <w:spacing w:after="20"/>
            </w:pPr>
            <w:r>
              <w:rPr>
                <w:color w:val="1C3A36"/>
                <w:sz w:val="18"/>
              </w:rPr>
              <w:t>75th</w:t>
            </w:r>
          </w:p>
        </w:tc>
        <w:tc>
          <w:tcPr>
            <w:tcW w:type="dxa" w:w="1872"/>
          </w:tcPr>
          <w:p>
            <w:pPr>
              <w:spacing w:after="20"/>
              <w:jc w:val="right"/>
            </w:pPr>
            <w:r>
              <w:rPr>
                <w:color w:val="1C3A36"/>
                <w:sz w:val="18"/>
              </w:rPr>
              <w:t>20.43</w:t>
            </w:r>
          </w:p>
        </w:tc>
        <w:tc>
          <w:tcPr>
            <w:tcW w:type="dxa" w:w="1872"/>
          </w:tcPr>
          <w:p>
            <w:pPr>
              <w:spacing w:after="20"/>
              <w:jc w:val="right"/>
            </w:pPr>
            <w:r>
              <w:rPr>
                <w:color w:val="1C3A36"/>
                <w:sz w:val="18"/>
              </w:rPr>
              <w:t>21.09</w:t>
            </w:r>
          </w:p>
        </w:tc>
        <w:tc>
          <w:tcPr>
            <w:tcW w:type="dxa" w:w="2160"/>
          </w:tcPr>
          <w:p>
            <w:pPr>
              <w:spacing w:after="20"/>
              <w:jc w:val="right"/>
            </w:pPr>
            <w:r>
              <w:rPr>
                <w:color w:val="1C3A36"/>
                <w:sz w:val="18"/>
              </w:rPr>
              <w:t>7.3%</w:t>
            </w:r>
          </w:p>
        </w:tc>
      </w:tr>
      <w:tr>
        <w:tc>
          <w:tcPr>
            <w:tcW w:type="dxa" w:w="1728"/>
          </w:tcPr>
          <w:p>
            <w:pPr>
              <w:spacing w:after="20"/>
            </w:pPr>
            <w:r>
              <w:rPr>
                <w:color w:val="1C3A36"/>
                <w:sz w:val="18"/>
              </w:rPr>
              <w:t>95th</w:t>
            </w:r>
          </w:p>
        </w:tc>
        <w:tc>
          <w:tcPr>
            <w:tcW w:type="dxa" w:w="1872"/>
          </w:tcPr>
          <w:p>
            <w:pPr>
              <w:spacing w:after="20"/>
              <w:jc w:val="right"/>
            </w:pPr>
            <w:r>
              <w:rPr>
                <w:color w:val="1C3A36"/>
                <w:sz w:val="18"/>
              </w:rPr>
              <w:t>21.81</w:t>
            </w:r>
          </w:p>
        </w:tc>
        <w:tc>
          <w:tcPr>
            <w:tcW w:type="dxa" w:w="1872"/>
          </w:tcPr>
          <w:p>
            <w:pPr>
              <w:spacing w:after="20"/>
              <w:jc w:val="right"/>
            </w:pPr>
            <w:r>
              <w:rPr>
                <w:color w:val="1C3A36"/>
                <w:sz w:val="18"/>
              </w:rPr>
              <w:t>23.59</w:t>
            </w:r>
          </w:p>
        </w:tc>
        <w:tc>
          <w:tcPr>
            <w:tcW w:type="dxa" w:w="2160"/>
          </w:tcPr>
          <w:p>
            <w:pPr>
              <w:spacing w:after="20"/>
              <w:jc w:val="right"/>
            </w:pPr>
            <w:r>
              <w:rPr>
                <w:color w:val="1C3A36"/>
                <w:sz w:val="18"/>
              </w:rPr>
              <w:t>20.0%</w:t>
            </w:r>
          </w:p>
        </w:tc>
      </w:tr>
    </w:tbl>
    <w:p>
      <w:pPr>
        <w:spacing w:after="40"/>
      </w:pPr>
    </w:p>
    <w:p>
      <w:pPr>
        <w:spacing w:after="40"/>
        <w:jc w:val="center"/>
      </w:pPr>
      <w:r>
        <w:drawing>
          <wp:inline xmlns:a="http://schemas.openxmlformats.org/drawingml/2006/main" xmlns:pic="http://schemas.openxmlformats.org/drawingml/2006/picture">
            <wp:extent cx="6217920" cy="2664823"/>
            <wp:docPr id="7" name="Picture 7"/>
            <wp:cNvGraphicFramePr>
              <a:graphicFrameLocks noChangeAspect="1"/>
            </wp:cNvGraphicFramePr>
            <a:graphic>
              <a:graphicData uri="http://schemas.openxmlformats.org/drawingml/2006/picture">
                <pic:pic>
                  <pic:nvPicPr>
                    <pic:cNvPr id="0" name="fig4_fan.png"/>
                    <pic:cNvPicPr/>
                  </pic:nvPicPr>
                  <pic:blipFill>
                    <a:blip r:embed="rId15"/>
                    <a:stretch>
                      <a:fillRect/>
                    </a:stretch>
                  </pic:blipFill>
                  <pic:spPr>
                    <a:xfrm>
                      <a:off x="0" y="0"/>
                      <a:ext cx="6217920" cy="2664823"/>
                    </a:xfrm>
                    <a:prstGeom prst="rect"/>
                  </pic:spPr>
                </pic:pic>
              </a:graphicData>
            </a:graphic>
          </wp:inline>
        </w:drawing>
      </w:r>
    </w:p>
    <w:p>
      <w:pPr>
        <w:spacing w:after="200" w:before="0"/>
      </w:pPr>
      <w:r>
        <w:rPr>
          <w:b w:val="0"/>
          <w:i/>
          <w:color w:val="6E7B77"/>
          <w:sz w:val="17"/>
        </w:rPr>
        <w:t>Figure 7 · The forward cone to T+60: 5–95% and the 50% band, median in ink, the fundamental central in brass — deliberately outside the cone’s centre, because the engine does not carry it.</w:t>
      </w:r>
    </w:p>
    <w:p>
      <w:pPr>
        <w:spacing w:after="40"/>
        <w:jc w:val="center"/>
      </w:pPr>
      <w:r>
        <w:drawing>
          <wp:inline xmlns:a="http://schemas.openxmlformats.org/drawingml/2006/main" xmlns:pic="http://schemas.openxmlformats.org/drawingml/2006/picture">
            <wp:extent cx="5120640" cy="2560320"/>
            <wp:docPr id="8" name="Picture 8"/>
            <wp:cNvGraphicFramePr>
              <a:graphicFrameLocks noChangeAspect="1"/>
            </wp:cNvGraphicFramePr>
            <a:graphic>
              <a:graphicData uri="http://schemas.openxmlformats.org/drawingml/2006/picture">
                <pic:pic>
                  <pic:nvPicPr>
                    <pic:cNvPr id="0" name="fig5_dist20.png"/>
                    <pic:cNvPicPr/>
                  </pic:nvPicPr>
                  <pic:blipFill>
                    <a:blip r:embed="rId16"/>
                    <a:stretch>
                      <a:fillRect/>
                    </a:stretch>
                  </pic:blipFill>
                  <pic:spPr>
                    <a:xfrm>
                      <a:off x="0" y="0"/>
                      <a:ext cx="5120640" cy="2560320"/>
                    </a:xfrm>
                    <a:prstGeom prst="rect"/>
                  </pic:spPr>
                </pic:pic>
              </a:graphicData>
            </a:graphic>
          </wp:inline>
        </w:drawing>
      </w:r>
    </w:p>
    <w:p>
      <w:pPr>
        <w:spacing w:after="200" w:before="0"/>
      </w:pPr>
      <w:r>
        <w:rPr>
          <w:b w:val="0"/>
          <w:i/>
          <w:color w:val="6E7B77"/>
          <w:sz w:val="17"/>
        </w:rPr>
        <w:t>Figure 8 · The T+20 distribution.</w:t>
      </w:r>
    </w:p>
    <w:p>
      <w:pPr>
        <w:spacing w:after="40"/>
        <w:jc w:val="center"/>
      </w:pPr>
      <w:r>
        <w:drawing>
          <wp:inline xmlns:a="http://schemas.openxmlformats.org/drawingml/2006/main" xmlns:pic="http://schemas.openxmlformats.org/drawingml/2006/picture">
            <wp:extent cx="5120640" cy="2560320"/>
            <wp:docPr id="9" name="Picture 9"/>
            <wp:cNvGraphicFramePr>
              <a:graphicFrameLocks noChangeAspect="1"/>
            </wp:cNvGraphicFramePr>
            <a:graphic>
              <a:graphicData uri="http://schemas.openxmlformats.org/drawingml/2006/picture">
                <pic:pic>
                  <pic:nvPicPr>
                    <pic:cNvPr id="0" name="fig6_dist60.png"/>
                    <pic:cNvPicPr/>
                  </pic:nvPicPr>
                  <pic:blipFill>
                    <a:blip r:embed="rId17"/>
                    <a:stretch>
                      <a:fillRect/>
                    </a:stretch>
                  </pic:blipFill>
                  <pic:spPr>
                    <a:xfrm>
                      <a:off x="0" y="0"/>
                      <a:ext cx="5120640" cy="2560320"/>
                    </a:xfrm>
                    <a:prstGeom prst="rect"/>
                  </pic:spPr>
                </pic:pic>
              </a:graphicData>
            </a:graphic>
          </wp:inline>
        </w:drawing>
      </w:r>
    </w:p>
    <w:p>
      <w:pPr>
        <w:spacing w:after="200" w:before="0"/>
      </w:pPr>
      <w:r>
        <w:rPr>
          <w:b w:val="0"/>
          <w:i/>
          <w:color w:val="6E7B77"/>
          <w:sz w:val="17"/>
        </w:rPr>
        <w:t>Figure 9 · The T+60 distribution — right-shifted mass from the event ledger, fat left tail from the royalty/geopolitics factors.</w:t>
      </w:r>
    </w:p>
    <w:p>
      <w:pPr>
        <w:spacing w:after="80" w:before="200"/>
      </w:pPr>
      <w:r>
        <w:rPr>
          <w:b/>
          <w:i w:val="0"/>
          <w:color w:val="1C3A36"/>
          <w:sz w:val="24"/>
        </w:rPr>
        <w:t>Level-touch ladder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584"/>
            <w:shd w:val="clear" w:color="auto" w:fill="EAF0EE"/>
          </w:tcPr>
          <w:p>
            <w:pPr>
              <w:spacing w:after="20"/>
            </w:pPr>
            <w:r>
              <w:rPr>
                <w:b/>
                <w:color w:val="1C3A36"/>
                <w:sz w:val="18"/>
              </w:rPr>
              <w:t>Level</w:t>
            </w:r>
          </w:p>
        </w:tc>
        <w:tc>
          <w:tcPr>
            <w:tcW w:type="dxa" w:w="1584"/>
            <w:shd w:val="clear" w:color="auto" w:fill="EAF0EE"/>
          </w:tcPr>
          <w:p>
            <w:pPr>
              <w:spacing w:after="20"/>
            </w:pPr>
            <w:r>
              <w:rPr>
                <w:b/>
                <w:color w:val="1C3A36"/>
                <w:sz w:val="18"/>
              </w:rPr>
              <w:t>vs spot</w:t>
            </w:r>
          </w:p>
        </w:tc>
        <w:tc>
          <w:tcPr>
            <w:tcW w:type="dxa" w:w="2304"/>
            <w:shd w:val="clear" w:color="auto" w:fill="EAF0EE"/>
          </w:tcPr>
          <w:p>
            <w:pPr>
              <w:spacing w:after="20"/>
            </w:pPr>
            <w:r>
              <w:rPr>
                <w:b/>
                <w:color w:val="1C3A36"/>
                <w:sz w:val="18"/>
              </w:rPr>
              <w:t>P(touch by T+20)</w:t>
            </w:r>
          </w:p>
        </w:tc>
        <w:tc>
          <w:tcPr>
            <w:tcW w:type="dxa" w:w="2304"/>
            <w:shd w:val="clear" w:color="auto" w:fill="EAF0EE"/>
          </w:tcPr>
          <w:p>
            <w:pPr>
              <w:spacing w:after="20"/>
            </w:pPr>
            <w:r>
              <w:rPr>
                <w:b/>
                <w:color w:val="1C3A36"/>
                <w:sz w:val="18"/>
              </w:rPr>
              <w:t>P(touch by T+60)</w:t>
            </w:r>
          </w:p>
        </w:tc>
      </w:tr>
      <w:tr>
        <w:tc>
          <w:tcPr>
            <w:tcW w:type="dxa" w:w="1584"/>
          </w:tcPr>
          <w:p>
            <w:pPr>
              <w:spacing w:after="20"/>
            </w:pPr>
            <w:r>
              <w:rPr>
                <w:color w:val="1C3A36"/>
                <w:sz w:val="18"/>
              </w:rPr>
              <w:t>AED 23</w:t>
            </w:r>
          </w:p>
        </w:tc>
        <w:tc>
          <w:tcPr>
            <w:tcW w:type="dxa" w:w="1584"/>
          </w:tcPr>
          <w:p>
            <w:pPr>
              <w:spacing w:after="20"/>
              <w:jc w:val="right"/>
            </w:pPr>
            <w:r>
              <w:rPr>
                <w:color w:val="1C3A36"/>
                <w:sz w:val="18"/>
              </w:rPr>
              <w:t>17.0%</w:t>
            </w:r>
          </w:p>
        </w:tc>
        <w:tc>
          <w:tcPr>
            <w:tcW w:type="dxa" w:w="2304"/>
          </w:tcPr>
          <w:p>
            <w:pPr>
              <w:spacing w:after="20"/>
              <w:jc w:val="right"/>
            </w:pPr>
            <w:r>
              <w:rPr>
                <w:color w:val="1C3A36"/>
                <w:sz w:val="18"/>
              </w:rPr>
              <w:t>2%</w:t>
            </w:r>
          </w:p>
        </w:tc>
        <w:tc>
          <w:tcPr>
            <w:tcW w:type="dxa" w:w="2304"/>
          </w:tcPr>
          <w:p>
            <w:pPr>
              <w:spacing w:after="20"/>
              <w:jc w:val="right"/>
            </w:pPr>
            <w:r>
              <w:rPr>
                <w:color w:val="1C3A36"/>
                <w:sz w:val="18"/>
              </w:rPr>
              <w:t>13%</w:t>
            </w:r>
          </w:p>
        </w:tc>
      </w:tr>
      <w:tr>
        <w:tc>
          <w:tcPr>
            <w:tcW w:type="dxa" w:w="1584"/>
          </w:tcPr>
          <w:p>
            <w:pPr>
              <w:spacing w:after="20"/>
            </w:pPr>
            <w:r>
              <w:rPr>
                <w:color w:val="1C3A36"/>
                <w:sz w:val="18"/>
              </w:rPr>
              <w:t>AED 22</w:t>
            </w:r>
          </w:p>
        </w:tc>
        <w:tc>
          <w:tcPr>
            <w:tcW w:type="dxa" w:w="1584"/>
          </w:tcPr>
          <w:p>
            <w:pPr>
              <w:spacing w:after="20"/>
              <w:jc w:val="right"/>
            </w:pPr>
            <w:r>
              <w:rPr>
                <w:color w:val="1C3A36"/>
                <w:sz w:val="18"/>
              </w:rPr>
              <w:t>11.9%</w:t>
            </w:r>
          </w:p>
        </w:tc>
        <w:tc>
          <w:tcPr>
            <w:tcW w:type="dxa" w:w="2304"/>
          </w:tcPr>
          <w:p>
            <w:pPr>
              <w:spacing w:after="20"/>
              <w:jc w:val="right"/>
            </w:pPr>
            <w:r>
              <w:rPr>
                <w:color w:val="1C3A36"/>
                <w:sz w:val="18"/>
              </w:rPr>
              <w:t>6%</w:t>
            </w:r>
          </w:p>
        </w:tc>
        <w:tc>
          <w:tcPr>
            <w:tcW w:type="dxa" w:w="2304"/>
          </w:tcPr>
          <w:p>
            <w:pPr>
              <w:spacing w:after="20"/>
              <w:jc w:val="right"/>
            </w:pPr>
            <w:r>
              <w:rPr>
                <w:color w:val="1C3A36"/>
                <w:sz w:val="18"/>
              </w:rPr>
              <w:t>24%</w:t>
            </w:r>
          </w:p>
        </w:tc>
      </w:tr>
      <w:tr>
        <w:tc>
          <w:tcPr>
            <w:tcW w:type="dxa" w:w="1584"/>
          </w:tcPr>
          <w:p>
            <w:pPr>
              <w:spacing w:after="20"/>
            </w:pPr>
            <w:r>
              <w:rPr>
                <w:color w:val="1C3A36"/>
                <w:sz w:val="18"/>
              </w:rPr>
              <w:t>AED 21</w:t>
            </w:r>
          </w:p>
        </w:tc>
        <w:tc>
          <w:tcPr>
            <w:tcW w:type="dxa" w:w="1584"/>
          </w:tcPr>
          <w:p>
            <w:pPr>
              <w:spacing w:after="20"/>
              <w:jc w:val="right"/>
            </w:pPr>
            <w:r>
              <w:rPr>
                <w:color w:val="1C3A36"/>
                <w:sz w:val="18"/>
              </w:rPr>
              <w:t>6.8%</w:t>
            </w:r>
          </w:p>
        </w:tc>
        <w:tc>
          <w:tcPr>
            <w:tcW w:type="dxa" w:w="2304"/>
          </w:tcPr>
          <w:p>
            <w:pPr>
              <w:spacing w:after="20"/>
              <w:jc w:val="right"/>
            </w:pPr>
            <w:r>
              <w:rPr>
                <w:color w:val="1C3A36"/>
                <w:sz w:val="18"/>
              </w:rPr>
              <w:t>21%</w:t>
            </w:r>
          </w:p>
        </w:tc>
        <w:tc>
          <w:tcPr>
            <w:tcW w:type="dxa" w:w="2304"/>
          </w:tcPr>
          <w:p>
            <w:pPr>
              <w:spacing w:after="20"/>
              <w:jc w:val="right"/>
            </w:pPr>
            <w:r>
              <w:rPr>
                <w:color w:val="1C3A36"/>
                <w:sz w:val="18"/>
              </w:rPr>
              <w:t>46%</w:t>
            </w:r>
          </w:p>
        </w:tc>
      </w:tr>
      <w:tr>
        <w:tc>
          <w:tcPr>
            <w:tcW w:type="dxa" w:w="1584"/>
          </w:tcPr>
          <w:p>
            <w:pPr>
              <w:spacing w:after="20"/>
            </w:pPr>
            <w:r>
              <w:rPr>
                <w:color w:val="1C3A36"/>
                <w:sz w:val="18"/>
              </w:rPr>
              <w:t>AED 20</w:t>
            </w:r>
          </w:p>
        </w:tc>
        <w:tc>
          <w:tcPr>
            <w:tcW w:type="dxa" w:w="1584"/>
          </w:tcPr>
          <w:p>
            <w:pPr>
              <w:spacing w:after="20"/>
              <w:jc w:val="right"/>
            </w:pPr>
            <w:r>
              <w:rPr>
                <w:color w:val="1C3A36"/>
                <w:sz w:val="18"/>
              </w:rPr>
              <w:t>1.7%</w:t>
            </w:r>
          </w:p>
        </w:tc>
        <w:tc>
          <w:tcPr>
            <w:tcW w:type="dxa" w:w="2304"/>
          </w:tcPr>
          <w:p>
            <w:pPr>
              <w:spacing w:after="20"/>
              <w:jc w:val="right"/>
            </w:pPr>
            <w:r>
              <w:rPr>
                <w:color w:val="1C3A36"/>
                <w:sz w:val="18"/>
              </w:rPr>
              <w:t>66%</w:t>
            </w:r>
          </w:p>
        </w:tc>
        <w:tc>
          <w:tcPr>
            <w:tcW w:type="dxa" w:w="2304"/>
          </w:tcPr>
          <w:p>
            <w:pPr>
              <w:spacing w:after="20"/>
              <w:jc w:val="right"/>
            </w:pPr>
            <w:r>
              <w:rPr>
                <w:color w:val="1C3A36"/>
                <w:sz w:val="18"/>
              </w:rPr>
              <w:t>81%</w:t>
            </w:r>
          </w:p>
        </w:tc>
      </w:tr>
      <w:tr>
        <w:tc>
          <w:tcPr>
            <w:tcW w:type="dxa" w:w="1584"/>
          </w:tcPr>
          <w:p>
            <w:pPr>
              <w:spacing w:after="20"/>
            </w:pPr>
            <w:r>
              <w:rPr>
                <w:color w:val="1C3A36"/>
                <w:sz w:val="18"/>
              </w:rPr>
              <w:t>AED 19</w:t>
            </w:r>
          </w:p>
        </w:tc>
        <w:tc>
          <w:tcPr>
            <w:tcW w:type="dxa" w:w="1584"/>
          </w:tcPr>
          <w:p>
            <w:pPr>
              <w:spacing w:after="20"/>
              <w:jc w:val="right"/>
            </w:pPr>
            <w:r>
              <w:rPr>
                <w:color w:val="1C3A36"/>
                <w:sz w:val="18"/>
              </w:rPr>
              <w:t>-3.4%</w:t>
            </w:r>
          </w:p>
        </w:tc>
        <w:tc>
          <w:tcPr>
            <w:tcW w:type="dxa" w:w="2304"/>
          </w:tcPr>
          <w:p>
            <w:pPr>
              <w:spacing w:after="20"/>
              <w:jc w:val="right"/>
            </w:pPr>
            <w:r>
              <w:rPr>
                <w:color w:val="1C3A36"/>
                <w:sz w:val="18"/>
              </w:rPr>
              <w:t>42%</w:t>
            </w:r>
          </w:p>
        </w:tc>
        <w:tc>
          <w:tcPr>
            <w:tcW w:type="dxa" w:w="2304"/>
          </w:tcPr>
          <w:p>
            <w:pPr>
              <w:spacing w:after="20"/>
              <w:jc w:val="right"/>
            </w:pPr>
            <w:r>
              <w:rPr>
                <w:color w:val="1C3A36"/>
                <w:sz w:val="18"/>
              </w:rPr>
              <w:t>62%</w:t>
            </w:r>
          </w:p>
        </w:tc>
      </w:tr>
      <w:tr>
        <w:tc>
          <w:tcPr>
            <w:tcW w:type="dxa" w:w="1584"/>
          </w:tcPr>
          <w:p>
            <w:pPr>
              <w:spacing w:after="20"/>
            </w:pPr>
            <w:r>
              <w:rPr>
                <w:color w:val="1C3A36"/>
                <w:sz w:val="18"/>
              </w:rPr>
              <w:t>AED 18</w:t>
            </w:r>
          </w:p>
        </w:tc>
        <w:tc>
          <w:tcPr>
            <w:tcW w:type="dxa" w:w="1584"/>
          </w:tcPr>
          <w:p>
            <w:pPr>
              <w:spacing w:after="20"/>
              <w:jc w:val="right"/>
            </w:pPr>
            <w:r>
              <w:rPr>
                <w:color w:val="1C3A36"/>
                <w:sz w:val="18"/>
              </w:rPr>
              <w:t>-8.4%</w:t>
            </w:r>
          </w:p>
        </w:tc>
        <w:tc>
          <w:tcPr>
            <w:tcW w:type="dxa" w:w="2304"/>
          </w:tcPr>
          <w:p>
            <w:pPr>
              <w:spacing w:after="20"/>
              <w:jc w:val="right"/>
            </w:pPr>
            <w:r>
              <w:rPr>
                <w:color w:val="1C3A36"/>
                <w:sz w:val="18"/>
              </w:rPr>
              <w:t>10%</w:t>
            </w:r>
          </w:p>
        </w:tc>
        <w:tc>
          <w:tcPr>
            <w:tcW w:type="dxa" w:w="2304"/>
          </w:tcPr>
          <w:p>
            <w:pPr>
              <w:spacing w:after="20"/>
              <w:jc w:val="right"/>
            </w:pPr>
            <w:r>
              <w:rPr>
                <w:color w:val="1C3A36"/>
                <w:sz w:val="18"/>
              </w:rPr>
              <w:t>28%</w:t>
            </w:r>
          </w:p>
        </w:tc>
      </w:tr>
      <w:tr>
        <w:tc>
          <w:tcPr>
            <w:tcW w:type="dxa" w:w="1584"/>
          </w:tcPr>
          <w:p>
            <w:pPr>
              <w:spacing w:after="20"/>
            </w:pPr>
            <w:r>
              <w:rPr>
                <w:color w:val="1C3A36"/>
                <w:sz w:val="18"/>
              </w:rPr>
              <w:t>AED 17</w:t>
            </w:r>
          </w:p>
        </w:tc>
        <w:tc>
          <w:tcPr>
            <w:tcW w:type="dxa" w:w="1584"/>
          </w:tcPr>
          <w:p>
            <w:pPr>
              <w:spacing w:after="20"/>
              <w:jc w:val="right"/>
            </w:pPr>
            <w:r>
              <w:rPr>
                <w:color w:val="1C3A36"/>
                <w:sz w:val="18"/>
              </w:rPr>
              <w:t>-13.5%</w:t>
            </w:r>
          </w:p>
        </w:tc>
        <w:tc>
          <w:tcPr>
            <w:tcW w:type="dxa" w:w="2304"/>
          </w:tcPr>
          <w:p>
            <w:pPr>
              <w:spacing w:after="20"/>
              <w:jc w:val="right"/>
            </w:pPr>
            <w:r>
              <w:rPr>
                <w:color w:val="1C3A36"/>
                <w:sz w:val="18"/>
              </w:rPr>
              <w:t>3%</w:t>
            </w:r>
          </w:p>
        </w:tc>
        <w:tc>
          <w:tcPr>
            <w:tcW w:type="dxa" w:w="2304"/>
          </w:tcPr>
          <w:p>
            <w:pPr>
              <w:spacing w:after="20"/>
              <w:jc w:val="right"/>
            </w:pPr>
            <w:r>
              <w:rPr>
                <w:color w:val="1C3A36"/>
                <w:sz w:val="18"/>
              </w:rPr>
              <w:t>12%</w:t>
            </w:r>
          </w:p>
        </w:tc>
      </w:tr>
      <w:tr>
        <w:tc>
          <w:tcPr>
            <w:tcW w:type="dxa" w:w="1584"/>
          </w:tcPr>
          <w:p>
            <w:pPr>
              <w:spacing w:after="20"/>
            </w:pPr>
            <w:r>
              <w:rPr>
                <w:color w:val="1C3A36"/>
                <w:sz w:val="18"/>
              </w:rPr>
              <w:t>AED 16</w:t>
            </w:r>
          </w:p>
        </w:tc>
        <w:tc>
          <w:tcPr>
            <w:tcW w:type="dxa" w:w="1584"/>
          </w:tcPr>
          <w:p>
            <w:pPr>
              <w:spacing w:after="20"/>
              <w:jc w:val="right"/>
            </w:pPr>
            <w:r>
              <w:rPr>
                <w:color w:val="1C3A36"/>
                <w:sz w:val="18"/>
              </w:rPr>
              <w:t>-18.6%</w:t>
            </w:r>
          </w:p>
        </w:tc>
        <w:tc>
          <w:tcPr>
            <w:tcW w:type="dxa" w:w="2304"/>
          </w:tcPr>
          <w:p>
            <w:pPr>
              <w:spacing w:after="20"/>
              <w:jc w:val="right"/>
            </w:pPr>
            <w:r>
              <w:rPr>
                <w:color w:val="1C3A36"/>
                <w:sz w:val="18"/>
              </w:rPr>
              <w:t>1%</w:t>
            </w:r>
          </w:p>
        </w:tc>
        <w:tc>
          <w:tcPr>
            <w:tcW w:type="dxa" w:w="2304"/>
          </w:tcPr>
          <w:p>
            <w:pPr>
              <w:spacing w:after="20"/>
              <w:jc w:val="right"/>
            </w:pPr>
            <w:r>
              <w:rPr>
                <w:color w:val="1C3A36"/>
                <w:sz w:val="18"/>
              </w:rPr>
              <w:t>5%</w:t>
            </w:r>
          </w:p>
        </w:tc>
      </w:tr>
    </w:tbl>
    <w:p>
      <w:pPr>
        <w:spacing w:after="40"/>
      </w:pPr>
    </w:p>
    <w:p>
      <w:pPr>
        <w:spacing w:after="120" w:before="280"/>
      </w:pPr>
      <w:r>
        <w:rPr>
          <w:b/>
          <w:i w:val="0"/>
          <w:color w:val="1C3A36"/>
          <w:sz w:val="30"/>
        </w:rPr>
        <w:t>4  Comparison of the lenses, and a verdict</w:t>
      </w:r>
    </w:p>
    <w:p>
      <w:pPr>
        <w:spacing w:after="120" w:before="0"/>
      </w:pPr>
      <w:r>
        <w:rPr>
          <w:b w:val="0"/>
          <w:i w:val="0"/>
          <w:color w:val="1C3A36"/>
          <w:sz w:val="20"/>
        </w:rPr>
        <w:t>Three clocks, kept deliberately separate. The 60-session clock is the Monte Carlo’s: essentially flat centre, 54.5% above spot, odds 1.53 on ±10% — an event tape (Vodafone approvals, Q2 results, the payout question) around a money-market carry. The ~12-month clock is the weighted fundamental central of AED 22.72: about 15.5% above spot, earned only as the royalty reset, the Careem/Vodafone completions and the FY26 guidance land. The multi-year clock is the DCF’s 28.38 — a statement about terminal franchise economics (TV 79% of EV), a ceiling to grow into, not a target to trade to.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656"/>
            <w:shd w:val="clear" w:color="auto" w:fill="EAF0EE"/>
          </w:tcPr>
          <w:p>
            <w:pPr>
              <w:spacing w:after="20"/>
            </w:pPr>
            <w:r>
              <w:rPr>
                <w:b/>
                <w:color w:val="1C3A36"/>
                <w:sz w:val="18"/>
              </w:rPr>
              <w:t>Clock</w:t>
            </w:r>
          </w:p>
        </w:tc>
        <w:tc>
          <w:tcPr>
            <w:tcW w:type="dxa" w:w="3312"/>
            <w:shd w:val="clear" w:color="auto" w:fill="EAF0EE"/>
          </w:tcPr>
          <w:p>
            <w:pPr>
              <w:spacing w:after="20"/>
            </w:pPr>
            <w:r>
              <w:rPr>
                <w:b/>
                <w:color w:val="1C3A36"/>
                <w:sz w:val="18"/>
              </w:rPr>
              <w:t>Figure</w:t>
            </w:r>
          </w:p>
        </w:tc>
        <w:tc>
          <w:tcPr>
            <w:tcW w:type="dxa" w:w="2448"/>
            <w:shd w:val="clear" w:color="auto" w:fill="EAF0EE"/>
          </w:tcPr>
          <w:p>
            <w:pPr>
              <w:spacing w:after="20"/>
            </w:pPr>
            <w:r>
              <w:rPr>
                <w:b/>
                <w:color w:val="1C3A36"/>
                <w:sz w:val="18"/>
              </w:rPr>
              <w:t>What it is</w:t>
            </w:r>
          </w:p>
        </w:tc>
        <w:tc>
          <w:tcPr>
            <w:tcW w:type="dxa" w:w="2160"/>
            <w:shd w:val="clear" w:color="auto" w:fill="EAF0EE"/>
          </w:tcPr>
          <w:p>
            <w:pPr>
              <w:spacing w:after="20"/>
            </w:pPr>
            <w:r>
              <w:rPr>
                <w:b/>
                <w:color w:val="1C3A36"/>
                <w:sz w:val="18"/>
              </w:rPr>
              <w:t>What it is not</w:t>
            </w:r>
          </w:p>
        </w:tc>
      </w:tr>
      <w:tr>
        <w:tc>
          <w:tcPr>
            <w:tcW w:type="dxa" w:w="1656"/>
          </w:tcPr>
          <w:p>
            <w:pPr>
              <w:spacing w:after="20"/>
            </w:pPr>
            <w:r>
              <w:rPr>
                <w:color w:val="1C3A36"/>
                <w:sz w:val="18"/>
              </w:rPr>
              <w:t>T+60 sessions</w:t>
            </w:r>
          </w:p>
        </w:tc>
        <w:tc>
          <w:tcPr>
            <w:tcW w:type="dxa" w:w="3312"/>
          </w:tcPr>
          <w:p>
            <w:pPr>
              <w:spacing w:after="20"/>
              <w:jc w:val="right"/>
            </w:pPr>
            <w:r>
              <w:rPr>
                <w:color w:val="1C3A36"/>
                <w:sz w:val="18"/>
              </w:rPr>
              <w:t>median 19.86 · 50% band 18.68–21.09</w:t>
            </w:r>
          </w:p>
        </w:tc>
        <w:tc>
          <w:tcPr>
            <w:tcW w:type="dxa" w:w="2448"/>
          </w:tcPr>
          <w:p>
            <w:pPr>
              <w:spacing w:after="20"/>
              <w:jc w:val="right"/>
            </w:pPr>
            <w:r>
              <w:rPr>
                <w:color w:val="1C3A36"/>
                <w:sz w:val="18"/>
              </w:rPr>
              <w:t>calibrated price probabilities</w:t>
            </w:r>
          </w:p>
        </w:tc>
        <w:tc>
          <w:tcPr>
            <w:tcW w:type="dxa" w:w="2160"/>
          </w:tcPr>
          <w:p>
            <w:pPr>
              <w:spacing w:after="20"/>
              <w:jc w:val="right"/>
            </w:pPr>
            <w:r>
              <w:rPr>
                <w:color w:val="1C3A36"/>
                <w:sz w:val="18"/>
              </w:rPr>
              <w:t>a forecast of the news</w:t>
            </w:r>
          </w:p>
        </w:tc>
      </w:tr>
      <w:tr>
        <w:tc>
          <w:tcPr>
            <w:tcW w:type="dxa" w:w="1656"/>
          </w:tcPr>
          <w:p>
            <w:pPr>
              <w:spacing w:after="20"/>
            </w:pPr>
            <w:r>
              <w:rPr>
                <w:color w:val="1C3A36"/>
                <w:sz w:val="18"/>
              </w:rPr>
              <w:t>~12 months</w:t>
            </w:r>
          </w:p>
        </w:tc>
        <w:tc>
          <w:tcPr>
            <w:tcW w:type="dxa" w:w="3312"/>
          </w:tcPr>
          <w:p>
            <w:pPr>
              <w:spacing w:after="20"/>
              <w:jc w:val="right"/>
            </w:pPr>
            <w:r>
              <w:rPr>
                <w:color w:val="1C3A36"/>
                <w:sz w:val="18"/>
              </w:rPr>
              <w:t>central 22.72 (17.61–28.75)</w:t>
            </w:r>
          </w:p>
        </w:tc>
        <w:tc>
          <w:tcPr>
            <w:tcW w:type="dxa" w:w="2448"/>
          </w:tcPr>
          <w:p>
            <w:pPr>
              <w:spacing w:after="20"/>
              <w:jc w:val="right"/>
            </w:pPr>
            <w:r>
              <w:rPr>
                <w:color w:val="1C3A36"/>
                <w:sz w:val="18"/>
              </w:rPr>
              <w:t>risk-adjusted fair-value range</w:t>
            </w:r>
          </w:p>
        </w:tc>
        <w:tc>
          <w:tcPr>
            <w:tcW w:type="dxa" w:w="2160"/>
          </w:tcPr>
          <w:p>
            <w:pPr>
              <w:spacing w:after="20"/>
              <w:jc w:val="right"/>
            </w:pPr>
            <w:r>
              <w:rPr>
                <w:color w:val="1C3A36"/>
                <w:sz w:val="18"/>
              </w:rPr>
              <w:t>a price target</w:t>
            </w:r>
          </w:p>
        </w:tc>
      </w:tr>
      <w:tr>
        <w:tc>
          <w:tcPr>
            <w:tcW w:type="dxa" w:w="1656"/>
          </w:tcPr>
          <w:p>
            <w:pPr>
              <w:spacing w:after="20"/>
            </w:pPr>
            <w:r>
              <w:rPr>
                <w:color w:val="1C3A36"/>
                <w:sz w:val="18"/>
              </w:rPr>
              <w:t>Multi-year</w:t>
            </w:r>
          </w:p>
        </w:tc>
        <w:tc>
          <w:tcPr>
            <w:tcW w:type="dxa" w:w="3312"/>
          </w:tcPr>
          <w:p>
            <w:pPr>
              <w:spacing w:after="20"/>
              <w:jc w:val="right"/>
            </w:pPr>
            <w:r>
              <w:rPr>
                <w:color w:val="1C3A36"/>
                <w:sz w:val="18"/>
              </w:rPr>
              <w:t>DCF 28.38</w:t>
            </w:r>
          </w:p>
        </w:tc>
        <w:tc>
          <w:tcPr>
            <w:tcW w:type="dxa" w:w="2448"/>
          </w:tcPr>
          <w:p>
            <w:pPr>
              <w:spacing w:after="20"/>
              <w:jc w:val="right"/>
            </w:pPr>
            <w:r>
              <w:rPr>
                <w:color w:val="1C3A36"/>
                <w:sz w:val="18"/>
              </w:rPr>
              <w:t>terminal-economics ceiling</w:t>
            </w:r>
          </w:p>
        </w:tc>
        <w:tc>
          <w:tcPr>
            <w:tcW w:type="dxa" w:w="2160"/>
          </w:tcPr>
          <w:p>
            <w:pPr>
              <w:spacing w:after="20"/>
              <w:jc w:val="right"/>
            </w:pPr>
            <w:r>
              <w:rPr>
                <w:color w:val="1C3A36"/>
                <w:sz w:val="18"/>
              </w:rPr>
              <w:t>a 2026 expectation</w:t>
            </w:r>
          </w:p>
        </w:tc>
      </w:tr>
    </w:tbl>
    <w:p>
      <w:pPr>
        <w:spacing w:after="40"/>
      </w:pPr>
    </w:p>
    <w:p>
      <w:pPr>
        <w:spacing w:after="120" w:before="0"/>
      </w:pPr>
      <w:r>
        <w:rPr>
          <w:b w:val="0"/>
          <w:i w:val="0"/>
          <w:color w:val="1C3A36"/>
          <w:sz w:val="20"/>
        </w:rPr>
        <w:t>Verdict, in the house’s only permitted form: the distribution says modestly undervalued with the value locked behind a policy decision — a fair-value range of roughly AED 17–28 with its weight at ~22.5, against a market at 19.66 that is, in effect, paying for the dividend and taking the royalty reset as a coin-flip.</w:t>
      </w:r>
    </w:p>
    <w:p>
      <w:pPr>
        <w:spacing w:after="120" w:before="280"/>
      </w:pPr>
      <w:r>
        <w:rPr>
          <w:b/>
          <w:i w:val="0"/>
          <w:color w:val="1C3A36"/>
          <w:sz w:val="30"/>
        </w:rPr>
        <w:t>5  Catalysts to watch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1728"/>
            <w:shd w:val="clear" w:color="auto" w:fill="EAF0EE"/>
          </w:tcPr>
          <w:p>
            <w:pPr>
              <w:spacing w:after="20"/>
            </w:pPr>
            <w:r>
              <w:rPr>
                <w:b/>
                <w:color w:val="1C3A36"/>
                <w:sz w:val="18"/>
              </w:rPr>
              <w:t>When</w:t>
            </w:r>
          </w:p>
        </w:tc>
        <w:tc>
          <w:tcPr>
            <w:tcW w:type="dxa" w:w="3384"/>
            <w:shd w:val="clear" w:color="auto" w:fill="EAF0EE"/>
          </w:tcPr>
          <w:p>
            <w:pPr>
              <w:spacing w:after="20"/>
            </w:pPr>
            <w:r>
              <w:rPr>
                <w:b/>
                <w:color w:val="1C3A36"/>
                <w:sz w:val="18"/>
              </w:rPr>
              <w:t>Event</w:t>
            </w:r>
          </w:p>
        </w:tc>
        <w:tc>
          <w:tcPr>
            <w:tcW w:type="dxa" w:w="4464"/>
            <w:shd w:val="clear" w:color="auto" w:fill="EAF0EE"/>
          </w:tcPr>
          <w:p>
            <w:pPr>
              <w:spacing w:after="20"/>
            </w:pPr>
            <w:r>
              <w:rPr>
                <w:b/>
                <w:color w:val="1C3A36"/>
                <w:sz w:val="18"/>
              </w:rPr>
              <w:t>Why it matters</w:t>
            </w:r>
          </w:p>
        </w:tc>
      </w:tr>
      <w:tr>
        <w:tc>
          <w:tcPr>
            <w:tcW w:type="dxa" w:w="1728"/>
          </w:tcPr>
          <w:p>
            <w:pPr>
              <w:spacing w:after="20"/>
            </w:pPr>
            <w:r>
              <w:rPr>
                <w:color w:val="1C3A36"/>
                <w:sz w:val="18"/>
              </w:rPr>
              <w:t>Late Jul 2026</w:t>
            </w:r>
          </w:p>
        </w:tc>
        <w:tc>
          <w:tcPr>
            <w:tcW w:type="dxa" w:w="3384"/>
          </w:tcPr>
          <w:p>
            <w:pPr>
              <w:spacing w:after="20"/>
              <w:jc w:val="right"/>
            </w:pPr>
            <w:r>
              <w:rPr>
                <w:color w:val="1C3A36"/>
                <w:sz w:val="18"/>
              </w:rPr>
              <w:t>Q2-2026 results</w:t>
            </w:r>
          </w:p>
        </w:tc>
        <w:tc>
          <w:tcPr>
            <w:tcW w:type="dxa" w:w="4464"/>
          </w:tcPr>
          <w:p>
            <w:pPr>
              <w:spacing w:after="20"/>
              <w:jc w:val="right"/>
            </w:pPr>
            <w:r>
              <w:rPr>
                <w:color w:val="1C3A36"/>
                <w:sz w:val="18"/>
              </w:rPr>
              <w:t>first read on guidance pace and the enterprise-segment normalisation</w:t>
            </w:r>
          </w:p>
        </w:tc>
      </w:tr>
      <w:tr>
        <w:tc>
          <w:tcPr>
            <w:tcW w:type="dxa" w:w="1728"/>
          </w:tcPr>
          <w:p>
            <w:pPr>
              <w:spacing w:after="20"/>
            </w:pPr>
            <w:r>
              <w:rPr>
                <w:color w:val="1C3A36"/>
                <w:sz w:val="18"/>
              </w:rPr>
              <w:t>H2 2026</w:t>
            </w:r>
          </w:p>
        </w:tc>
        <w:tc>
          <w:tcPr>
            <w:tcW w:type="dxa" w:w="3384"/>
          </w:tcPr>
          <w:p>
            <w:pPr>
              <w:spacing w:after="20"/>
              <w:jc w:val="right"/>
            </w:pPr>
            <w:r>
              <w:rPr>
                <w:color w:val="1C3A36"/>
                <w:sz w:val="18"/>
              </w:rPr>
              <w:t>Vodafone sale regulatory clearances</w:t>
            </w:r>
          </w:p>
        </w:tc>
        <w:tc>
          <w:tcPr>
            <w:tcW w:type="dxa" w:w="4464"/>
          </w:tcPr>
          <w:p>
            <w:pPr>
              <w:spacing w:after="20"/>
              <w:jc w:val="right"/>
            </w:pPr>
            <w:r>
              <w:rPr>
                <w:color w:val="1C3A36"/>
                <w:sz w:val="18"/>
              </w:rPr>
              <w:t>crystallises AED 21.8bn gross / ~4.7bn net; removes an equity-market overhang</w:t>
            </w:r>
          </w:p>
        </w:tc>
      </w:tr>
      <w:tr>
        <w:tc>
          <w:tcPr>
            <w:tcW w:type="dxa" w:w="1728"/>
          </w:tcPr>
          <w:p>
            <w:pPr>
              <w:spacing w:after="20"/>
            </w:pPr>
            <w:r>
              <w:rPr>
                <w:color w:val="1C3A36"/>
                <w:sz w:val="18"/>
              </w:rPr>
              <w:t>H2 2026</w:t>
            </w:r>
          </w:p>
        </w:tc>
        <w:tc>
          <w:tcPr>
            <w:tcW w:type="dxa" w:w="3384"/>
          </w:tcPr>
          <w:p>
            <w:pPr>
              <w:spacing w:after="20"/>
              <w:jc w:val="right"/>
            </w:pPr>
            <w:r>
              <w:rPr>
                <w:color w:val="1C3A36"/>
                <w:sz w:val="18"/>
              </w:rPr>
              <w:t>Careem–Uber completion</w:t>
            </w:r>
          </w:p>
        </w:tc>
        <w:tc>
          <w:tcPr>
            <w:tcW w:type="dxa" w:w="4464"/>
          </w:tcPr>
          <w:p>
            <w:pPr>
              <w:spacing w:after="20"/>
              <w:jc w:val="right"/>
            </w:pPr>
            <w:r>
              <w:rPr>
                <w:color w:val="1C3A36"/>
                <w:sz w:val="18"/>
              </w:rPr>
              <w:t>deconsolidates the e&amp; life drag; ~30bp margin accretion built into FY27E</w:t>
            </w:r>
          </w:p>
        </w:tc>
      </w:tr>
      <w:tr>
        <w:tc>
          <w:tcPr>
            <w:tcW w:type="dxa" w:w="1728"/>
          </w:tcPr>
          <w:p>
            <w:pPr>
              <w:spacing w:after="20"/>
            </w:pPr>
            <w:r>
              <w:rPr>
                <w:color w:val="1C3A36"/>
                <w:sz w:val="18"/>
              </w:rPr>
              <w:t>By 31 Dec 2026</w:t>
            </w:r>
          </w:p>
        </w:tc>
        <w:tc>
          <w:tcPr>
            <w:tcW w:type="dxa" w:w="3384"/>
          </w:tcPr>
          <w:p>
            <w:pPr>
              <w:spacing w:after="20"/>
              <w:jc w:val="right"/>
            </w:pPr>
            <w:r>
              <w:rPr>
                <w:color w:val="1C3A36"/>
                <w:sz w:val="18"/>
              </w:rPr>
              <w:t>The 2027+ royalty regime</w:t>
            </w:r>
          </w:p>
        </w:tc>
        <w:tc>
          <w:tcPr>
            <w:tcW w:type="dxa" w:w="4464"/>
          </w:tcPr>
          <w:p>
            <w:pPr>
              <w:spacing w:after="20"/>
              <w:jc w:val="right"/>
            </w:pPr>
            <w:r>
              <w:rPr>
                <w:color w:val="1C3A36"/>
                <w:sz w:val="18"/>
              </w:rPr>
              <w:t>the crux: ±4pp of royalty ≈ ±AED 1.1/share of DCF value</w:t>
            </w:r>
          </w:p>
        </w:tc>
      </w:tr>
      <w:tr>
        <w:tc>
          <w:tcPr>
            <w:tcW w:type="dxa" w:w="1728"/>
          </w:tcPr>
          <w:p>
            <w:pPr>
              <w:spacing w:after="20"/>
            </w:pPr>
            <w:r>
              <w:rPr>
                <w:color w:val="1C3A36"/>
                <w:sz w:val="18"/>
              </w:rPr>
              <w:t>Feb–Mar 2027</w:t>
            </w:r>
          </w:p>
        </w:tc>
        <w:tc>
          <w:tcPr>
            <w:tcW w:type="dxa" w:w="3384"/>
          </w:tcPr>
          <w:p>
            <w:pPr>
              <w:spacing w:after="20"/>
              <w:jc w:val="right"/>
            </w:pPr>
            <w:r>
              <w:rPr>
                <w:color w:val="1C3A36"/>
                <w:sz w:val="18"/>
              </w:rPr>
              <w:t>FY26 results + DPS declaration</w:t>
            </w:r>
          </w:p>
        </w:tc>
        <w:tc>
          <w:tcPr>
            <w:tcW w:type="dxa" w:w="4464"/>
          </w:tcPr>
          <w:p>
            <w:pPr>
              <w:spacing w:after="20"/>
              <w:jc w:val="right"/>
            </w:pPr>
            <w:r>
              <w:rPr>
                <w:color w:val="1C3A36"/>
                <w:sz w:val="18"/>
              </w:rPr>
              <w:t>tests the 95-fils guide and any proceeds-funded step-up</w:t>
            </w:r>
          </w:p>
        </w:tc>
      </w:tr>
      <w:tr>
        <w:tc>
          <w:tcPr>
            <w:tcW w:type="dxa" w:w="1728"/>
          </w:tcPr>
          <w:p>
            <w:pPr>
              <w:spacing w:after="20"/>
            </w:pPr>
            <w:r>
              <w:rPr>
                <w:color w:val="1C3A36"/>
                <w:sz w:val="18"/>
              </w:rPr>
              <w:t>Ongoing</w:t>
            </w:r>
          </w:p>
        </w:tc>
        <w:tc>
          <w:tcPr>
            <w:tcW w:type="dxa" w:w="3384"/>
          </w:tcPr>
          <w:p>
            <w:pPr>
              <w:spacing w:after="20"/>
              <w:jc w:val="right"/>
            </w:pPr>
            <w:r>
              <w:rPr>
                <w:color w:val="1C3A36"/>
                <w:sz w:val="18"/>
              </w:rPr>
              <w:t>CBUAE/Fed path; regional tape</w:t>
            </w:r>
          </w:p>
        </w:tc>
        <w:tc>
          <w:tcPr>
            <w:tcW w:type="dxa" w:w="4464"/>
          </w:tcPr>
          <w:p>
            <w:pPr>
              <w:spacing w:after="20"/>
              <w:jc w:val="right"/>
            </w:pPr>
            <w:r>
              <w:rPr>
                <w:color w:val="1C3A36"/>
                <w:sz w:val="18"/>
              </w:rPr>
              <w:t>the carry anchor and the priced tail both move with these</w:t>
            </w:r>
          </w:p>
        </w:tc>
      </w:tr>
    </w:tbl>
    <w:p>
      <w:pPr>
        <w:spacing w:after="40"/>
      </w:pPr>
    </w:p>
    <w:p>
      <w:pPr>
        <w:spacing w:after="120" w:before="280"/>
      </w:pPr>
      <w:r>
        <w:rPr>
          <w:b/>
          <w:i w:val="0"/>
          <w:color w:val="1C3A36"/>
          <w:sz w:val="30"/>
        </w:rPr>
        <w:t>6  Reading the probability zones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088"/>
            <w:shd w:val="clear" w:color="auto" w:fill="EAF0EE"/>
          </w:tcPr>
          <w:p>
            <w:pPr>
              <w:spacing w:after="20"/>
            </w:pPr>
            <w:r>
              <w:rPr>
                <w:b/>
                <w:color w:val="1C3A36"/>
                <w:sz w:val="18"/>
              </w:rPr>
              <w:t>Zone (AED at T+60)</w:t>
            </w:r>
          </w:p>
        </w:tc>
        <w:tc>
          <w:tcPr>
            <w:tcW w:type="dxa" w:w="1440"/>
            <w:shd w:val="clear" w:color="auto" w:fill="EAF0EE"/>
          </w:tcPr>
          <w:p>
            <w:pPr>
              <w:spacing w:after="20"/>
            </w:pPr>
            <w:r>
              <w:rPr>
                <w:b/>
                <w:color w:val="1C3A36"/>
                <w:sz w:val="18"/>
              </w:rPr>
              <w:t>Probability</w:t>
            </w:r>
          </w:p>
        </w:tc>
        <w:tc>
          <w:tcPr>
            <w:tcW w:type="dxa" w:w="6048"/>
            <w:shd w:val="clear" w:color="auto" w:fill="EAF0EE"/>
          </w:tcPr>
          <w:p>
            <w:pPr>
              <w:spacing w:after="20"/>
            </w:pPr>
            <w:r>
              <w:rPr>
                <w:b/>
                <w:color w:val="1C3A36"/>
                <w:sz w:val="18"/>
              </w:rPr>
              <w:t>The world in which it happens</w:t>
            </w:r>
          </w:p>
        </w:tc>
      </w:tr>
      <w:tr>
        <w:tc>
          <w:tcPr>
            <w:tcW w:type="dxa" w:w="2088"/>
          </w:tcPr>
          <w:p>
            <w:pPr>
              <w:spacing w:after="20"/>
            </w:pPr>
            <w:r>
              <w:rPr>
                <w:color w:val="1C3A36"/>
                <w:sz w:val="18"/>
              </w:rPr>
              <w:t>below 17.00</w:t>
            </w:r>
          </w:p>
        </w:tc>
        <w:tc>
          <w:tcPr>
            <w:tcW w:type="dxa" w:w="1440"/>
          </w:tcPr>
          <w:p>
            <w:pPr>
              <w:spacing w:after="20"/>
              <w:jc w:val="right"/>
            </w:pPr>
            <w:r>
              <w:rPr>
                <w:color w:val="1C3A36"/>
                <w:sz w:val="18"/>
              </w:rPr>
              <w:t>6.3%</w:t>
            </w:r>
          </w:p>
        </w:tc>
        <w:tc>
          <w:tcPr>
            <w:tcW w:type="dxa" w:w="6048"/>
          </w:tcPr>
          <w:p>
            <w:pPr>
              <w:spacing w:after="20"/>
              <w:jc w:val="right"/>
            </w:pPr>
            <w:r>
              <w:rPr>
                <w:color w:val="1C3A36"/>
                <w:sz w:val="18"/>
              </w:rPr>
              <w:t>royalty shock or regional re-escalation; the left tail is policy, not operations</w:t>
            </w:r>
          </w:p>
        </w:tc>
      </w:tr>
      <w:tr>
        <w:tc>
          <w:tcPr>
            <w:tcW w:type="dxa" w:w="2088"/>
          </w:tcPr>
          <w:p>
            <w:pPr>
              <w:spacing w:after="20"/>
            </w:pPr>
            <w:r>
              <w:rPr>
                <w:color w:val="1C3A36"/>
                <w:sz w:val="18"/>
              </w:rPr>
              <w:t>17.00–18.50</w:t>
            </w:r>
          </w:p>
        </w:tc>
        <w:tc>
          <w:tcPr>
            <w:tcW w:type="dxa" w:w="1440"/>
          </w:tcPr>
          <w:p>
            <w:pPr>
              <w:spacing w:after="20"/>
              <w:jc w:val="right"/>
            </w:pPr>
            <w:r>
              <w:rPr>
                <w:color w:val="1C3A36"/>
                <w:sz w:val="18"/>
              </w:rPr>
              <w:t>15.6%</w:t>
            </w:r>
          </w:p>
        </w:tc>
        <w:tc>
          <w:tcPr>
            <w:tcW w:type="dxa" w:w="6048"/>
          </w:tcPr>
          <w:p>
            <w:pPr>
              <w:spacing w:after="20"/>
              <w:jc w:val="right"/>
            </w:pPr>
            <w:r>
              <w:rPr>
                <w:color w:val="1C3A36"/>
                <w:sz w:val="18"/>
              </w:rPr>
              <w:t>deal delays plus a soft Q2; the spring shelf gives way</w:t>
            </w:r>
          </w:p>
        </w:tc>
      </w:tr>
      <w:tr>
        <w:tc>
          <w:tcPr>
            <w:tcW w:type="dxa" w:w="2088"/>
            <w:shd w:val="clear" w:color="auto" w:fill="F6F1E6"/>
          </w:tcPr>
          <w:p>
            <w:pPr>
              <w:spacing w:after="20"/>
            </w:pPr>
            <w:r>
              <w:rPr>
                <w:b/>
                <w:color w:val="1C3A36"/>
                <w:sz w:val="18"/>
              </w:rPr>
              <w:t>18.50–20.50</w:t>
            </w:r>
          </w:p>
        </w:tc>
        <w:tc>
          <w:tcPr>
            <w:tcW w:type="dxa" w:w="1440"/>
            <w:shd w:val="clear" w:color="auto" w:fill="F6F1E6"/>
          </w:tcPr>
          <w:p>
            <w:pPr>
              <w:spacing w:after="20"/>
              <w:jc w:val="right"/>
            </w:pPr>
            <w:r>
              <w:rPr>
                <w:b/>
                <w:color w:val="1C3A36"/>
                <w:sz w:val="18"/>
              </w:rPr>
              <w:t>42.4%</w:t>
            </w:r>
          </w:p>
        </w:tc>
        <w:tc>
          <w:tcPr>
            <w:tcW w:type="dxa" w:w="6048"/>
            <w:shd w:val="clear" w:color="auto" w:fill="F6F1E6"/>
          </w:tcPr>
          <w:p>
            <w:pPr>
              <w:spacing w:after="20"/>
              <w:jc w:val="right"/>
            </w:pPr>
            <w:r>
              <w:rPr>
                <w:b/>
                <w:color w:val="1C3A36"/>
                <w:sz w:val="18"/>
              </w:rPr>
              <w:t>the base world: guidance on track, approvals pending, carry does the work</w:t>
            </w:r>
          </w:p>
        </w:tc>
      </w:tr>
      <w:tr>
        <w:tc>
          <w:tcPr>
            <w:tcW w:type="dxa" w:w="2088"/>
          </w:tcPr>
          <w:p>
            <w:pPr>
              <w:spacing w:after="20"/>
            </w:pPr>
            <w:r>
              <w:rPr>
                <w:color w:val="1C3A36"/>
                <w:sz w:val="18"/>
              </w:rPr>
              <w:t>20.50–22.00</w:t>
            </w:r>
          </w:p>
        </w:tc>
        <w:tc>
          <w:tcPr>
            <w:tcW w:type="dxa" w:w="1440"/>
          </w:tcPr>
          <w:p>
            <w:pPr>
              <w:spacing w:after="20"/>
              <w:jc w:val="right"/>
            </w:pPr>
            <w:r>
              <w:rPr>
                <w:color w:val="1C3A36"/>
                <w:sz w:val="18"/>
              </w:rPr>
              <w:t>21.8%</w:t>
            </w:r>
          </w:p>
        </w:tc>
        <w:tc>
          <w:tcPr>
            <w:tcW w:type="dxa" w:w="6048"/>
          </w:tcPr>
          <w:p>
            <w:pPr>
              <w:spacing w:after="20"/>
              <w:jc w:val="right"/>
            </w:pPr>
            <w:r>
              <w:rPr>
                <w:color w:val="1C3A36"/>
                <w:sz w:val="18"/>
              </w:rPr>
              <w:t>Vodafone clears early and the payout conversation starts</w:t>
            </w:r>
          </w:p>
        </w:tc>
      </w:tr>
      <w:tr>
        <w:tc>
          <w:tcPr>
            <w:tcW w:type="dxa" w:w="2088"/>
          </w:tcPr>
          <w:p>
            <w:pPr>
              <w:spacing w:after="20"/>
            </w:pPr>
            <w:r>
              <w:rPr>
                <w:color w:val="1C3A36"/>
                <w:sz w:val="18"/>
              </w:rPr>
              <w:t>above 22.00</w:t>
            </w:r>
          </w:p>
        </w:tc>
        <w:tc>
          <w:tcPr>
            <w:tcW w:type="dxa" w:w="1440"/>
          </w:tcPr>
          <w:p>
            <w:pPr>
              <w:spacing w:after="20"/>
              <w:jc w:val="right"/>
            </w:pPr>
            <w:r>
              <w:rPr>
                <w:color w:val="1C3A36"/>
                <w:sz w:val="18"/>
              </w:rPr>
              <w:t>14.0%</w:t>
            </w:r>
          </w:p>
        </w:tc>
        <w:tc>
          <w:tcPr>
            <w:tcW w:type="dxa" w:w="6048"/>
          </w:tcPr>
          <w:p>
            <w:pPr>
              <w:spacing w:after="20"/>
              <w:jc w:val="right"/>
            </w:pPr>
            <w:r>
              <w:rPr>
                <w:color w:val="1C3A36"/>
                <w:sz w:val="18"/>
              </w:rPr>
              <w:t>clearance plus a favourable royalty signal — the two rights together</w:t>
            </w:r>
          </w:p>
        </w:tc>
      </w:tr>
    </w:tbl>
    <w:p>
      <w:pPr>
        <w:spacing w:after="40"/>
      </w:pPr>
    </w:p>
    <w:p>
      <w:pPr>
        <w:spacing w:after="120" w:before="280"/>
      </w:pPr>
      <w:r>
        <w:rPr>
          <w:b/>
          <w:i w:val="0"/>
          <w:color w:val="1C3A36"/>
          <w:sz w:val="30"/>
        </w:rPr>
        <w:t>7  Caveats and what would change our mind</w:t>
      </w:r>
    </w:p>
    <w:p>
      <w:pPr>
        <w:spacing w:after="60" w:before="0"/>
      </w:pPr>
      <w:r>
        <w:rPr>
          <w:b w:val="0"/>
          <w:i w:val="0"/>
          <w:color w:val="1C3A36"/>
          <w:sz w:val="20"/>
        </w:rPr>
        <w:t>Named, dated, falsifiable: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504"/>
            <w:shd w:val="clear" w:color="auto" w:fill="EAF0EE"/>
          </w:tcPr>
          <w:p>
            <w:pPr>
              <w:spacing w:after="20"/>
            </w:pPr>
            <w:r>
              <w:rPr>
                <w:b/>
                <w:color w:val="1C3A36"/>
                <w:sz w:val="18"/>
              </w:rPr>
              <w:t>#</w:t>
            </w:r>
          </w:p>
        </w:tc>
        <w:tc>
          <w:tcPr>
            <w:tcW w:type="dxa" w:w="4608"/>
            <w:shd w:val="clear" w:color="auto" w:fill="EAF0EE"/>
          </w:tcPr>
          <w:p>
            <w:pPr>
              <w:spacing w:after="20"/>
            </w:pPr>
            <w:r>
              <w:rPr>
                <w:b/>
                <w:color w:val="1C3A36"/>
                <w:sz w:val="18"/>
              </w:rPr>
              <w:t>Trigger</w:t>
            </w:r>
          </w:p>
        </w:tc>
        <w:tc>
          <w:tcPr>
            <w:tcW w:type="dxa" w:w="4464"/>
            <w:shd w:val="clear" w:color="auto" w:fill="EAF0EE"/>
          </w:tcPr>
          <w:p>
            <w:pPr>
              <w:spacing w:after="20"/>
            </w:pPr>
            <w:r>
              <w:rPr>
                <w:b/>
                <w:color w:val="1C3A36"/>
                <w:sz w:val="18"/>
              </w:rPr>
              <w:t>Consequence for this study</w:t>
            </w:r>
          </w:p>
        </w:tc>
      </w:tr>
      <w:tr>
        <w:tc>
          <w:tcPr>
            <w:tcW w:type="dxa" w:w="504"/>
          </w:tcPr>
          <w:p>
            <w:pPr>
              <w:spacing w:after="20"/>
            </w:pPr>
            <w:r>
              <w:rPr>
                <w:color w:val="1C3A36"/>
                <w:sz w:val="18"/>
              </w:rPr>
              <w:t>1</w:t>
            </w:r>
          </w:p>
        </w:tc>
        <w:tc>
          <w:tcPr>
            <w:tcW w:type="dxa" w:w="4608"/>
          </w:tcPr>
          <w:p>
            <w:pPr>
              <w:spacing w:after="20"/>
              <w:jc w:val="right"/>
            </w:pPr>
            <w:r>
              <w:rPr>
                <w:color w:val="1C3A36"/>
                <w:sz w:val="18"/>
              </w:rPr>
              <w:t>The 2027 royalty regime lands above 42% or broadens the base (announcement due by year-end)</w:t>
            </w:r>
          </w:p>
        </w:tc>
        <w:tc>
          <w:tcPr>
            <w:tcW w:type="dxa" w:w="4464"/>
          </w:tcPr>
          <w:p>
            <w:pPr>
              <w:spacing w:after="20"/>
              <w:jc w:val="right"/>
            </w:pPr>
            <w:r>
              <w:rPr>
                <w:color w:val="1C3A36"/>
                <w:sz w:val="18"/>
              </w:rPr>
              <w:t>base t_eff and the DCF re-cut; the central falls toward the 17s</w:t>
            </w:r>
          </w:p>
        </w:tc>
      </w:tr>
      <w:tr>
        <w:tc>
          <w:tcPr>
            <w:tcW w:type="dxa" w:w="504"/>
          </w:tcPr>
          <w:p>
            <w:pPr>
              <w:spacing w:after="20"/>
            </w:pPr>
            <w:r>
              <w:rPr>
                <w:color w:val="1C3A36"/>
                <w:sz w:val="18"/>
              </w:rPr>
              <w:t>2</w:t>
            </w:r>
          </w:p>
        </w:tc>
        <w:tc>
          <w:tcPr>
            <w:tcW w:type="dxa" w:w="4608"/>
          </w:tcPr>
          <w:p>
            <w:pPr>
              <w:spacing w:after="20"/>
              <w:jc w:val="right"/>
            </w:pPr>
            <w:r>
              <w:rPr>
                <w:color w:val="1C3A36"/>
                <w:sz w:val="18"/>
              </w:rPr>
              <w:t>The Vodafone sale is blocked or repriced below ~100p</w:t>
            </w:r>
          </w:p>
        </w:tc>
        <w:tc>
          <w:tcPr>
            <w:tcW w:type="dxa" w:w="4464"/>
          </w:tcPr>
          <w:p>
            <w:pPr>
              <w:spacing w:after="20"/>
              <w:jc w:val="right"/>
            </w:pPr>
            <w:r>
              <w:rPr>
                <w:color w:val="1C3A36"/>
                <w:sz w:val="18"/>
              </w:rPr>
              <w:t>bridge reverts to the undisturbed mark (−AED 2.7bn) and the deleveraging thesis stalls</w:t>
            </w:r>
          </w:p>
        </w:tc>
      </w:tr>
      <w:tr>
        <w:tc>
          <w:tcPr>
            <w:tcW w:type="dxa" w:w="504"/>
          </w:tcPr>
          <w:p>
            <w:pPr>
              <w:spacing w:after="20"/>
            </w:pPr>
            <w:r>
              <w:rPr>
                <w:color w:val="1C3A36"/>
                <w:sz w:val="18"/>
              </w:rPr>
              <w:t>3</w:t>
            </w:r>
          </w:p>
        </w:tc>
        <w:tc>
          <w:tcPr>
            <w:tcW w:type="dxa" w:w="4608"/>
          </w:tcPr>
          <w:p>
            <w:pPr>
              <w:spacing w:after="20"/>
              <w:jc w:val="right"/>
            </w:pPr>
            <w:r>
              <w:rPr>
                <w:color w:val="1C3A36"/>
                <w:sz w:val="18"/>
              </w:rPr>
              <w:t>Q2/Q3-26 EBITDA margin prints below ~41% reported</w:t>
            </w:r>
          </w:p>
        </w:tc>
        <w:tc>
          <w:tcPr>
            <w:tcW w:type="dxa" w:w="4464"/>
          </w:tcPr>
          <w:p>
            <w:pPr>
              <w:spacing w:after="20"/>
              <w:jc w:val="right"/>
            </w:pPr>
            <w:r>
              <w:rPr>
                <w:color w:val="1C3A36"/>
                <w:sz w:val="18"/>
              </w:rPr>
              <w:t>the guidance-anchored margin glide fails; FY26E EBITDA and every lens re-base</w:t>
            </w:r>
          </w:p>
        </w:tc>
      </w:tr>
      <w:tr>
        <w:tc>
          <w:tcPr>
            <w:tcW w:type="dxa" w:w="504"/>
          </w:tcPr>
          <w:p>
            <w:pPr>
              <w:spacing w:after="20"/>
            </w:pPr>
            <w:r>
              <w:rPr>
                <w:color w:val="1C3A36"/>
                <w:sz w:val="18"/>
              </w:rPr>
              <w:t>4</w:t>
            </w:r>
          </w:p>
        </w:tc>
        <w:tc>
          <w:tcPr>
            <w:tcW w:type="dxa" w:w="4608"/>
          </w:tcPr>
          <w:p>
            <w:pPr>
              <w:spacing w:after="20"/>
              <w:jc w:val="right"/>
            </w:pPr>
            <w:r>
              <w:rPr>
                <w:color w:val="1C3A36"/>
                <w:sz w:val="18"/>
              </w:rPr>
              <w:t>du’s mobile share passes ~38% or a price war starts</w:t>
            </w:r>
          </w:p>
        </w:tc>
        <w:tc>
          <w:tcPr>
            <w:tcW w:type="dxa" w:w="4464"/>
          </w:tcPr>
          <w:p>
            <w:pPr>
              <w:spacing w:after="20"/>
              <w:jc w:val="right"/>
            </w:pPr>
            <w:r>
              <w:rPr>
                <w:color w:val="1C3A36"/>
                <w:sz w:val="18"/>
              </w:rPr>
              <w:t>the low-single-digit UAE growth assumption becomes optimistic, not conservative</w:t>
            </w:r>
          </w:p>
        </w:tc>
      </w:tr>
      <w:tr>
        <w:tc>
          <w:tcPr>
            <w:tcW w:type="dxa" w:w="504"/>
          </w:tcPr>
          <w:p>
            <w:pPr>
              <w:spacing w:after="20"/>
            </w:pPr>
            <w:r>
              <w:rPr>
                <w:color w:val="1C3A36"/>
                <w:sz w:val="18"/>
              </w:rPr>
              <w:t>5</w:t>
            </w:r>
          </w:p>
        </w:tc>
        <w:tc>
          <w:tcPr>
            <w:tcW w:type="dxa" w:w="4608"/>
          </w:tcPr>
          <w:p>
            <w:pPr>
              <w:spacing w:after="20"/>
              <w:jc w:val="right"/>
            </w:pPr>
            <w:r>
              <w:rPr>
                <w:color w:val="1C3A36"/>
                <w:sz w:val="18"/>
              </w:rPr>
              <w:t>FY26 DPS declared below 95 fils</w:t>
            </w:r>
          </w:p>
        </w:tc>
        <w:tc>
          <w:tcPr>
            <w:tcW w:type="dxa" w:w="4464"/>
          </w:tcPr>
          <w:p>
            <w:pPr>
              <w:spacing w:after="20"/>
              <w:jc w:val="right"/>
            </w:pPr>
            <w:r>
              <w:rPr>
                <w:color w:val="1C3A36"/>
                <w:sz w:val="18"/>
              </w:rPr>
              <w:t>the policy lens and the payout-step-up factor were wrong; DDM re-anchors lower</w:t>
            </w:r>
          </w:p>
        </w:tc>
      </w:tr>
      <w:tr>
        <w:tc>
          <w:tcPr>
            <w:tcW w:type="dxa" w:w="504"/>
          </w:tcPr>
          <w:p>
            <w:pPr>
              <w:spacing w:after="20"/>
            </w:pPr>
            <w:r>
              <w:rPr>
                <w:color w:val="1C3A36"/>
                <w:sz w:val="18"/>
              </w:rPr>
              <w:t>6</w:t>
            </w:r>
          </w:p>
        </w:tc>
        <w:tc>
          <w:tcPr>
            <w:tcW w:type="dxa" w:w="4608"/>
          </w:tcPr>
          <w:p>
            <w:pPr>
              <w:spacing w:after="20"/>
              <w:jc w:val="right"/>
            </w:pPr>
            <w:r>
              <w:rPr>
                <w:color w:val="1C3A36"/>
                <w:sz w:val="18"/>
              </w:rPr>
              <w:t>UAE 5-yr yields move ±100bp from 4.30%</w:t>
            </w:r>
          </w:p>
        </w:tc>
        <w:tc>
          <w:tcPr>
            <w:tcW w:type="dxa" w:w="4464"/>
          </w:tcPr>
          <w:p>
            <w:pPr>
              <w:spacing w:after="20"/>
              <w:jc w:val="right"/>
            </w:pPr>
            <w:r>
              <w:rPr>
                <w:color w:val="1C3A36"/>
                <w:sz w:val="18"/>
              </w:rPr>
              <w:t>WACC grid: the value range shifts ≈ ∓AED 4/share at the DCF lens</w:t>
            </w:r>
          </w:p>
        </w:tc>
      </w:tr>
    </w:tbl>
    <w:p>
      <w:pPr>
        <w:spacing w:after="40"/>
      </w:pPr>
    </w:p>
    <w:p>
      <w:pPr>
        <w:spacing w:after="120" w:before="0"/>
      </w:pPr>
      <w:r>
        <w:rPr>
          <w:b w:val="0"/>
          <w:i w:val="0"/>
          <w:color w:val="1C3A36"/>
          <w:sz w:val="19"/>
        </w:rPr>
        <w:t>Structural caveats: e&amp; is not yet a constituent of the 10-name UAE panel used to fit the Monte Carlo (ν=4, width 1.07) — it inherits the market-level fit rather than contributing its own name-level backtest to it; that changes at the next panel refit. The Egypt and Careem NCI marks are estimates, flagged where they appear; the beta is assumed at 1.0 with the grid published; and FY23 royalty-era comparatives pre-date the 2024 presentation restatement. None of these is hidden in a footnote — each appears where it bites.</w:t>
      </w:r>
    </w:p>
    <w:p>
      <w:pPr>
        <w:spacing w:after="120" w:before="280"/>
      </w:pPr>
      <w:r>
        <w:rPr>
          <w:b/>
          <w:i w:val="0"/>
          <w:color w:val="1C3A36"/>
          <w:sz w:val="30"/>
        </w:rPr>
        <w:t>Appendix A  Financial statements</w:t>
      </w:r>
    </w:p>
    <w:p>
      <w:pPr>
        <w:spacing w:after="120" w:before="0"/>
      </w:pPr>
      <w:r>
        <w:rPr>
          <w:b w:val="0"/>
          <w:i/>
          <w:color w:val="6E7B77"/>
          <w:sz w:val="18"/>
        </w:rPr>
        <w:t>Historicals are e&amp;’s own disclosure (earnings releases; FY25 audited FS; Q1-26 interim FS). FY23 rows marked n/d precede the 2024 restatement that moved the federal royalty below operating profit. The forecast columns reproduce the model’s income-statement presentation (ETR 39.5% on PBT, NCI 11.5%) — the valuation itself taxes EBIT at the explicit 36.5% t_eff of §1.7.</w:t>
      </w:r>
    </w:p>
    <w:p>
      <w:pPr>
        <w:spacing w:after="80" w:before="200"/>
      </w:pPr>
      <w:r>
        <w:rPr>
          <w:b/>
          <w:i w:val="0"/>
          <w:color w:val="1C3A36"/>
          <w:sz w:val="24"/>
        </w:rPr>
        <w:t>A.1  Income statement — 3-year historical + 5-year forecast (consolidated, AED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736"/>
            <w:shd w:val="clear" w:color="auto" w:fill="EAF0EE"/>
          </w:tcPr>
          <w:p>
            <w:pPr>
              <w:spacing w:after="20"/>
            </w:pPr>
            <w:r>
              <w:rPr>
                <w:b/>
                <w:color w:val="1C3A36"/>
                <w:sz w:val="15"/>
              </w:rPr>
              <w:t>AED mn</w:t>
            </w:r>
          </w:p>
        </w:tc>
        <w:tc>
          <w:tcPr>
            <w:tcW w:type="dxa" w:w="907"/>
            <w:shd w:val="clear" w:color="auto" w:fill="EAF0EE"/>
          </w:tcPr>
          <w:p>
            <w:pPr>
              <w:spacing w:after="20"/>
            </w:pPr>
            <w:r>
              <w:rPr>
                <w:b/>
                <w:color w:val="1C3A36"/>
                <w:sz w:val="15"/>
              </w:rPr>
              <w:t>FY23</w:t>
            </w:r>
          </w:p>
        </w:tc>
        <w:tc>
          <w:tcPr>
            <w:tcW w:type="dxa" w:w="907"/>
            <w:shd w:val="clear" w:color="auto" w:fill="EAF0EE"/>
          </w:tcPr>
          <w:p>
            <w:pPr>
              <w:spacing w:after="20"/>
            </w:pPr>
            <w:r>
              <w:rPr>
                <w:b/>
                <w:color w:val="1C3A36"/>
                <w:sz w:val="15"/>
              </w:rPr>
              <w:t>FY24</w:t>
            </w:r>
          </w:p>
        </w:tc>
        <w:tc>
          <w:tcPr>
            <w:tcW w:type="dxa" w:w="907"/>
            <w:shd w:val="clear" w:color="auto" w:fill="EAF0EE"/>
          </w:tcPr>
          <w:p>
            <w:pPr>
              <w:spacing w:after="20"/>
            </w:pPr>
            <w:r>
              <w:rPr>
                <w:b/>
                <w:color w:val="1C3A36"/>
                <w:sz w:val="15"/>
              </w:rPr>
              <w:t>FY25</w:t>
            </w:r>
          </w:p>
        </w:tc>
        <w:tc>
          <w:tcPr>
            <w:tcW w:type="dxa" w:w="907"/>
            <w:shd w:val="clear" w:color="auto" w:fill="EAF0EE"/>
          </w:tcPr>
          <w:p>
            <w:pPr>
              <w:spacing w:after="20"/>
            </w:pPr>
            <w:r>
              <w:rPr>
                <w:b/>
                <w:color w:val="1C3A36"/>
                <w:sz w:val="15"/>
              </w:rPr>
              <w:t>FY26E</w:t>
            </w:r>
          </w:p>
        </w:tc>
        <w:tc>
          <w:tcPr>
            <w:tcW w:type="dxa" w:w="907"/>
            <w:shd w:val="clear" w:color="auto" w:fill="EAF0EE"/>
          </w:tcPr>
          <w:p>
            <w:pPr>
              <w:spacing w:after="20"/>
            </w:pPr>
            <w:r>
              <w:rPr>
                <w:b/>
                <w:color w:val="1C3A36"/>
                <w:sz w:val="15"/>
              </w:rPr>
              <w:t>FY27E</w:t>
            </w:r>
          </w:p>
        </w:tc>
        <w:tc>
          <w:tcPr>
            <w:tcW w:type="dxa" w:w="907"/>
            <w:shd w:val="clear" w:color="auto" w:fill="EAF0EE"/>
          </w:tcPr>
          <w:p>
            <w:pPr>
              <w:spacing w:after="20"/>
            </w:pPr>
            <w:r>
              <w:rPr>
                <w:b/>
                <w:color w:val="1C3A36"/>
                <w:sz w:val="15"/>
              </w:rPr>
              <w:t>FY28E</w:t>
            </w:r>
          </w:p>
        </w:tc>
        <w:tc>
          <w:tcPr>
            <w:tcW w:type="dxa" w:w="907"/>
            <w:shd w:val="clear" w:color="auto" w:fill="EAF0EE"/>
          </w:tcPr>
          <w:p>
            <w:pPr>
              <w:spacing w:after="20"/>
            </w:pPr>
            <w:r>
              <w:rPr>
                <w:b/>
                <w:color w:val="1C3A36"/>
                <w:sz w:val="15"/>
              </w:rPr>
              <w:t>FY29E</w:t>
            </w:r>
          </w:p>
        </w:tc>
        <w:tc>
          <w:tcPr>
            <w:tcW w:type="dxa" w:w="907"/>
            <w:shd w:val="clear" w:color="auto" w:fill="EAF0EE"/>
          </w:tcPr>
          <w:p>
            <w:pPr>
              <w:spacing w:after="20"/>
            </w:pPr>
            <w:r>
              <w:rPr>
                <w:b/>
                <w:color w:val="1C3A36"/>
                <w:sz w:val="15"/>
              </w:rPr>
              <w:t>FY30E</w:t>
            </w:r>
          </w:p>
        </w:tc>
      </w:tr>
      <w:tr>
        <w:tc>
          <w:tcPr>
            <w:tcW w:type="dxa" w:w="2736"/>
          </w:tcPr>
          <w:p>
            <w:pPr>
              <w:spacing w:after="20"/>
            </w:pPr>
            <w:r>
              <w:rPr>
                <w:color w:val="1C3A36"/>
                <w:sz w:val="15"/>
              </w:rPr>
              <w:t>Revenue</w:t>
            </w:r>
          </w:p>
        </w:tc>
        <w:tc>
          <w:tcPr>
            <w:tcW w:type="dxa" w:w="907"/>
          </w:tcPr>
          <w:p>
            <w:pPr>
              <w:spacing w:after="20"/>
              <w:jc w:val="right"/>
            </w:pPr>
            <w:r>
              <w:rPr>
                <w:color w:val="1C3A36"/>
                <w:sz w:val="15"/>
              </w:rPr>
              <w:t>53,752</w:t>
            </w:r>
          </w:p>
        </w:tc>
        <w:tc>
          <w:tcPr>
            <w:tcW w:type="dxa" w:w="907"/>
          </w:tcPr>
          <w:p>
            <w:pPr>
              <w:spacing w:after="20"/>
              <w:jc w:val="right"/>
            </w:pPr>
            <w:r>
              <w:rPr>
                <w:color w:val="1C3A36"/>
                <w:sz w:val="15"/>
              </w:rPr>
              <w:t>59,203</w:t>
            </w:r>
          </w:p>
        </w:tc>
        <w:tc>
          <w:tcPr>
            <w:tcW w:type="dxa" w:w="907"/>
          </w:tcPr>
          <w:p>
            <w:pPr>
              <w:spacing w:after="20"/>
              <w:jc w:val="right"/>
            </w:pPr>
            <w:r>
              <w:rPr>
                <w:color w:val="1C3A36"/>
                <w:sz w:val="15"/>
              </w:rPr>
              <w:t>72,858</w:t>
            </w:r>
          </w:p>
        </w:tc>
        <w:tc>
          <w:tcPr>
            <w:tcW w:type="dxa" w:w="907"/>
          </w:tcPr>
          <w:p>
            <w:pPr>
              <w:spacing w:after="20"/>
              <w:jc w:val="right"/>
            </w:pPr>
            <w:r>
              <w:rPr>
                <w:color w:val="1C3A36"/>
                <w:sz w:val="15"/>
              </w:rPr>
              <w:t>79,415</w:t>
            </w:r>
          </w:p>
        </w:tc>
        <w:tc>
          <w:tcPr>
            <w:tcW w:type="dxa" w:w="907"/>
          </w:tcPr>
          <w:p>
            <w:pPr>
              <w:spacing w:after="20"/>
              <w:jc w:val="right"/>
            </w:pPr>
            <w:r>
              <w:rPr>
                <w:color w:val="1C3A36"/>
                <w:sz w:val="15"/>
              </w:rPr>
              <w:t>82,195</w:t>
            </w:r>
          </w:p>
        </w:tc>
        <w:tc>
          <w:tcPr>
            <w:tcW w:type="dxa" w:w="907"/>
          </w:tcPr>
          <w:p>
            <w:pPr>
              <w:spacing w:after="20"/>
              <w:jc w:val="right"/>
            </w:pPr>
            <w:r>
              <w:rPr>
                <w:color w:val="1C3A36"/>
                <w:sz w:val="15"/>
              </w:rPr>
              <w:t>85,072</w:t>
            </w:r>
          </w:p>
        </w:tc>
        <w:tc>
          <w:tcPr>
            <w:tcW w:type="dxa" w:w="907"/>
          </w:tcPr>
          <w:p>
            <w:pPr>
              <w:spacing w:after="20"/>
              <w:jc w:val="right"/>
            </w:pPr>
            <w:r>
              <w:rPr>
                <w:color w:val="1C3A36"/>
                <w:sz w:val="15"/>
              </w:rPr>
              <w:t>87,794</w:t>
            </w:r>
          </w:p>
        </w:tc>
        <w:tc>
          <w:tcPr>
            <w:tcW w:type="dxa" w:w="907"/>
          </w:tcPr>
          <w:p>
            <w:pPr>
              <w:spacing w:after="20"/>
              <w:jc w:val="right"/>
            </w:pPr>
            <w:r>
              <w:rPr>
                <w:color w:val="1C3A36"/>
                <w:sz w:val="15"/>
              </w:rPr>
              <w:t>90,428</w:t>
            </w:r>
          </w:p>
        </w:tc>
      </w:tr>
      <w:tr>
        <w:tc>
          <w:tcPr>
            <w:tcW w:type="dxa" w:w="2736"/>
          </w:tcPr>
          <w:p>
            <w:pPr>
              <w:spacing w:after="20"/>
            </w:pPr>
            <w:r>
              <w:rPr>
                <w:color w:val="1C3A36"/>
                <w:sz w:val="15"/>
              </w:rPr>
              <w:t>EBITDA</w:t>
            </w:r>
          </w:p>
        </w:tc>
        <w:tc>
          <w:tcPr>
            <w:tcW w:type="dxa" w:w="907"/>
          </w:tcPr>
          <w:p>
            <w:pPr>
              <w:spacing w:after="20"/>
              <w:jc w:val="right"/>
            </w:pPr>
            <w:r>
              <w:rPr>
                <w:color w:val="1C3A36"/>
                <w:sz w:val="15"/>
              </w:rPr>
              <w:t>26,117</w:t>
            </w:r>
          </w:p>
        </w:tc>
        <w:tc>
          <w:tcPr>
            <w:tcW w:type="dxa" w:w="907"/>
          </w:tcPr>
          <w:p>
            <w:pPr>
              <w:spacing w:after="20"/>
              <w:jc w:val="right"/>
            </w:pPr>
            <w:r>
              <w:rPr>
                <w:color w:val="1C3A36"/>
                <w:sz w:val="15"/>
              </w:rPr>
              <w:t>26,454</w:t>
            </w:r>
          </w:p>
        </w:tc>
        <w:tc>
          <w:tcPr>
            <w:tcW w:type="dxa" w:w="907"/>
          </w:tcPr>
          <w:p>
            <w:pPr>
              <w:spacing w:after="20"/>
              <w:jc w:val="right"/>
            </w:pPr>
            <w:r>
              <w:rPr>
                <w:color w:val="1C3A36"/>
                <w:sz w:val="15"/>
              </w:rPr>
              <w:t>32,022</w:t>
            </w:r>
          </w:p>
        </w:tc>
        <w:tc>
          <w:tcPr>
            <w:tcW w:type="dxa" w:w="907"/>
          </w:tcPr>
          <w:p>
            <w:pPr>
              <w:spacing w:after="20"/>
              <w:jc w:val="right"/>
            </w:pPr>
            <w:r>
              <w:rPr>
                <w:color w:val="1C3A36"/>
                <w:sz w:val="15"/>
              </w:rPr>
              <w:t>34,149</w:t>
            </w:r>
          </w:p>
        </w:tc>
        <w:tc>
          <w:tcPr>
            <w:tcW w:type="dxa" w:w="907"/>
          </w:tcPr>
          <w:p>
            <w:pPr>
              <w:spacing w:after="20"/>
              <w:jc w:val="right"/>
            </w:pPr>
            <w:r>
              <w:rPr>
                <w:color w:val="1C3A36"/>
                <w:sz w:val="15"/>
              </w:rPr>
              <w:t>35,508</w:t>
            </w:r>
          </w:p>
        </w:tc>
        <w:tc>
          <w:tcPr>
            <w:tcW w:type="dxa" w:w="907"/>
          </w:tcPr>
          <w:p>
            <w:pPr>
              <w:spacing w:after="20"/>
              <w:jc w:val="right"/>
            </w:pPr>
            <w:r>
              <w:rPr>
                <w:color w:val="1C3A36"/>
                <w:sz w:val="15"/>
              </w:rPr>
              <w:t>36,921</w:t>
            </w:r>
          </w:p>
        </w:tc>
        <w:tc>
          <w:tcPr>
            <w:tcW w:type="dxa" w:w="907"/>
          </w:tcPr>
          <w:p>
            <w:pPr>
              <w:spacing w:after="20"/>
              <w:jc w:val="right"/>
            </w:pPr>
            <w:r>
              <w:rPr>
                <w:color w:val="1C3A36"/>
                <w:sz w:val="15"/>
              </w:rPr>
              <w:t>38,278</w:t>
            </w:r>
          </w:p>
        </w:tc>
        <w:tc>
          <w:tcPr>
            <w:tcW w:type="dxa" w:w="907"/>
          </w:tcPr>
          <w:p>
            <w:pPr>
              <w:spacing w:after="20"/>
              <w:jc w:val="right"/>
            </w:pPr>
            <w:r>
              <w:rPr>
                <w:color w:val="1C3A36"/>
                <w:sz w:val="15"/>
              </w:rPr>
              <w:t>39,607</w:t>
            </w:r>
          </w:p>
        </w:tc>
      </w:tr>
      <w:tr>
        <w:tc>
          <w:tcPr>
            <w:tcW w:type="dxa" w:w="2736"/>
          </w:tcPr>
          <w:p>
            <w:pPr>
              <w:spacing w:after="20"/>
            </w:pPr>
            <w:r>
              <w:rPr>
                <w:color w:val="1C3A36"/>
                <w:sz w:val="15"/>
              </w:rPr>
              <w:t>EBITDA margin</w:t>
            </w:r>
          </w:p>
        </w:tc>
        <w:tc>
          <w:tcPr>
            <w:tcW w:type="dxa" w:w="907"/>
          </w:tcPr>
          <w:p>
            <w:pPr>
              <w:spacing w:after="20"/>
              <w:jc w:val="right"/>
            </w:pPr>
            <w:r>
              <w:rPr>
                <w:color w:val="1C3A36"/>
                <w:sz w:val="15"/>
              </w:rPr>
              <w:t>48.6%</w:t>
            </w:r>
          </w:p>
        </w:tc>
        <w:tc>
          <w:tcPr>
            <w:tcW w:type="dxa" w:w="907"/>
          </w:tcPr>
          <w:p>
            <w:pPr>
              <w:spacing w:after="20"/>
              <w:jc w:val="right"/>
            </w:pPr>
            <w:r>
              <w:rPr>
                <w:color w:val="1C3A36"/>
                <w:sz w:val="15"/>
              </w:rPr>
              <w:t>44.7%</w:t>
            </w:r>
          </w:p>
        </w:tc>
        <w:tc>
          <w:tcPr>
            <w:tcW w:type="dxa" w:w="907"/>
          </w:tcPr>
          <w:p>
            <w:pPr>
              <w:spacing w:after="20"/>
              <w:jc w:val="right"/>
            </w:pPr>
            <w:r>
              <w:rPr>
                <w:color w:val="1C3A36"/>
                <w:sz w:val="15"/>
              </w:rPr>
              <w:t>44.0%</w:t>
            </w:r>
          </w:p>
        </w:tc>
        <w:tc>
          <w:tcPr>
            <w:tcW w:type="dxa" w:w="907"/>
          </w:tcPr>
          <w:p>
            <w:pPr>
              <w:spacing w:after="20"/>
              <w:jc w:val="right"/>
            </w:pPr>
            <w:r>
              <w:rPr>
                <w:color w:val="1C3A36"/>
                <w:sz w:val="15"/>
              </w:rPr>
              <w:t>43.0%</w:t>
            </w:r>
          </w:p>
        </w:tc>
        <w:tc>
          <w:tcPr>
            <w:tcW w:type="dxa" w:w="907"/>
          </w:tcPr>
          <w:p>
            <w:pPr>
              <w:spacing w:after="20"/>
              <w:jc w:val="right"/>
            </w:pPr>
            <w:r>
              <w:rPr>
                <w:color w:val="1C3A36"/>
                <w:sz w:val="15"/>
              </w:rPr>
              <w:t>43.2%</w:t>
            </w:r>
          </w:p>
        </w:tc>
        <w:tc>
          <w:tcPr>
            <w:tcW w:type="dxa" w:w="907"/>
          </w:tcPr>
          <w:p>
            <w:pPr>
              <w:spacing w:after="20"/>
              <w:jc w:val="right"/>
            </w:pPr>
            <w:r>
              <w:rPr>
                <w:color w:val="1C3A36"/>
                <w:sz w:val="15"/>
              </w:rPr>
              <w:t>43.4%</w:t>
            </w:r>
          </w:p>
        </w:tc>
        <w:tc>
          <w:tcPr>
            <w:tcW w:type="dxa" w:w="907"/>
          </w:tcPr>
          <w:p>
            <w:pPr>
              <w:spacing w:after="20"/>
              <w:jc w:val="right"/>
            </w:pPr>
            <w:r>
              <w:rPr>
                <w:color w:val="1C3A36"/>
                <w:sz w:val="15"/>
              </w:rPr>
              <w:t>43.6%</w:t>
            </w:r>
          </w:p>
        </w:tc>
        <w:tc>
          <w:tcPr>
            <w:tcW w:type="dxa" w:w="907"/>
          </w:tcPr>
          <w:p>
            <w:pPr>
              <w:spacing w:after="20"/>
              <w:jc w:val="right"/>
            </w:pPr>
            <w:r>
              <w:rPr>
                <w:color w:val="1C3A36"/>
                <w:sz w:val="15"/>
              </w:rPr>
              <w:t>43.8%</w:t>
            </w:r>
          </w:p>
        </w:tc>
      </w:tr>
      <w:tr>
        <w:tc>
          <w:tcPr>
            <w:tcW w:type="dxa" w:w="2736"/>
          </w:tcPr>
          <w:p>
            <w:pPr>
              <w:spacing w:after="20"/>
            </w:pPr>
            <w:r>
              <w:rPr>
                <w:color w:val="1C3A36"/>
                <w:sz w:val="15"/>
              </w:rPr>
              <w:t>D&amp;A</w:t>
            </w:r>
          </w:p>
        </w:tc>
        <w:tc>
          <w:tcPr>
            <w:tcW w:type="dxa" w:w="907"/>
          </w:tcPr>
          <w:p>
            <w:pPr>
              <w:spacing w:after="20"/>
              <w:jc w:val="right"/>
            </w:pPr>
            <w:r>
              <w:rPr>
                <w:color w:val="1C3A36"/>
                <w:sz w:val="15"/>
              </w:rPr>
              <w:t>(7,569)</w:t>
            </w:r>
          </w:p>
        </w:tc>
        <w:tc>
          <w:tcPr>
            <w:tcW w:type="dxa" w:w="907"/>
          </w:tcPr>
          <w:p>
            <w:pPr>
              <w:spacing w:after="20"/>
              <w:jc w:val="right"/>
            </w:pPr>
            <w:r>
              <w:rPr>
                <w:color w:val="1C3A36"/>
                <w:sz w:val="15"/>
              </w:rPr>
              <w:t>(7,313)</w:t>
            </w:r>
          </w:p>
        </w:tc>
        <w:tc>
          <w:tcPr>
            <w:tcW w:type="dxa" w:w="907"/>
          </w:tcPr>
          <w:p>
            <w:pPr>
              <w:spacing w:after="20"/>
              <w:jc w:val="right"/>
            </w:pPr>
            <w:r>
              <w:rPr>
                <w:color w:val="1C3A36"/>
                <w:sz w:val="15"/>
              </w:rPr>
              <w:t>(10,672)</w:t>
            </w:r>
          </w:p>
        </w:tc>
        <w:tc>
          <w:tcPr>
            <w:tcW w:type="dxa" w:w="907"/>
          </w:tcPr>
          <w:p>
            <w:pPr>
              <w:spacing w:after="20"/>
              <w:jc w:val="right"/>
            </w:pPr>
            <w:r>
              <w:rPr>
                <w:color w:val="1C3A36"/>
                <w:sz w:val="15"/>
              </w:rPr>
              <w:t>(11,595)</w:t>
            </w:r>
          </w:p>
        </w:tc>
        <w:tc>
          <w:tcPr>
            <w:tcW w:type="dxa" w:w="907"/>
          </w:tcPr>
          <w:p>
            <w:pPr>
              <w:spacing w:after="20"/>
              <w:jc w:val="right"/>
            </w:pPr>
            <w:r>
              <w:rPr>
                <w:color w:val="1C3A36"/>
                <w:sz w:val="15"/>
              </w:rPr>
              <w:t>(11,754)</w:t>
            </w:r>
          </w:p>
        </w:tc>
        <w:tc>
          <w:tcPr>
            <w:tcW w:type="dxa" w:w="907"/>
          </w:tcPr>
          <w:p>
            <w:pPr>
              <w:spacing w:after="20"/>
              <w:jc w:val="right"/>
            </w:pPr>
            <w:r>
              <w:rPr>
                <w:color w:val="1C3A36"/>
                <w:sz w:val="15"/>
              </w:rPr>
              <w:t>(11,910)</w:t>
            </w:r>
          </w:p>
        </w:tc>
        <w:tc>
          <w:tcPr>
            <w:tcW w:type="dxa" w:w="907"/>
          </w:tcPr>
          <w:p>
            <w:pPr>
              <w:spacing w:after="20"/>
              <w:jc w:val="right"/>
            </w:pPr>
            <w:r>
              <w:rPr>
                <w:color w:val="1C3A36"/>
                <w:sz w:val="15"/>
              </w:rPr>
              <w:t>(12,028)</w:t>
            </w:r>
          </w:p>
        </w:tc>
        <w:tc>
          <w:tcPr>
            <w:tcW w:type="dxa" w:w="907"/>
          </w:tcPr>
          <w:p>
            <w:pPr>
              <w:spacing w:after="20"/>
              <w:jc w:val="right"/>
            </w:pPr>
            <w:r>
              <w:rPr>
                <w:color w:val="1C3A36"/>
                <w:sz w:val="15"/>
              </w:rPr>
              <w:t>(12,208)</w:t>
            </w:r>
          </w:p>
        </w:tc>
      </w:tr>
      <w:tr>
        <w:tc>
          <w:tcPr>
            <w:tcW w:type="dxa" w:w="2736"/>
          </w:tcPr>
          <w:p>
            <w:pPr>
              <w:spacing w:after="20"/>
            </w:pPr>
            <w:r>
              <w:rPr>
                <w:color w:val="1C3A36"/>
                <w:sz w:val="15"/>
              </w:rPr>
              <w:t>Share of associates &amp; JVs</w:t>
            </w:r>
          </w:p>
        </w:tc>
        <w:tc>
          <w:tcPr>
            <w:tcW w:type="dxa" w:w="907"/>
          </w:tcPr>
          <w:p>
            <w:pPr>
              <w:spacing w:after="20"/>
              <w:jc w:val="right"/>
            </w:pPr>
            <w:r>
              <w:rPr>
                <w:color w:val="1C3A36"/>
                <w:sz w:val="15"/>
              </w:rPr>
              <w:t>n/d</w:t>
            </w:r>
          </w:p>
        </w:tc>
        <w:tc>
          <w:tcPr>
            <w:tcW w:type="dxa" w:w="907"/>
          </w:tcPr>
          <w:p>
            <w:pPr>
              <w:spacing w:after="20"/>
              <w:jc w:val="right"/>
            </w:pPr>
            <w:r>
              <w:rPr>
                <w:color w:val="1C3A36"/>
                <w:sz w:val="15"/>
              </w:rPr>
              <w:t>2,475</w:t>
            </w:r>
          </w:p>
        </w:tc>
        <w:tc>
          <w:tcPr>
            <w:tcW w:type="dxa" w:w="907"/>
          </w:tcPr>
          <w:p>
            <w:pPr>
              <w:spacing w:after="20"/>
              <w:jc w:val="right"/>
            </w:pPr>
            <w:r>
              <w:rPr>
                <w:color w:val="1C3A36"/>
                <w:sz w:val="15"/>
              </w:rPr>
              <w:t>1,948</w:t>
            </w:r>
          </w:p>
        </w:tc>
        <w:tc>
          <w:tcPr>
            <w:tcW w:type="dxa" w:w="907"/>
          </w:tcPr>
          <w:p>
            <w:pPr>
              <w:spacing w:after="20"/>
              <w:jc w:val="right"/>
            </w:pPr>
            <w:r>
              <w:rPr>
                <w:color w:val="1C3A36"/>
                <w:sz w:val="15"/>
              </w:rPr>
              <w:t>1,200</w:t>
            </w:r>
          </w:p>
        </w:tc>
        <w:tc>
          <w:tcPr>
            <w:tcW w:type="dxa" w:w="907"/>
          </w:tcPr>
          <w:p>
            <w:pPr>
              <w:spacing w:after="20"/>
              <w:jc w:val="right"/>
            </w:pPr>
            <w:r>
              <w:rPr>
                <w:color w:val="1C3A36"/>
                <w:sz w:val="15"/>
              </w:rPr>
              <w:t>1,200</w:t>
            </w:r>
          </w:p>
        </w:tc>
        <w:tc>
          <w:tcPr>
            <w:tcW w:type="dxa" w:w="907"/>
          </w:tcPr>
          <w:p>
            <w:pPr>
              <w:spacing w:after="20"/>
              <w:jc w:val="right"/>
            </w:pPr>
            <w:r>
              <w:rPr>
                <w:color w:val="1C3A36"/>
                <w:sz w:val="15"/>
              </w:rPr>
              <w:t>1,200</w:t>
            </w:r>
          </w:p>
        </w:tc>
        <w:tc>
          <w:tcPr>
            <w:tcW w:type="dxa" w:w="907"/>
          </w:tcPr>
          <w:p>
            <w:pPr>
              <w:spacing w:after="20"/>
              <w:jc w:val="right"/>
            </w:pPr>
            <w:r>
              <w:rPr>
                <w:color w:val="1C3A36"/>
                <w:sz w:val="15"/>
              </w:rPr>
              <w:t>1,200</w:t>
            </w:r>
          </w:p>
        </w:tc>
        <w:tc>
          <w:tcPr>
            <w:tcW w:type="dxa" w:w="907"/>
          </w:tcPr>
          <w:p>
            <w:pPr>
              <w:spacing w:after="20"/>
              <w:jc w:val="right"/>
            </w:pPr>
            <w:r>
              <w:rPr>
                <w:color w:val="1C3A36"/>
                <w:sz w:val="15"/>
              </w:rPr>
              <w:t>1,200</w:t>
            </w:r>
          </w:p>
        </w:tc>
      </w:tr>
      <w:tr>
        <w:tc>
          <w:tcPr>
            <w:tcW w:type="dxa" w:w="2736"/>
          </w:tcPr>
          <w:p>
            <w:pPr>
              <w:spacing w:after="20"/>
            </w:pPr>
            <w:r>
              <w:rPr>
                <w:color w:val="1C3A36"/>
                <w:sz w:val="15"/>
              </w:rPr>
              <w:t>Impairment / FX / other</w:t>
            </w:r>
          </w:p>
        </w:tc>
        <w:tc>
          <w:tcPr>
            <w:tcW w:type="dxa" w:w="907"/>
          </w:tcPr>
          <w:p>
            <w:pPr>
              <w:spacing w:after="20"/>
              <w:jc w:val="right"/>
            </w:pPr>
            <w:r>
              <w:rPr>
                <w:color w:val="1C3A36"/>
                <w:sz w:val="15"/>
              </w:rPr>
              <w:t>n/d</w:t>
            </w:r>
          </w:p>
        </w:tc>
        <w:tc>
          <w:tcPr>
            <w:tcW w:type="dxa" w:w="907"/>
          </w:tcPr>
          <w:p>
            <w:pPr>
              <w:spacing w:after="20"/>
              <w:jc w:val="right"/>
            </w:pPr>
            <w:r>
              <w:rPr>
                <w:color w:val="1C3A36"/>
                <w:sz w:val="15"/>
              </w:rPr>
              <w:t>(1,555)</w:t>
            </w:r>
          </w:p>
        </w:tc>
        <w:tc>
          <w:tcPr>
            <w:tcW w:type="dxa" w:w="907"/>
          </w:tcPr>
          <w:p>
            <w:pPr>
              <w:spacing w:after="20"/>
              <w:jc w:val="right"/>
            </w:pPr>
            <w:r>
              <w:rPr>
                <w:color w:val="1C3A36"/>
                <w:sz w:val="15"/>
              </w:rPr>
              <w:t>(55)</w:t>
            </w:r>
          </w:p>
        </w:tc>
        <w:tc>
          <w:tcPr>
            <w:tcW w:type="dxa" w:w="907"/>
          </w:tcPr>
          <w:p>
            <w:pPr>
              <w:spacing w:after="20"/>
              <w:jc w:val="right"/>
            </w:pPr>
            <w:r>
              <w:rPr>
                <w:color w:val="1C3A36"/>
                <w:sz w:val="15"/>
              </w:rPr>
              <w:t>—</w:t>
            </w:r>
          </w:p>
        </w:tc>
        <w:tc>
          <w:tcPr>
            <w:tcW w:type="dxa" w:w="907"/>
          </w:tcPr>
          <w:p>
            <w:pPr>
              <w:spacing w:after="20"/>
              <w:jc w:val="right"/>
            </w:pPr>
            <w:r>
              <w:rPr>
                <w:color w:val="1C3A36"/>
                <w:sz w:val="15"/>
              </w:rPr>
              <w:t>—</w:t>
            </w:r>
          </w:p>
        </w:tc>
        <w:tc>
          <w:tcPr>
            <w:tcW w:type="dxa" w:w="907"/>
          </w:tcPr>
          <w:p>
            <w:pPr>
              <w:spacing w:after="20"/>
              <w:jc w:val="right"/>
            </w:pPr>
            <w:r>
              <w:rPr>
                <w:color w:val="1C3A36"/>
                <w:sz w:val="15"/>
              </w:rPr>
              <w:t>—</w:t>
            </w:r>
          </w:p>
        </w:tc>
        <w:tc>
          <w:tcPr>
            <w:tcW w:type="dxa" w:w="907"/>
          </w:tcPr>
          <w:p>
            <w:pPr>
              <w:spacing w:after="20"/>
              <w:jc w:val="right"/>
            </w:pPr>
            <w:r>
              <w:rPr>
                <w:color w:val="1C3A36"/>
                <w:sz w:val="15"/>
              </w:rPr>
              <w:t>—</w:t>
            </w:r>
          </w:p>
        </w:tc>
        <w:tc>
          <w:tcPr>
            <w:tcW w:type="dxa" w:w="907"/>
          </w:tcPr>
          <w:p>
            <w:pPr>
              <w:spacing w:after="20"/>
              <w:jc w:val="right"/>
            </w:pPr>
            <w:r>
              <w:rPr>
                <w:color w:val="1C3A36"/>
                <w:sz w:val="15"/>
              </w:rPr>
              <w:t>—</w:t>
            </w:r>
          </w:p>
        </w:tc>
      </w:tr>
      <w:tr>
        <w:tc>
          <w:tcPr>
            <w:tcW w:type="dxa" w:w="2736"/>
          </w:tcPr>
          <w:p>
            <w:pPr>
              <w:spacing w:after="20"/>
            </w:pPr>
            <w:r>
              <w:rPr>
                <w:color w:val="1C3A36"/>
                <w:sz w:val="15"/>
              </w:rPr>
              <w:t>Operating profit before royalty</w:t>
            </w:r>
          </w:p>
        </w:tc>
        <w:tc>
          <w:tcPr>
            <w:tcW w:type="dxa" w:w="907"/>
          </w:tcPr>
          <w:p>
            <w:pPr>
              <w:spacing w:after="20"/>
              <w:jc w:val="right"/>
            </w:pPr>
            <w:r>
              <w:rPr>
                <w:color w:val="1C3A36"/>
                <w:sz w:val="15"/>
              </w:rPr>
              <w:t>n/d</w:t>
            </w:r>
          </w:p>
        </w:tc>
        <w:tc>
          <w:tcPr>
            <w:tcW w:type="dxa" w:w="907"/>
          </w:tcPr>
          <w:p>
            <w:pPr>
              <w:spacing w:after="20"/>
              <w:jc w:val="right"/>
            </w:pPr>
            <w:r>
              <w:rPr>
                <w:color w:val="1C3A36"/>
                <w:sz w:val="15"/>
              </w:rPr>
              <w:t>20,061</w:t>
            </w:r>
          </w:p>
        </w:tc>
        <w:tc>
          <w:tcPr>
            <w:tcW w:type="dxa" w:w="907"/>
          </w:tcPr>
          <w:p>
            <w:pPr>
              <w:spacing w:after="20"/>
              <w:jc w:val="right"/>
            </w:pPr>
            <w:r>
              <w:rPr>
                <w:color w:val="1C3A36"/>
                <w:sz w:val="15"/>
              </w:rPr>
              <w:t>23,241</w:t>
            </w:r>
          </w:p>
        </w:tc>
        <w:tc>
          <w:tcPr>
            <w:tcW w:type="dxa" w:w="907"/>
          </w:tcPr>
          <w:p>
            <w:pPr>
              <w:spacing w:after="20"/>
              <w:jc w:val="right"/>
            </w:pPr>
            <w:r>
              <w:rPr>
                <w:color w:val="1C3A36"/>
                <w:sz w:val="15"/>
              </w:rPr>
              <w:t>23,754</w:t>
            </w:r>
          </w:p>
        </w:tc>
        <w:tc>
          <w:tcPr>
            <w:tcW w:type="dxa" w:w="907"/>
          </w:tcPr>
          <w:p>
            <w:pPr>
              <w:spacing w:after="20"/>
              <w:jc w:val="right"/>
            </w:pPr>
            <w:r>
              <w:rPr>
                <w:color w:val="1C3A36"/>
                <w:sz w:val="15"/>
              </w:rPr>
              <w:t>24,954</w:t>
            </w:r>
          </w:p>
        </w:tc>
        <w:tc>
          <w:tcPr>
            <w:tcW w:type="dxa" w:w="907"/>
          </w:tcPr>
          <w:p>
            <w:pPr>
              <w:spacing w:after="20"/>
              <w:jc w:val="right"/>
            </w:pPr>
            <w:r>
              <w:rPr>
                <w:color w:val="1C3A36"/>
                <w:sz w:val="15"/>
              </w:rPr>
              <w:t>26,211</w:t>
            </w:r>
          </w:p>
        </w:tc>
        <w:tc>
          <w:tcPr>
            <w:tcW w:type="dxa" w:w="907"/>
          </w:tcPr>
          <w:p>
            <w:pPr>
              <w:spacing w:after="20"/>
              <w:jc w:val="right"/>
            </w:pPr>
            <w:r>
              <w:rPr>
                <w:color w:val="1C3A36"/>
                <w:sz w:val="15"/>
              </w:rPr>
              <w:t>27,450</w:t>
            </w:r>
          </w:p>
        </w:tc>
        <w:tc>
          <w:tcPr>
            <w:tcW w:type="dxa" w:w="907"/>
          </w:tcPr>
          <w:p>
            <w:pPr>
              <w:spacing w:after="20"/>
              <w:jc w:val="right"/>
            </w:pPr>
            <w:r>
              <w:rPr>
                <w:color w:val="1C3A36"/>
                <w:sz w:val="15"/>
              </w:rPr>
              <w:t>28,600</w:t>
            </w:r>
          </w:p>
        </w:tc>
      </w:tr>
      <w:tr>
        <w:tc>
          <w:tcPr>
            <w:tcW w:type="dxa" w:w="2736"/>
          </w:tcPr>
          <w:p>
            <w:pPr>
              <w:spacing w:after="20"/>
            </w:pPr>
            <w:r>
              <w:rPr>
                <w:color w:val="1C3A36"/>
                <w:sz w:val="15"/>
              </w:rPr>
              <w:t>Net finance + tax (actual residual)</w:t>
            </w:r>
          </w:p>
        </w:tc>
        <w:tc>
          <w:tcPr>
            <w:tcW w:type="dxa" w:w="907"/>
          </w:tcPr>
          <w:p>
            <w:pPr>
              <w:spacing w:after="20"/>
              <w:jc w:val="right"/>
            </w:pPr>
            <w:r>
              <w:rPr>
                <w:color w:val="1C3A36"/>
                <w:sz w:val="15"/>
              </w:rPr>
              <w:t>n/d</w:t>
            </w:r>
          </w:p>
        </w:tc>
        <w:tc>
          <w:tcPr>
            <w:tcW w:type="dxa" w:w="907"/>
          </w:tcPr>
          <w:p>
            <w:pPr>
              <w:spacing w:after="20"/>
              <w:jc w:val="right"/>
            </w:pPr>
            <w:r>
              <w:rPr>
                <w:color w:val="1C3A36"/>
                <w:sz w:val="15"/>
              </w:rPr>
              <w:t>-4,196</w:t>
            </w:r>
          </w:p>
        </w:tc>
        <w:tc>
          <w:tcPr>
            <w:tcW w:type="dxa" w:w="907"/>
          </w:tcPr>
          <w:p>
            <w:pPr>
              <w:spacing w:after="20"/>
              <w:jc w:val="right"/>
            </w:pPr>
            <w:r>
              <w:rPr>
                <w:color w:val="1C3A36"/>
                <w:sz w:val="15"/>
              </w:rPr>
              <w:t>339</w:t>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r>
          </w:p>
        </w:tc>
      </w:tr>
      <w:tr>
        <w:tc>
          <w:tcPr>
            <w:tcW w:type="dxa" w:w="2736"/>
          </w:tcPr>
          <w:p>
            <w:pPr>
              <w:spacing w:after="20"/>
            </w:pPr>
            <w:r>
              <w:rPr>
                <w:color w:val="1C3A36"/>
                <w:sz w:val="15"/>
              </w:rPr>
              <w:t>Net finance income/(cost) — fcst</w:t>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t>-850</w:t>
            </w:r>
          </w:p>
        </w:tc>
        <w:tc>
          <w:tcPr>
            <w:tcW w:type="dxa" w:w="907"/>
          </w:tcPr>
          <w:p>
            <w:pPr>
              <w:spacing w:after="20"/>
              <w:jc w:val="right"/>
            </w:pPr>
            <w:r>
              <w:rPr>
                <w:color w:val="1C3A36"/>
                <w:sz w:val="15"/>
              </w:rPr>
              <w:t>-722</w:t>
            </w:r>
          </w:p>
        </w:tc>
        <w:tc>
          <w:tcPr>
            <w:tcW w:type="dxa" w:w="907"/>
          </w:tcPr>
          <w:p>
            <w:pPr>
              <w:spacing w:after="20"/>
              <w:jc w:val="right"/>
            </w:pPr>
            <w:r>
              <w:rPr>
                <w:color w:val="1C3A36"/>
                <w:sz w:val="15"/>
              </w:rPr>
              <w:t>-614</w:t>
            </w:r>
          </w:p>
        </w:tc>
        <w:tc>
          <w:tcPr>
            <w:tcW w:type="dxa" w:w="907"/>
          </w:tcPr>
          <w:p>
            <w:pPr>
              <w:spacing w:after="20"/>
              <w:jc w:val="right"/>
            </w:pPr>
            <w:r>
              <w:rPr>
                <w:color w:val="1C3A36"/>
                <w:sz w:val="15"/>
              </w:rPr>
              <w:t>-522</w:t>
            </w:r>
          </w:p>
        </w:tc>
        <w:tc>
          <w:tcPr>
            <w:tcW w:type="dxa" w:w="907"/>
          </w:tcPr>
          <w:p>
            <w:pPr>
              <w:spacing w:after="20"/>
              <w:jc w:val="right"/>
            </w:pPr>
            <w:r>
              <w:rPr>
                <w:color w:val="1C3A36"/>
                <w:sz w:val="15"/>
              </w:rPr>
              <w:t>-444</w:t>
            </w:r>
          </w:p>
        </w:tc>
      </w:tr>
      <w:tr>
        <w:tc>
          <w:tcPr>
            <w:tcW w:type="dxa" w:w="2736"/>
          </w:tcPr>
          <w:p>
            <w:pPr>
              <w:spacing w:after="20"/>
            </w:pPr>
            <w:r>
              <w:rPr>
                <w:color w:val="1C3A36"/>
                <w:sz w:val="15"/>
              </w:rPr>
              <w:t>Royalty + income tax — fcst</w:t>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t>(9,047)</w:t>
            </w:r>
          </w:p>
        </w:tc>
        <w:tc>
          <w:tcPr>
            <w:tcW w:type="dxa" w:w="907"/>
          </w:tcPr>
          <w:p>
            <w:pPr>
              <w:spacing w:after="20"/>
              <w:jc w:val="right"/>
            </w:pPr>
            <w:r>
              <w:rPr>
                <w:color w:val="1C3A36"/>
                <w:sz w:val="15"/>
              </w:rPr>
              <w:t>(9,572)</w:t>
            </w:r>
          </w:p>
        </w:tc>
        <w:tc>
          <w:tcPr>
            <w:tcW w:type="dxa" w:w="907"/>
          </w:tcPr>
          <w:p>
            <w:pPr>
              <w:spacing w:after="20"/>
              <w:jc w:val="right"/>
            </w:pPr>
            <w:r>
              <w:rPr>
                <w:color w:val="1C3A36"/>
                <w:sz w:val="15"/>
              </w:rPr>
              <w:t>(10,111)</w:t>
            </w:r>
          </w:p>
        </w:tc>
        <w:tc>
          <w:tcPr>
            <w:tcW w:type="dxa" w:w="907"/>
          </w:tcPr>
          <w:p>
            <w:pPr>
              <w:spacing w:after="20"/>
              <w:jc w:val="right"/>
            </w:pPr>
            <w:r>
              <w:rPr>
                <w:color w:val="1C3A36"/>
                <w:sz w:val="15"/>
              </w:rPr>
              <w:t>(10,637)</w:t>
            </w:r>
          </w:p>
        </w:tc>
        <w:tc>
          <w:tcPr>
            <w:tcW w:type="dxa" w:w="907"/>
          </w:tcPr>
          <w:p>
            <w:pPr>
              <w:spacing w:after="20"/>
              <w:jc w:val="right"/>
            </w:pPr>
            <w:r>
              <w:rPr>
                <w:color w:val="1C3A36"/>
                <w:sz w:val="15"/>
              </w:rPr>
              <w:t>(11,122)</w:t>
            </w:r>
          </w:p>
        </w:tc>
      </w:tr>
      <w:tr>
        <w:tc>
          <w:tcPr>
            <w:tcW w:type="dxa" w:w="2736"/>
          </w:tcPr>
          <w:p>
            <w:pPr>
              <w:spacing w:after="20"/>
            </w:pPr>
            <w:r>
              <w:rPr>
                <w:color w:val="1C3A36"/>
                <w:sz w:val="15"/>
              </w:rPr>
              <w:t xml:space="preserve">  memo: federal royalty (actual)</w:t>
            </w:r>
          </w:p>
        </w:tc>
        <w:tc>
          <w:tcPr>
            <w:tcW w:type="dxa" w:w="907"/>
          </w:tcPr>
          <w:p>
            <w:pPr>
              <w:spacing w:after="20"/>
              <w:jc w:val="right"/>
            </w:pPr>
            <w:r>
              <w:rPr>
                <w:color w:val="1C3A36"/>
                <w:sz w:val="15"/>
              </w:rPr>
              <w:t>n/d</w:t>
            </w:r>
          </w:p>
        </w:tc>
        <w:tc>
          <w:tcPr>
            <w:tcW w:type="dxa" w:w="907"/>
          </w:tcPr>
          <w:p>
            <w:pPr>
              <w:spacing w:after="20"/>
              <w:jc w:val="right"/>
            </w:pPr>
            <w:r>
              <w:rPr>
                <w:color w:val="1C3A36"/>
                <w:sz w:val="15"/>
              </w:rPr>
              <w:t>(5,282)</w:t>
            </w:r>
          </w:p>
        </w:tc>
        <w:tc>
          <w:tcPr>
            <w:tcW w:type="dxa" w:w="907"/>
          </w:tcPr>
          <w:p>
            <w:pPr>
              <w:spacing w:after="20"/>
              <w:jc w:val="right"/>
            </w:pPr>
            <w:r>
              <w:rPr>
                <w:color w:val="1C3A36"/>
                <w:sz w:val="15"/>
              </w:rPr>
              <w:t>(7,423)</w:t>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r>
          </w:p>
        </w:tc>
      </w:tr>
      <w:tr>
        <w:tc>
          <w:tcPr>
            <w:tcW w:type="dxa" w:w="2736"/>
          </w:tcPr>
          <w:p>
            <w:pPr>
              <w:spacing w:after="20"/>
            </w:pPr>
            <w:r>
              <w:rPr>
                <w:color w:val="1C3A36"/>
                <w:sz w:val="15"/>
              </w:rPr>
              <w:t>Profit for the period</w:t>
            </w:r>
          </w:p>
        </w:tc>
        <w:tc>
          <w:tcPr>
            <w:tcW w:type="dxa" w:w="907"/>
          </w:tcPr>
          <w:p>
            <w:pPr>
              <w:spacing w:after="20"/>
              <w:jc w:val="right"/>
            </w:pPr>
            <w:r>
              <w:rPr>
                <w:color w:val="1C3A36"/>
                <w:sz w:val="15"/>
              </w:rPr>
              <w:t>n/d</w:t>
            </w:r>
          </w:p>
        </w:tc>
        <w:tc>
          <w:tcPr>
            <w:tcW w:type="dxa" w:w="907"/>
          </w:tcPr>
          <w:p>
            <w:pPr>
              <w:spacing w:after="20"/>
              <w:jc w:val="right"/>
            </w:pPr>
            <w:r>
              <w:rPr>
                <w:color w:val="1C3A36"/>
                <w:sz w:val="15"/>
              </w:rPr>
              <w:t>10,583</w:t>
            </w:r>
          </w:p>
        </w:tc>
        <w:tc>
          <w:tcPr>
            <w:tcW w:type="dxa" w:w="907"/>
          </w:tcPr>
          <w:p>
            <w:pPr>
              <w:spacing w:after="20"/>
              <w:jc w:val="right"/>
            </w:pPr>
            <w:r>
              <w:rPr>
                <w:color w:val="1C3A36"/>
                <w:sz w:val="15"/>
              </w:rPr>
              <w:t>16,156</w:t>
            </w:r>
          </w:p>
        </w:tc>
        <w:tc>
          <w:tcPr>
            <w:tcW w:type="dxa" w:w="907"/>
          </w:tcPr>
          <w:p>
            <w:pPr>
              <w:spacing w:after="20"/>
              <w:jc w:val="right"/>
            </w:pPr>
            <w:r>
              <w:rPr>
                <w:color w:val="1C3A36"/>
                <w:sz w:val="15"/>
              </w:rPr>
              <w:t>13,857</w:t>
            </w:r>
          </w:p>
        </w:tc>
        <w:tc>
          <w:tcPr>
            <w:tcW w:type="dxa" w:w="907"/>
          </w:tcPr>
          <w:p>
            <w:pPr>
              <w:spacing w:after="20"/>
              <w:jc w:val="right"/>
            </w:pPr>
            <w:r>
              <w:rPr>
                <w:color w:val="1C3A36"/>
                <w:sz w:val="15"/>
              </w:rPr>
              <w:t>14,660</w:t>
            </w:r>
          </w:p>
        </w:tc>
        <w:tc>
          <w:tcPr>
            <w:tcW w:type="dxa" w:w="907"/>
          </w:tcPr>
          <w:p>
            <w:pPr>
              <w:spacing w:after="20"/>
              <w:jc w:val="right"/>
            </w:pPr>
            <w:r>
              <w:rPr>
                <w:color w:val="1C3A36"/>
                <w:sz w:val="15"/>
              </w:rPr>
              <w:t>15,486</w:t>
            </w:r>
          </w:p>
        </w:tc>
        <w:tc>
          <w:tcPr>
            <w:tcW w:type="dxa" w:w="907"/>
          </w:tcPr>
          <w:p>
            <w:pPr>
              <w:spacing w:after="20"/>
              <w:jc w:val="right"/>
            </w:pPr>
            <w:r>
              <w:rPr>
                <w:color w:val="1C3A36"/>
                <w:sz w:val="15"/>
              </w:rPr>
              <w:t>16,292</w:t>
            </w:r>
          </w:p>
        </w:tc>
        <w:tc>
          <w:tcPr>
            <w:tcW w:type="dxa" w:w="907"/>
          </w:tcPr>
          <w:p>
            <w:pPr>
              <w:spacing w:after="20"/>
              <w:jc w:val="right"/>
            </w:pPr>
            <w:r>
              <w:rPr>
                <w:color w:val="1C3A36"/>
                <w:sz w:val="15"/>
              </w:rPr>
              <w:t>17,034</w:t>
            </w:r>
          </w:p>
        </w:tc>
      </w:tr>
      <w:tr>
        <w:tc>
          <w:tcPr>
            <w:tcW w:type="dxa" w:w="2736"/>
            <w:shd w:val="clear" w:color="auto" w:fill="F6F1E6"/>
          </w:tcPr>
          <w:p>
            <w:pPr>
              <w:spacing w:after="20"/>
            </w:pPr>
            <w:r>
              <w:rPr>
                <w:b/>
                <w:color w:val="1C3A36"/>
                <w:sz w:val="15"/>
              </w:rPr>
              <w:t>Net profit attributable</w:t>
            </w:r>
          </w:p>
        </w:tc>
        <w:tc>
          <w:tcPr>
            <w:tcW w:type="dxa" w:w="907"/>
            <w:shd w:val="clear" w:color="auto" w:fill="F6F1E6"/>
          </w:tcPr>
          <w:p>
            <w:pPr>
              <w:spacing w:after="20"/>
              <w:jc w:val="right"/>
            </w:pPr>
            <w:r>
              <w:rPr>
                <w:b/>
                <w:color w:val="1C3A36"/>
                <w:sz w:val="15"/>
              </w:rPr>
              <w:t>10,305</w:t>
            </w:r>
          </w:p>
        </w:tc>
        <w:tc>
          <w:tcPr>
            <w:tcW w:type="dxa" w:w="907"/>
            <w:shd w:val="clear" w:color="auto" w:fill="F6F1E6"/>
          </w:tcPr>
          <w:p>
            <w:pPr>
              <w:spacing w:after="20"/>
              <w:jc w:val="right"/>
            </w:pPr>
            <w:r>
              <w:rPr>
                <w:b/>
                <w:color w:val="1C3A36"/>
                <w:sz w:val="15"/>
              </w:rPr>
              <w:t>10,752</w:t>
            </w:r>
          </w:p>
        </w:tc>
        <w:tc>
          <w:tcPr>
            <w:tcW w:type="dxa" w:w="907"/>
            <w:shd w:val="clear" w:color="auto" w:fill="F6F1E6"/>
          </w:tcPr>
          <w:p>
            <w:pPr>
              <w:spacing w:after="20"/>
              <w:jc w:val="right"/>
            </w:pPr>
            <w:r>
              <w:rPr>
                <w:b/>
                <w:color w:val="1C3A36"/>
                <w:sz w:val="15"/>
              </w:rPr>
              <w:t>14,360</w:t>
            </w:r>
          </w:p>
        </w:tc>
        <w:tc>
          <w:tcPr>
            <w:tcW w:type="dxa" w:w="907"/>
            <w:shd w:val="clear" w:color="auto" w:fill="F6F1E6"/>
          </w:tcPr>
          <w:p>
            <w:pPr>
              <w:spacing w:after="20"/>
              <w:jc w:val="right"/>
            </w:pPr>
            <w:r>
              <w:rPr>
                <w:b/>
                <w:color w:val="1C3A36"/>
                <w:sz w:val="15"/>
              </w:rPr>
              <w:t>12,263</w:t>
            </w:r>
          </w:p>
        </w:tc>
        <w:tc>
          <w:tcPr>
            <w:tcW w:type="dxa" w:w="907"/>
            <w:shd w:val="clear" w:color="auto" w:fill="F6F1E6"/>
          </w:tcPr>
          <w:p>
            <w:pPr>
              <w:spacing w:after="20"/>
              <w:jc w:val="right"/>
            </w:pPr>
            <w:r>
              <w:rPr>
                <w:b/>
                <w:color w:val="1C3A36"/>
                <w:sz w:val="15"/>
              </w:rPr>
              <w:t>12,974</w:t>
            </w:r>
          </w:p>
        </w:tc>
        <w:tc>
          <w:tcPr>
            <w:tcW w:type="dxa" w:w="907"/>
            <w:shd w:val="clear" w:color="auto" w:fill="F6F1E6"/>
          </w:tcPr>
          <w:p>
            <w:pPr>
              <w:spacing w:after="20"/>
              <w:jc w:val="right"/>
            </w:pPr>
            <w:r>
              <w:rPr>
                <w:b/>
                <w:color w:val="1C3A36"/>
                <w:sz w:val="15"/>
              </w:rPr>
              <w:t>13,705</w:t>
            </w:r>
          </w:p>
        </w:tc>
        <w:tc>
          <w:tcPr>
            <w:tcW w:type="dxa" w:w="907"/>
            <w:shd w:val="clear" w:color="auto" w:fill="F6F1E6"/>
          </w:tcPr>
          <w:p>
            <w:pPr>
              <w:spacing w:after="20"/>
              <w:jc w:val="right"/>
            </w:pPr>
            <w:r>
              <w:rPr>
                <w:b/>
                <w:color w:val="1C3A36"/>
                <w:sz w:val="15"/>
              </w:rPr>
              <w:t>14,418</w:t>
            </w:r>
          </w:p>
        </w:tc>
        <w:tc>
          <w:tcPr>
            <w:tcW w:type="dxa" w:w="907"/>
            <w:shd w:val="clear" w:color="auto" w:fill="F6F1E6"/>
          </w:tcPr>
          <w:p>
            <w:pPr>
              <w:spacing w:after="20"/>
              <w:jc w:val="right"/>
            </w:pPr>
            <w:r>
              <w:rPr>
                <w:b/>
                <w:color w:val="1C3A36"/>
                <w:sz w:val="15"/>
              </w:rPr>
              <w:t>15,075</w:t>
            </w:r>
          </w:p>
        </w:tc>
      </w:tr>
      <w:tr>
        <w:tc>
          <w:tcPr>
            <w:tcW w:type="dxa" w:w="2736"/>
            <w:shd w:val="clear" w:color="auto" w:fill="F6F1E6"/>
          </w:tcPr>
          <w:p>
            <w:pPr>
              <w:spacing w:after="20"/>
            </w:pPr>
            <w:r>
              <w:rPr>
                <w:b/>
                <w:color w:val="1C3A36"/>
                <w:sz w:val="15"/>
              </w:rPr>
              <w:t>EPS (AED)</w:t>
            </w:r>
          </w:p>
        </w:tc>
        <w:tc>
          <w:tcPr>
            <w:tcW w:type="dxa" w:w="907"/>
            <w:shd w:val="clear" w:color="auto" w:fill="F6F1E6"/>
          </w:tcPr>
          <w:p>
            <w:pPr>
              <w:spacing w:after="20"/>
              <w:jc w:val="right"/>
            </w:pPr>
            <w:r>
              <w:rPr>
                <w:b/>
                <w:color w:val="1C3A36"/>
                <w:sz w:val="15"/>
              </w:rPr>
              <w:t>1.18</w:t>
            </w:r>
          </w:p>
        </w:tc>
        <w:tc>
          <w:tcPr>
            <w:tcW w:type="dxa" w:w="907"/>
            <w:shd w:val="clear" w:color="auto" w:fill="F6F1E6"/>
          </w:tcPr>
          <w:p>
            <w:pPr>
              <w:spacing w:after="20"/>
              <w:jc w:val="right"/>
            </w:pPr>
            <w:r>
              <w:rPr>
                <w:b/>
                <w:color w:val="1C3A36"/>
                <w:sz w:val="15"/>
              </w:rPr>
              <w:t>1.24</w:t>
            </w:r>
          </w:p>
        </w:tc>
        <w:tc>
          <w:tcPr>
            <w:tcW w:type="dxa" w:w="907"/>
            <w:shd w:val="clear" w:color="auto" w:fill="F6F1E6"/>
          </w:tcPr>
          <w:p>
            <w:pPr>
              <w:spacing w:after="20"/>
              <w:jc w:val="right"/>
            </w:pPr>
            <w:r>
              <w:rPr>
                <w:b/>
                <w:color w:val="1C3A36"/>
                <w:sz w:val="15"/>
              </w:rPr>
              <w:t>1.65</w:t>
            </w:r>
          </w:p>
        </w:tc>
        <w:tc>
          <w:tcPr>
            <w:tcW w:type="dxa" w:w="907"/>
            <w:shd w:val="clear" w:color="auto" w:fill="F6F1E6"/>
          </w:tcPr>
          <w:p>
            <w:pPr>
              <w:spacing w:after="20"/>
              <w:jc w:val="right"/>
            </w:pPr>
            <w:r>
              <w:rPr>
                <w:b/>
                <w:color w:val="1C3A36"/>
                <w:sz w:val="15"/>
              </w:rPr>
              <w:t>1.41</w:t>
            </w:r>
          </w:p>
        </w:tc>
        <w:tc>
          <w:tcPr>
            <w:tcW w:type="dxa" w:w="907"/>
            <w:shd w:val="clear" w:color="auto" w:fill="F6F1E6"/>
          </w:tcPr>
          <w:p>
            <w:pPr>
              <w:spacing w:after="20"/>
              <w:jc w:val="right"/>
            </w:pPr>
            <w:r>
              <w:rPr>
                <w:b/>
                <w:color w:val="1C3A36"/>
                <w:sz w:val="15"/>
              </w:rPr>
              <w:t>1.49</w:t>
            </w:r>
          </w:p>
        </w:tc>
        <w:tc>
          <w:tcPr>
            <w:tcW w:type="dxa" w:w="907"/>
            <w:shd w:val="clear" w:color="auto" w:fill="F6F1E6"/>
          </w:tcPr>
          <w:p>
            <w:pPr>
              <w:spacing w:after="20"/>
              <w:jc w:val="right"/>
            </w:pPr>
            <w:r>
              <w:rPr>
                <w:b/>
                <w:color w:val="1C3A36"/>
                <w:sz w:val="15"/>
              </w:rPr>
              <w:t>1.58</w:t>
            </w:r>
          </w:p>
        </w:tc>
        <w:tc>
          <w:tcPr>
            <w:tcW w:type="dxa" w:w="907"/>
            <w:shd w:val="clear" w:color="auto" w:fill="F6F1E6"/>
          </w:tcPr>
          <w:p>
            <w:pPr>
              <w:spacing w:after="20"/>
              <w:jc w:val="right"/>
            </w:pPr>
            <w:r>
              <w:rPr>
                <w:b/>
                <w:color w:val="1C3A36"/>
                <w:sz w:val="15"/>
              </w:rPr>
              <w:t>1.66</w:t>
            </w:r>
          </w:p>
        </w:tc>
        <w:tc>
          <w:tcPr>
            <w:tcW w:type="dxa" w:w="907"/>
            <w:shd w:val="clear" w:color="auto" w:fill="F6F1E6"/>
          </w:tcPr>
          <w:p>
            <w:pPr>
              <w:spacing w:after="20"/>
              <w:jc w:val="right"/>
            </w:pPr>
            <w:r>
              <w:rPr>
                <w:b/>
                <w:color w:val="1C3A36"/>
                <w:sz w:val="15"/>
              </w:rPr>
              <w:t>1.73</w:t>
            </w:r>
          </w:p>
        </w:tc>
      </w:tr>
      <w:tr>
        <w:tc>
          <w:tcPr>
            <w:tcW w:type="dxa" w:w="2736"/>
          </w:tcPr>
          <w:p>
            <w:pPr>
              <w:spacing w:after="20"/>
            </w:pPr>
            <w:r>
              <w:rPr>
                <w:color w:val="1C3A36"/>
                <w:sz w:val="15"/>
              </w:rPr>
              <w:t>EPS ex-one-offs</w:t>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t>1.31</w:t>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r>
          </w:p>
        </w:tc>
        <w:tc>
          <w:tcPr>
            <w:tcW w:type="dxa" w:w="907"/>
          </w:tcPr>
          <w:p>
            <w:pPr>
              <w:spacing w:after="20"/>
              <w:jc w:val="right"/>
            </w:pPr>
            <w:r>
              <w:rPr>
                <w:color w:val="1C3A36"/>
                <w:sz w:val="15"/>
              </w:rPr>
            </w:r>
          </w:p>
        </w:tc>
      </w:tr>
    </w:tbl>
    <w:p>
      <w:pPr>
        <w:spacing w:after="40"/>
      </w:pPr>
    </w:p>
    <w:p>
      <w:pPr>
        <w:spacing w:after="80" w:before="200"/>
      </w:pPr>
      <w:r>
        <w:rPr>
          <w:b/>
          <w:i w:val="0"/>
          <w:color w:val="1C3A36"/>
          <w:sz w:val="24"/>
        </w:rPr>
        <w:t>A.2  Balance sheet — condensed house layout (consolidated, AED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672"/>
            <w:shd w:val="clear" w:color="auto" w:fill="EAF0EE"/>
          </w:tcPr>
          <w:p>
            <w:pPr>
              <w:spacing w:after="20"/>
            </w:pPr>
            <w:r>
              <w:rPr>
                <w:b/>
                <w:color w:val="1C3A36"/>
                <w:sz w:val="17"/>
              </w:rPr>
              <w:t>AED mn</w:t>
            </w:r>
          </w:p>
        </w:tc>
        <w:tc>
          <w:tcPr>
            <w:tcW w:type="dxa" w:w="1440"/>
            <w:shd w:val="clear" w:color="auto" w:fill="EAF0EE"/>
          </w:tcPr>
          <w:p>
            <w:pPr>
              <w:spacing w:after="20"/>
            </w:pPr>
            <w:r>
              <w:rPr>
                <w:b/>
                <w:color w:val="1C3A36"/>
                <w:sz w:val="17"/>
              </w:rPr>
              <w:t>Dec-23</w:t>
            </w:r>
          </w:p>
        </w:tc>
        <w:tc>
          <w:tcPr>
            <w:tcW w:type="dxa" w:w="1440"/>
            <w:shd w:val="clear" w:color="auto" w:fill="EAF0EE"/>
          </w:tcPr>
          <w:p>
            <w:pPr>
              <w:spacing w:after="20"/>
            </w:pPr>
            <w:r>
              <w:rPr>
                <w:b/>
                <w:color w:val="1C3A36"/>
                <w:sz w:val="17"/>
              </w:rPr>
              <w:t>Dec-24</w:t>
            </w:r>
          </w:p>
        </w:tc>
        <w:tc>
          <w:tcPr>
            <w:tcW w:type="dxa" w:w="1440"/>
            <w:shd w:val="clear" w:color="auto" w:fill="EAF0EE"/>
          </w:tcPr>
          <w:p>
            <w:pPr>
              <w:spacing w:after="20"/>
            </w:pPr>
            <w:r>
              <w:rPr>
                <w:b/>
                <w:color w:val="1C3A36"/>
                <w:sz w:val="17"/>
              </w:rPr>
              <w:t>Dec-25</w:t>
            </w:r>
          </w:p>
        </w:tc>
        <w:tc>
          <w:tcPr>
            <w:tcW w:type="dxa" w:w="1440"/>
            <w:shd w:val="clear" w:color="auto" w:fill="EAF0EE"/>
          </w:tcPr>
          <w:p>
            <w:pPr>
              <w:spacing w:after="20"/>
            </w:pPr>
            <w:r>
              <w:rPr>
                <w:b/>
                <w:color w:val="1C3A36"/>
                <w:sz w:val="17"/>
              </w:rPr>
              <w:t>Mar-26</w:t>
            </w:r>
          </w:p>
        </w:tc>
      </w:tr>
      <w:tr>
        <w:tc>
          <w:tcPr>
            <w:tcW w:type="dxa" w:w="3672"/>
          </w:tcPr>
          <w:p>
            <w:pPr>
              <w:spacing w:after="20"/>
            </w:pPr>
            <w:r>
              <w:rPr>
                <w:color w:val="1C3A36"/>
                <w:sz w:val="17"/>
              </w:rPr>
              <w:t>Cash &amp; bank balances</w:t>
            </w:r>
          </w:p>
        </w:tc>
        <w:tc>
          <w:tcPr>
            <w:tcW w:type="dxa" w:w="1440"/>
          </w:tcPr>
          <w:p>
            <w:pPr>
              <w:spacing w:after="20"/>
              <w:jc w:val="right"/>
            </w:pPr>
            <w:r>
              <w:rPr>
                <w:color w:val="1C3A36"/>
                <w:sz w:val="17"/>
              </w:rPr>
              <w:t>28,989</w:t>
            </w:r>
          </w:p>
        </w:tc>
        <w:tc>
          <w:tcPr>
            <w:tcW w:type="dxa" w:w="1440"/>
          </w:tcPr>
          <w:p>
            <w:pPr>
              <w:spacing w:after="20"/>
              <w:jc w:val="right"/>
            </w:pPr>
            <w:r>
              <w:rPr>
                <w:color w:val="1C3A36"/>
                <w:sz w:val="17"/>
              </w:rPr>
              <w:t>33,628</w:t>
            </w:r>
          </w:p>
        </w:tc>
        <w:tc>
          <w:tcPr>
            <w:tcW w:type="dxa" w:w="1440"/>
          </w:tcPr>
          <w:p>
            <w:pPr>
              <w:spacing w:after="20"/>
              <w:jc w:val="right"/>
            </w:pPr>
            <w:r>
              <w:rPr>
                <w:color w:val="1C3A36"/>
                <w:sz w:val="17"/>
              </w:rPr>
              <w:t>34,308</w:t>
            </w:r>
          </w:p>
        </w:tc>
        <w:tc>
          <w:tcPr>
            <w:tcW w:type="dxa" w:w="1440"/>
          </w:tcPr>
          <w:p>
            <w:pPr>
              <w:spacing w:after="20"/>
              <w:jc w:val="right"/>
            </w:pPr>
            <w:r>
              <w:rPr>
                <w:color w:val="1C3A36"/>
                <w:sz w:val="17"/>
              </w:rPr>
              <w:t>36,782</w:t>
            </w:r>
          </w:p>
        </w:tc>
      </w:tr>
      <w:tr>
        <w:tc>
          <w:tcPr>
            <w:tcW w:type="dxa" w:w="3672"/>
          </w:tcPr>
          <w:p>
            <w:pPr>
              <w:spacing w:after="20"/>
            </w:pPr>
            <w:r>
              <w:rPr>
                <w:color w:val="1C3A36"/>
                <w:sz w:val="17"/>
              </w:rPr>
              <w:t>Term deposits (amortised cost)</w:t>
            </w:r>
          </w:p>
        </w:tc>
        <w:tc>
          <w:tcPr>
            <w:tcW w:type="dxa" w:w="1440"/>
          </w:tcPr>
          <w:p>
            <w:pPr>
              <w:spacing w:after="20"/>
              <w:jc w:val="right"/>
            </w:pPr>
            <w:r>
              <w:rPr>
                <w:color w:val="1C3A36"/>
                <w:sz w:val="17"/>
              </w:rPr>
              <w:t>n/d</w:t>
            </w:r>
          </w:p>
        </w:tc>
        <w:tc>
          <w:tcPr>
            <w:tcW w:type="dxa" w:w="1440"/>
          </w:tcPr>
          <w:p>
            <w:pPr>
              <w:spacing w:after="20"/>
              <w:jc w:val="right"/>
            </w:pPr>
            <w:r>
              <w:rPr>
                <w:color w:val="1C3A36"/>
                <w:sz w:val="17"/>
              </w:rPr>
              <w:t>n/d</w:t>
            </w:r>
          </w:p>
        </w:tc>
        <w:tc>
          <w:tcPr>
            <w:tcW w:type="dxa" w:w="1440"/>
          </w:tcPr>
          <w:p>
            <w:pPr>
              <w:spacing w:after="20"/>
              <w:jc w:val="right"/>
            </w:pPr>
            <w:r>
              <w:rPr>
                <w:color w:val="1C3A36"/>
                <w:sz w:val="17"/>
              </w:rPr>
              <w:t>10,425</w:t>
            </w:r>
          </w:p>
        </w:tc>
        <w:tc>
          <w:tcPr>
            <w:tcW w:type="dxa" w:w="1440"/>
          </w:tcPr>
          <w:p>
            <w:pPr>
              <w:spacing w:after="20"/>
              <w:jc w:val="right"/>
            </w:pPr>
            <w:r>
              <w:rPr>
                <w:color w:val="1C3A36"/>
                <w:sz w:val="17"/>
              </w:rPr>
              <w:t>10,765</w:t>
            </w:r>
          </w:p>
        </w:tc>
      </w:tr>
      <w:tr>
        <w:tc>
          <w:tcPr>
            <w:tcW w:type="dxa" w:w="3672"/>
          </w:tcPr>
          <w:p>
            <w:pPr>
              <w:spacing w:after="20"/>
            </w:pPr>
            <w:r>
              <w:rPr>
                <w:color w:val="1C3A36"/>
                <w:sz w:val="17"/>
              </w:rPr>
              <w:t>Goodwill</w:t>
            </w:r>
          </w:p>
        </w:tc>
        <w:tc>
          <w:tcPr>
            <w:tcW w:type="dxa" w:w="1440"/>
          </w:tcPr>
          <w:p>
            <w:pPr>
              <w:spacing w:after="20"/>
              <w:jc w:val="right"/>
            </w:pPr>
            <w:r>
              <w:rPr>
                <w:color w:val="1C3A36"/>
                <w:sz w:val="17"/>
              </w:rPr>
              <w:t>n/d</w:t>
            </w:r>
          </w:p>
        </w:tc>
        <w:tc>
          <w:tcPr>
            <w:tcW w:type="dxa" w:w="1440"/>
          </w:tcPr>
          <w:p>
            <w:pPr>
              <w:spacing w:after="20"/>
              <w:jc w:val="right"/>
            </w:pPr>
            <w:r>
              <w:rPr>
                <w:color w:val="1C3A36"/>
                <w:sz w:val="17"/>
              </w:rPr>
              <w:t>24,955</w:t>
            </w:r>
          </w:p>
        </w:tc>
        <w:tc>
          <w:tcPr>
            <w:tcW w:type="dxa" w:w="1440"/>
          </w:tcPr>
          <w:p>
            <w:pPr>
              <w:spacing w:after="20"/>
              <w:jc w:val="right"/>
            </w:pPr>
            <w:r>
              <w:rPr>
                <w:color w:val="1C3A36"/>
                <w:sz w:val="17"/>
              </w:rPr>
              <w:t>30,068</w:t>
            </w:r>
          </w:p>
        </w:tc>
        <w:tc>
          <w:tcPr>
            <w:tcW w:type="dxa" w:w="1440"/>
          </w:tcPr>
          <w:p>
            <w:pPr>
              <w:spacing w:after="20"/>
              <w:jc w:val="right"/>
            </w:pPr>
            <w:r>
              <w:rPr>
                <w:color w:val="1C3A36"/>
                <w:sz w:val="17"/>
              </w:rPr>
              <w:t>30,068</w:t>
            </w:r>
          </w:p>
        </w:tc>
      </w:tr>
      <w:tr>
        <w:tc>
          <w:tcPr>
            <w:tcW w:type="dxa" w:w="3672"/>
          </w:tcPr>
          <w:p>
            <w:pPr>
              <w:spacing w:after="20"/>
            </w:pPr>
            <w:r>
              <w:rPr>
                <w:color w:val="1C3A36"/>
                <w:sz w:val="17"/>
              </w:rPr>
              <w:t>Associates &amp; JVs (incl. Vodafone, Mobily)</w:t>
            </w:r>
          </w:p>
        </w:tc>
        <w:tc>
          <w:tcPr>
            <w:tcW w:type="dxa" w:w="1440"/>
          </w:tcPr>
          <w:p>
            <w:pPr>
              <w:spacing w:after="20"/>
              <w:jc w:val="right"/>
            </w:pPr>
            <w:r>
              <w:rPr>
                <w:color w:val="1C3A36"/>
                <w:sz w:val="17"/>
              </w:rPr>
              <w:t>n/d</w:t>
            </w:r>
          </w:p>
        </w:tc>
        <w:tc>
          <w:tcPr>
            <w:tcW w:type="dxa" w:w="1440"/>
          </w:tcPr>
          <w:p>
            <w:pPr>
              <w:spacing w:after="20"/>
              <w:jc w:val="right"/>
            </w:pPr>
            <w:r>
              <w:rPr>
                <w:color w:val="1C3A36"/>
                <w:sz w:val="17"/>
              </w:rPr>
              <w:t>n/d</w:t>
            </w:r>
          </w:p>
        </w:tc>
        <w:tc>
          <w:tcPr>
            <w:tcW w:type="dxa" w:w="1440"/>
          </w:tcPr>
          <w:p>
            <w:pPr>
              <w:spacing w:after="20"/>
              <w:jc w:val="right"/>
            </w:pPr>
            <w:r>
              <w:rPr>
                <w:color w:val="1C3A36"/>
                <w:sz w:val="17"/>
              </w:rPr>
              <w:t>21,128</w:t>
            </w:r>
          </w:p>
        </w:tc>
        <w:tc>
          <w:tcPr>
            <w:tcW w:type="dxa" w:w="1440"/>
          </w:tcPr>
          <w:p>
            <w:pPr>
              <w:spacing w:after="20"/>
              <w:jc w:val="right"/>
            </w:pPr>
            <w:r>
              <w:rPr>
                <w:color w:val="1C3A36"/>
                <w:sz w:val="17"/>
              </w:rPr>
              <w:t>20,885</w:t>
            </w:r>
          </w:p>
        </w:tc>
      </w:tr>
      <w:tr>
        <w:tc>
          <w:tcPr>
            <w:tcW w:type="dxa" w:w="3672"/>
            <w:shd w:val="clear" w:color="auto" w:fill="F6F1E6"/>
          </w:tcPr>
          <w:p>
            <w:pPr>
              <w:spacing w:after="20"/>
            </w:pPr>
            <w:r>
              <w:rPr>
                <w:b/>
                <w:color w:val="1C3A36"/>
                <w:sz w:val="17"/>
              </w:rPr>
              <w:t>Total assets</w:t>
            </w:r>
          </w:p>
        </w:tc>
        <w:tc>
          <w:tcPr>
            <w:tcW w:type="dxa" w:w="1440"/>
            <w:shd w:val="clear" w:color="auto" w:fill="F6F1E6"/>
          </w:tcPr>
          <w:p>
            <w:pPr>
              <w:spacing w:after="20"/>
              <w:jc w:val="right"/>
            </w:pPr>
            <w:r>
              <w:rPr>
                <w:b/>
                <w:color w:val="1C3A36"/>
                <w:sz w:val="17"/>
              </w:rPr>
              <w:t>147,613</w:t>
            </w:r>
          </w:p>
        </w:tc>
        <w:tc>
          <w:tcPr>
            <w:tcW w:type="dxa" w:w="1440"/>
            <w:shd w:val="clear" w:color="auto" w:fill="F6F1E6"/>
          </w:tcPr>
          <w:p>
            <w:pPr>
              <w:spacing w:after="20"/>
              <w:jc w:val="right"/>
            </w:pPr>
            <w:r>
              <w:rPr>
                <w:b/>
                <w:color w:val="1C3A36"/>
                <w:sz w:val="17"/>
              </w:rPr>
              <w:t>183,327</w:t>
            </w:r>
          </w:p>
        </w:tc>
        <w:tc>
          <w:tcPr>
            <w:tcW w:type="dxa" w:w="1440"/>
            <w:shd w:val="clear" w:color="auto" w:fill="F6F1E6"/>
          </w:tcPr>
          <w:p>
            <w:pPr>
              <w:spacing w:after="20"/>
              <w:jc w:val="right"/>
            </w:pPr>
            <w:r>
              <w:rPr>
                <w:b/>
                <w:color w:val="1C3A36"/>
                <w:sz w:val="17"/>
              </w:rPr>
              <w:t>205,059</w:t>
            </w:r>
          </w:p>
        </w:tc>
        <w:tc>
          <w:tcPr>
            <w:tcW w:type="dxa" w:w="1440"/>
            <w:shd w:val="clear" w:color="auto" w:fill="F6F1E6"/>
          </w:tcPr>
          <w:p>
            <w:pPr>
              <w:spacing w:after="20"/>
              <w:jc w:val="right"/>
            </w:pPr>
            <w:r>
              <w:rPr>
                <w:b/>
                <w:color w:val="1C3A36"/>
                <w:sz w:val="17"/>
              </w:rPr>
              <w:t>207,682</w:t>
            </w:r>
          </w:p>
        </w:tc>
      </w:tr>
      <w:tr>
        <w:tc>
          <w:tcPr>
            <w:tcW w:type="dxa" w:w="3672"/>
          </w:tcPr>
          <w:p>
            <w:pPr>
              <w:spacing w:after="20"/>
            </w:pPr>
            <w:r>
              <w:rPr>
                <w:color w:val="1C3A36"/>
                <w:sz w:val="17"/>
              </w:rPr>
              <w:t>Total borrowings</w:t>
            </w:r>
          </w:p>
        </w:tc>
        <w:tc>
          <w:tcPr>
            <w:tcW w:type="dxa" w:w="1440"/>
          </w:tcPr>
          <w:p>
            <w:pPr>
              <w:spacing w:after="20"/>
              <w:jc w:val="right"/>
            </w:pPr>
            <w:r>
              <w:rPr>
                <w:color w:val="1C3A36"/>
                <w:sz w:val="17"/>
              </w:rPr>
              <w:t>49,041</w:t>
            </w:r>
          </w:p>
        </w:tc>
        <w:tc>
          <w:tcPr>
            <w:tcW w:type="dxa" w:w="1440"/>
          </w:tcPr>
          <w:p>
            <w:pPr>
              <w:spacing w:after="20"/>
              <w:jc w:val="right"/>
            </w:pPr>
            <w:r>
              <w:rPr>
                <w:color w:val="1C3A36"/>
                <w:sz w:val="17"/>
              </w:rPr>
              <w:t>69,195</w:t>
            </w:r>
          </w:p>
        </w:tc>
        <w:tc>
          <w:tcPr>
            <w:tcW w:type="dxa" w:w="1440"/>
          </w:tcPr>
          <w:p>
            <w:pPr>
              <w:spacing w:after="20"/>
              <w:jc w:val="right"/>
            </w:pPr>
            <w:r>
              <w:rPr>
                <w:color w:val="1C3A36"/>
                <w:sz w:val="17"/>
              </w:rPr>
              <w:t>67,639</w:t>
            </w:r>
          </w:p>
        </w:tc>
        <w:tc>
          <w:tcPr>
            <w:tcW w:type="dxa" w:w="1440"/>
          </w:tcPr>
          <w:p>
            <w:pPr>
              <w:spacing w:after="20"/>
              <w:jc w:val="right"/>
            </w:pPr>
            <w:r>
              <w:rPr>
                <w:color w:val="1C3A36"/>
                <w:sz w:val="17"/>
              </w:rPr>
              <w:t>66,574</w:t>
            </w:r>
          </w:p>
        </w:tc>
      </w:tr>
      <w:tr>
        <w:tc>
          <w:tcPr>
            <w:tcW w:type="dxa" w:w="3672"/>
            <w:shd w:val="clear" w:color="auto" w:fill="F6F1E6"/>
          </w:tcPr>
          <w:p>
            <w:pPr>
              <w:spacing w:after="20"/>
            </w:pPr>
            <w:r>
              <w:rPr>
                <w:b/>
                <w:color w:val="1C3A36"/>
                <w:sz w:val="17"/>
              </w:rPr>
              <w:t>Net debt</w:t>
            </w:r>
          </w:p>
        </w:tc>
        <w:tc>
          <w:tcPr>
            <w:tcW w:type="dxa" w:w="1440"/>
            <w:shd w:val="clear" w:color="auto" w:fill="F6F1E6"/>
          </w:tcPr>
          <w:p>
            <w:pPr>
              <w:spacing w:after="20"/>
              <w:jc w:val="right"/>
            </w:pPr>
            <w:r>
              <w:rPr>
                <w:b/>
                <w:color w:val="1C3A36"/>
                <w:sz w:val="17"/>
              </w:rPr>
              <w:t>20,051</w:t>
            </w:r>
          </w:p>
        </w:tc>
        <w:tc>
          <w:tcPr>
            <w:tcW w:type="dxa" w:w="1440"/>
            <w:shd w:val="clear" w:color="auto" w:fill="F6F1E6"/>
          </w:tcPr>
          <w:p>
            <w:pPr>
              <w:spacing w:after="20"/>
              <w:jc w:val="right"/>
            </w:pPr>
            <w:r>
              <w:rPr>
                <w:b/>
                <w:color w:val="1C3A36"/>
                <w:sz w:val="17"/>
              </w:rPr>
              <w:t>35,567</w:t>
            </w:r>
          </w:p>
        </w:tc>
        <w:tc>
          <w:tcPr>
            <w:tcW w:type="dxa" w:w="1440"/>
            <w:shd w:val="clear" w:color="auto" w:fill="F6F1E6"/>
          </w:tcPr>
          <w:p>
            <w:pPr>
              <w:spacing w:after="20"/>
              <w:jc w:val="right"/>
            </w:pPr>
            <w:r>
              <w:rPr>
                <w:b/>
                <w:color w:val="1C3A36"/>
                <w:sz w:val="17"/>
              </w:rPr>
              <w:t>33,331</w:t>
            </w:r>
          </w:p>
        </w:tc>
        <w:tc>
          <w:tcPr>
            <w:tcW w:type="dxa" w:w="1440"/>
            <w:shd w:val="clear" w:color="auto" w:fill="F6F1E6"/>
          </w:tcPr>
          <w:p>
            <w:pPr>
              <w:spacing w:after="20"/>
              <w:jc w:val="right"/>
            </w:pPr>
            <w:r>
              <w:rPr>
                <w:b/>
                <w:color w:val="1C3A36"/>
                <w:sz w:val="17"/>
              </w:rPr>
              <w:t>29,792</w:t>
            </w:r>
          </w:p>
        </w:tc>
      </w:tr>
      <w:tr>
        <w:tc>
          <w:tcPr>
            <w:tcW w:type="dxa" w:w="3672"/>
          </w:tcPr>
          <w:p>
            <w:pPr>
              <w:spacing w:after="20"/>
            </w:pPr>
            <w:r>
              <w:rPr>
                <w:color w:val="1C3A36"/>
                <w:sz w:val="17"/>
              </w:rPr>
              <w:t>PPF NCI put liability</w:t>
            </w:r>
          </w:p>
        </w:tc>
        <w:tc>
          <w:tcPr>
            <w:tcW w:type="dxa" w:w="1440"/>
          </w:tcPr>
          <w:p>
            <w:pPr>
              <w:spacing w:after="20"/>
              <w:jc w:val="right"/>
            </w:pPr>
            <w:r>
              <w:rPr>
                <w:color w:val="1C3A36"/>
                <w:sz w:val="17"/>
              </w:rPr>
              <w:t>n/d</w:t>
            </w:r>
          </w:p>
        </w:tc>
        <w:tc>
          <w:tcPr>
            <w:tcW w:type="dxa" w:w="1440"/>
          </w:tcPr>
          <w:p>
            <w:pPr>
              <w:spacing w:after="20"/>
              <w:jc w:val="right"/>
            </w:pPr>
            <w:r>
              <w:rPr>
                <w:color w:val="1C3A36"/>
                <w:sz w:val="17"/>
              </w:rPr>
              <w:t>8,098</w:t>
            </w:r>
          </w:p>
        </w:tc>
        <w:tc>
          <w:tcPr>
            <w:tcW w:type="dxa" w:w="1440"/>
          </w:tcPr>
          <w:p>
            <w:pPr>
              <w:spacing w:after="20"/>
              <w:jc w:val="right"/>
            </w:pPr>
            <w:r>
              <w:rPr>
                <w:color w:val="1C3A36"/>
                <w:sz w:val="17"/>
              </w:rPr>
              <w:t>11,658</w:t>
            </w:r>
          </w:p>
        </w:tc>
        <w:tc>
          <w:tcPr>
            <w:tcW w:type="dxa" w:w="1440"/>
          </w:tcPr>
          <w:p>
            <w:pPr>
              <w:spacing w:after="20"/>
              <w:jc w:val="right"/>
            </w:pPr>
            <w:r>
              <w:rPr>
                <w:color w:val="1C3A36"/>
                <w:sz w:val="17"/>
              </w:rPr>
              <w:t>11,658</w:t>
            </w:r>
          </w:p>
        </w:tc>
      </w:tr>
      <w:tr>
        <w:tc>
          <w:tcPr>
            <w:tcW w:type="dxa" w:w="3672"/>
          </w:tcPr>
          <w:p>
            <w:pPr>
              <w:spacing w:after="20"/>
            </w:pPr>
            <w:r>
              <w:rPr>
                <w:color w:val="1C3A36"/>
                <w:sz w:val="17"/>
              </w:rPr>
              <w:t>Federal royalty payable</w:t>
            </w:r>
          </w:p>
        </w:tc>
        <w:tc>
          <w:tcPr>
            <w:tcW w:type="dxa" w:w="1440"/>
          </w:tcPr>
          <w:p>
            <w:pPr>
              <w:spacing w:after="20"/>
              <w:jc w:val="right"/>
            </w:pPr>
            <w:r>
              <w:rPr>
                <w:color w:val="1C3A36"/>
                <w:sz w:val="17"/>
              </w:rPr>
              <w:t>n/d</w:t>
            </w:r>
          </w:p>
        </w:tc>
        <w:tc>
          <w:tcPr>
            <w:tcW w:type="dxa" w:w="1440"/>
          </w:tcPr>
          <w:p>
            <w:pPr>
              <w:spacing w:after="20"/>
              <w:jc w:val="right"/>
            </w:pPr>
            <w:r>
              <w:rPr>
                <w:color w:val="1C3A36"/>
                <w:sz w:val="17"/>
              </w:rPr>
              <w:t>n/d</w:t>
            </w:r>
          </w:p>
        </w:tc>
        <w:tc>
          <w:tcPr>
            <w:tcW w:type="dxa" w:w="1440"/>
          </w:tcPr>
          <w:p>
            <w:pPr>
              <w:spacing w:after="20"/>
              <w:jc w:val="right"/>
            </w:pPr>
            <w:r>
              <w:rPr>
                <w:color w:val="1C3A36"/>
                <w:sz w:val="17"/>
              </w:rPr>
              <w:t>9,053</w:t>
            </w:r>
          </w:p>
        </w:tc>
        <w:tc>
          <w:tcPr>
            <w:tcW w:type="dxa" w:w="1440"/>
          </w:tcPr>
          <w:p>
            <w:pPr>
              <w:spacing w:after="20"/>
              <w:jc w:val="right"/>
            </w:pPr>
            <w:r>
              <w:rPr>
                <w:color w:val="1C3A36"/>
                <w:sz w:val="17"/>
              </w:rPr>
              <w:t>9,287</w:t>
            </w:r>
          </w:p>
        </w:tc>
      </w:tr>
      <w:tr>
        <w:tc>
          <w:tcPr>
            <w:tcW w:type="dxa" w:w="3672"/>
          </w:tcPr>
          <w:p>
            <w:pPr>
              <w:spacing w:after="20"/>
            </w:pPr>
            <w:r>
              <w:rPr>
                <w:color w:val="1C3A36"/>
                <w:sz w:val="17"/>
              </w:rPr>
              <w:t>Equity attributable to owners</w:t>
            </w:r>
          </w:p>
        </w:tc>
        <w:tc>
          <w:tcPr>
            <w:tcW w:type="dxa" w:w="1440"/>
          </w:tcPr>
          <w:p>
            <w:pPr>
              <w:spacing w:after="20"/>
              <w:jc w:val="right"/>
            </w:pPr>
            <w:r>
              <w:rPr>
                <w:color w:val="1C3A36"/>
                <w:sz w:val="17"/>
              </w:rPr>
              <w:t>n/d</w:t>
            </w:r>
          </w:p>
        </w:tc>
        <w:tc>
          <w:tcPr>
            <w:tcW w:type="dxa" w:w="1440"/>
          </w:tcPr>
          <w:p>
            <w:pPr>
              <w:spacing w:after="20"/>
              <w:jc w:val="right"/>
            </w:pPr>
            <w:r>
              <w:rPr>
                <w:color w:val="1C3A36"/>
                <w:sz w:val="17"/>
              </w:rPr>
              <w:t>45,601</w:t>
            </w:r>
          </w:p>
        </w:tc>
        <w:tc>
          <w:tcPr>
            <w:tcW w:type="dxa" w:w="1440"/>
          </w:tcPr>
          <w:p>
            <w:pPr>
              <w:spacing w:after="20"/>
              <w:jc w:val="right"/>
            </w:pPr>
            <w:r>
              <w:rPr>
                <w:color w:val="1C3A36"/>
                <w:sz w:val="17"/>
              </w:rPr>
              <w:t>51,708</w:t>
            </w:r>
          </w:p>
        </w:tc>
        <w:tc>
          <w:tcPr>
            <w:tcW w:type="dxa" w:w="1440"/>
          </w:tcPr>
          <w:p>
            <w:pPr>
              <w:spacing w:after="20"/>
              <w:jc w:val="right"/>
            </w:pPr>
            <w:r>
              <w:rPr>
                <w:color w:val="1C3A36"/>
                <w:sz w:val="17"/>
              </w:rPr>
              <w:t>50,488</w:t>
            </w:r>
          </w:p>
        </w:tc>
      </w:tr>
      <w:tr>
        <w:tc>
          <w:tcPr>
            <w:tcW w:type="dxa" w:w="3672"/>
          </w:tcPr>
          <w:p>
            <w:pPr>
              <w:spacing w:after="20"/>
            </w:pPr>
            <w:r>
              <w:rPr>
                <w:color w:val="1C3A36"/>
                <w:sz w:val="17"/>
              </w:rPr>
              <w:t>Non-controlling interests</w:t>
            </w:r>
          </w:p>
        </w:tc>
        <w:tc>
          <w:tcPr>
            <w:tcW w:type="dxa" w:w="1440"/>
          </w:tcPr>
          <w:p>
            <w:pPr>
              <w:spacing w:after="20"/>
              <w:jc w:val="right"/>
            </w:pPr>
            <w:r>
              <w:rPr>
                <w:color w:val="1C3A36"/>
                <w:sz w:val="17"/>
              </w:rPr>
              <w:t>n/d</w:t>
            </w:r>
          </w:p>
        </w:tc>
        <w:tc>
          <w:tcPr>
            <w:tcW w:type="dxa" w:w="1440"/>
          </w:tcPr>
          <w:p>
            <w:pPr>
              <w:spacing w:after="20"/>
              <w:jc w:val="right"/>
            </w:pPr>
            <w:r>
              <w:rPr>
                <w:color w:val="1C3A36"/>
                <w:sz w:val="17"/>
              </w:rPr>
              <w:t>8,320</w:t>
            </w:r>
          </w:p>
        </w:tc>
        <w:tc>
          <w:tcPr>
            <w:tcW w:type="dxa" w:w="1440"/>
          </w:tcPr>
          <w:p>
            <w:pPr>
              <w:spacing w:after="20"/>
              <w:jc w:val="right"/>
            </w:pPr>
            <w:r>
              <w:rPr>
                <w:color w:val="1C3A36"/>
                <w:sz w:val="17"/>
              </w:rPr>
              <w:t>10,055</w:t>
            </w:r>
          </w:p>
        </w:tc>
        <w:tc>
          <w:tcPr>
            <w:tcW w:type="dxa" w:w="1440"/>
          </w:tcPr>
          <w:p>
            <w:pPr>
              <w:spacing w:after="20"/>
              <w:jc w:val="right"/>
            </w:pPr>
            <w:r>
              <w:rPr>
                <w:color w:val="1C3A36"/>
                <w:sz w:val="17"/>
              </w:rPr>
              <w:t>9,369</w:t>
            </w:r>
          </w:p>
        </w:tc>
      </w:tr>
      <w:tr>
        <w:tc>
          <w:tcPr>
            <w:tcW w:type="dxa" w:w="3672"/>
            <w:shd w:val="clear" w:color="auto" w:fill="F6F1E6"/>
          </w:tcPr>
          <w:p>
            <w:pPr>
              <w:spacing w:after="20"/>
            </w:pPr>
            <w:r>
              <w:rPr>
                <w:b/>
                <w:color w:val="1C3A36"/>
                <w:sz w:val="17"/>
              </w:rPr>
              <w:t>Total equity</w:t>
            </w:r>
          </w:p>
        </w:tc>
        <w:tc>
          <w:tcPr>
            <w:tcW w:type="dxa" w:w="1440"/>
            <w:shd w:val="clear" w:color="auto" w:fill="F6F1E6"/>
          </w:tcPr>
          <w:p>
            <w:pPr>
              <w:spacing w:after="20"/>
              <w:jc w:val="right"/>
            </w:pPr>
            <w:r>
              <w:rPr>
                <w:b/>
                <w:color w:val="1C3A36"/>
                <w:sz w:val="17"/>
              </w:rPr>
              <w:t>51,710</w:t>
            </w:r>
          </w:p>
        </w:tc>
        <w:tc>
          <w:tcPr>
            <w:tcW w:type="dxa" w:w="1440"/>
            <w:shd w:val="clear" w:color="auto" w:fill="F6F1E6"/>
          </w:tcPr>
          <w:p>
            <w:pPr>
              <w:spacing w:after="20"/>
              <w:jc w:val="right"/>
            </w:pPr>
            <w:r>
              <w:rPr>
                <w:b/>
                <w:color w:val="1C3A36"/>
                <w:sz w:val="17"/>
              </w:rPr>
              <w:t>53,920</w:t>
            </w:r>
          </w:p>
        </w:tc>
        <w:tc>
          <w:tcPr>
            <w:tcW w:type="dxa" w:w="1440"/>
            <w:shd w:val="clear" w:color="auto" w:fill="F6F1E6"/>
          </w:tcPr>
          <w:p>
            <w:pPr>
              <w:spacing w:after="20"/>
              <w:jc w:val="right"/>
            </w:pPr>
            <w:r>
              <w:rPr>
                <w:b/>
                <w:color w:val="1C3A36"/>
                <w:sz w:val="17"/>
              </w:rPr>
              <w:t>61,763</w:t>
            </w:r>
          </w:p>
        </w:tc>
        <w:tc>
          <w:tcPr>
            <w:tcW w:type="dxa" w:w="1440"/>
            <w:shd w:val="clear" w:color="auto" w:fill="F6F1E6"/>
          </w:tcPr>
          <w:p>
            <w:pPr>
              <w:spacing w:after="20"/>
              <w:jc w:val="right"/>
            </w:pPr>
            <w:r>
              <w:rPr>
                <w:b/>
                <w:color w:val="1C3A36"/>
                <w:sz w:val="17"/>
              </w:rPr>
              <w:t>59,857</w:t>
            </w:r>
          </w:p>
        </w:tc>
      </w:tr>
    </w:tbl>
    <w:p>
      <w:pPr>
        <w:spacing w:after="40"/>
      </w:pPr>
    </w:p>
    <w:p>
      <w:pPr>
        <w:spacing w:after="120" w:before="0"/>
      </w:pPr>
      <w:r>
        <w:rPr>
          <w:b w:val="0"/>
          <w:i w:val="0"/>
          <w:color w:val="6E7B77"/>
          <w:sz w:val="17"/>
        </w:rPr>
        <w:t>Debt currency mix (FY25 release): AED 48% · EUR 33% · PKR 7% · MAD 3% · other 9%. The Dec-24 step-up is the PPF consolidation; Apr-26 refinancing replaced a EUR 1.2bn Jun-26 bond with an AED 5.3bn 5-yr facility and extended AED 16.2bn to Apr-27.</w:t>
      </w:r>
    </w:p>
    <w:p>
      <w:pPr>
        <w:spacing w:after="80" w:before="200"/>
      </w:pPr>
      <w:r>
        <w:rPr>
          <w:b/>
          <w:i w:val="0"/>
          <w:color w:val="1C3A36"/>
          <w:sz w:val="24"/>
        </w:rPr>
        <w:t>A.3  Cash flow, the FCF framings, and the DPS schedule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888"/>
            <w:shd w:val="clear" w:color="auto" w:fill="EAF0EE"/>
          </w:tcPr>
          <w:p>
            <w:pPr>
              <w:spacing w:after="20"/>
            </w:pPr>
            <w:r>
              <w:rPr>
                <w:b/>
                <w:color w:val="1C3A36"/>
                <w:sz w:val="17"/>
              </w:rPr>
              <w:t>AED mn</w:t>
            </w:r>
          </w:p>
        </w:tc>
        <w:tc>
          <w:tcPr>
            <w:tcW w:type="dxa" w:w="1656"/>
            <w:shd w:val="clear" w:color="auto" w:fill="EAF0EE"/>
          </w:tcPr>
          <w:p>
            <w:pPr>
              <w:spacing w:after="20"/>
            </w:pPr>
            <w:r>
              <w:rPr>
                <w:b/>
                <w:color w:val="1C3A36"/>
                <w:sz w:val="17"/>
              </w:rPr>
              <w:t>FY23</w:t>
            </w:r>
          </w:p>
        </w:tc>
        <w:tc>
          <w:tcPr>
            <w:tcW w:type="dxa" w:w="2088"/>
            <w:shd w:val="clear" w:color="auto" w:fill="EAF0EE"/>
          </w:tcPr>
          <w:p>
            <w:pPr>
              <w:spacing w:after="20"/>
            </w:pPr>
            <w:r>
              <w:rPr>
                <w:b/>
                <w:color w:val="1C3A36"/>
                <w:sz w:val="17"/>
              </w:rPr>
              <w:t>FY24</w:t>
            </w:r>
          </w:p>
        </w:tc>
        <w:tc>
          <w:tcPr>
            <w:tcW w:type="dxa" w:w="2088"/>
            <w:shd w:val="clear" w:color="auto" w:fill="EAF0EE"/>
          </w:tcPr>
          <w:p>
            <w:pPr>
              <w:spacing w:after="20"/>
            </w:pPr>
            <w:r>
              <w:rPr>
                <w:b/>
                <w:color w:val="1C3A36"/>
                <w:sz w:val="17"/>
              </w:rPr>
              <w:t>FY25</w:t>
            </w:r>
          </w:p>
        </w:tc>
      </w:tr>
      <w:tr>
        <w:tc>
          <w:tcPr>
            <w:tcW w:type="dxa" w:w="3888"/>
          </w:tcPr>
          <w:p>
            <w:pPr>
              <w:spacing w:after="20"/>
            </w:pPr>
            <w:r>
              <w:rPr>
                <w:color w:val="1C3A36"/>
                <w:sz w:val="17"/>
              </w:rPr>
              <w:t>Net cash from operating activities</w:t>
            </w:r>
          </w:p>
        </w:tc>
        <w:tc>
          <w:tcPr>
            <w:tcW w:type="dxa" w:w="1656"/>
          </w:tcPr>
          <w:p>
            <w:pPr>
              <w:spacing w:after="20"/>
              <w:jc w:val="right"/>
            </w:pPr>
            <w:r>
              <w:rPr>
                <w:color w:val="1C3A36"/>
                <w:sz w:val="17"/>
              </w:rPr>
              <w:t>15,206</w:t>
            </w:r>
          </w:p>
        </w:tc>
        <w:tc>
          <w:tcPr>
            <w:tcW w:type="dxa" w:w="2088"/>
          </w:tcPr>
          <w:p>
            <w:pPr>
              <w:spacing w:after="20"/>
              <w:jc w:val="right"/>
            </w:pPr>
            <w:r>
              <w:rPr>
                <w:color w:val="1C3A36"/>
                <w:sz w:val="17"/>
              </w:rPr>
              <w:t>21,733</w:t>
            </w:r>
          </w:p>
        </w:tc>
        <w:tc>
          <w:tcPr>
            <w:tcW w:type="dxa" w:w="2088"/>
          </w:tcPr>
          <w:p>
            <w:pPr>
              <w:spacing w:after="20"/>
              <w:jc w:val="right"/>
            </w:pPr>
            <w:r>
              <w:rPr>
                <w:color w:val="1C3A36"/>
                <w:sz w:val="17"/>
              </w:rPr>
              <w:t>26,051</w:t>
            </w:r>
          </w:p>
        </w:tc>
      </w:tr>
      <w:tr>
        <w:tc>
          <w:tcPr>
            <w:tcW w:type="dxa" w:w="3888"/>
          </w:tcPr>
          <w:p>
            <w:pPr>
              <w:spacing w:after="20"/>
            </w:pPr>
            <w:r>
              <w:rPr>
                <w:color w:val="1C3A36"/>
                <w:sz w:val="17"/>
              </w:rPr>
              <w:t xml:space="preserve">  federal royalty paid (within operating)</w:t>
            </w:r>
          </w:p>
        </w:tc>
        <w:tc>
          <w:tcPr>
            <w:tcW w:type="dxa" w:w="1656"/>
          </w:tcPr>
          <w:p>
            <w:pPr>
              <w:spacing w:after="20"/>
              <w:jc w:val="right"/>
            </w:pPr>
            <w:r>
              <w:rPr>
                <w:color w:val="1C3A36"/>
                <w:sz w:val="17"/>
              </w:rPr>
              <w:t>n/d</w:t>
            </w:r>
          </w:p>
        </w:tc>
        <w:tc>
          <w:tcPr>
            <w:tcW w:type="dxa" w:w="2088"/>
          </w:tcPr>
          <w:p>
            <w:pPr>
              <w:spacing w:after="20"/>
              <w:jc w:val="right"/>
            </w:pPr>
            <w:r>
              <w:rPr>
                <w:color w:val="1C3A36"/>
                <w:sz w:val="17"/>
              </w:rPr>
              <w:t>(6,328)</w:t>
            </w:r>
          </w:p>
        </w:tc>
        <w:tc>
          <w:tcPr>
            <w:tcW w:type="dxa" w:w="2088"/>
          </w:tcPr>
          <w:p>
            <w:pPr>
              <w:spacing w:after="20"/>
              <w:jc w:val="right"/>
            </w:pPr>
            <w:r>
              <w:rPr>
                <w:color w:val="1C3A36"/>
                <w:sz w:val="17"/>
              </w:rPr>
              <w:t>(5,274)</w:t>
            </w:r>
          </w:p>
        </w:tc>
      </w:tr>
      <w:tr>
        <w:tc>
          <w:tcPr>
            <w:tcW w:type="dxa" w:w="3888"/>
          </w:tcPr>
          <w:p>
            <w:pPr>
              <w:spacing w:after="20"/>
            </w:pPr>
            <w:r>
              <w:rPr>
                <w:color w:val="1C3A36"/>
                <w:sz w:val="17"/>
              </w:rPr>
              <w:t>Net cash used in investing</w:t>
            </w:r>
          </w:p>
        </w:tc>
        <w:tc>
          <w:tcPr>
            <w:tcW w:type="dxa" w:w="1656"/>
          </w:tcPr>
          <w:p>
            <w:pPr>
              <w:spacing w:after="20"/>
              <w:jc w:val="right"/>
            </w:pPr>
            <w:r>
              <w:rPr>
                <w:color w:val="1C3A36"/>
                <w:sz w:val="17"/>
              </w:rPr>
              <w:t>(8,738)</w:t>
            </w:r>
          </w:p>
        </w:tc>
        <w:tc>
          <w:tcPr>
            <w:tcW w:type="dxa" w:w="2088"/>
          </w:tcPr>
          <w:p>
            <w:pPr>
              <w:spacing w:after="20"/>
              <w:jc w:val="right"/>
            </w:pPr>
            <w:r>
              <w:rPr>
                <w:color w:val="1C3A36"/>
                <w:sz w:val="17"/>
              </w:rPr>
              <w:t>(15,766)</w:t>
            </w:r>
          </w:p>
        </w:tc>
        <w:tc>
          <w:tcPr>
            <w:tcW w:type="dxa" w:w="2088"/>
          </w:tcPr>
          <w:p>
            <w:pPr>
              <w:spacing w:after="20"/>
              <w:jc w:val="right"/>
            </w:pPr>
            <w:r>
              <w:rPr>
                <w:color w:val="1C3A36"/>
                <w:sz w:val="17"/>
              </w:rPr>
              <w:t>(8,386)</w:t>
            </w:r>
          </w:p>
        </w:tc>
      </w:tr>
      <w:tr>
        <w:tc>
          <w:tcPr>
            <w:tcW w:type="dxa" w:w="3888"/>
          </w:tcPr>
          <w:p>
            <w:pPr>
              <w:spacing w:after="20"/>
            </w:pPr>
            <w:r>
              <w:rPr>
                <w:color w:val="1C3A36"/>
                <w:sz w:val="17"/>
              </w:rPr>
              <w:t xml:space="preserve">  capex incl. licences / ex-licences</w:t>
            </w:r>
          </w:p>
        </w:tc>
        <w:tc>
          <w:tcPr>
            <w:tcW w:type="dxa" w:w="1656"/>
          </w:tcPr>
          <w:p>
            <w:pPr>
              <w:spacing w:after="20"/>
              <w:jc w:val="right"/>
            </w:pPr>
            <w:r>
              <w:rPr>
                <w:color w:val="1C3A36"/>
                <w:sz w:val="17"/>
              </w:rPr>
              <w:t>n/d</w:t>
            </w:r>
          </w:p>
        </w:tc>
        <w:tc>
          <w:tcPr>
            <w:tcW w:type="dxa" w:w="2088"/>
          </w:tcPr>
          <w:p>
            <w:pPr>
              <w:spacing w:after="20"/>
              <w:jc w:val="right"/>
            </w:pPr>
            <w:r>
              <w:rPr>
                <w:color w:val="1C3A36"/>
                <w:sz w:val="17"/>
              </w:rPr>
              <w:t>(9,507) / (8,206)</w:t>
            </w:r>
          </w:p>
        </w:tc>
        <w:tc>
          <w:tcPr>
            <w:tcW w:type="dxa" w:w="2088"/>
          </w:tcPr>
          <w:p>
            <w:pPr>
              <w:spacing w:after="20"/>
              <w:jc w:val="right"/>
            </w:pPr>
            <w:r>
              <w:rPr>
                <w:color w:val="1C3A36"/>
                <w:sz w:val="17"/>
              </w:rPr>
              <w:t>(13,668) / (11,200)</w:t>
            </w:r>
          </w:p>
        </w:tc>
      </w:tr>
      <w:tr>
        <w:tc>
          <w:tcPr>
            <w:tcW w:type="dxa" w:w="3888"/>
          </w:tcPr>
          <w:p>
            <w:pPr>
              <w:spacing w:after="20"/>
            </w:pPr>
            <w:r>
              <w:rPr>
                <w:color w:val="1C3A36"/>
                <w:sz w:val="17"/>
              </w:rPr>
              <w:t xml:space="preserve">  Khazna 40% proceeds</w:t>
            </w:r>
          </w:p>
        </w:tc>
        <w:tc>
          <w:tcPr>
            <w:tcW w:type="dxa" w:w="1656"/>
          </w:tcPr>
          <w:p>
            <w:pPr>
              <w:spacing w:after="20"/>
              <w:jc w:val="right"/>
            </w:pPr>
            <w:r>
              <w:rPr>
                <w:color w:val="1C3A36"/>
                <w:sz w:val="17"/>
              </w:rPr>
            </w:r>
          </w:p>
        </w:tc>
        <w:tc>
          <w:tcPr>
            <w:tcW w:type="dxa" w:w="2088"/>
          </w:tcPr>
          <w:p>
            <w:pPr>
              <w:spacing w:after="20"/>
              <w:jc w:val="right"/>
            </w:pPr>
            <w:r>
              <w:rPr>
                <w:color w:val="1C3A36"/>
                <w:sz w:val="17"/>
              </w:rPr>
            </w:r>
          </w:p>
        </w:tc>
        <w:tc>
          <w:tcPr>
            <w:tcW w:type="dxa" w:w="2088"/>
          </w:tcPr>
          <w:p>
            <w:pPr>
              <w:spacing w:after="20"/>
              <w:jc w:val="right"/>
            </w:pPr>
            <w:r>
              <w:rPr>
                <w:color w:val="1C3A36"/>
                <w:sz w:val="17"/>
              </w:rPr>
              <w:t>8,009</w:t>
            </w:r>
          </w:p>
        </w:tc>
      </w:tr>
      <w:tr>
        <w:tc>
          <w:tcPr>
            <w:tcW w:type="dxa" w:w="3888"/>
          </w:tcPr>
          <w:p>
            <w:pPr>
              <w:spacing w:after="20"/>
            </w:pPr>
            <w:r>
              <w:rPr>
                <w:color w:val="1C3A36"/>
                <w:sz w:val="17"/>
              </w:rPr>
              <w:t>Net cash from/(used in) financing</w:t>
            </w:r>
          </w:p>
        </w:tc>
        <w:tc>
          <w:tcPr>
            <w:tcW w:type="dxa" w:w="1656"/>
          </w:tcPr>
          <w:p>
            <w:pPr>
              <w:spacing w:after="20"/>
              <w:jc w:val="right"/>
            </w:pPr>
            <w:r>
              <w:rPr>
                <w:color w:val="1C3A36"/>
                <w:sz w:val="17"/>
              </w:rPr>
              <w:t>(10,599)</w:t>
            </w:r>
          </w:p>
        </w:tc>
        <w:tc>
          <w:tcPr>
            <w:tcW w:type="dxa" w:w="2088"/>
          </w:tcPr>
          <w:p>
            <w:pPr>
              <w:spacing w:after="20"/>
              <w:jc w:val="right"/>
            </w:pPr>
            <w:r>
              <w:rPr>
                <w:color w:val="1C3A36"/>
                <w:sz w:val="17"/>
              </w:rPr>
              <w:t>392</w:t>
            </w:r>
          </w:p>
        </w:tc>
        <w:tc>
          <w:tcPr>
            <w:tcW w:type="dxa" w:w="2088"/>
          </w:tcPr>
          <w:p>
            <w:pPr>
              <w:spacing w:after="20"/>
              <w:jc w:val="right"/>
            </w:pPr>
            <w:r>
              <w:rPr>
                <w:color w:val="1C3A36"/>
                <w:sz w:val="17"/>
              </w:rPr>
              <w:t>(17,185)</w:t>
            </w:r>
          </w:p>
        </w:tc>
      </w:tr>
      <w:tr>
        <w:tc>
          <w:tcPr>
            <w:tcW w:type="dxa" w:w="3888"/>
          </w:tcPr>
          <w:p>
            <w:pPr>
              <w:spacing w:after="20"/>
            </w:pPr>
            <w:r>
              <w:rPr>
                <w:color w:val="1C3A36"/>
                <w:sz w:val="17"/>
              </w:rPr>
              <w:t xml:space="preserve">  dividends paid to owners</w:t>
            </w:r>
          </w:p>
        </w:tc>
        <w:tc>
          <w:tcPr>
            <w:tcW w:type="dxa" w:w="1656"/>
          </w:tcPr>
          <w:p>
            <w:pPr>
              <w:spacing w:after="20"/>
              <w:jc w:val="right"/>
            </w:pPr>
            <w:r>
              <w:rPr>
                <w:color w:val="1C3A36"/>
                <w:sz w:val="17"/>
              </w:rPr>
              <w:t>n/d</w:t>
            </w:r>
          </w:p>
        </w:tc>
        <w:tc>
          <w:tcPr>
            <w:tcW w:type="dxa" w:w="2088"/>
          </w:tcPr>
          <w:p>
            <w:pPr>
              <w:spacing w:after="20"/>
              <w:jc w:val="right"/>
            </w:pPr>
            <w:r>
              <w:rPr>
                <w:color w:val="1C3A36"/>
                <w:sz w:val="17"/>
              </w:rPr>
              <w:t>n/d</w:t>
            </w:r>
          </w:p>
        </w:tc>
        <w:tc>
          <w:tcPr>
            <w:tcW w:type="dxa" w:w="2088"/>
          </w:tcPr>
          <w:p>
            <w:pPr>
              <w:spacing w:after="20"/>
              <w:jc w:val="right"/>
            </w:pPr>
            <w:r>
              <w:rPr>
                <w:color w:val="1C3A36"/>
                <w:sz w:val="17"/>
              </w:rPr>
              <w:t>(8,092)</w:t>
            </w:r>
          </w:p>
        </w:tc>
      </w:tr>
      <w:tr>
        <w:tc>
          <w:tcPr>
            <w:tcW w:type="dxa" w:w="3888"/>
            <w:shd w:val="clear" w:color="auto" w:fill="F6F1E6"/>
          </w:tcPr>
          <w:p>
            <w:pPr>
              <w:spacing w:after="20"/>
            </w:pPr>
            <w:r>
              <w:rPr>
                <w:b/>
                <w:color w:val="1C3A36"/>
                <w:sz w:val="17"/>
              </w:rPr>
              <w:t>Simple FCF (operating − capex incl. lic.)</w:t>
            </w:r>
          </w:p>
        </w:tc>
        <w:tc>
          <w:tcPr>
            <w:tcW w:type="dxa" w:w="1656"/>
            <w:shd w:val="clear" w:color="auto" w:fill="F6F1E6"/>
          </w:tcPr>
          <w:p>
            <w:pPr>
              <w:spacing w:after="20"/>
              <w:jc w:val="right"/>
            </w:pPr>
            <w:r>
              <w:rPr>
                <w:b/>
                <w:color w:val="1C3A36"/>
                <w:sz w:val="17"/>
              </w:rPr>
              <w:t>n/d</w:t>
            </w:r>
          </w:p>
        </w:tc>
        <w:tc>
          <w:tcPr>
            <w:tcW w:type="dxa" w:w="2088"/>
            <w:shd w:val="clear" w:color="auto" w:fill="F6F1E6"/>
          </w:tcPr>
          <w:p>
            <w:pPr>
              <w:spacing w:after="20"/>
              <w:jc w:val="right"/>
            </w:pPr>
            <w:r>
              <w:rPr>
                <w:b/>
                <w:color w:val="1C3A36"/>
                <w:sz w:val="17"/>
              </w:rPr>
              <w:t>12,226</w:t>
            </w:r>
          </w:p>
        </w:tc>
        <w:tc>
          <w:tcPr>
            <w:tcW w:type="dxa" w:w="2088"/>
            <w:shd w:val="clear" w:color="auto" w:fill="F6F1E6"/>
          </w:tcPr>
          <w:p>
            <w:pPr>
              <w:spacing w:after="20"/>
              <w:jc w:val="right"/>
            </w:pPr>
            <w:r>
              <w:rPr>
                <w:b/>
                <w:color w:val="1C3A36"/>
                <w:sz w:val="17"/>
              </w:rPr>
              <w:t>12,383</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260"/>
        <w:gridCol w:w="1260"/>
        <w:gridCol w:w="1260"/>
        <w:gridCol w:w="1260"/>
        <w:gridCol w:w="1260"/>
        <w:gridCol w:w="1260"/>
        <w:gridCol w:w="1260"/>
        <w:gridCol w:w="1260"/>
      </w:tblGrid>
      <w:tr>
        <w:tc>
          <w:tcPr>
            <w:tcW w:type="dxa" w:w="2160"/>
            <w:shd w:val="clear" w:color="auto" w:fill="EAF0EE"/>
          </w:tcPr>
          <w:p>
            <w:pPr>
              <w:spacing w:after="20"/>
            </w:pPr>
            <w:r>
              <w:rPr>
                <w:b/>
                <w:color w:val="1C3A36"/>
                <w:sz w:val="17"/>
              </w:rPr>
              <w:t>DPS (AED)</w:t>
            </w:r>
          </w:p>
        </w:tc>
        <w:tc>
          <w:tcPr>
            <w:tcW w:type="dxa" w:w="1008"/>
            <w:shd w:val="clear" w:color="auto" w:fill="EAF0EE"/>
          </w:tcPr>
          <w:p>
            <w:pPr>
              <w:spacing w:after="20"/>
            </w:pPr>
            <w:r>
              <w:rPr>
                <w:b/>
                <w:color w:val="1C3A36"/>
                <w:sz w:val="17"/>
              </w:rPr>
              <w:t>FY22</w:t>
            </w:r>
          </w:p>
        </w:tc>
        <w:tc>
          <w:tcPr>
            <w:tcW w:type="dxa" w:w="1008"/>
            <w:shd w:val="clear" w:color="auto" w:fill="EAF0EE"/>
          </w:tcPr>
          <w:p>
            <w:pPr>
              <w:spacing w:after="20"/>
            </w:pPr>
            <w:r>
              <w:rPr>
                <w:b/>
                <w:color w:val="1C3A36"/>
                <w:sz w:val="17"/>
              </w:rPr>
              <w:t>FY23</w:t>
            </w:r>
          </w:p>
        </w:tc>
        <w:tc>
          <w:tcPr>
            <w:tcW w:type="dxa" w:w="1008"/>
            <w:shd w:val="clear" w:color="auto" w:fill="EAF0EE"/>
          </w:tcPr>
          <w:p>
            <w:pPr>
              <w:spacing w:after="20"/>
            </w:pPr>
            <w:r>
              <w:rPr>
                <w:b/>
                <w:color w:val="1C3A36"/>
                <w:sz w:val="17"/>
              </w:rPr>
              <w:t>FY24</w:t>
            </w:r>
          </w:p>
        </w:tc>
        <w:tc>
          <w:tcPr>
            <w:tcW w:type="dxa" w:w="1008"/>
            <w:shd w:val="clear" w:color="auto" w:fill="EAF0EE"/>
          </w:tcPr>
          <w:p>
            <w:pPr>
              <w:spacing w:after="20"/>
            </w:pPr>
            <w:r>
              <w:rPr>
                <w:b/>
                <w:color w:val="1C3A36"/>
                <w:sz w:val="17"/>
              </w:rPr>
              <w:t>FY25</w:t>
            </w:r>
          </w:p>
        </w:tc>
        <w:tc>
          <w:tcPr>
            <w:tcW w:type="dxa" w:w="1440"/>
            <w:shd w:val="clear" w:color="auto" w:fill="EAF0EE"/>
          </w:tcPr>
          <w:p>
            <w:pPr>
              <w:spacing w:after="20"/>
            </w:pPr>
            <w:r>
              <w:rPr>
                <w:b/>
                <w:color w:val="1C3A36"/>
                <w:sz w:val="17"/>
              </w:rPr>
              <w:t>FY26E</w:t>
            </w:r>
          </w:p>
        </w:tc>
        <w:tc>
          <w:tcPr>
            <w:tcW w:type="dxa" w:w="1008"/>
            <w:shd w:val="clear" w:color="auto" w:fill="EAF0EE"/>
          </w:tcPr>
          <w:p>
            <w:pPr>
              <w:spacing w:after="20"/>
            </w:pPr>
            <w:r>
              <w:rPr>
                <w:b/>
                <w:color w:val="1C3A36"/>
                <w:sz w:val="17"/>
              </w:rPr>
              <w:t>FY27E</w:t>
            </w:r>
          </w:p>
        </w:tc>
        <w:tc>
          <w:tcPr>
            <w:tcW w:type="dxa" w:w="1008"/>
            <w:shd w:val="clear" w:color="auto" w:fill="EAF0EE"/>
          </w:tcPr>
          <w:p>
            <w:pPr>
              <w:spacing w:after="20"/>
            </w:pPr>
            <w:r>
              <w:rPr>
                <w:b/>
                <w:color w:val="1C3A36"/>
                <w:sz w:val="17"/>
              </w:rPr>
              <w:t>FY28E</w:t>
            </w:r>
          </w:p>
        </w:tc>
      </w:tr>
      <w:tr>
        <w:tc>
          <w:tcPr>
            <w:tcW w:type="dxa" w:w="2160"/>
          </w:tcPr>
          <w:p>
            <w:pPr>
              <w:spacing w:after="20"/>
            </w:pPr>
            <w:r>
              <w:rPr>
                <w:color w:val="1C3A36"/>
                <w:sz w:val="17"/>
              </w:rPr>
              <w:t>Declared / modelled</w:t>
            </w:r>
          </w:p>
        </w:tc>
        <w:tc>
          <w:tcPr>
            <w:tcW w:type="dxa" w:w="1008"/>
          </w:tcPr>
          <w:p>
            <w:pPr>
              <w:spacing w:after="20"/>
              <w:jc w:val="right"/>
            </w:pPr>
            <w:r>
              <w:rPr>
                <w:color w:val="1C3A36"/>
                <w:sz w:val="17"/>
              </w:rPr>
              <w:t>0.80</w:t>
            </w:r>
          </w:p>
        </w:tc>
        <w:tc>
          <w:tcPr>
            <w:tcW w:type="dxa" w:w="1008"/>
          </w:tcPr>
          <w:p>
            <w:pPr>
              <w:spacing w:after="20"/>
              <w:jc w:val="right"/>
            </w:pPr>
            <w:r>
              <w:rPr>
                <w:color w:val="1C3A36"/>
                <w:sz w:val="17"/>
              </w:rPr>
              <w:t>0.80</w:t>
            </w:r>
          </w:p>
        </w:tc>
        <w:tc>
          <w:tcPr>
            <w:tcW w:type="dxa" w:w="1008"/>
          </w:tcPr>
          <w:p>
            <w:pPr>
              <w:spacing w:after="20"/>
              <w:jc w:val="right"/>
            </w:pPr>
            <w:r>
              <w:rPr>
                <w:color w:val="1C3A36"/>
                <w:sz w:val="17"/>
              </w:rPr>
              <w:t>0.83</w:t>
            </w:r>
          </w:p>
        </w:tc>
        <w:tc>
          <w:tcPr>
            <w:tcW w:type="dxa" w:w="1008"/>
          </w:tcPr>
          <w:p>
            <w:pPr>
              <w:spacing w:after="20"/>
              <w:jc w:val="right"/>
            </w:pPr>
            <w:r>
              <w:rPr>
                <w:color w:val="1C3A36"/>
                <w:sz w:val="17"/>
              </w:rPr>
              <w:t>0.90</w:t>
            </w:r>
          </w:p>
        </w:tc>
        <w:tc>
          <w:tcPr>
            <w:tcW w:type="dxa" w:w="1440"/>
          </w:tcPr>
          <w:p>
            <w:pPr>
              <w:spacing w:after="20"/>
              <w:jc w:val="right"/>
            </w:pPr>
            <w:r>
              <w:rPr>
                <w:color w:val="1C3A36"/>
                <w:sz w:val="17"/>
              </w:rPr>
              <w:t>0.95 (guided)</w:t>
            </w:r>
          </w:p>
        </w:tc>
        <w:tc>
          <w:tcPr>
            <w:tcW w:type="dxa" w:w="1008"/>
          </w:tcPr>
          <w:p>
            <w:pPr>
              <w:spacing w:after="20"/>
              <w:jc w:val="right"/>
            </w:pPr>
            <w:r>
              <w:rPr>
                <w:color w:val="1C3A36"/>
                <w:sz w:val="17"/>
              </w:rPr>
              <w:t>0.99</w:t>
            </w:r>
          </w:p>
        </w:tc>
        <w:tc>
          <w:tcPr>
            <w:tcW w:type="dxa" w:w="1008"/>
          </w:tcPr>
          <w:p>
            <w:pPr>
              <w:spacing w:after="20"/>
              <w:jc w:val="right"/>
            </w:pPr>
            <w:r>
              <w:rPr>
                <w:color w:val="1C3A36"/>
                <w:sz w:val="17"/>
              </w:rPr>
              <w:t>1.03</w:t>
            </w:r>
          </w:p>
        </w:tc>
      </w:tr>
      <w:tr>
        <w:tc>
          <w:tcPr>
            <w:tcW w:type="dxa" w:w="2160"/>
          </w:tcPr>
          <w:p>
            <w:pPr>
              <w:spacing w:after="20"/>
            </w:pPr>
            <w:r>
              <w:rPr>
                <w:color w:val="1C3A36"/>
                <w:sz w:val="17"/>
              </w:rPr>
              <w:t>Payout on clean EPS</w:t>
            </w:r>
          </w:p>
        </w:tc>
        <w:tc>
          <w:tcPr>
            <w:tcW w:type="dxa" w:w="1008"/>
          </w:tcPr>
          <w:p>
            <w:pPr>
              <w:spacing w:after="20"/>
              <w:jc w:val="right"/>
            </w:pPr>
            <w:r>
              <w:rPr>
                <w:color w:val="1C3A36"/>
                <w:sz w:val="17"/>
              </w:rPr>
              <w:t>—</w:t>
            </w:r>
          </w:p>
        </w:tc>
        <w:tc>
          <w:tcPr>
            <w:tcW w:type="dxa" w:w="1008"/>
          </w:tcPr>
          <w:p>
            <w:pPr>
              <w:spacing w:after="20"/>
              <w:jc w:val="right"/>
            </w:pPr>
            <w:r>
              <w:rPr>
                <w:color w:val="1C3A36"/>
                <w:sz w:val="17"/>
              </w:rPr>
              <w:t>68%</w:t>
            </w:r>
          </w:p>
        </w:tc>
        <w:tc>
          <w:tcPr>
            <w:tcW w:type="dxa" w:w="1008"/>
          </w:tcPr>
          <w:p>
            <w:pPr>
              <w:spacing w:after="20"/>
              <w:jc w:val="right"/>
            </w:pPr>
            <w:r>
              <w:rPr>
                <w:color w:val="1C3A36"/>
                <w:sz w:val="17"/>
              </w:rPr>
              <w:t>67%</w:t>
            </w:r>
          </w:p>
        </w:tc>
        <w:tc>
          <w:tcPr>
            <w:tcW w:type="dxa" w:w="1008"/>
          </w:tcPr>
          <w:p>
            <w:pPr>
              <w:spacing w:after="20"/>
              <w:jc w:val="right"/>
            </w:pPr>
            <w:r>
              <w:rPr>
                <w:color w:val="1C3A36"/>
                <w:sz w:val="17"/>
              </w:rPr>
              <w:t>69%</w:t>
            </w:r>
          </w:p>
        </w:tc>
        <w:tc>
          <w:tcPr>
            <w:tcW w:type="dxa" w:w="1440"/>
          </w:tcPr>
          <w:p>
            <w:pPr>
              <w:spacing w:after="20"/>
              <w:jc w:val="right"/>
            </w:pPr>
            <w:r>
              <w:rPr>
                <w:color w:val="1C3A36"/>
                <w:sz w:val="17"/>
              </w:rPr>
              <w:t>~70%</w:t>
            </w:r>
          </w:p>
        </w:tc>
        <w:tc>
          <w:tcPr>
            <w:tcW w:type="dxa" w:w="1008"/>
          </w:tcPr>
          <w:p>
            <w:pPr>
              <w:spacing w:after="20"/>
              <w:jc w:val="right"/>
            </w:pPr>
            <w:r>
              <w:rPr>
                <w:color w:val="1C3A36"/>
                <w:sz w:val="17"/>
              </w:rPr>
              <w:t>~70%</w:t>
            </w:r>
          </w:p>
        </w:tc>
        <w:tc>
          <w:tcPr>
            <w:tcW w:type="dxa" w:w="1008"/>
          </w:tcPr>
          <w:p>
            <w:pPr>
              <w:spacing w:after="20"/>
              <w:jc w:val="right"/>
            </w:pPr>
            <w:r>
              <w:rPr>
                <w:color w:val="1C3A36"/>
                <w:sz w:val="17"/>
              </w:rPr>
              <w:t>~70%</w:t>
            </w:r>
          </w:p>
        </w:tc>
      </w:tr>
    </w:tbl>
    <w:p>
      <w:pPr>
        <w:spacing w:after="40"/>
      </w:pPr>
    </w:p>
    <w:p>
      <w:pPr>
        <w:spacing w:after="120" w:before="0"/>
      </w:pPr>
      <w:r>
        <w:rPr>
          <w:b w:val="0"/>
          <w:i w:val="0"/>
          <w:color w:val="6E7B77"/>
          <w:sz w:val="17"/>
        </w:rPr>
        <w:t>Two FCF framings, both stated: simple FCF (operating minus all-in capex) ran AED 12.2–12.4bn in FY24–25; the attributable framing used for dividend cover haircuts ~15% for the NCI share and gives ~AED 9.8bn at FY26E base capex — 1.19× the 8.3bn dividend bill.</w:t>
      </w:r>
    </w:p>
    <w:p>
      <w:pPr>
        <w:spacing w:after="120" w:before="280"/>
      </w:pPr>
      <w:r>
        <w:rPr>
          <w:b/>
          <w:i w:val="0"/>
          <w:color w:val="1C3A36"/>
          <w:sz w:val="30"/>
        </w:rPr>
        <w:t>Appendix B  Peer set, sector structure, risks — and the research register</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664"/>
            <w:shd w:val="clear" w:color="auto" w:fill="EAF0EE"/>
          </w:tcPr>
          <w:p>
            <w:pPr>
              <w:spacing w:after="20"/>
            </w:pPr>
            <w:r>
              <w:rPr>
                <w:b/>
                <w:color w:val="1C3A36"/>
                <w:sz w:val="17"/>
              </w:rPr>
              <w:t>Name</w:t>
            </w:r>
          </w:p>
        </w:tc>
        <w:tc>
          <w:tcPr>
            <w:tcW w:type="dxa" w:w="1512"/>
            <w:shd w:val="clear" w:color="auto" w:fill="EAF0EE"/>
          </w:tcPr>
          <w:p>
            <w:pPr>
              <w:spacing w:after="20"/>
            </w:pPr>
            <w:r>
              <w:rPr>
                <w:b/>
                <w:color w:val="1C3A36"/>
                <w:sz w:val="17"/>
              </w:rPr>
              <w:t>Mkt cap (AED bn)</w:t>
            </w:r>
          </w:p>
        </w:tc>
        <w:tc>
          <w:tcPr>
            <w:tcW w:type="dxa" w:w="1440"/>
            <w:shd w:val="clear" w:color="auto" w:fill="EAF0EE"/>
          </w:tcPr>
          <w:p>
            <w:pPr>
              <w:spacing w:after="20"/>
            </w:pPr>
            <w:r>
              <w:rPr>
                <w:b/>
                <w:color w:val="1C3A36"/>
                <w:sz w:val="17"/>
              </w:rPr>
              <w:t>EV/EBITDA fwd</w:t>
            </w:r>
          </w:p>
        </w:tc>
        <w:tc>
          <w:tcPr>
            <w:tcW w:type="dxa" w:w="1080"/>
            <w:shd w:val="clear" w:color="auto" w:fill="EAF0EE"/>
          </w:tcPr>
          <w:p>
            <w:pPr>
              <w:spacing w:after="20"/>
            </w:pPr>
            <w:r>
              <w:rPr>
                <w:b/>
                <w:color w:val="1C3A36"/>
                <w:sz w:val="17"/>
              </w:rPr>
              <w:t>P/E fwd</w:t>
            </w:r>
          </w:p>
        </w:tc>
        <w:tc>
          <w:tcPr>
            <w:tcW w:type="dxa" w:w="936"/>
            <w:shd w:val="clear" w:color="auto" w:fill="EAF0EE"/>
          </w:tcPr>
          <w:p>
            <w:pPr>
              <w:spacing w:after="20"/>
            </w:pPr>
            <w:r>
              <w:rPr>
                <w:b/>
                <w:color w:val="1C3A36"/>
                <w:sz w:val="17"/>
              </w:rPr>
              <w:t>Yield</w:t>
            </w:r>
          </w:p>
        </w:tc>
        <w:tc>
          <w:tcPr>
            <w:tcW w:type="dxa" w:w="1944"/>
            <w:shd w:val="clear" w:color="auto" w:fill="EAF0EE"/>
          </w:tcPr>
          <w:p>
            <w:pPr>
              <w:spacing w:after="20"/>
            </w:pPr>
            <w:r>
              <w:rPr>
                <w:b/>
                <w:color w:val="1C3A36"/>
                <w:sz w:val="17"/>
              </w:rPr>
              <w:t>Note</w:t>
            </w:r>
          </w:p>
        </w:tc>
      </w:tr>
      <w:tr>
        <w:tc>
          <w:tcPr>
            <w:tcW w:type="dxa" w:w="2664"/>
            <w:shd w:val="clear" w:color="auto" w:fill="F6F1E6"/>
          </w:tcPr>
          <w:p>
            <w:pPr>
              <w:spacing w:after="20"/>
            </w:pPr>
            <w:r>
              <w:rPr>
                <w:b/>
                <w:color w:val="1C3A36"/>
                <w:sz w:val="17"/>
              </w:rPr>
              <w:t>e&amp; (EAND) — this study</w:t>
            </w:r>
          </w:p>
        </w:tc>
        <w:tc>
          <w:tcPr>
            <w:tcW w:type="dxa" w:w="1512"/>
            <w:shd w:val="clear" w:color="auto" w:fill="F6F1E6"/>
          </w:tcPr>
          <w:p>
            <w:pPr>
              <w:spacing w:after="20"/>
              <w:jc w:val="right"/>
            </w:pPr>
            <w:r>
              <w:rPr>
                <w:b/>
                <w:color w:val="1C3A36"/>
                <w:sz w:val="17"/>
              </w:rPr>
              <w:t>171.0</w:t>
            </w:r>
          </w:p>
        </w:tc>
        <w:tc>
          <w:tcPr>
            <w:tcW w:type="dxa" w:w="1440"/>
            <w:shd w:val="clear" w:color="auto" w:fill="F6F1E6"/>
          </w:tcPr>
          <w:p>
            <w:pPr>
              <w:spacing w:after="20"/>
              <w:jc w:val="right"/>
            </w:pPr>
            <w:r>
              <w:rPr>
                <w:b/>
                <w:color w:val="1C3A36"/>
                <w:sz w:val="17"/>
              </w:rPr>
              <w:t>7.0×</w:t>
            </w:r>
          </w:p>
        </w:tc>
        <w:tc>
          <w:tcPr>
            <w:tcW w:type="dxa" w:w="1080"/>
            <w:shd w:val="clear" w:color="auto" w:fill="F6F1E6"/>
          </w:tcPr>
          <w:p>
            <w:pPr>
              <w:spacing w:after="20"/>
              <w:jc w:val="right"/>
            </w:pPr>
            <w:r>
              <w:rPr>
                <w:b/>
                <w:color w:val="1C3A36"/>
                <w:sz w:val="17"/>
              </w:rPr>
              <w:t>14.6×</w:t>
            </w:r>
          </w:p>
        </w:tc>
        <w:tc>
          <w:tcPr>
            <w:tcW w:type="dxa" w:w="936"/>
            <w:shd w:val="clear" w:color="auto" w:fill="F6F1E6"/>
          </w:tcPr>
          <w:p>
            <w:pPr>
              <w:spacing w:after="20"/>
              <w:jc w:val="right"/>
            </w:pPr>
            <w:r>
              <w:rPr>
                <w:b/>
                <w:color w:val="1C3A36"/>
                <w:sz w:val="17"/>
              </w:rPr>
              <w:t>4.8%</w:t>
            </w:r>
          </w:p>
        </w:tc>
        <w:tc>
          <w:tcPr>
            <w:tcW w:type="dxa" w:w="1944"/>
            <w:shd w:val="clear" w:color="auto" w:fill="F6F1E6"/>
          </w:tcPr>
          <w:p>
            <w:pPr>
              <w:spacing w:after="20"/>
              <w:jc w:val="right"/>
            </w:pPr>
            <w:r>
              <w:rPr>
                <w:b/>
                <w:color w:val="1C3A36"/>
                <w:sz w:val="17"/>
              </w:rPr>
              <w:t>at spot 19.66</w:t>
            </w:r>
          </w:p>
        </w:tc>
      </w:tr>
      <w:tr>
        <w:tc>
          <w:tcPr>
            <w:tcW w:type="dxa" w:w="2664"/>
          </w:tcPr>
          <w:p>
            <w:pPr>
              <w:spacing w:after="20"/>
            </w:pPr>
            <w:r>
              <w:rPr>
                <w:color w:val="1C3A36"/>
                <w:sz w:val="17"/>
              </w:rPr>
              <w:t>stc (Tadawul 7010)</w:t>
            </w:r>
          </w:p>
        </w:tc>
        <w:tc>
          <w:tcPr>
            <w:tcW w:type="dxa" w:w="1512"/>
          </w:tcPr>
          <w:p>
            <w:pPr>
              <w:spacing w:after="20"/>
              <w:jc w:val="right"/>
            </w:pPr>
            <w:r>
              <w:rPr>
                <w:color w:val="1C3A36"/>
                <w:sz w:val="17"/>
              </w:rPr>
              <w:t>218</w:t>
            </w:r>
          </w:p>
        </w:tc>
        <w:tc>
          <w:tcPr>
            <w:tcW w:type="dxa" w:w="1440"/>
          </w:tcPr>
          <w:p>
            <w:pPr>
              <w:spacing w:after="20"/>
              <w:jc w:val="right"/>
            </w:pPr>
            <w:r>
              <w:rPr>
                <w:color w:val="1C3A36"/>
                <w:sz w:val="17"/>
              </w:rPr>
              <w:t>7.5×</w:t>
            </w:r>
          </w:p>
        </w:tc>
        <w:tc>
          <w:tcPr>
            <w:tcW w:type="dxa" w:w="1080"/>
          </w:tcPr>
          <w:p>
            <w:pPr>
              <w:spacing w:after="20"/>
              <w:jc w:val="right"/>
            </w:pPr>
            <w:r>
              <w:rPr>
                <w:color w:val="1C3A36"/>
                <w:sz w:val="17"/>
              </w:rPr>
              <w:t>15.5×</w:t>
            </w:r>
          </w:p>
        </w:tc>
        <w:tc>
          <w:tcPr>
            <w:tcW w:type="dxa" w:w="936"/>
          </w:tcPr>
          <w:p>
            <w:pPr>
              <w:spacing w:after="20"/>
              <w:jc w:val="right"/>
            </w:pPr>
            <w:r>
              <w:rPr>
                <w:color w:val="1C3A36"/>
                <w:sz w:val="17"/>
              </w:rPr>
              <w:t>4.0%</w:t>
            </w:r>
          </w:p>
        </w:tc>
        <w:tc>
          <w:tcPr>
            <w:tcW w:type="dxa" w:w="1944"/>
          </w:tcPr>
          <w:p>
            <w:pPr>
              <w:spacing w:after="20"/>
              <w:jc w:val="right"/>
            </w:pPr>
            <w:r>
              <w:rPr>
                <w:color w:val="1C3A36"/>
                <w:sz w:val="17"/>
              </w:rPr>
              <w:t>GCC incumbent benchmark</w:t>
            </w:r>
          </w:p>
        </w:tc>
      </w:tr>
      <w:tr>
        <w:tc>
          <w:tcPr>
            <w:tcW w:type="dxa" w:w="2664"/>
          </w:tcPr>
          <w:p>
            <w:pPr>
              <w:spacing w:after="20"/>
            </w:pPr>
            <w:r>
              <w:rPr>
                <w:color w:val="1C3A36"/>
                <w:sz w:val="17"/>
              </w:rPr>
              <w:t>du / EITC (DFM)</w:t>
            </w:r>
          </w:p>
        </w:tc>
        <w:tc>
          <w:tcPr>
            <w:tcW w:type="dxa" w:w="1512"/>
          </w:tcPr>
          <w:p>
            <w:pPr>
              <w:spacing w:after="20"/>
              <w:jc w:val="right"/>
            </w:pPr>
            <w:r>
              <w:rPr>
                <w:color w:val="1C3A36"/>
                <w:sz w:val="17"/>
              </w:rPr>
              <w:t>46.6</w:t>
            </w:r>
          </w:p>
        </w:tc>
        <w:tc>
          <w:tcPr>
            <w:tcW w:type="dxa" w:w="1440"/>
          </w:tcPr>
          <w:p>
            <w:pPr>
              <w:spacing w:after="20"/>
              <w:jc w:val="right"/>
            </w:pPr>
            <w:r>
              <w:rPr>
                <w:color w:val="1C3A36"/>
                <w:sz w:val="17"/>
              </w:rPr>
              <w:t>6.3×</w:t>
            </w:r>
          </w:p>
        </w:tc>
        <w:tc>
          <w:tcPr>
            <w:tcW w:type="dxa" w:w="1080"/>
          </w:tcPr>
          <w:p>
            <w:pPr>
              <w:spacing w:after="20"/>
              <w:jc w:val="right"/>
            </w:pPr>
            <w:r>
              <w:rPr>
                <w:color w:val="1C3A36"/>
                <w:sz w:val="17"/>
              </w:rPr>
              <w:t>14.0×</w:t>
            </w:r>
          </w:p>
        </w:tc>
        <w:tc>
          <w:tcPr>
            <w:tcW w:type="dxa" w:w="936"/>
          </w:tcPr>
          <w:p>
            <w:pPr>
              <w:spacing w:after="20"/>
              <w:jc w:val="right"/>
            </w:pPr>
            <w:r>
              <w:rPr>
                <w:color w:val="1C3A36"/>
                <w:sz w:val="17"/>
              </w:rPr>
              <w:t>5.2%</w:t>
            </w:r>
          </w:p>
        </w:tc>
        <w:tc>
          <w:tcPr>
            <w:tcW w:type="dxa" w:w="1944"/>
          </w:tcPr>
          <w:p>
            <w:pPr>
              <w:spacing w:after="20"/>
              <w:jc w:val="right"/>
            </w:pPr>
            <w:r>
              <w:rPr>
                <w:color w:val="1C3A36"/>
                <w:sz w:val="17"/>
              </w:rPr>
              <w:t>the UAE duopoly peer</w:t>
            </w:r>
          </w:p>
        </w:tc>
      </w:tr>
      <w:tr>
        <w:tc>
          <w:tcPr>
            <w:tcW w:type="dxa" w:w="2664"/>
          </w:tcPr>
          <w:p>
            <w:pPr>
              <w:spacing w:after="20"/>
            </w:pPr>
            <w:r>
              <w:rPr>
                <w:color w:val="1C3A36"/>
                <w:sz w:val="17"/>
              </w:rPr>
              <w:t>Zain Group (KW)</w:t>
            </w:r>
          </w:p>
        </w:tc>
        <w:tc>
          <w:tcPr>
            <w:tcW w:type="dxa" w:w="1512"/>
          </w:tcPr>
          <w:p>
            <w:pPr>
              <w:spacing w:after="20"/>
              <w:jc w:val="right"/>
            </w:pPr>
            <w:r>
              <w:rPr>
                <w:color w:val="1C3A36"/>
                <w:sz w:val="17"/>
              </w:rPr>
              <w:t>20.5</w:t>
            </w:r>
          </w:p>
        </w:tc>
        <w:tc>
          <w:tcPr>
            <w:tcW w:type="dxa" w:w="1440"/>
          </w:tcPr>
          <w:p>
            <w:pPr>
              <w:spacing w:after="20"/>
              <w:jc w:val="right"/>
            </w:pPr>
            <w:r>
              <w:rPr>
                <w:color w:val="1C3A36"/>
                <w:sz w:val="17"/>
              </w:rPr>
              <w:t>5.5×</w:t>
            </w:r>
          </w:p>
        </w:tc>
        <w:tc>
          <w:tcPr>
            <w:tcW w:type="dxa" w:w="1080"/>
          </w:tcPr>
          <w:p>
            <w:pPr>
              <w:spacing w:after="20"/>
              <w:jc w:val="right"/>
            </w:pPr>
            <w:r>
              <w:rPr>
                <w:color w:val="1C3A36"/>
                <w:sz w:val="17"/>
              </w:rPr>
              <w:t>12.0×</w:t>
            </w:r>
          </w:p>
        </w:tc>
        <w:tc>
          <w:tcPr>
            <w:tcW w:type="dxa" w:w="936"/>
          </w:tcPr>
          <w:p>
            <w:pPr>
              <w:spacing w:after="20"/>
              <w:jc w:val="right"/>
            </w:pPr>
            <w:r>
              <w:rPr>
                <w:color w:val="1C3A36"/>
                <w:sz w:val="17"/>
              </w:rPr>
              <w:t>6.5%</w:t>
            </w:r>
          </w:p>
        </w:tc>
        <w:tc>
          <w:tcPr>
            <w:tcW w:type="dxa" w:w="1944"/>
          </w:tcPr>
          <w:p>
            <w:pPr>
              <w:spacing w:after="20"/>
              <w:jc w:val="right"/>
            </w:pPr>
            <w:r>
              <w:rPr>
                <w:color w:val="1C3A36"/>
                <w:sz w:val="17"/>
              </w:rPr>
              <w:t>aggregator est., flagged</w:t>
            </w:r>
          </w:p>
        </w:tc>
      </w:tr>
      <w:tr>
        <w:tc>
          <w:tcPr>
            <w:tcW w:type="dxa" w:w="2664"/>
          </w:tcPr>
          <w:p>
            <w:pPr>
              <w:spacing w:after="20"/>
            </w:pPr>
            <w:r>
              <w:rPr>
                <w:color w:val="1C3A36"/>
                <w:sz w:val="17"/>
              </w:rPr>
              <w:t>Ooredoo (QSE)</w:t>
            </w:r>
          </w:p>
        </w:tc>
        <w:tc>
          <w:tcPr>
            <w:tcW w:type="dxa" w:w="1512"/>
          </w:tcPr>
          <w:p>
            <w:pPr>
              <w:spacing w:after="20"/>
              <w:jc w:val="right"/>
            </w:pPr>
            <w:r>
              <w:rPr>
                <w:color w:val="1C3A36"/>
                <w:sz w:val="17"/>
              </w:rPr>
              <w:t>42</w:t>
            </w:r>
          </w:p>
        </w:tc>
        <w:tc>
          <w:tcPr>
            <w:tcW w:type="dxa" w:w="1440"/>
          </w:tcPr>
          <w:p>
            <w:pPr>
              <w:spacing w:after="20"/>
              <w:jc w:val="right"/>
            </w:pPr>
            <w:r>
              <w:rPr>
                <w:color w:val="1C3A36"/>
                <w:sz w:val="17"/>
              </w:rPr>
              <w:t>5.8×</w:t>
            </w:r>
          </w:p>
        </w:tc>
        <w:tc>
          <w:tcPr>
            <w:tcW w:type="dxa" w:w="1080"/>
          </w:tcPr>
          <w:p>
            <w:pPr>
              <w:spacing w:after="20"/>
              <w:jc w:val="right"/>
            </w:pPr>
            <w:r>
              <w:rPr>
                <w:color w:val="1C3A36"/>
                <w:sz w:val="17"/>
              </w:rPr>
              <w:t>11.5×</w:t>
            </w:r>
          </w:p>
        </w:tc>
        <w:tc>
          <w:tcPr>
            <w:tcW w:type="dxa" w:w="936"/>
          </w:tcPr>
          <w:p>
            <w:pPr>
              <w:spacing w:after="20"/>
              <w:jc w:val="right"/>
            </w:pPr>
            <w:r>
              <w:rPr>
                <w:color w:val="1C3A36"/>
                <w:sz w:val="17"/>
              </w:rPr>
              <w:t>5.5%</w:t>
            </w:r>
          </w:p>
        </w:tc>
        <w:tc>
          <w:tcPr>
            <w:tcW w:type="dxa" w:w="1944"/>
          </w:tcPr>
          <w:p>
            <w:pPr>
              <w:spacing w:after="20"/>
              <w:jc w:val="right"/>
            </w:pPr>
            <w:r>
              <w:rPr>
                <w:color w:val="1C3A36"/>
                <w:sz w:val="17"/>
              </w:rPr>
              <w:t>aggregator est., flagged</w:t>
            </w:r>
          </w:p>
        </w:tc>
      </w:tr>
      <w:tr>
        <w:tc>
          <w:tcPr>
            <w:tcW w:type="dxa" w:w="2664"/>
          </w:tcPr>
          <w:p>
            <w:pPr>
              <w:spacing w:after="20"/>
            </w:pPr>
            <w:r>
              <w:rPr>
                <w:color w:val="1C3A36"/>
                <w:sz w:val="17"/>
              </w:rPr>
              <w:t>Maroc Telecom (IAM)</w:t>
            </w:r>
          </w:p>
        </w:tc>
        <w:tc>
          <w:tcPr>
            <w:tcW w:type="dxa" w:w="1512"/>
          </w:tcPr>
          <w:p>
            <w:pPr>
              <w:spacing w:after="20"/>
              <w:jc w:val="right"/>
            </w:pPr>
            <w:r>
              <w:rPr>
                <w:color w:val="1C3A36"/>
                <w:sz w:val="17"/>
              </w:rPr>
              <w:t>32.3</w:t>
            </w:r>
          </w:p>
        </w:tc>
        <w:tc>
          <w:tcPr>
            <w:tcW w:type="dxa" w:w="1440"/>
          </w:tcPr>
          <w:p>
            <w:pPr>
              <w:spacing w:after="20"/>
              <w:jc w:val="right"/>
            </w:pPr>
            <w:r>
              <w:rPr>
                <w:color w:val="1C3A36"/>
                <w:sz w:val="17"/>
              </w:rPr>
              <w:t>5.5×</w:t>
            </w:r>
          </w:p>
        </w:tc>
        <w:tc>
          <w:tcPr>
            <w:tcW w:type="dxa" w:w="1080"/>
          </w:tcPr>
          <w:p>
            <w:pPr>
              <w:spacing w:after="20"/>
              <w:jc w:val="right"/>
            </w:pPr>
            <w:r>
              <w:rPr>
                <w:color w:val="1C3A36"/>
                <w:sz w:val="17"/>
              </w:rPr>
              <w:t>11.6×</w:t>
            </w:r>
          </w:p>
        </w:tc>
        <w:tc>
          <w:tcPr>
            <w:tcW w:type="dxa" w:w="936"/>
          </w:tcPr>
          <w:p>
            <w:pPr>
              <w:spacing w:after="20"/>
              <w:jc w:val="right"/>
            </w:pPr>
            <w:r>
              <w:rPr>
                <w:color w:val="1C3A36"/>
                <w:sz w:val="17"/>
              </w:rPr>
              <w:t>4.4%</w:t>
            </w:r>
          </w:p>
        </w:tc>
        <w:tc>
          <w:tcPr>
            <w:tcW w:type="dxa" w:w="1944"/>
          </w:tcPr>
          <w:p>
            <w:pPr>
              <w:spacing w:after="20"/>
              <w:jc w:val="right"/>
            </w:pPr>
            <w:r>
              <w:rPr>
                <w:color w:val="1C3A36"/>
                <w:sz w:val="17"/>
              </w:rPr>
              <w:t>e&amp; holds 53%</w:t>
            </w:r>
          </w:p>
        </w:tc>
      </w:tr>
      <w:tr>
        <w:tc>
          <w:tcPr>
            <w:tcW w:type="dxa" w:w="2664"/>
          </w:tcPr>
          <w:p>
            <w:pPr>
              <w:spacing w:after="20"/>
            </w:pPr>
            <w:r>
              <w:rPr>
                <w:color w:val="1C3A36"/>
                <w:sz w:val="17"/>
              </w:rPr>
              <w:t>Mobily (Tadawul 7020)</w:t>
            </w:r>
          </w:p>
        </w:tc>
        <w:tc>
          <w:tcPr>
            <w:tcW w:type="dxa" w:w="1512"/>
          </w:tcPr>
          <w:p>
            <w:pPr>
              <w:spacing w:after="20"/>
              <w:jc w:val="right"/>
            </w:pPr>
            <w:r>
              <w:rPr>
                <w:color w:val="1C3A36"/>
                <w:sz w:val="17"/>
              </w:rPr>
              <w:t>44.8</w:t>
            </w:r>
          </w:p>
        </w:tc>
        <w:tc>
          <w:tcPr>
            <w:tcW w:type="dxa" w:w="1440"/>
          </w:tcPr>
          <w:p>
            <w:pPr>
              <w:spacing w:after="20"/>
              <w:jc w:val="right"/>
            </w:pPr>
            <w:r>
              <w:rPr>
                <w:color w:val="1C3A36"/>
                <w:sz w:val="17"/>
              </w:rPr>
              <w:t>7.8×</w:t>
            </w:r>
          </w:p>
        </w:tc>
        <w:tc>
          <w:tcPr>
            <w:tcW w:type="dxa" w:w="1080"/>
          </w:tcPr>
          <w:p>
            <w:pPr>
              <w:spacing w:after="20"/>
              <w:jc w:val="right"/>
            </w:pPr>
            <w:r>
              <w:rPr>
                <w:color w:val="1C3A36"/>
                <w:sz w:val="17"/>
              </w:rPr>
              <w:t>16.0×</w:t>
            </w:r>
          </w:p>
        </w:tc>
        <w:tc>
          <w:tcPr>
            <w:tcW w:type="dxa" w:w="936"/>
          </w:tcPr>
          <w:p>
            <w:pPr>
              <w:spacing w:after="20"/>
              <w:jc w:val="right"/>
            </w:pPr>
            <w:r>
              <w:rPr>
                <w:color w:val="1C3A36"/>
                <w:sz w:val="17"/>
              </w:rPr>
              <w:t>3.0%</w:t>
            </w:r>
          </w:p>
        </w:tc>
        <w:tc>
          <w:tcPr>
            <w:tcW w:type="dxa" w:w="1944"/>
          </w:tcPr>
          <w:p>
            <w:pPr>
              <w:spacing w:after="20"/>
              <w:jc w:val="right"/>
            </w:pPr>
            <w:r>
              <w:rPr>
                <w:color w:val="1C3A36"/>
                <w:sz w:val="17"/>
              </w:rPr>
              <w:t>e&amp; holds 28.0%</w:t>
            </w:r>
          </w:p>
        </w:tc>
      </w:tr>
    </w:tbl>
    <w:p>
      <w:pPr>
        <w:spacing w:after="40"/>
      </w:pPr>
    </w:p>
    <w:p>
      <w:pPr>
        <w:spacing w:after="120" w:before="0"/>
      </w:pPr>
      <w:r>
        <w:rPr>
          <w:b w:val="0"/>
          <w:i w:val="0"/>
          <w:color w:val="1C3A36"/>
          <w:sz w:val="18"/>
        </w:rPr>
        <w:t>Sector structure: a regulated duopoly capturing 97.5% of UAE sector revenue (AED 50bn+, growing ~3–4%), quality-led competition, both operators deep into 5G-Advanced. e&amp;’s multiple sits, correctly, between the pure-duopoly and the EM-holdings reads.</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096"/>
            <w:shd w:val="clear" w:color="auto" w:fill="EAF0EE"/>
          </w:tcPr>
          <w:p>
            <w:pPr>
              <w:spacing w:after="20"/>
            </w:pPr>
            <w:r>
              <w:rPr>
                <w:b/>
                <w:color w:val="1C3A36"/>
                <w:sz w:val="17"/>
              </w:rPr>
              <w:t>Risk</w:t>
            </w:r>
          </w:p>
        </w:tc>
        <w:tc>
          <w:tcPr>
            <w:tcW w:type="dxa" w:w="1800"/>
            <w:shd w:val="clear" w:color="auto" w:fill="EAF0EE"/>
          </w:tcPr>
          <w:p>
            <w:pPr>
              <w:spacing w:after="20"/>
            </w:pPr>
            <w:r>
              <w:rPr>
                <w:b/>
                <w:color w:val="1C3A36"/>
                <w:sz w:val="17"/>
              </w:rPr>
              <w:t>Direction</w:t>
            </w:r>
          </w:p>
        </w:tc>
        <w:tc>
          <w:tcPr>
            <w:tcW w:type="dxa" w:w="4536"/>
            <w:shd w:val="clear" w:color="auto" w:fill="EAF0EE"/>
          </w:tcPr>
          <w:p>
            <w:pPr>
              <w:spacing w:after="20"/>
            </w:pPr>
            <w:r>
              <w:rPr>
                <w:b/>
                <w:color w:val="1C3A36"/>
                <w:sz w:val="17"/>
              </w:rPr>
              <w:t>Where it is priced</w:t>
            </w:r>
          </w:p>
        </w:tc>
      </w:tr>
      <w:tr>
        <w:tc>
          <w:tcPr>
            <w:tcW w:type="dxa" w:w="3096"/>
          </w:tcPr>
          <w:p>
            <w:pPr>
              <w:spacing w:after="20"/>
            </w:pPr>
            <w:r>
              <w:rPr>
                <w:color w:val="1C3A36"/>
                <w:sz w:val="17"/>
              </w:rPr>
              <w:t>2027 royalty reset adverse</w:t>
            </w:r>
          </w:p>
        </w:tc>
        <w:tc>
          <w:tcPr>
            <w:tcW w:type="dxa" w:w="1800"/>
          </w:tcPr>
          <w:p>
            <w:pPr>
              <w:spacing w:after="20"/>
              <w:jc w:val="right"/>
            </w:pPr>
            <w:r>
              <w:rPr>
                <w:color w:val="1C3A36"/>
                <w:sz w:val="17"/>
              </w:rPr>
              <w:t>valuation</w:t>
            </w:r>
          </w:p>
        </w:tc>
        <w:tc>
          <w:tcPr>
            <w:tcW w:type="dxa" w:w="4536"/>
          </w:tcPr>
          <w:p>
            <w:pPr>
              <w:spacing w:after="20"/>
              <w:jc w:val="right"/>
            </w:pPr>
            <w:r>
              <w:rPr>
                <w:color w:val="1C3A36"/>
                <w:sz w:val="17"/>
              </w:rPr>
              <w:t>§1.7 grid; discrete factor 15% / −1.8%</w:t>
            </w:r>
          </w:p>
        </w:tc>
      </w:tr>
      <w:tr>
        <w:tc>
          <w:tcPr>
            <w:tcW w:type="dxa" w:w="3096"/>
          </w:tcPr>
          <w:p>
            <w:pPr>
              <w:spacing w:after="20"/>
            </w:pPr>
            <w:r>
              <w:rPr>
                <w:color w:val="1C3A36"/>
                <w:sz w:val="17"/>
              </w:rPr>
              <w:t>Vodafone deal blocked/delayed</w:t>
            </w:r>
          </w:p>
        </w:tc>
        <w:tc>
          <w:tcPr>
            <w:tcW w:type="dxa" w:w="1800"/>
          </w:tcPr>
          <w:p>
            <w:pPr>
              <w:spacing w:after="20"/>
              <w:jc w:val="right"/>
            </w:pPr>
            <w:r>
              <w:rPr>
                <w:color w:val="1C3A36"/>
                <w:sz w:val="17"/>
              </w:rPr>
              <w:t>event</w:t>
            </w:r>
          </w:p>
        </w:tc>
        <w:tc>
          <w:tcPr>
            <w:tcW w:type="dxa" w:w="4536"/>
          </w:tcPr>
          <w:p>
            <w:pPr>
              <w:spacing w:after="20"/>
              <w:jc w:val="right"/>
            </w:pPr>
            <w:r>
              <w:rPr>
                <w:color w:val="1C3A36"/>
                <w:sz w:val="17"/>
              </w:rPr>
              <w:t>bridge dual-frame; discrete factor 10% / −1.5%</w:t>
            </w:r>
          </w:p>
        </w:tc>
      </w:tr>
      <w:tr>
        <w:tc>
          <w:tcPr>
            <w:tcW w:type="dxa" w:w="3096"/>
          </w:tcPr>
          <w:p>
            <w:pPr>
              <w:spacing w:after="20"/>
            </w:pPr>
            <w:r>
              <w:rPr>
                <w:color w:val="1C3A36"/>
                <w:sz w:val="17"/>
              </w:rPr>
              <w:t>Regional geopolitical re-escalation</w:t>
            </w:r>
          </w:p>
        </w:tc>
        <w:tc>
          <w:tcPr>
            <w:tcW w:type="dxa" w:w="1800"/>
          </w:tcPr>
          <w:p>
            <w:pPr>
              <w:spacing w:after="20"/>
              <w:jc w:val="right"/>
            </w:pPr>
            <w:r>
              <w:rPr>
                <w:color w:val="1C3A36"/>
                <w:sz w:val="17"/>
              </w:rPr>
              <w:t>macro tail</w:t>
            </w:r>
          </w:p>
        </w:tc>
        <w:tc>
          <w:tcPr>
            <w:tcW w:type="dxa" w:w="4536"/>
          </w:tcPr>
          <w:p>
            <w:pPr>
              <w:spacing w:after="20"/>
              <w:jc w:val="right"/>
            </w:pPr>
            <w:r>
              <w:rPr>
                <w:color w:val="1C3A36"/>
                <w:sz w:val="17"/>
              </w:rPr>
              <w:t>discrete factor 25% / −2.0%; §1.8</w:t>
            </w:r>
          </w:p>
        </w:tc>
      </w:tr>
      <w:tr>
        <w:tc>
          <w:tcPr>
            <w:tcW w:type="dxa" w:w="3096"/>
          </w:tcPr>
          <w:p>
            <w:pPr>
              <w:spacing w:after="20"/>
            </w:pPr>
            <w:r>
              <w:rPr>
                <w:color w:val="1C3A36"/>
                <w:sz w:val="17"/>
              </w:rPr>
              <w:t>du share gains accelerate</w:t>
            </w:r>
          </w:p>
        </w:tc>
        <w:tc>
          <w:tcPr>
            <w:tcW w:type="dxa" w:w="1800"/>
          </w:tcPr>
          <w:p>
            <w:pPr>
              <w:spacing w:after="20"/>
              <w:jc w:val="right"/>
            </w:pPr>
            <w:r>
              <w:rPr>
                <w:color w:val="1C3A36"/>
                <w:sz w:val="17"/>
              </w:rPr>
              <w:t>operating</w:t>
            </w:r>
          </w:p>
        </w:tc>
        <w:tc>
          <w:tcPr>
            <w:tcW w:type="dxa" w:w="4536"/>
          </w:tcPr>
          <w:p>
            <w:pPr>
              <w:spacing w:after="20"/>
              <w:jc w:val="right"/>
            </w:pPr>
            <w:r>
              <w:rPr>
                <w:color w:val="1C3A36"/>
                <w:sz w:val="17"/>
              </w:rPr>
              <w:t>UAE growth held to low-single-digit; falsifier #4</w:t>
            </w:r>
          </w:p>
        </w:tc>
      </w:tr>
      <w:tr>
        <w:tc>
          <w:tcPr>
            <w:tcW w:type="dxa" w:w="3096"/>
          </w:tcPr>
          <w:p>
            <w:pPr>
              <w:spacing w:after="20"/>
            </w:pPr>
            <w:r>
              <w:rPr>
                <w:color w:val="1C3A36"/>
                <w:sz w:val="17"/>
              </w:rPr>
              <w:t>FX translation (EUR/PKR/MAD)</w:t>
            </w:r>
          </w:p>
        </w:tc>
        <w:tc>
          <w:tcPr>
            <w:tcW w:type="dxa" w:w="1800"/>
          </w:tcPr>
          <w:p>
            <w:pPr>
              <w:spacing w:after="20"/>
              <w:jc w:val="right"/>
            </w:pPr>
            <w:r>
              <w:rPr>
                <w:color w:val="1C3A36"/>
                <w:sz w:val="17"/>
              </w:rPr>
              <w:t>reported numbers</w:t>
            </w:r>
          </w:p>
        </w:tc>
        <w:tc>
          <w:tcPr>
            <w:tcW w:type="dxa" w:w="4536"/>
          </w:tcPr>
          <w:p>
            <w:pPr>
              <w:spacing w:after="20"/>
              <w:jc w:val="right"/>
            </w:pPr>
            <w:r>
              <w:rPr>
                <w:color w:val="1C3A36"/>
                <w:sz w:val="17"/>
              </w:rPr>
              <w:t>continuous factor; Kd currency build</w:t>
            </w:r>
          </w:p>
        </w:tc>
      </w:tr>
      <w:tr>
        <w:tc>
          <w:tcPr>
            <w:tcW w:type="dxa" w:w="3096"/>
          </w:tcPr>
          <w:p>
            <w:pPr>
              <w:spacing w:after="20"/>
            </w:pPr>
            <w:r>
              <w:rPr>
                <w:color w:val="1C3A36"/>
                <w:sz w:val="17"/>
              </w:rPr>
              <w:t>PPF integration / CEE regulation</w:t>
            </w:r>
          </w:p>
        </w:tc>
        <w:tc>
          <w:tcPr>
            <w:tcW w:type="dxa" w:w="1800"/>
          </w:tcPr>
          <w:p>
            <w:pPr>
              <w:spacing w:after="20"/>
              <w:jc w:val="right"/>
            </w:pPr>
            <w:r>
              <w:rPr>
                <w:color w:val="1C3A36"/>
                <w:sz w:val="17"/>
              </w:rPr>
              <w:t>operating</w:t>
            </w:r>
          </w:p>
        </w:tc>
        <w:tc>
          <w:tcPr>
            <w:tcW w:type="dxa" w:w="4536"/>
          </w:tcPr>
          <w:p>
            <w:pPr>
              <w:spacing w:after="20"/>
              <w:jc w:val="right"/>
            </w:pPr>
            <w:r>
              <w:rPr>
                <w:color w:val="1C3A36"/>
                <w:sz w:val="17"/>
              </w:rPr>
              <w:t>margin glide kept modest; PPF put already a liability</w:t>
            </w:r>
          </w:p>
        </w:tc>
      </w:tr>
      <w:tr>
        <w:tc>
          <w:tcPr>
            <w:tcW w:type="dxa" w:w="3096"/>
          </w:tcPr>
          <w:p>
            <w:pPr>
              <w:spacing w:after="20"/>
            </w:pPr>
            <w:r>
              <w:rPr>
                <w:color w:val="1C3A36"/>
                <w:sz w:val="17"/>
              </w:rPr>
              <w:t>Rate path higher-for-longer</w:t>
            </w:r>
          </w:p>
        </w:tc>
        <w:tc>
          <w:tcPr>
            <w:tcW w:type="dxa" w:w="1800"/>
          </w:tcPr>
          <w:p>
            <w:pPr>
              <w:spacing w:after="20"/>
              <w:jc w:val="right"/>
            </w:pPr>
            <w:r>
              <w:rPr>
                <w:color w:val="1C3A36"/>
                <w:sz w:val="17"/>
              </w:rPr>
              <w:t>valuation</w:t>
            </w:r>
          </w:p>
        </w:tc>
        <w:tc>
          <w:tcPr>
            <w:tcW w:type="dxa" w:w="4536"/>
          </w:tcPr>
          <w:p>
            <w:pPr>
              <w:spacing w:after="20"/>
              <w:jc w:val="right"/>
            </w:pPr>
            <w:r>
              <w:rPr>
                <w:color w:val="1C3A36"/>
                <w:sz w:val="17"/>
              </w:rPr>
              <w:t>WACC grid §1.9; MC carry moves with CBUAE Base Rate</w:t>
            </w:r>
          </w:p>
        </w:tc>
      </w:tr>
    </w:tbl>
    <w:p>
      <w:pPr>
        <w:spacing w:after="40"/>
      </w:pPr>
    </w:p>
    <w:p>
      <w:pPr>
        <w:spacing w:after="80" w:before="200"/>
      </w:pPr>
      <w:r>
        <w:rPr>
          <w:b/>
          <w:i w:val="0"/>
          <w:color w:val="1C3A36"/>
          <w:sz w:val="24"/>
        </w:rPr>
        <w:t>B.3  The research register — four layers, dated, negative searches included</w:t>
      </w:r>
    </w:p>
    <w:p>
      <w:pPr>
        <w:spacing w:after="120" w:before="0"/>
      </w:pPr>
      <w:r>
        <w:rPr>
          <w:b w:val="0"/>
          <w:i w:val="0"/>
          <w:color w:val="6E7B77"/>
          <w:sz w:val="17"/>
        </w:rPr>
        <w:t>Coverage is categories closed, never query count. B = base-changer · S = structural · D = driver-unlock · C = colour. The register validated PASS (17 rows; FS provenance company-official only).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864"/>
            <w:shd w:val="clear" w:color="auto" w:fill="EAF0EE"/>
          </w:tcPr>
          <w:p>
            <w:pPr>
              <w:spacing w:after="20"/>
            </w:pPr>
            <w:r>
              <w:rPr>
                <w:b/>
                <w:color w:val="1C3A36"/>
                <w:sz w:val="14"/>
              </w:rPr>
              <w:t>Layer</w:t>
            </w:r>
          </w:p>
        </w:tc>
        <w:tc>
          <w:tcPr>
            <w:tcW w:type="dxa" w:w="1512"/>
            <w:shd w:val="clear" w:color="auto" w:fill="EAF0EE"/>
          </w:tcPr>
          <w:p>
            <w:pPr>
              <w:spacing w:after="20"/>
            </w:pPr>
            <w:r>
              <w:rPr>
                <w:b/>
                <w:color w:val="1C3A36"/>
                <w:sz w:val="14"/>
              </w:rPr>
              <w:t>Category</w:t>
            </w:r>
          </w:p>
        </w:tc>
        <w:tc>
          <w:tcPr>
            <w:tcW w:type="dxa" w:w="576"/>
            <w:shd w:val="clear" w:color="auto" w:fill="EAF0EE"/>
          </w:tcPr>
          <w:p>
            <w:pPr>
              <w:spacing w:after="20"/>
            </w:pPr>
            <w:r>
              <w:rPr>
                <w:b/>
                <w:color w:val="1C3A36"/>
                <w:sz w:val="14"/>
              </w:rPr>
              <w:t>Class</w:t>
            </w:r>
          </w:p>
        </w:tc>
        <w:tc>
          <w:tcPr>
            <w:tcW w:type="dxa" w:w="3888"/>
            <w:shd w:val="clear" w:color="auto" w:fill="EAF0EE"/>
          </w:tcPr>
          <w:p>
            <w:pPr>
              <w:spacing w:after="20"/>
            </w:pPr>
            <w:r>
              <w:rPr>
                <w:b/>
                <w:color w:val="1C3A36"/>
                <w:sz w:val="14"/>
              </w:rPr>
              <w:t>Finding (condensed)</w:t>
            </w:r>
          </w:p>
        </w:tc>
        <w:tc>
          <w:tcPr>
            <w:tcW w:type="dxa" w:w="1800"/>
            <w:shd w:val="clear" w:color="auto" w:fill="EAF0EE"/>
          </w:tcPr>
          <w:p>
            <w:pPr>
              <w:spacing w:after="20"/>
            </w:pPr>
            <w:r>
              <w:rPr>
                <w:b/>
                <w:color w:val="1C3A36"/>
                <w:sz w:val="14"/>
              </w:rPr>
              <w:t>Source</w:t>
            </w:r>
          </w:p>
        </w:tc>
        <w:tc>
          <w:tcPr>
            <w:tcW w:type="dxa" w:w="1008"/>
            <w:shd w:val="clear" w:color="auto" w:fill="EAF0EE"/>
          </w:tcPr>
          <w:p>
            <w:pPr>
              <w:spacing w:after="20"/>
            </w:pPr>
            <w:r>
              <w:rPr>
                <w:b/>
                <w:color w:val="1C3A36"/>
                <w:sz w:val="14"/>
              </w:rPr>
              <w:t>Date</w:t>
            </w:r>
          </w:p>
        </w:tc>
      </w:tr>
      <w:tr>
        <w:tc>
          <w:tcPr>
            <w:tcW w:type="dxa" w:w="864"/>
          </w:tcPr>
          <w:p>
            <w:pPr>
              <w:spacing w:after="20"/>
            </w:pPr>
            <w:r>
              <w:rPr>
                <w:color w:val="1C3A36"/>
                <w:sz w:val="14"/>
              </w:rPr>
              <w:t>Global</w:t>
            </w:r>
          </w:p>
        </w:tc>
        <w:tc>
          <w:tcPr>
            <w:tcW w:type="dxa" w:w="1512"/>
          </w:tcPr>
          <w:p>
            <w:pPr>
              <w:spacing w:after="20"/>
              <w:jc w:val="right"/>
            </w:pPr>
            <w:r>
              <w:rPr>
                <w:color w:val="1C3A36"/>
                <w:sz w:val="14"/>
              </w:rPr>
              <w:t>Rate cycle / USD-FX</w:t>
            </w:r>
          </w:p>
        </w:tc>
        <w:tc>
          <w:tcPr>
            <w:tcW w:type="dxa" w:w="576"/>
          </w:tcPr>
          <w:p>
            <w:pPr>
              <w:spacing w:after="20"/>
              <w:jc w:val="right"/>
            </w:pPr>
            <w:r>
              <w:rPr>
                <w:color w:val="1C3A36"/>
                <w:sz w:val="14"/>
              </w:rPr>
              <w:t>S</w:t>
            </w:r>
          </w:p>
        </w:tc>
        <w:tc>
          <w:tcPr>
            <w:tcW w:type="dxa" w:w="3888"/>
          </w:tcPr>
          <w:p>
            <w:pPr>
              <w:spacing w:after="20"/>
              <w:jc w:val="right"/>
            </w:pPr>
            <w:r>
              <w:rPr>
                <w:color w:val="1C3A36"/>
                <w:sz w:val="14"/>
              </w:rPr>
              <w:t>Fed range 3.25-3.50% after the Jun-2026 cut; CBUAE Base Rate tracks IORB (3.65%, held 17-Jun-2026) -- this is the production engine's carry-rf, per the fitted UAE market profile (engine/market_profiles.py). …</w:t>
            </w:r>
          </w:p>
        </w:tc>
        <w:tc>
          <w:tcPr>
            <w:tcW w:type="dxa" w:w="1800"/>
          </w:tcPr>
          <w:p>
            <w:pPr>
              <w:spacing w:after="20"/>
              <w:jc w:val="right"/>
            </w:pPr>
            <w:r>
              <w:rPr>
                <w:color w:val="1C3A36"/>
                <w:sz w:val="14"/>
              </w:rPr>
              <w:t>CBUAE Base Rate via production UAE market profile; FOMC path…</w:t>
            </w:r>
          </w:p>
        </w:tc>
        <w:tc>
          <w:tcPr>
            <w:tcW w:type="dxa" w:w="1008"/>
          </w:tcPr>
          <w:p>
            <w:pPr>
              <w:spacing w:after="20"/>
              <w:jc w:val="right"/>
            </w:pPr>
            <w:r>
              <w:rPr>
                <w:color w:val="1C3A36"/>
                <w:sz w:val="14"/>
              </w:rPr>
              <w:t>2026-07-10</w:t>
            </w:r>
          </w:p>
        </w:tc>
      </w:tr>
      <w:tr>
        <w:tc>
          <w:tcPr>
            <w:tcW w:type="dxa" w:w="864"/>
          </w:tcPr>
          <w:p>
            <w:pPr>
              <w:spacing w:after="20"/>
            </w:pPr>
            <w:r>
              <w:rPr>
                <w:color w:val="1C3A36"/>
                <w:sz w:val="14"/>
              </w:rPr>
              <w:t>Global</w:t>
            </w:r>
          </w:p>
        </w:tc>
        <w:tc>
          <w:tcPr>
            <w:tcW w:type="dxa" w:w="1512"/>
          </w:tcPr>
          <w:p>
            <w:pPr>
              <w:spacing w:after="20"/>
              <w:jc w:val="right"/>
            </w:pPr>
            <w:r>
              <w:rPr>
                <w:color w:val="1C3A36"/>
                <w:sz w:val="14"/>
              </w:rPr>
              <w:t>Commodity complex</w:t>
            </w:r>
          </w:p>
        </w:tc>
        <w:tc>
          <w:tcPr>
            <w:tcW w:type="dxa" w:w="576"/>
          </w:tcPr>
          <w:p>
            <w:pPr>
              <w:spacing w:after="20"/>
              <w:jc w:val="right"/>
            </w:pPr>
            <w:r>
              <w:rPr>
                <w:color w:val="1C3A36"/>
                <w:sz w:val="14"/>
              </w:rPr>
              <w:t>C</w:t>
            </w:r>
          </w:p>
        </w:tc>
        <w:tc>
          <w:tcPr>
            <w:tcW w:type="dxa" w:w="3888"/>
          </w:tcPr>
          <w:p>
            <w:pPr>
              <w:spacing w:after="20"/>
              <w:jc w:val="right"/>
            </w:pPr>
            <w:r>
              <w:rPr>
                <w:color w:val="1C3A36"/>
                <w:sz w:val="14"/>
              </w:rPr>
              <w:t>No direct input/output commodity exposure for a telecom; oil only via UAE fiscal impulse (country ring). No driver change.</w:t>
            </w:r>
          </w:p>
        </w:tc>
        <w:tc>
          <w:tcPr>
            <w:tcW w:type="dxa" w:w="1800"/>
          </w:tcPr>
          <w:p>
            <w:pPr>
              <w:spacing w:after="20"/>
              <w:jc w:val="right"/>
            </w:pPr>
            <w:r>
              <w:rPr>
                <w:color w:val="1C3A36"/>
                <w:sz w:val="14"/>
              </w:rPr>
              <w:t>negative search (scope review)</w:t>
            </w:r>
          </w:p>
        </w:tc>
        <w:tc>
          <w:tcPr>
            <w:tcW w:type="dxa" w:w="1008"/>
          </w:tcPr>
          <w:p>
            <w:pPr>
              <w:spacing w:after="20"/>
              <w:jc w:val="right"/>
            </w:pPr>
            <w:r>
              <w:rPr>
                <w:color w:val="1C3A36"/>
                <w:sz w:val="14"/>
              </w:rPr>
              <w:t>2026-07-10</w:t>
            </w:r>
          </w:p>
        </w:tc>
      </w:tr>
      <w:tr>
        <w:tc>
          <w:tcPr>
            <w:tcW w:type="dxa" w:w="864"/>
          </w:tcPr>
          <w:p>
            <w:pPr>
              <w:spacing w:after="20"/>
            </w:pPr>
            <w:r>
              <w:rPr>
                <w:color w:val="1C3A36"/>
                <w:sz w:val="14"/>
              </w:rPr>
              <w:t>Global</w:t>
            </w:r>
          </w:p>
        </w:tc>
        <w:tc>
          <w:tcPr>
            <w:tcW w:type="dxa" w:w="1512"/>
          </w:tcPr>
          <w:p>
            <w:pPr>
              <w:spacing w:after="20"/>
              <w:jc w:val="right"/>
            </w:pPr>
            <w:r>
              <w:rPr>
                <w:color w:val="1C3A36"/>
                <w:sz w:val="14"/>
              </w:rPr>
              <w:t>Global sector demand</w:t>
            </w:r>
          </w:p>
        </w:tc>
        <w:tc>
          <w:tcPr>
            <w:tcW w:type="dxa" w:w="576"/>
          </w:tcPr>
          <w:p>
            <w:pPr>
              <w:spacing w:after="20"/>
              <w:jc w:val="right"/>
            </w:pPr>
            <w:r>
              <w:rPr>
                <w:color w:val="1C3A36"/>
                <w:sz w:val="14"/>
              </w:rPr>
              <w:t>C</w:t>
            </w:r>
          </w:p>
        </w:tc>
        <w:tc>
          <w:tcPr>
            <w:tcW w:type="dxa" w:w="3888"/>
          </w:tcPr>
          <w:p>
            <w:pPr>
              <w:spacing w:after="20"/>
              <w:jc w:val="right"/>
            </w:pPr>
            <w:r>
              <w:rPr>
                <w:color w:val="1C3A36"/>
                <w:sz w:val="14"/>
              </w:rPr>
              <w:t>Global telecom demand steady; data/AI traffic growth; sector multiples 6-8x EV/EBITDA. Feeds the relative-lens band only.</w:t>
            </w:r>
          </w:p>
        </w:tc>
        <w:tc>
          <w:tcPr>
            <w:tcW w:type="dxa" w:w="1800"/>
          </w:tcPr>
          <w:p>
            <w:pPr>
              <w:spacing w:after="20"/>
              <w:jc w:val="right"/>
            </w:pPr>
            <w:r>
              <w:rPr>
                <w:color w:val="1C3A36"/>
                <w:sz w:val="14"/>
              </w:rPr>
              <w:t>peer set review (STC/du/Zain quotes)</w:t>
            </w:r>
          </w:p>
        </w:tc>
        <w:tc>
          <w:tcPr>
            <w:tcW w:type="dxa" w:w="1008"/>
          </w:tcPr>
          <w:p>
            <w:pPr>
              <w:spacing w:after="20"/>
              <w:jc w:val="right"/>
            </w:pPr>
            <w:r>
              <w:rPr>
                <w:color w:val="1C3A36"/>
                <w:sz w:val="14"/>
              </w:rPr>
              <w:t>2026-07-10</w:t>
            </w:r>
          </w:p>
        </w:tc>
      </w:tr>
      <w:tr>
        <w:tc>
          <w:tcPr>
            <w:tcW w:type="dxa" w:w="864"/>
          </w:tcPr>
          <w:p>
            <w:pPr>
              <w:spacing w:after="20"/>
            </w:pPr>
            <w:r>
              <w:rPr>
                <w:color w:val="1C3A36"/>
                <w:sz w:val="14"/>
              </w:rPr>
              <w:t>Global</w:t>
            </w:r>
          </w:p>
        </w:tc>
        <w:tc>
          <w:tcPr>
            <w:tcW w:type="dxa" w:w="1512"/>
          </w:tcPr>
          <w:p>
            <w:pPr>
              <w:spacing w:after="20"/>
              <w:jc w:val="right"/>
            </w:pPr>
            <w:r>
              <w:rPr>
                <w:color w:val="1C3A36"/>
                <w:sz w:val="14"/>
              </w:rPr>
              <w:t>Trade / sanctions / supply chain</w:t>
            </w:r>
          </w:p>
        </w:tc>
        <w:tc>
          <w:tcPr>
            <w:tcW w:type="dxa" w:w="576"/>
          </w:tcPr>
          <w:p>
            <w:pPr>
              <w:spacing w:after="20"/>
              <w:jc w:val="right"/>
            </w:pPr>
            <w:r>
              <w:rPr>
                <w:color w:val="1C3A36"/>
                <w:sz w:val="14"/>
              </w:rPr>
              <w:t>C</w:t>
            </w:r>
          </w:p>
        </w:tc>
        <w:tc>
          <w:tcPr>
            <w:tcW w:type="dxa" w:w="3888"/>
          </w:tcPr>
          <w:p>
            <w:pPr>
              <w:spacing w:after="20"/>
              <w:jc w:val="right"/>
            </w:pPr>
            <w:r>
              <w:rPr>
                <w:color w:val="1C3A36"/>
                <w:sz w:val="14"/>
              </w:rPr>
              <w:t>EU anti-subsidy probe of the PPF deal (2024) resolved via commitments incl. independence from EIA financing; no new trade action found.</w:t>
            </w:r>
          </w:p>
        </w:tc>
        <w:tc>
          <w:tcPr>
            <w:tcW w:type="dxa" w:w="1800"/>
          </w:tcPr>
          <w:p>
            <w:pPr>
              <w:spacing w:after="20"/>
              <w:jc w:val="right"/>
            </w:pPr>
            <w:r>
              <w:rPr>
                <w:color w:val="1C3A36"/>
                <w:sz w:val="14"/>
              </w:rPr>
              <w:t>AGBI / EC decision Sep-2024; negative search for 2026 update…</w:t>
            </w:r>
          </w:p>
        </w:tc>
        <w:tc>
          <w:tcPr>
            <w:tcW w:type="dxa" w:w="1008"/>
          </w:tcPr>
          <w:p>
            <w:pPr>
              <w:spacing w:after="20"/>
              <w:jc w:val="right"/>
            </w:pPr>
            <w:r>
              <w:rPr>
                <w:color w:val="1C3A36"/>
                <w:sz w:val="14"/>
              </w:rPr>
              <w:t>2026-07-10</w:t>
            </w:r>
          </w:p>
        </w:tc>
      </w:tr>
      <w:tr>
        <w:tc>
          <w:tcPr>
            <w:tcW w:type="dxa" w:w="864"/>
          </w:tcPr>
          <w:p>
            <w:pPr>
              <w:spacing w:after="20"/>
            </w:pPr>
            <w:r>
              <w:rPr>
                <w:color w:val="1C3A36"/>
                <w:sz w:val="14"/>
              </w:rPr>
              <w:t>Country</w:t>
            </w:r>
          </w:p>
        </w:tc>
        <w:tc>
          <w:tcPr>
            <w:tcW w:type="dxa" w:w="1512"/>
          </w:tcPr>
          <w:p>
            <w:pPr>
              <w:spacing w:after="20"/>
              <w:jc w:val="right"/>
            </w:pPr>
            <w:r>
              <w:rPr>
                <w:color w:val="1C3A36"/>
                <w:sz w:val="14"/>
              </w:rPr>
              <w:t>Sovereign macro</w:t>
            </w:r>
          </w:p>
        </w:tc>
        <w:tc>
          <w:tcPr>
            <w:tcW w:type="dxa" w:w="576"/>
          </w:tcPr>
          <w:p>
            <w:pPr>
              <w:spacing w:after="20"/>
              <w:jc w:val="right"/>
            </w:pPr>
            <w:r>
              <w:rPr>
                <w:color w:val="1C3A36"/>
                <w:sz w:val="14"/>
              </w:rPr>
              <w:t>C</w:t>
            </w:r>
          </w:p>
        </w:tc>
        <w:tc>
          <w:tcPr>
            <w:tcW w:type="dxa" w:w="3888"/>
          </w:tcPr>
          <w:p>
            <w:pPr>
              <w:spacing w:after="20"/>
              <w:jc w:val="right"/>
            </w:pPr>
            <w:r>
              <w:rPr>
                <w:color w:val="1C3A36"/>
                <w:sz w:val="14"/>
              </w:rPr>
              <w:t>UAE Aa2 stable; AED T-bond auctions continued through the regional escalation at &lt;=14bp spreads over UST (May-2026 auction: Sep-27 4.03%, Jan-31 4.30%). Non-oil growth solid.</w:t>
            </w:r>
          </w:p>
        </w:tc>
        <w:tc>
          <w:tcPr>
            <w:tcW w:type="dxa" w:w="1800"/>
          </w:tcPr>
          <w:p>
            <w:pPr>
              <w:spacing w:after="20"/>
              <w:jc w:val="right"/>
            </w:pPr>
            <w:r>
              <w:rPr>
                <w:color w:val="1C3A36"/>
                <w:sz w:val="14"/>
              </w:rPr>
              <w:t>UAE MoF auction releases Jan/Mar/May-2026</w:t>
            </w:r>
          </w:p>
        </w:tc>
        <w:tc>
          <w:tcPr>
            <w:tcW w:type="dxa" w:w="1008"/>
          </w:tcPr>
          <w:p>
            <w:pPr>
              <w:spacing w:after="20"/>
              <w:jc w:val="right"/>
            </w:pPr>
            <w:r>
              <w:rPr>
                <w:color w:val="1C3A36"/>
                <w:sz w:val="14"/>
              </w:rPr>
              <w:t>2026-05-23</w:t>
            </w:r>
          </w:p>
        </w:tc>
      </w:tr>
      <w:tr>
        <w:tc>
          <w:tcPr>
            <w:tcW w:type="dxa" w:w="864"/>
          </w:tcPr>
          <w:p>
            <w:pPr>
              <w:spacing w:after="20"/>
            </w:pPr>
            <w:r>
              <w:rPr>
                <w:color w:val="1C3A36"/>
                <w:sz w:val="14"/>
              </w:rPr>
              <w:t>Country</w:t>
            </w:r>
          </w:p>
        </w:tc>
        <w:tc>
          <w:tcPr>
            <w:tcW w:type="dxa" w:w="1512"/>
          </w:tcPr>
          <w:p>
            <w:pPr>
              <w:spacing w:after="20"/>
              <w:jc w:val="right"/>
            </w:pPr>
            <w:r>
              <w:rPr>
                <w:color w:val="1C3A36"/>
                <w:sz w:val="14"/>
              </w:rPr>
              <w:t>Regulatory - royalty &amp; tax</w:t>
            </w:r>
          </w:p>
        </w:tc>
        <w:tc>
          <w:tcPr>
            <w:tcW w:type="dxa" w:w="576"/>
          </w:tcPr>
          <w:p>
            <w:pPr>
              <w:spacing w:after="20"/>
              <w:jc w:val="right"/>
            </w:pPr>
            <w:r>
              <w:rPr>
                <w:color w:val="1C3A36"/>
                <w:sz w:val="14"/>
              </w:rPr>
              <w:t>S</w:t>
            </w:r>
          </w:p>
        </w:tc>
        <w:tc>
          <w:tcPr>
            <w:tcW w:type="dxa" w:w="3888"/>
          </w:tcPr>
          <w:p>
            <w:pPr>
              <w:spacing w:after="20"/>
              <w:jc w:val="right"/>
            </w:pPr>
            <w:r>
              <w:rPr>
                <w:color w:val="1C3A36"/>
                <w:sz w:val="14"/>
              </w:rPr>
              <w:t>Royalty Guidelines 3-Nov-2023 for 2024-2026: 38% of UAE (regulated + non-regulated) net profit, deductible for 9% CT; floor royalty+tax AED 5.7bn/yr; excludes international and NCI profit. REGIME EXPIRES 31-…</w:t>
            </w:r>
          </w:p>
        </w:tc>
        <w:tc>
          <w:tcPr>
            <w:tcW w:type="dxa" w:w="1800"/>
          </w:tcPr>
          <w:p>
            <w:pPr>
              <w:spacing w:after="20"/>
              <w:jc w:val="right"/>
            </w:pPr>
            <w:r>
              <w:rPr>
                <w:color w:val="1C3A36"/>
                <w:sz w:val="14"/>
              </w:rPr>
              <w:t>e&amp; Q1-2026 interim FS Note 6 (EY-reviewed)</w:t>
            </w:r>
          </w:p>
        </w:tc>
        <w:tc>
          <w:tcPr>
            <w:tcW w:type="dxa" w:w="1008"/>
          </w:tcPr>
          <w:p>
            <w:pPr>
              <w:spacing w:after="20"/>
              <w:jc w:val="right"/>
            </w:pPr>
            <w:r>
              <w:rPr>
                <w:color w:val="1C3A36"/>
                <w:sz w:val="14"/>
              </w:rPr>
              <w:t>2026-04-28</w:t>
            </w:r>
          </w:p>
        </w:tc>
      </w:tr>
      <w:tr>
        <w:tc>
          <w:tcPr>
            <w:tcW w:type="dxa" w:w="864"/>
          </w:tcPr>
          <w:p>
            <w:pPr>
              <w:spacing w:after="20"/>
            </w:pPr>
            <w:r>
              <w:rPr>
                <w:color w:val="1C3A36"/>
                <w:sz w:val="14"/>
              </w:rPr>
              <w:t>Country</w:t>
            </w:r>
          </w:p>
        </w:tc>
        <w:tc>
          <w:tcPr>
            <w:tcW w:type="dxa" w:w="1512"/>
          </w:tcPr>
          <w:p>
            <w:pPr>
              <w:spacing w:after="20"/>
              <w:jc w:val="right"/>
            </w:pPr>
            <w:r>
              <w:rPr>
                <w:color w:val="1C3A36"/>
                <w:sz w:val="14"/>
              </w:rPr>
              <w:t>Fiscal / political events</w:t>
            </w:r>
          </w:p>
        </w:tc>
        <w:tc>
          <w:tcPr>
            <w:tcW w:type="dxa" w:w="576"/>
          </w:tcPr>
          <w:p>
            <w:pPr>
              <w:spacing w:after="20"/>
              <w:jc w:val="right"/>
            </w:pPr>
            <w:r>
              <w:rPr>
                <w:color w:val="1C3A36"/>
                <w:sz w:val="14"/>
              </w:rPr>
              <w:t>S</w:t>
            </w:r>
          </w:p>
        </w:tc>
        <w:tc>
          <w:tcPr>
            <w:tcW w:type="dxa" w:w="3888"/>
          </w:tcPr>
          <w:p>
            <w:pPr>
              <w:spacing w:after="20"/>
              <w:jc w:val="right"/>
            </w:pPr>
            <w:r>
              <w:rPr>
                <w:color w:val="1C3A36"/>
                <w:sz w:val="14"/>
              </w:rPr>
              <w:t>Regional geopolitical tensions from end-Feb-2026 impacted the UAE operating environment in Mar-2026 (enterprise corporate spend -2.4% q/q); 'transitioning toward normalised conditions' by Apr. Consequence: a…</w:t>
            </w:r>
          </w:p>
        </w:tc>
        <w:tc>
          <w:tcPr>
            <w:tcW w:type="dxa" w:w="1800"/>
          </w:tcPr>
          <w:p>
            <w:pPr>
              <w:spacing w:after="20"/>
              <w:jc w:val="right"/>
            </w:pPr>
            <w:r>
              <w:rPr>
                <w:color w:val="1C3A36"/>
                <w:sz w:val="14"/>
              </w:rPr>
              <w:t>e&amp; Q1-2026 FS Note 24 + earnings release; UAE MoF 'regional …</w:t>
            </w:r>
          </w:p>
        </w:tc>
        <w:tc>
          <w:tcPr>
            <w:tcW w:type="dxa" w:w="1008"/>
          </w:tcPr>
          <w:p>
            <w:pPr>
              <w:spacing w:after="20"/>
              <w:jc w:val="right"/>
            </w:pPr>
            <w:r>
              <w:rPr>
                <w:color w:val="1C3A36"/>
                <w:sz w:val="14"/>
              </w:rPr>
              <w:t>2026-04-28</w:t>
            </w:r>
          </w:p>
        </w:tc>
      </w:tr>
      <w:tr>
        <w:tc>
          <w:tcPr>
            <w:tcW w:type="dxa" w:w="864"/>
          </w:tcPr>
          <w:p>
            <w:pPr>
              <w:spacing w:after="20"/>
            </w:pPr>
            <w:r>
              <w:rPr>
                <w:color w:val="1C3A36"/>
                <w:sz w:val="14"/>
              </w:rPr>
              <w:t>Industry</w:t>
            </w:r>
          </w:p>
        </w:tc>
        <w:tc>
          <w:tcPr>
            <w:tcW w:type="dxa" w:w="1512"/>
          </w:tcPr>
          <w:p>
            <w:pPr>
              <w:spacing w:after="20"/>
              <w:jc w:val="right"/>
            </w:pPr>
            <w:r>
              <w:rPr>
                <w:color w:val="1C3A36"/>
                <w:sz w:val="14"/>
              </w:rPr>
              <w:t>Demand / capacity</w:t>
            </w:r>
          </w:p>
        </w:tc>
        <w:tc>
          <w:tcPr>
            <w:tcW w:type="dxa" w:w="576"/>
          </w:tcPr>
          <w:p>
            <w:pPr>
              <w:spacing w:after="20"/>
              <w:jc w:val="right"/>
            </w:pPr>
            <w:r>
              <w:rPr>
                <w:color w:val="1C3A36"/>
                <w:sz w:val="14"/>
              </w:rPr>
              <w:t>C</w:t>
            </w:r>
          </w:p>
        </w:tc>
        <w:tc>
          <w:tcPr>
            <w:tcW w:type="dxa" w:w="3888"/>
          </w:tcPr>
          <w:p>
            <w:pPr>
              <w:spacing w:after="20"/>
              <w:jc w:val="right"/>
            </w:pPr>
            <w:r>
              <w:rPr>
                <w:color w:val="1C3A36"/>
                <w:sz w:val="14"/>
              </w:rPr>
              <w:t>UAE telecom market AED 50bn+ revenue (2024), duopoly 97.5% of sector revenue, sector CAGR ~3-4%; quality-led (not price-led) competition.</w:t>
            </w:r>
          </w:p>
        </w:tc>
        <w:tc>
          <w:tcPr>
            <w:tcW w:type="dxa" w:w="1800"/>
          </w:tcPr>
          <w:p>
            <w:pPr>
              <w:spacing w:after="20"/>
              <w:jc w:val="right"/>
            </w:pPr>
            <w:r>
              <w:rPr>
                <w:color w:val="1C3A36"/>
                <w:sz w:val="14"/>
              </w:rPr>
              <w:t>du IR; Mordor/GlobalData country reports</w:t>
            </w:r>
          </w:p>
        </w:tc>
        <w:tc>
          <w:tcPr>
            <w:tcW w:type="dxa" w:w="1008"/>
          </w:tcPr>
          <w:p>
            <w:pPr>
              <w:spacing w:after="20"/>
              <w:jc w:val="right"/>
            </w:pPr>
            <w:r>
              <w:rPr>
                <w:color w:val="1C3A36"/>
                <w:sz w:val="14"/>
              </w:rPr>
              <w:t>2026-01-08</w:t>
            </w:r>
          </w:p>
        </w:tc>
      </w:tr>
      <w:tr>
        <w:tc>
          <w:tcPr>
            <w:tcW w:type="dxa" w:w="864"/>
          </w:tcPr>
          <w:p>
            <w:pPr>
              <w:spacing w:after="20"/>
            </w:pPr>
            <w:r>
              <w:rPr>
                <w:color w:val="1C3A36"/>
                <w:sz w:val="14"/>
              </w:rPr>
              <w:t>Industry</w:t>
            </w:r>
          </w:p>
        </w:tc>
        <w:tc>
          <w:tcPr>
            <w:tcW w:type="dxa" w:w="1512"/>
          </w:tcPr>
          <w:p>
            <w:pPr>
              <w:spacing w:after="20"/>
              <w:jc w:val="right"/>
            </w:pPr>
            <w:r>
              <w:rPr>
                <w:color w:val="1C3A36"/>
                <w:sz w:val="14"/>
              </w:rPr>
              <w:t>Pricing</w:t>
            </w:r>
          </w:p>
        </w:tc>
        <w:tc>
          <w:tcPr>
            <w:tcW w:type="dxa" w:w="576"/>
          </w:tcPr>
          <w:p>
            <w:pPr>
              <w:spacing w:after="20"/>
              <w:jc w:val="right"/>
            </w:pPr>
            <w:r>
              <w:rPr>
                <w:color w:val="1C3A36"/>
                <w:sz w:val="14"/>
              </w:rPr>
              <w:t>C</w:t>
            </w:r>
          </w:p>
        </w:tc>
        <w:tc>
          <w:tcPr>
            <w:tcW w:type="dxa" w:w="3888"/>
          </w:tcPr>
          <w:p>
            <w:pPr>
              <w:spacing w:after="20"/>
              <w:jc w:val="right"/>
            </w:pPr>
            <w:r>
              <w:rPr>
                <w:color w:val="1C3A36"/>
                <w:sz w:val="14"/>
              </w:rPr>
              <w:t>e&amp; UAE blended mobile ARPU 76 (Q4-25) vs 80 (Q4-24): mild drift, no price war. Feeds the low-single-digit UAE growth driver.</w:t>
            </w:r>
          </w:p>
        </w:tc>
        <w:tc>
          <w:tcPr>
            <w:tcW w:type="dxa" w:w="1800"/>
          </w:tcPr>
          <w:p>
            <w:pPr>
              <w:spacing w:after="20"/>
              <w:jc w:val="right"/>
            </w:pPr>
            <w:r>
              <w:rPr>
                <w:color w:val="1C3A36"/>
                <w:sz w:val="14"/>
              </w:rPr>
              <w:t>e&amp; Q4-2025 results presentation</w:t>
            </w:r>
          </w:p>
        </w:tc>
        <w:tc>
          <w:tcPr>
            <w:tcW w:type="dxa" w:w="1008"/>
          </w:tcPr>
          <w:p>
            <w:pPr>
              <w:spacing w:after="20"/>
              <w:jc w:val="right"/>
            </w:pPr>
            <w:r>
              <w:rPr>
                <w:color w:val="1C3A36"/>
                <w:sz w:val="14"/>
              </w:rPr>
              <w:t>2026-02-24</w:t>
            </w:r>
          </w:p>
        </w:tc>
      </w:tr>
      <w:tr>
        <w:tc>
          <w:tcPr>
            <w:tcW w:type="dxa" w:w="864"/>
          </w:tcPr>
          <w:p>
            <w:pPr>
              <w:spacing w:after="20"/>
            </w:pPr>
            <w:r>
              <w:rPr>
                <w:color w:val="1C3A36"/>
                <w:sz w:val="14"/>
              </w:rPr>
              <w:t>Industry</w:t>
            </w:r>
          </w:p>
        </w:tc>
        <w:tc>
          <w:tcPr>
            <w:tcW w:type="dxa" w:w="1512"/>
          </w:tcPr>
          <w:p>
            <w:pPr>
              <w:spacing w:after="20"/>
              <w:jc w:val="right"/>
            </w:pPr>
            <w:r>
              <w:rPr>
                <w:color w:val="1C3A36"/>
                <w:sz w:val="14"/>
              </w:rPr>
              <w:t>Competitive structure (named)</w:t>
            </w:r>
          </w:p>
        </w:tc>
        <w:tc>
          <w:tcPr>
            <w:tcW w:type="dxa" w:w="576"/>
          </w:tcPr>
          <w:p>
            <w:pPr>
              <w:spacing w:after="20"/>
              <w:jc w:val="right"/>
            </w:pPr>
            <w:r>
              <w:rPr>
                <w:color w:val="1C3A36"/>
                <w:sz w:val="14"/>
              </w:rPr>
              <w:t>S</w:t>
            </w:r>
          </w:p>
        </w:tc>
        <w:tc>
          <w:tcPr>
            <w:tcW w:type="dxa" w:w="3888"/>
          </w:tcPr>
          <w:p>
            <w:pPr>
              <w:spacing w:after="20"/>
              <w:jc w:val="right"/>
            </w:pPr>
            <w:r>
              <w:rPr>
                <w:color w:val="1C3A36"/>
                <w:sz w:val="14"/>
              </w:rPr>
              <w:t>du: H1-25 revenue +8%, EBITDA +16% (47% margin), mobile subs 9.7mn (~35% share) and gaining; Alo sub-brand. Consequence: UAE segment growth held at low-single-digit and margin flat (no share-gain assumption …</w:t>
            </w:r>
          </w:p>
        </w:tc>
        <w:tc>
          <w:tcPr>
            <w:tcW w:type="dxa" w:w="1800"/>
          </w:tcPr>
          <w:p>
            <w:pPr>
              <w:spacing w:after="20"/>
              <w:jc w:val="right"/>
            </w:pPr>
            <w:r>
              <w:rPr>
                <w:color w:val="1C3A36"/>
                <w:sz w:val="14"/>
              </w:rPr>
              <w:t>du IR H1-2025; Forbes ME via gohub review</w:t>
            </w:r>
          </w:p>
        </w:tc>
        <w:tc>
          <w:tcPr>
            <w:tcW w:type="dxa" w:w="1008"/>
          </w:tcPr>
          <w:p>
            <w:pPr>
              <w:spacing w:after="20"/>
              <w:jc w:val="right"/>
            </w:pPr>
            <w:r>
              <w:rPr>
                <w:color w:val="1C3A36"/>
                <w:sz w:val="14"/>
              </w:rPr>
              <w:t>2026-04-14</w:t>
            </w:r>
          </w:p>
        </w:tc>
      </w:tr>
      <w:tr>
        <w:tc>
          <w:tcPr>
            <w:tcW w:type="dxa" w:w="864"/>
          </w:tcPr>
          <w:p>
            <w:pPr>
              <w:spacing w:after="20"/>
            </w:pPr>
            <w:r>
              <w:rPr>
                <w:color w:val="1C3A36"/>
                <w:sz w:val="14"/>
              </w:rPr>
              <w:t>Industry</w:t>
            </w:r>
          </w:p>
        </w:tc>
        <w:tc>
          <w:tcPr>
            <w:tcW w:type="dxa" w:w="1512"/>
          </w:tcPr>
          <w:p>
            <w:pPr>
              <w:spacing w:after="20"/>
              <w:jc w:val="right"/>
            </w:pPr>
            <w:r>
              <w:rPr>
                <w:color w:val="1C3A36"/>
                <w:sz w:val="14"/>
              </w:rPr>
              <w:t>Technology substitution / entrants</w:t>
            </w:r>
          </w:p>
        </w:tc>
        <w:tc>
          <w:tcPr>
            <w:tcW w:type="dxa" w:w="576"/>
          </w:tcPr>
          <w:p>
            <w:pPr>
              <w:spacing w:after="20"/>
              <w:jc w:val="right"/>
            </w:pPr>
            <w:r>
              <w:rPr>
                <w:color w:val="1C3A36"/>
                <w:sz w:val="14"/>
              </w:rPr>
              <w:t>C</w:t>
            </w:r>
          </w:p>
        </w:tc>
        <w:tc>
          <w:tcPr>
            <w:tcW w:type="dxa" w:w="3888"/>
          </w:tcPr>
          <w:p>
            <w:pPr>
              <w:spacing w:after="20"/>
              <w:jc w:val="right"/>
            </w:pPr>
            <w:r>
              <w:rPr>
                <w:color w:val="1C3A36"/>
                <w:sz w:val="14"/>
              </w:rPr>
              <w:t>No third MNO; 5G-A deployed by both; satellite/OTT substitution unchanged. Negative search for new-entrant licensing.</w:t>
            </w:r>
          </w:p>
        </w:tc>
        <w:tc>
          <w:tcPr>
            <w:tcW w:type="dxa" w:w="1800"/>
          </w:tcPr>
          <w:p>
            <w:pPr>
              <w:spacing w:after="20"/>
              <w:jc w:val="right"/>
            </w:pPr>
            <w:r>
              <w:rPr>
                <w:color w:val="1C3A36"/>
                <w:sz w:val="14"/>
              </w:rPr>
              <w:t>TDRA structure review; negative search</w:t>
            </w:r>
          </w:p>
        </w:tc>
        <w:tc>
          <w:tcPr>
            <w:tcW w:type="dxa" w:w="1008"/>
          </w:tcPr>
          <w:p>
            <w:pPr>
              <w:spacing w:after="20"/>
              <w:jc w:val="right"/>
            </w:pPr>
            <w:r>
              <w:rPr>
                <w:color w:val="1C3A36"/>
                <w:sz w:val="14"/>
              </w:rPr>
              <w:t>2026-07-10</w:t>
            </w:r>
          </w:p>
        </w:tc>
      </w:tr>
      <w:tr>
        <w:tc>
          <w:tcPr>
            <w:tcW w:type="dxa" w:w="864"/>
          </w:tcPr>
          <w:p>
            <w:pPr>
              <w:spacing w:after="20"/>
            </w:pPr>
            <w:r>
              <w:rPr>
                <w:color w:val="1C3A36"/>
                <w:sz w:val="14"/>
              </w:rPr>
              <w:t>Company</w:t>
            </w:r>
          </w:p>
        </w:tc>
        <w:tc>
          <w:tcPr>
            <w:tcW w:type="dxa" w:w="1512"/>
          </w:tcPr>
          <w:p>
            <w:pPr>
              <w:spacing w:after="20"/>
              <w:jc w:val="right"/>
            </w:pPr>
            <w:r>
              <w:rPr>
                <w:color w:val="1C3A36"/>
                <w:sz w:val="14"/>
              </w:rPr>
              <w:t>Official financial statements</w:t>
            </w:r>
          </w:p>
        </w:tc>
        <w:tc>
          <w:tcPr>
            <w:tcW w:type="dxa" w:w="576"/>
          </w:tcPr>
          <w:p>
            <w:pPr>
              <w:spacing w:after="20"/>
              <w:jc w:val="right"/>
            </w:pPr>
            <w:r>
              <w:rPr>
                <w:color w:val="1C3A36"/>
                <w:sz w:val="14"/>
              </w:rPr>
              <w:t>D</w:t>
            </w:r>
          </w:p>
        </w:tc>
        <w:tc>
          <w:tcPr>
            <w:tcW w:type="dxa" w:w="3888"/>
          </w:tcPr>
          <w:p>
            <w:pPr>
              <w:spacing w:after="20"/>
              <w:jc w:val="right"/>
            </w:pPr>
            <w:r>
              <w:rPr>
                <w:color w:val="1C3A36"/>
                <w:sz w:val="14"/>
              </w:rPr>
              <w:t>FY2023-FY2025 + Q1-2026 statements captured from e&amp; releases and EY-audited/reviewed FS: FY25 revenue 72,858 / EBITDA 32,022 / OP before royalty 23,240.7 / royalty 7,423 (Q-sum) / NP att 14,360.2; Q1-26 BS: …</w:t>
            </w:r>
          </w:p>
        </w:tc>
        <w:tc>
          <w:tcPr>
            <w:tcW w:type="dxa" w:w="1800"/>
          </w:tcPr>
          <w:p>
            <w:pPr>
              <w:spacing w:after="20"/>
              <w:jc w:val="right"/>
            </w:pPr>
            <w:r>
              <w:rPr>
                <w:color w:val="1C3A36"/>
                <w:sz w:val="14"/>
              </w:rPr>
              <w:t>eand.com earnings releases Q1-24/Q4-24/Q2-25/Q4-25/Q1-26; FY…</w:t>
            </w:r>
          </w:p>
        </w:tc>
        <w:tc>
          <w:tcPr>
            <w:tcW w:type="dxa" w:w="1008"/>
          </w:tcPr>
          <w:p>
            <w:pPr>
              <w:spacing w:after="20"/>
              <w:jc w:val="right"/>
            </w:pPr>
            <w:r>
              <w:rPr>
                <w:color w:val="1C3A36"/>
                <w:sz w:val="14"/>
              </w:rPr>
              <w:t>2026-04-28</w:t>
            </w:r>
          </w:p>
        </w:tc>
      </w:tr>
      <w:tr>
        <w:tc>
          <w:tcPr>
            <w:tcW w:type="dxa" w:w="864"/>
          </w:tcPr>
          <w:p>
            <w:pPr>
              <w:spacing w:after="20"/>
            </w:pPr>
            <w:r>
              <w:rPr>
                <w:color w:val="1C3A36"/>
                <w:sz w:val="14"/>
              </w:rPr>
              <w:t>Company</w:t>
            </w:r>
          </w:p>
        </w:tc>
        <w:tc>
          <w:tcPr>
            <w:tcW w:type="dxa" w:w="1512"/>
          </w:tcPr>
          <w:p>
            <w:pPr>
              <w:spacing w:after="20"/>
              <w:jc w:val="right"/>
            </w:pPr>
            <w:r>
              <w:rPr>
                <w:color w:val="1C3A36"/>
                <w:sz w:val="14"/>
              </w:rPr>
              <w:t>One-off / base-resetting transactions</w:t>
            </w:r>
          </w:p>
        </w:tc>
        <w:tc>
          <w:tcPr>
            <w:tcW w:type="dxa" w:w="576"/>
          </w:tcPr>
          <w:p>
            <w:pPr>
              <w:spacing w:after="20"/>
              <w:jc w:val="right"/>
            </w:pPr>
            <w:r>
              <w:rPr>
                <w:color w:val="1C3A36"/>
                <w:sz w:val="14"/>
              </w:rPr>
              <w:t>B</w:t>
            </w:r>
          </w:p>
        </w:tc>
        <w:tc>
          <w:tcPr>
            <w:tcW w:type="dxa" w:w="3888"/>
          </w:tcPr>
          <w:p>
            <w:pPr>
              <w:spacing w:after="20"/>
              <w:jc w:val="right"/>
            </w:pPr>
            <w:r>
              <w:rPr>
                <w:color w:val="1C3A36"/>
                <w:sz w:val="14"/>
              </w:rPr>
              <w:t>VODAFONE FULL EXIT announced 10-Jul-2026 (study date): 3,944.7mn shares (16.21% issued / 17.13% voting) to Vega (Niel) at 112.5p incl. 2.02p final div ~= AED 21.8bn gross, ~AED 4.7bn net cash after unwinding…</w:t>
            </w:r>
          </w:p>
        </w:tc>
        <w:tc>
          <w:tcPr>
            <w:tcW w:type="dxa" w:w="1800"/>
          </w:tcPr>
          <w:p>
            <w:pPr>
              <w:spacing w:after="20"/>
              <w:jc w:val="right"/>
            </w:pPr>
            <w:r>
              <w:rPr>
                <w:color w:val="1C3A36"/>
                <w:sz w:val="14"/>
              </w:rPr>
              <w:t>e&amp; / ADX announcement; AGBI, Reuters coverage</w:t>
            </w:r>
          </w:p>
        </w:tc>
        <w:tc>
          <w:tcPr>
            <w:tcW w:type="dxa" w:w="1008"/>
          </w:tcPr>
          <w:p>
            <w:pPr>
              <w:spacing w:after="20"/>
              <w:jc w:val="right"/>
            </w:pPr>
            <w:r>
              <w:rPr>
                <w:color w:val="1C3A36"/>
                <w:sz w:val="14"/>
              </w:rPr>
              <w:t>2026-07-10</w:t>
            </w:r>
          </w:p>
        </w:tc>
      </w:tr>
      <w:tr>
        <w:tc>
          <w:tcPr>
            <w:tcW w:type="dxa" w:w="864"/>
          </w:tcPr>
          <w:p>
            <w:pPr>
              <w:spacing w:after="20"/>
            </w:pPr>
            <w:r>
              <w:rPr>
                <w:color w:val="1C3A36"/>
                <w:sz w:val="14"/>
              </w:rPr>
              <w:t>Company</w:t>
            </w:r>
          </w:p>
        </w:tc>
        <w:tc>
          <w:tcPr>
            <w:tcW w:type="dxa" w:w="1512"/>
          </w:tcPr>
          <w:p>
            <w:pPr>
              <w:spacing w:after="20"/>
              <w:jc w:val="right"/>
            </w:pPr>
            <w:r>
              <w:rPr>
                <w:color w:val="1C3A36"/>
                <w:sz w:val="14"/>
              </w:rPr>
              <w:t>One-off transactions (cont.)</w:t>
            </w:r>
          </w:p>
        </w:tc>
        <w:tc>
          <w:tcPr>
            <w:tcW w:type="dxa" w:w="576"/>
          </w:tcPr>
          <w:p>
            <w:pPr>
              <w:spacing w:after="20"/>
              <w:jc w:val="right"/>
            </w:pPr>
            <w:r>
              <w:rPr>
                <w:color w:val="1C3A36"/>
                <w:sz w:val="14"/>
              </w:rPr>
              <w:t>B</w:t>
            </w:r>
          </w:p>
        </w:tc>
        <w:tc>
          <w:tcPr>
            <w:tcW w:type="dxa" w:w="3888"/>
          </w:tcPr>
          <w:p>
            <w:pPr>
              <w:spacing w:after="20"/>
              <w:jc w:val="right"/>
            </w:pPr>
            <w:r>
              <w:rPr>
                <w:color w:val="1C3A36"/>
                <w:sz w:val="14"/>
              </w:rPr>
              <w:t>CAREEM: 1-Jun-2026, e&amp; sells 12.5pp of Careem Technologies to Uber for USD 100mn (50.03% -&gt; 37.53%); put/call on remainder Dec-2031/Jan-2032; moves to equity accounting on completion. Consequence: e&amp; life de…</w:t>
            </w:r>
          </w:p>
        </w:tc>
        <w:tc>
          <w:tcPr>
            <w:tcW w:type="dxa" w:w="1800"/>
          </w:tcPr>
          <w:p>
            <w:pPr>
              <w:spacing w:after="20"/>
              <w:jc w:val="right"/>
            </w:pPr>
            <w:r>
              <w:rPr>
                <w:color w:val="1C3A36"/>
                <w:sz w:val="14"/>
              </w:rPr>
              <w:t>e&amp; Q1-26 FS Note 15/22; Q1-25 FS (Khazna)</w:t>
            </w:r>
          </w:p>
        </w:tc>
        <w:tc>
          <w:tcPr>
            <w:tcW w:type="dxa" w:w="1008"/>
          </w:tcPr>
          <w:p>
            <w:pPr>
              <w:spacing w:after="20"/>
              <w:jc w:val="right"/>
            </w:pPr>
            <w:r>
              <w:rPr>
                <w:color w:val="1C3A36"/>
                <w:sz w:val="14"/>
              </w:rPr>
              <w:t>2026-06-01</w:t>
            </w:r>
          </w:p>
        </w:tc>
      </w:tr>
      <w:tr>
        <w:tc>
          <w:tcPr>
            <w:tcW w:type="dxa" w:w="864"/>
          </w:tcPr>
          <w:p>
            <w:pPr>
              <w:spacing w:after="20"/>
            </w:pPr>
            <w:r>
              <w:rPr>
                <w:color w:val="1C3A36"/>
                <w:sz w:val="14"/>
              </w:rPr>
              <w:t>Company</w:t>
            </w:r>
          </w:p>
        </w:tc>
        <w:tc>
          <w:tcPr>
            <w:tcW w:type="dxa" w:w="1512"/>
          </w:tcPr>
          <w:p>
            <w:pPr>
              <w:spacing w:after="20"/>
              <w:jc w:val="right"/>
            </w:pPr>
            <w:r>
              <w:rPr>
                <w:color w:val="1C3A36"/>
                <w:sz w:val="14"/>
              </w:rPr>
              <w:t>Guidance / strategic plan</w:t>
            </w:r>
          </w:p>
        </w:tc>
        <w:tc>
          <w:tcPr>
            <w:tcW w:type="dxa" w:w="576"/>
          </w:tcPr>
          <w:p>
            <w:pPr>
              <w:spacing w:after="20"/>
              <w:jc w:val="right"/>
            </w:pPr>
            <w:r>
              <w:rPr>
                <w:color w:val="1C3A36"/>
                <w:sz w:val="14"/>
              </w:rPr>
              <w:t>D</w:t>
            </w:r>
          </w:p>
        </w:tc>
        <w:tc>
          <w:tcPr>
            <w:tcW w:type="dxa" w:w="3888"/>
          </w:tcPr>
          <w:p>
            <w:pPr>
              <w:spacing w:after="20"/>
              <w:jc w:val="right"/>
            </w:pPr>
            <w:r>
              <w:rPr>
                <w:color w:val="1C3A36"/>
                <w:sz w:val="14"/>
              </w:rPr>
              <w:t>FY26 guidance: revenue +8-10% cc, EBITDA +4-5% cc, EPS ~1.35, capex/rev ex-spectrum 16-17%; Q1-26 tracking (+11.3%/+12.3% cc). Consequence: FY26E drivers anchored to guidance (bottom-up gate: guidance-sourced).</w:t>
            </w:r>
          </w:p>
        </w:tc>
        <w:tc>
          <w:tcPr>
            <w:tcW w:type="dxa" w:w="1800"/>
          </w:tcPr>
          <w:p>
            <w:pPr>
              <w:spacing w:after="20"/>
              <w:jc w:val="right"/>
            </w:pPr>
            <w:r>
              <w:rPr>
                <w:color w:val="1C3A36"/>
                <w:sz w:val="14"/>
              </w:rPr>
              <w:t>e&amp; Q1-2026 earnings release</w:t>
            </w:r>
          </w:p>
        </w:tc>
        <w:tc>
          <w:tcPr>
            <w:tcW w:type="dxa" w:w="1008"/>
          </w:tcPr>
          <w:p>
            <w:pPr>
              <w:spacing w:after="20"/>
              <w:jc w:val="right"/>
            </w:pPr>
            <w:r>
              <w:rPr>
                <w:color w:val="1C3A36"/>
                <w:sz w:val="14"/>
              </w:rPr>
              <w:t>2026-04-28</w:t>
            </w:r>
          </w:p>
        </w:tc>
      </w:tr>
      <w:tr>
        <w:tc>
          <w:tcPr>
            <w:tcW w:type="dxa" w:w="864"/>
          </w:tcPr>
          <w:p>
            <w:pPr>
              <w:spacing w:after="20"/>
            </w:pPr>
            <w:r>
              <w:rPr>
                <w:color w:val="1C3A36"/>
                <w:sz w:val="14"/>
              </w:rPr>
              <w:t>Company</w:t>
            </w:r>
          </w:p>
        </w:tc>
        <w:tc>
          <w:tcPr>
            <w:tcW w:type="dxa" w:w="1512"/>
          </w:tcPr>
          <w:p>
            <w:pPr>
              <w:spacing w:after="20"/>
              <w:jc w:val="right"/>
            </w:pPr>
            <w:r>
              <w:rPr>
                <w:color w:val="1C3A36"/>
                <w:sz w:val="14"/>
              </w:rPr>
              <w:t>Ownership / stake changes (named-transaction rule)</w:t>
            </w:r>
          </w:p>
        </w:tc>
        <w:tc>
          <w:tcPr>
            <w:tcW w:type="dxa" w:w="576"/>
          </w:tcPr>
          <w:p>
            <w:pPr>
              <w:spacing w:after="20"/>
              <w:jc w:val="right"/>
            </w:pPr>
            <w:r>
              <w:rPr>
                <w:color w:val="1C3A36"/>
                <w:sz w:val="14"/>
              </w:rPr>
              <w:t>D</w:t>
            </w:r>
          </w:p>
        </w:tc>
        <w:tc>
          <w:tcPr>
            <w:tcW w:type="dxa" w:w="3888"/>
          </w:tcPr>
          <w:p>
            <w:pPr>
              <w:spacing w:after="20"/>
              <w:jc w:val="right"/>
            </w:pPr>
            <w:r>
              <w:rPr>
                <w:color w:val="1C3A36"/>
                <w:sz w:val="14"/>
              </w:rPr>
              <w:t>Vodafone 15.01%-&gt;16.6113% (Dec-25) -&gt; 17.0866% voting (Mar-26) via VOD buyback accretion, then full exit (above). Mobily 28.0% (2004 licence consortium; 50%+1 tender terminated 2023) marked at SAR 59.70 (6-J…</w:t>
            </w:r>
          </w:p>
        </w:tc>
        <w:tc>
          <w:tcPr>
            <w:tcW w:type="dxa" w:w="1800"/>
          </w:tcPr>
          <w:p>
            <w:pPr>
              <w:spacing w:after="20"/>
              <w:jc w:val="right"/>
            </w:pPr>
            <w:r>
              <w:rPr>
                <w:color w:val="1C3A36"/>
                <w:sz w:val="14"/>
              </w:rPr>
              <w:t>e&amp; releases; PitchBook/TradingView/BMCE quotes; Wikipedia st…</w:t>
            </w:r>
          </w:p>
        </w:tc>
        <w:tc>
          <w:tcPr>
            <w:tcW w:type="dxa" w:w="1008"/>
          </w:tcPr>
          <w:p>
            <w:pPr>
              <w:spacing w:after="20"/>
              <w:jc w:val="right"/>
            </w:pPr>
            <w:r>
              <w:rPr>
                <w:color w:val="1C3A36"/>
                <w:sz w:val="14"/>
              </w:rPr>
              <w:t>2026-07-10</w:t>
            </w:r>
          </w:p>
        </w:tc>
      </w:tr>
      <w:tr>
        <w:tc>
          <w:tcPr>
            <w:tcW w:type="dxa" w:w="864"/>
          </w:tcPr>
          <w:p>
            <w:pPr>
              <w:spacing w:after="20"/>
            </w:pPr>
            <w:r>
              <w:rPr>
                <w:color w:val="1C3A36"/>
                <w:sz w:val="14"/>
              </w:rPr>
              <w:t>Company</w:t>
            </w:r>
          </w:p>
        </w:tc>
        <w:tc>
          <w:tcPr>
            <w:tcW w:type="dxa" w:w="1512"/>
          </w:tcPr>
          <w:p>
            <w:pPr>
              <w:spacing w:after="20"/>
              <w:jc w:val="right"/>
            </w:pPr>
            <w:r>
              <w:rPr>
                <w:color w:val="1C3A36"/>
                <w:sz w:val="14"/>
              </w:rPr>
              <w:t>Management &amp; capital actions</w:t>
            </w:r>
          </w:p>
        </w:tc>
        <w:tc>
          <w:tcPr>
            <w:tcW w:type="dxa" w:w="576"/>
          </w:tcPr>
          <w:p>
            <w:pPr>
              <w:spacing w:after="20"/>
              <w:jc w:val="right"/>
            </w:pPr>
            <w:r>
              <w:rPr>
                <w:color w:val="1C3A36"/>
                <w:sz w:val="14"/>
              </w:rPr>
              <w:t>C</w:t>
            </w:r>
          </w:p>
        </w:tc>
        <w:tc>
          <w:tcPr>
            <w:tcW w:type="dxa" w:w="3888"/>
          </w:tcPr>
          <w:p>
            <w:pPr>
              <w:spacing w:after="20"/>
              <w:jc w:val="right"/>
            </w:pPr>
            <w:r>
              <w:rPr>
                <w:color w:val="1C3A36"/>
                <w:sz w:val="14"/>
              </w:rPr>
              <w:t>CEO change: Dowidar -&gt; Masood M. Sharif Mahmood 1-Apr-2026. DPS raised: FY25 86-&gt;90 fils (AGM 30-Mar-26), FY26 guided 95 fils. Apr-26 refi: AED 5.3bn 5yr facility + AED 16.2bn extended to Apr-2027. S&amp;P ratin…</w:t>
            </w:r>
          </w:p>
        </w:tc>
        <w:tc>
          <w:tcPr>
            <w:tcW w:type="dxa" w:w="1800"/>
          </w:tcPr>
          <w:p>
            <w:pPr>
              <w:spacing w:after="20"/>
              <w:jc w:val="right"/>
            </w:pPr>
            <w:r>
              <w:rPr>
                <w:color w:val="1C3A36"/>
                <w:sz w:val="14"/>
              </w:rPr>
              <w:t>e&amp; Q1-26 release/FS; Q4-25 presentation</w:t>
            </w:r>
          </w:p>
        </w:tc>
        <w:tc>
          <w:tcPr>
            <w:tcW w:type="dxa" w:w="1008"/>
          </w:tcPr>
          <w:p>
            <w:pPr>
              <w:spacing w:after="20"/>
              <w:jc w:val="right"/>
            </w:pPr>
            <w:r>
              <w:rPr>
                <w:color w:val="1C3A36"/>
                <w:sz w:val="14"/>
              </w:rPr>
              <w:t>2026-04-28</w:t>
            </w:r>
          </w:p>
        </w:tc>
      </w:tr>
      <w:tr>
        <w:tc>
          <w:tcPr>
            <w:tcW w:type="dxa" w:w="864"/>
          </w:tcPr>
          <w:p>
            <w:pPr>
              <w:spacing w:after="20"/>
            </w:pPr>
            <w:r>
              <w:rPr>
                <w:color w:val="1C3A36"/>
                <w:sz w:val="14"/>
              </w:rPr>
              <w:t>Company</w:t>
            </w:r>
          </w:p>
        </w:tc>
        <w:tc>
          <w:tcPr>
            <w:tcW w:type="dxa" w:w="1512"/>
          </w:tcPr>
          <w:p>
            <w:pPr>
              <w:spacing w:after="20"/>
              <w:jc w:val="right"/>
            </w:pPr>
            <w:r>
              <w:rPr>
                <w:color w:val="1C3A36"/>
                <w:sz w:val="14"/>
              </w:rPr>
              <w:t>Q1-2026 results (post-anchor verification)</w:t>
            </w:r>
          </w:p>
        </w:tc>
        <w:tc>
          <w:tcPr>
            <w:tcW w:type="dxa" w:w="576"/>
          </w:tcPr>
          <w:p>
            <w:pPr>
              <w:spacing w:after="20"/>
              <w:jc w:val="right"/>
            </w:pPr>
            <w:r>
              <w:rPr>
                <w:color w:val="1C3A36"/>
                <w:sz w:val="14"/>
              </w:rPr>
              <w:t>D</w:t>
            </w:r>
          </w:p>
        </w:tc>
        <w:tc>
          <w:tcPr>
            <w:tcW w:type="dxa" w:w="3888"/>
          </w:tcPr>
          <w:p>
            <w:pPr>
              <w:spacing w:after="20"/>
              <w:jc w:val="right"/>
            </w:pPr>
            <w:r>
              <w:rPr>
                <w:color w:val="1C3A36"/>
                <w:sz w:val="14"/>
              </w:rPr>
              <w:t>e&amp; Q1-2026 earnings release (28-Apr-26): revenue AED 19,417mn (+15.1% rep./+11.3% cc) vs guide 8-10% cc; EBITDA AED 8,566mn (+16.5%, margin 44.1%); net profit AED 2,882mn (-46.2% rep., +3.9% ex-Khazna Q1-25 …</w:t>
            </w:r>
          </w:p>
        </w:tc>
        <w:tc>
          <w:tcPr>
            <w:tcW w:type="dxa" w:w="1800"/>
          </w:tcPr>
          <w:p>
            <w:pPr>
              <w:spacing w:after="20"/>
              <w:jc w:val="right"/>
            </w:pPr>
            <w:r>
              <w:rPr>
                <w:color w:val="1C3A36"/>
                <w:sz w:val="14"/>
              </w:rPr>
              <w:t>e&amp; Q1-2026 Earnings Release, eand.com, 28-Apr-2026</w:t>
            </w:r>
          </w:p>
        </w:tc>
        <w:tc>
          <w:tcPr>
            <w:tcW w:type="dxa" w:w="1008"/>
          </w:tcPr>
          <w:p>
            <w:pPr>
              <w:spacing w:after="20"/>
              <w:jc w:val="right"/>
            </w:pPr>
            <w:r>
              <w:rPr>
                <w:color w:val="1C3A36"/>
                <w:sz w:val="14"/>
              </w:rPr>
              <w:t>2026-04-28</w:t>
            </w:r>
          </w:p>
        </w:tc>
      </w:tr>
      <w:tr>
        <w:tc>
          <w:tcPr>
            <w:tcW w:type="dxa" w:w="864"/>
          </w:tcPr>
          <w:p>
            <w:pPr>
              <w:spacing w:after="20"/>
            </w:pPr>
            <w:r>
              <w:rPr>
                <w:color w:val="1C3A36"/>
                <w:sz w:val="14"/>
              </w:rPr>
              <w:t>Company</w:t>
            </w:r>
          </w:p>
        </w:tc>
        <w:tc>
          <w:tcPr>
            <w:tcW w:type="dxa" w:w="1512"/>
          </w:tcPr>
          <w:p>
            <w:pPr>
              <w:spacing w:after="20"/>
              <w:jc w:val="right"/>
            </w:pPr>
            <w:r>
              <w:rPr>
                <w:color w:val="1C3A36"/>
                <w:sz w:val="14"/>
              </w:rPr>
              <w:t>Telenor Pakistan / Orion Towers consolidation</w:t>
            </w:r>
          </w:p>
        </w:tc>
        <w:tc>
          <w:tcPr>
            <w:tcW w:type="dxa" w:w="576"/>
          </w:tcPr>
          <w:p>
            <w:pPr>
              <w:spacing w:after="20"/>
              <w:jc w:val="right"/>
            </w:pPr>
            <w:r>
              <w:rPr>
                <w:color w:val="1C3A36"/>
                <w:sz w:val="14"/>
              </w:rPr>
              <w:t>B</w:t>
            </w:r>
          </w:p>
        </w:tc>
        <w:tc>
          <w:tcPr>
            <w:tcW w:type="dxa" w:w="3888"/>
          </w:tcPr>
          <w:p>
            <w:pPr>
              <w:spacing w:after="20"/>
              <w:jc w:val="right"/>
            </w:pPr>
            <w:r>
              <w:rPr>
                <w:color w:val="1C3A36"/>
                <w:sz w:val="14"/>
              </w:rPr>
              <w:t>PTCL Group completed the acquisition of Telenor Pakistan and Orion Towers, closing 31-Dec-2025 and consolidating from 1-Jan-2026; the combined Ufone-Telenor entity (PTML) received Islamabad High Court amalga…</w:t>
            </w:r>
          </w:p>
        </w:tc>
        <w:tc>
          <w:tcPr>
            <w:tcW w:type="dxa" w:w="1800"/>
          </w:tcPr>
          <w:p>
            <w:pPr>
              <w:spacing w:after="20"/>
              <w:jc w:val="right"/>
            </w:pPr>
            <w:r>
              <w:rPr>
                <w:color w:val="1C3A36"/>
                <w:sz w:val="14"/>
              </w:rPr>
              <w:t>PTCL FY2025 results release (ptcl.com.pk, 24-Feb-2026); e&amp; Q…</w:t>
            </w:r>
          </w:p>
        </w:tc>
        <w:tc>
          <w:tcPr>
            <w:tcW w:type="dxa" w:w="1008"/>
          </w:tcPr>
          <w:p>
            <w:pPr>
              <w:spacing w:after="20"/>
              <w:jc w:val="right"/>
            </w:pPr>
            <w:r>
              <w:rPr>
                <w:color w:val="1C3A36"/>
                <w:sz w:val="14"/>
              </w:rPr>
              <w:t>2026-07-01</w:t>
            </w:r>
          </w:p>
        </w:tc>
      </w:tr>
    </w:tbl>
    <w:p>
      <w:pPr>
        <w:spacing w:after="40"/>
      </w:pPr>
    </w:p>
    <w:p>
      <w:pPr>
        <w:spacing w:after="120" w:before="280"/>
      </w:pPr>
      <w:r>
        <w:rPr>
          <w:b/>
          <w:i w:val="0"/>
          <w:color w:val="1C3A36"/>
          <w:sz w:val="30"/>
        </w:rPr>
        <w:t>Appendix C  The expert valuation panel</w:t>
      </w:r>
    </w:p>
    <w:p>
      <w:pPr>
        <w:spacing w:after="120" w:before="0"/>
      </w:pPr>
      <w:r>
        <w:rPr>
          <w:b w:val="0"/>
          <w:i/>
          <w:color w:val="6E7B77"/>
          <w:sz w:val="18"/>
        </w:rPr>
        <w:t>Three genuinely different valuation traditions, run independently and labeled Expert 1/2/3 so the methods — not personalities — carry the weight. Each states its method in full, shows the workings, quantifies the swing on its own weakest assumption in real units, says what it makes of today’s price, and names the observation that would prove it wrong. Then they argue: C.4 is the cross-examination, C.5 the room, C.6 the reading.</w:t>
      </w:r>
    </w:p>
    <w:p>
      <w:pPr>
        <w:spacing w:after="80" w:before="200"/>
      </w:pPr>
      <w:r>
        <w:rPr>
          <w:b/>
          <w:i w:val="0"/>
          <w:color w:val="1C3A36"/>
          <w:sz w:val="24"/>
        </w:rPr>
        <w:t>C.1  Expert 1 — earnings power: the guided EPS path at a justified multiple</w:t>
      </w:r>
    </w:p>
    <w:p>
      <w:pPr>
        <w:spacing w:after="120" w:before="0"/>
      </w:pPr>
      <w:r>
        <w:rPr>
          <w:b w:val="0"/>
          <w:i w:val="0"/>
          <w:color w:val="1C3A36"/>
          <w:sz w:val="21"/>
        </w:rPr>
        <w:t>The tradition. Expert 1 is the classicist: management guidance is the best single forecast until the company misses it, and the multiple the market pays for comparable earnings is revealed preference, not opinion. No terminal value, no balance-sheet re-marking — earnings, a multiple, and the discipline to change neither without evidence. For a dividend-anchored incumbent in a regulated duopoly, this is the method most GCC institutional desks actually run.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7"/>
              </w:rPr>
              <w:t>Item</w:t>
            </w:r>
          </w:p>
        </w:tc>
        <w:tc>
          <w:tcPr>
            <w:tcW w:type="dxa" w:w="2736"/>
            <w:shd w:val="clear" w:color="auto" w:fill="EAF0EE"/>
          </w:tcPr>
          <w:p>
            <w:pPr>
              <w:spacing w:after="20"/>
            </w:pPr>
            <w:r>
              <w:rPr>
                <w:b/>
                <w:color w:val="1C3A36"/>
                <w:sz w:val="17"/>
              </w:rPr>
              <w:t>Value</w:t>
            </w:r>
          </w:p>
        </w:tc>
        <w:tc>
          <w:tcPr>
            <w:tcW w:type="dxa" w:w="3888"/>
            <w:shd w:val="clear" w:color="auto" w:fill="EAF0EE"/>
          </w:tcPr>
          <w:p>
            <w:pPr>
              <w:spacing w:after="20"/>
            </w:pPr>
            <w:r>
              <w:rPr>
                <w:b/>
                <w:color w:val="1C3A36"/>
                <w:sz w:val="17"/>
              </w:rPr>
              <w:t>Basis</w:t>
            </w:r>
          </w:p>
        </w:tc>
      </w:tr>
      <w:tr>
        <w:tc>
          <w:tcPr>
            <w:tcW w:type="dxa" w:w="2736"/>
          </w:tcPr>
          <w:p>
            <w:pPr>
              <w:spacing w:after="20"/>
            </w:pPr>
            <w:r>
              <w:rPr>
                <w:color w:val="1C3A36"/>
                <w:sz w:val="17"/>
              </w:rPr>
              <w:t>FY26E EPS anchor</w:t>
            </w:r>
          </w:p>
        </w:tc>
        <w:tc>
          <w:tcPr>
            <w:tcW w:type="dxa" w:w="2736"/>
          </w:tcPr>
          <w:p>
            <w:pPr>
              <w:spacing w:after="20"/>
              <w:jc w:val="right"/>
            </w:pPr>
            <w:r>
              <w:rPr>
                <w:color w:val="1C3A36"/>
                <w:sz w:val="17"/>
              </w:rPr>
              <w:t>1.35</w:t>
            </w:r>
          </w:p>
        </w:tc>
        <w:tc>
          <w:tcPr>
            <w:tcW w:type="dxa" w:w="3888"/>
          </w:tcPr>
          <w:p>
            <w:pPr>
              <w:spacing w:after="20"/>
              <w:jc w:val="right"/>
            </w:pPr>
            <w:r>
              <w:rPr>
                <w:color w:val="1C3A36"/>
                <w:sz w:val="17"/>
              </w:rPr>
              <w:t>company guidance (Feb-2026), reaffirmed at Q1</w:t>
            </w:r>
          </w:p>
        </w:tc>
      </w:tr>
      <w:tr>
        <w:tc>
          <w:tcPr>
            <w:tcW w:type="dxa" w:w="2736"/>
          </w:tcPr>
          <w:p>
            <w:pPr>
              <w:spacing w:after="20"/>
            </w:pPr>
            <w:r>
              <w:rPr>
                <w:color w:val="1C3A36"/>
                <w:sz w:val="17"/>
              </w:rPr>
              <w:t>EPS path FY26E→FY30E</w:t>
            </w:r>
          </w:p>
        </w:tc>
        <w:tc>
          <w:tcPr>
            <w:tcW w:type="dxa" w:w="2736"/>
          </w:tcPr>
          <w:p>
            <w:pPr>
              <w:spacing w:after="20"/>
              <w:jc w:val="right"/>
            </w:pPr>
            <w:r>
              <w:rPr>
                <w:color w:val="1C3A36"/>
                <w:sz w:val="17"/>
              </w:rPr>
              <w:t>1.35 / 1.41 / 1.47 / 1.52 / 1.57</w:t>
            </w:r>
          </w:p>
        </w:tc>
        <w:tc>
          <w:tcPr>
            <w:tcW w:type="dxa" w:w="3888"/>
          </w:tcPr>
          <w:p>
            <w:pPr>
              <w:spacing w:after="20"/>
              <w:jc w:val="right"/>
            </w:pPr>
            <w:r>
              <w:rPr>
                <w:color w:val="1C3A36"/>
                <w:sz w:val="17"/>
              </w:rPr>
              <w:t>the model’s attributable-profit path (Appendix A.1)</w:t>
            </w:r>
          </w:p>
        </w:tc>
      </w:tr>
      <w:tr>
        <w:tc>
          <w:tcPr>
            <w:tcW w:type="dxa" w:w="2736"/>
          </w:tcPr>
          <w:p>
            <w:pPr>
              <w:spacing w:after="20"/>
            </w:pPr>
            <w:r>
              <w:rPr>
                <w:color w:val="1C3A36"/>
                <w:sz w:val="17"/>
              </w:rPr>
              <w:t>Justified P/E (base)</w:t>
            </w:r>
          </w:p>
        </w:tc>
        <w:tc>
          <w:tcPr>
            <w:tcW w:type="dxa" w:w="2736"/>
          </w:tcPr>
          <w:p>
            <w:pPr>
              <w:spacing w:after="20"/>
              <w:jc w:val="right"/>
            </w:pPr>
            <w:r>
              <w:rPr>
                <w:color w:val="1C3A36"/>
                <w:sz w:val="17"/>
              </w:rPr>
              <w:t>14×</w:t>
            </w:r>
          </w:p>
        </w:tc>
        <w:tc>
          <w:tcPr>
            <w:tcW w:type="dxa" w:w="3888"/>
          </w:tcPr>
          <w:p>
            <w:pPr>
              <w:spacing w:after="20"/>
              <w:jc w:val="right"/>
            </w:pPr>
            <w:r>
              <w:rPr>
                <w:color w:val="1C3A36"/>
                <w:sz w:val="17"/>
              </w:rPr>
              <w:t>GCC telecom band 12–16×; du ~14×, stc ~15.5×</w:t>
            </w:r>
          </w:p>
        </w:tc>
      </w:tr>
      <w:tr>
        <w:tc>
          <w:tcPr>
            <w:tcW w:type="dxa" w:w="2736"/>
            <w:shd w:val="clear" w:color="auto" w:fill="F6F1E6"/>
          </w:tcPr>
          <w:p>
            <w:pPr>
              <w:spacing w:after="20"/>
            </w:pPr>
            <w:r>
              <w:rPr>
                <w:b/>
                <w:color w:val="1C3A36"/>
                <w:sz w:val="17"/>
              </w:rPr>
              <w:t>Fair value (base)</w:t>
            </w:r>
          </w:p>
        </w:tc>
        <w:tc>
          <w:tcPr>
            <w:tcW w:type="dxa" w:w="2736"/>
            <w:shd w:val="clear" w:color="auto" w:fill="F6F1E6"/>
          </w:tcPr>
          <w:p>
            <w:pPr>
              <w:spacing w:after="20"/>
              <w:jc w:val="right"/>
            </w:pPr>
            <w:r>
              <w:rPr>
                <w:b/>
                <w:color w:val="1C3A36"/>
                <w:sz w:val="17"/>
              </w:rPr>
              <w:t>AED 18.90</w:t>
            </w:r>
          </w:p>
        </w:tc>
        <w:tc>
          <w:tcPr>
            <w:tcW w:type="dxa" w:w="3888"/>
            <w:shd w:val="clear" w:color="auto" w:fill="F6F1E6"/>
          </w:tcPr>
          <w:p>
            <w:pPr>
              <w:spacing w:after="20"/>
              <w:jc w:val="right"/>
            </w:pPr>
            <w:r>
              <w:rPr>
                <w:b/>
                <w:color w:val="1C3A36"/>
                <w:sz w:val="17"/>
              </w:rPr>
              <w:t>1.35 × 14</w:t>
            </w:r>
          </w:p>
        </w:tc>
      </w:tr>
      <w:tr>
        <w:tc>
          <w:tcPr>
            <w:tcW w:type="dxa" w:w="2736"/>
          </w:tcPr>
          <w:p>
            <w:pPr>
              <w:spacing w:after="20"/>
            </w:pPr>
            <w:r>
              <w:rPr>
                <w:color w:val="1C3A36"/>
                <w:sz w:val="17"/>
              </w:rPr>
              <w:t>Range</w:t>
            </w:r>
          </w:p>
        </w:tc>
        <w:tc>
          <w:tcPr>
            <w:tcW w:type="dxa" w:w="2736"/>
          </w:tcPr>
          <w:p>
            <w:pPr>
              <w:spacing w:after="20"/>
              <w:jc w:val="right"/>
            </w:pPr>
            <w:r>
              <w:rPr>
                <w:color w:val="1C3A36"/>
                <w:sz w:val="17"/>
              </w:rPr>
              <w:t>15.60 – 23.20</w:t>
            </w:r>
          </w:p>
        </w:tc>
        <w:tc>
          <w:tcPr>
            <w:tcW w:type="dxa" w:w="3888"/>
          </w:tcPr>
          <w:p>
            <w:pPr>
              <w:spacing w:after="20"/>
              <w:jc w:val="right"/>
            </w:pPr>
            <w:r>
              <w:rPr>
                <w:color w:val="1C3A36"/>
                <w:sz w:val="17"/>
              </w:rPr>
              <w:t>12× on 1.30 → 16× on 1.42</w:t>
            </w:r>
          </w:p>
        </w:tc>
      </w:tr>
    </w:tbl>
    <w:p>
      <w:pPr>
        <w:spacing w:after="40"/>
      </w:pPr>
    </w:p>
    <w:p>
      <w:pPr>
        <w:spacing w:after="60" w:before="0"/>
      </w:pPr>
      <w:r>
        <w:rPr>
          <w:b w:val="0"/>
          <w:i w:val="0"/>
          <w:color w:val="1C3A36"/>
          <w:sz w:val="18"/>
        </w:rPr>
        <w:t>Sensitivity, in real units: each 1× of P/E moves the value AED 1.35; each 5 fils of EPS moves it AED 0.70. The full grid: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7"/>
              </w:rPr>
              <w:t>EPS \ P/E</w:t>
            </w:r>
          </w:p>
        </w:tc>
        <w:tc>
          <w:tcPr>
            <w:tcW w:type="dxa" w:w="1584"/>
            <w:shd w:val="clear" w:color="auto" w:fill="EAF0EE"/>
          </w:tcPr>
          <w:p>
            <w:pPr>
              <w:spacing w:after="20"/>
            </w:pPr>
            <w:r>
              <w:rPr>
                <w:b/>
                <w:color w:val="1C3A36"/>
                <w:sz w:val="17"/>
              </w:rPr>
              <w:t>12×</w:t>
            </w:r>
          </w:p>
        </w:tc>
        <w:tc>
          <w:tcPr>
            <w:tcW w:type="dxa" w:w="1584"/>
            <w:shd w:val="clear" w:color="auto" w:fill="EAF0EE"/>
          </w:tcPr>
          <w:p>
            <w:pPr>
              <w:spacing w:after="20"/>
            </w:pPr>
            <w:r>
              <w:rPr>
                <w:b/>
                <w:color w:val="1C3A36"/>
                <w:sz w:val="17"/>
              </w:rPr>
              <w:t>14×</w:t>
            </w:r>
          </w:p>
        </w:tc>
        <w:tc>
          <w:tcPr>
            <w:tcW w:type="dxa" w:w="1584"/>
            <w:shd w:val="clear" w:color="auto" w:fill="EAF0EE"/>
          </w:tcPr>
          <w:p>
            <w:pPr>
              <w:spacing w:after="20"/>
            </w:pPr>
            <w:r>
              <w:rPr>
                <w:b/>
                <w:color w:val="1C3A36"/>
                <w:sz w:val="17"/>
              </w:rPr>
              <w:t>16×</w:t>
            </w:r>
          </w:p>
        </w:tc>
      </w:tr>
      <w:tr>
        <w:tc>
          <w:tcPr>
            <w:tcW w:type="dxa" w:w="2160"/>
          </w:tcPr>
          <w:p>
            <w:pPr>
              <w:spacing w:after="20"/>
            </w:pPr>
            <w:r>
              <w:rPr>
                <w:color w:val="1C3A36"/>
                <w:sz w:val="17"/>
              </w:rPr>
              <w:t>1.30</w:t>
            </w:r>
          </w:p>
        </w:tc>
        <w:tc>
          <w:tcPr>
            <w:tcW w:type="dxa" w:w="1584"/>
          </w:tcPr>
          <w:p>
            <w:pPr>
              <w:spacing w:after="20"/>
              <w:jc w:val="right"/>
            </w:pPr>
            <w:r>
              <w:rPr>
                <w:color w:val="1C3A36"/>
                <w:sz w:val="17"/>
              </w:rPr>
              <w:t>15.60</w:t>
            </w:r>
          </w:p>
        </w:tc>
        <w:tc>
          <w:tcPr>
            <w:tcW w:type="dxa" w:w="1584"/>
          </w:tcPr>
          <w:p>
            <w:pPr>
              <w:spacing w:after="20"/>
              <w:jc w:val="right"/>
            </w:pPr>
            <w:r>
              <w:rPr>
                <w:color w:val="1C3A36"/>
                <w:sz w:val="17"/>
              </w:rPr>
              <w:t>18.20</w:t>
            </w:r>
          </w:p>
        </w:tc>
        <w:tc>
          <w:tcPr>
            <w:tcW w:type="dxa" w:w="1584"/>
          </w:tcPr>
          <w:p>
            <w:pPr>
              <w:spacing w:after="20"/>
              <w:jc w:val="right"/>
            </w:pPr>
            <w:r>
              <w:rPr>
                <w:color w:val="1C3A36"/>
                <w:sz w:val="17"/>
              </w:rPr>
              <w:t>20.80</w:t>
            </w:r>
          </w:p>
        </w:tc>
      </w:tr>
      <w:tr>
        <w:tc>
          <w:tcPr>
            <w:tcW w:type="dxa" w:w="2160"/>
            <w:shd w:val="clear" w:color="auto" w:fill="F6F1E6"/>
          </w:tcPr>
          <w:p>
            <w:pPr>
              <w:spacing w:after="20"/>
            </w:pPr>
            <w:r>
              <w:rPr>
                <w:b/>
                <w:color w:val="1C3A36"/>
                <w:sz w:val="17"/>
              </w:rPr>
              <w:t>1.35 (base)</w:t>
            </w:r>
          </w:p>
        </w:tc>
        <w:tc>
          <w:tcPr>
            <w:tcW w:type="dxa" w:w="1584"/>
            <w:shd w:val="clear" w:color="auto" w:fill="F6F1E6"/>
          </w:tcPr>
          <w:p>
            <w:pPr>
              <w:spacing w:after="20"/>
              <w:jc w:val="right"/>
            </w:pPr>
            <w:r>
              <w:rPr>
                <w:b/>
                <w:color w:val="1C3A36"/>
                <w:sz w:val="17"/>
              </w:rPr>
              <w:t>16.20</w:t>
            </w:r>
          </w:p>
        </w:tc>
        <w:tc>
          <w:tcPr>
            <w:tcW w:type="dxa" w:w="1584"/>
            <w:shd w:val="clear" w:color="auto" w:fill="F6F1E6"/>
          </w:tcPr>
          <w:p>
            <w:pPr>
              <w:spacing w:after="20"/>
              <w:jc w:val="right"/>
            </w:pPr>
            <w:r>
              <w:rPr>
                <w:b/>
                <w:color w:val="1C3A36"/>
                <w:sz w:val="17"/>
              </w:rPr>
              <w:t>18.90</w:t>
            </w:r>
          </w:p>
        </w:tc>
        <w:tc>
          <w:tcPr>
            <w:tcW w:type="dxa" w:w="1584"/>
            <w:shd w:val="clear" w:color="auto" w:fill="F6F1E6"/>
          </w:tcPr>
          <w:p>
            <w:pPr>
              <w:spacing w:after="20"/>
              <w:jc w:val="right"/>
            </w:pPr>
            <w:r>
              <w:rPr>
                <w:b/>
                <w:color w:val="1C3A36"/>
                <w:sz w:val="17"/>
              </w:rPr>
              <w:t>21.60</w:t>
            </w:r>
          </w:p>
        </w:tc>
      </w:tr>
      <w:tr>
        <w:tc>
          <w:tcPr>
            <w:tcW w:type="dxa" w:w="2160"/>
          </w:tcPr>
          <w:p>
            <w:pPr>
              <w:spacing w:after="20"/>
            </w:pPr>
            <w:r>
              <w:rPr>
                <w:color w:val="1C3A36"/>
                <w:sz w:val="17"/>
              </w:rPr>
              <w:t>1.42</w:t>
            </w:r>
          </w:p>
        </w:tc>
        <w:tc>
          <w:tcPr>
            <w:tcW w:type="dxa" w:w="1584"/>
          </w:tcPr>
          <w:p>
            <w:pPr>
              <w:spacing w:after="20"/>
              <w:jc w:val="right"/>
            </w:pPr>
            <w:r>
              <w:rPr>
                <w:color w:val="1C3A36"/>
                <w:sz w:val="17"/>
              </w:rPr>
              <w:t>17.04</w:t>
            </w:r>
          </w:p>
        </w:tc>
        <w:tc>
          <w:tcPr>
            <w:tcW w:type="dxa" w:w="1584"/>
          </w:tcPr>
          <w:p>
            <w:pPr>
              <w:spacing w:after="20"/>
              <w:jc w:val="right"/>
            </w:pPr>
            <w:r>
              <w:rPr>
                <w:color w:val="1C3A36"/>
                <w:sz w:val="17"/>
              </w:rPr>
              <w:t>19.88</w:t>
            </w:r>
          </w:p>
        </w:tc>
        <w:tc>
          <w:tcPr>
            <w:tcW w:type="dxa" w:w="1584"/>
          </w:tcPr>
          <w:p>
            <w:pPr>
              <w:spacing w:after="20"/>
              <w:jc w:val="right"/>
            </w:pPr>
            <w:r>
              <w:rPr>
                <w:color w:val="1C3A36"/>
                <w:sz w:val="17"/>
              </w:rPr>
              <w:t>22.72</w:t>
            </w:r>
          </w:p>
        </w:tc>
      </w:tr>
    </w:tbl>
    <w:p>
      <w:pPr>
        <w:spacing w:after="40"/>
      </w:pPr>
    </w:p>
    <w:p>
      <w:pPr>
        <w:spacing w:after="120" w:before="0"/>
      </w:pPr>
      <w:r>
        <w:rPr>
          <w:b w:val="0"/>
          <w:i w:val="0"/>
          <w:color w:val="1C3A36"/>
          <w:sz w:val="18"/>
        </w:rPr>
        <w:t>On today’s price: at 19.66 the market pays 14.6× the guided EPS — Expert 1 calls the stock fairly priced within ±5%, and assigns everything above that to methods that pay for options he refuses to price. Weakest assumption: the multiple itself — it embeds the royalty regime staying tolerable. Falsifier: FY26 EPS printing below ~1.25, or a DPS cut — either breaks the anchor, and with it the method.</w:t>
      </w:r>
    </w:p>
    <w:p>
      <w:pPr>
        <w:spacing w:after="80" w:before="200"/>
      </w:pPr>
      <w:r>
        <w:rPr>
          <w:b/>
          <w:i w:val="0"/>
          <w:color w:val="1C3A36"/>
          <w:sz w:val="24"/>
        </w:rPr>
        <w:t>C.2  Expert 2 — the accountant: owner cash earnings from the audited statements</w:t>
      </w:r>
    </w:p>
    <w:p>
      <w:pPr>
        <w:spacing w:after="120" w:before="0"/>
      </w:pPr>
      <w:r>
        <w:rPr>
          <w:b w:val="0"/>
          <w:i w:val="0"/>
          <w:color w:val="1C3A36"/>
          <w:sz w:val="21"/>
        </w:rPr>
        <w:t>The tradition. Expert 2 believes signed statements and nothing else: guidance is marketing, multiples are moods, but audited cash flow is evidence. The method rebuilds what an owner could actually have banked in FY2025 — operating cash flow, less the capex needed to stand still, corrected for the accrual games a royalty regime invites (e&amp; expensed AED 7,423 mn of royalty but paid 5,274; the payable grew 2.1 bn — cash earnings must give that back) — then hands minorities their share and capitalises the remainder at a cash multiple.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7"/>
              </w:rPr>
              <w:t>Step</w:t>
            </w:r>
          </w:p>
        </w:tc>
        <w:tc>
          <w:tcPr>
            <w:tcW w:type="dxa" w:w="3168"/>
            <w:shd w:val="clear" w:color="auto" w:fill="EAF0EE"/>
          </w:tcPr>
          <w:p>
            <w:pPr>
              <w:spacing w:after="20"/>
            </w:pPr>
            <w:r>
              <w:rPr>
                <w:b/>
                <w:color w:val="1C3A36"/>
                <w:sz w:val="17"/>
              </w:rPr>
              <w:t>AED mn</w:t>
            </w:r>
          </w:p>
        </w:tc>
      </w:tr>
      <w:tr>
        <w:tc>
          <w:tcPr>
            <w:tcW w:type="dxa" w:w="6192"/>
          </w:tcPr>
          <w:p>
            <w:pPr>
              <w:spacing w:after="20"/>
            </w:pPr>
            <w:r>
              <w:rPr>
                <w:color w:val="1C3A36"/>
                <w:sz w:val="17"/>
              </w:rPr>
              <w:t>Operating cash flow (FY25, audited)</w:t>
            </w:r>
          </w:p>
        </w:tc>
        <w:tc>
          <w:tcPr>
            <w:tcW w:type="dxa" w:w="3168"/>
          </w:tcPr>
          <w:p>
            <w:pPr>
              <w:spacing w:after="20"/>
              <w:jc w:val="right"/>
            </w:pPr>
            <w:r>
              <w:rPr>
                <w:color w:val="1C3A36"/>
                <w:sz w:val="17"/>
              </w:rPr>
              <w:t>26,051</w:t>
            </w:r>
          </w:p>
        </w:tc>
      </w:tr>
      <w:tr>
        <w:tc>
          <w:tcPr>
            <w:tcW w:type="dxa" w:w="6192"/>
          </w:tcPr>
          <w:p>
            <w:pPr>
              <w:spacing w:after="20"/>
            </w:pPr>
            <w:r>
              <w:rPr>
                <w:color w:val="1C3A36"/>
                <w:sz w:val="17"/>
              </w:rPr>
              <w:t>− maintenance capex (≈ D&amp;A per the cash-flow statement)</w:t>
            </w:r>
          </w:p>
        </w:tc>
        <w:tc>
          <w:tcPr>
            <w:tcW w:type="dxa" w:w="3168"/>
          </w:tcPr>
          <w:p>
            <w:pPr>
              <w:spacing w:after="20"/>
              <w:jc w:val="right"/>
            </w:pPr>
            <w:r>
              <w:rPr>
                <w:color w:val="1C3A36"/>
                <w:sz w:val="17"/>
              </w:rPr>
              <w:t>(10,783)</w:t>
            </w:r>
          </w:p>
        </w:tc>
      </w:tr>
      <w:tr>
        <w:tc>
          <w:tcPr>
            <w:tcW w:type="dxa" w:w="6192"/>
          </w:tcPr>
          <w:p>
            <w:pPr>
              <w:spacing w:after="20"/>
            </w:pPr>
            <w:r>
              <w:rPr>
                <w:color w:val="1C3A36"/>
                <w:sz w:val="17"/>
              </w:rPr>
              <w:t>− royalty accrual catch-up (expensed − paid)</w:t>
            </w:r>
          </w:p>
        </w:tc>
        <w:tc>
          <w:tcPr>
            <w:tcW w:type="dxa" w:w="3168"/>
          </w:tcPr>
          <w:p>
            <w:pPr>
              <w:spacing w:after="20"/>
              <w:jc w:val="right"/>
            </w:pPr>
            <w:r>
              <w:rPr>
                <w:color w:val="1C3A36"/>
                <w:sz w:val="17"/>
              </w:rPr>
              <w:t>(2,149)</w:t>
            </w:r>
          </w:p>
        </w:tc>
      </w:tr>
      <w:tr>
        <w:tc>
          <w:tcPr>
            <w:tcW w:type="dxa" w:w="6192"/>
          </w:tcPr>
          <w:p>
            <w:pPr>
              <w:spacing w:after="20"/>
            </w:pPr>
            <w:r>
              <w:rPr>
                <w:color w:val="1C3A36"/>
                <w:sz w:val="17"/>
              </w:rPr>
              <w:t>= owner cash earnings, 100% basis</w:t>
            </w:r>
          </w:p>
        </w:tc>
        <w:tc>
          <w:tcPr>
            <w:tcW w:type="dxa" w:w="3168"/>
          </w:tcPr>
          <w:p>
            <w:pPr>
              <w:spacing w:after="20"/>
              <w:jc w:val="right"/>
            </w:pPr>
            <w:r>
              <w:rPr>
                <w:color w:val="1C3A36"/>
                <w:sz w:val="17"/>
              </w:rPr>
              <w:t>13,119</w:t>
            </w:r>
          </w:p>
        </w:tc>
      </w:tr>
      <w:tr>
        <w:tc>
          <w:tcPr>
            <w:tcW w:type="dxa" w:w="6192"/>
            <w:shd w:val="clear" w:color="auto" w:fill="F6F1E6"/>
          </w:tcPr>
          <w:p>
            <w:pPr>
              <w:spacing w:after="20"/>
            </w:pPr>
            <w:r>
              <w:rPr>
                <w:b/>
                <w:color w:val="1C3A36"/>
                <w:sz w:val="17"/>
              </w:rPr>
              <w:t>× attributable share 85%</w:t>
            </w:r>
          </w:p>
        </w:tc>
        <w:tc>
          <w:tcPr>
            <w:tcW w:type="dxa" w:w="3168"/>
            <w:shd w:val="clear" w:color="auto" w:fill="F6F1E6"/>
          </w:tcPr>
          <w:p>
            <w:pPr>
              <w:spacing w:after="20"/>
              <w:jc w:val="right"/>
            </w:pPr>
            <w:r>
              <w:rPr>
                <w:b/>
                <w:color w:val="1C3A36"/>
                <w:sz w:val="17"/>
              </w:rPr>
              <w:t>11,151</w:t>
            </w:r>
          </w:p>
        </w:tc>
      </w:tr>
      <w:tr>
        <w:tc>
          <w:tcPr>
            <w:tcW w:type="dxa" w:w="6192"/>
            <w:shd w:val="clear" w:color="auto" w:fill="F6F1E6"/>
          </w:tcPr>
          <w:p>
            <w:pPr>
              <w:spacing w:after="20"/>
            </w:pPr>
            <w:r>
              <w:rPr>
                <w:b/>
                <w:color w:val="1C3A36"/>
                <w:sz w:val="17"/>
              </w:rPr>
              <w:t>÷ 8,696.8 mn shares × 13.5× cash multiple</w:t>
            </w:r>
          </w:p>
        </w:tc>
        <w:tc>
          <w:tcPr>
            <w:tcW w:type="dxa" w:w="3168"/>
            <w:shd w:val="clear" w:color="auto" w:fill="F6F1E6"/>
          </w:tcPr>
          <w:p>
            <w:pPr>
              <w:spacing w:after="20"/>
              <w:jc w:val="right"/>
            </w:pPr>
            <w:r>
              <w:rPr>
                <w:b/>
                <w:color w:val="1C3A36"/>
                <w:sz w:val="17"/>
              </w:rPr>
              <w:t>AED 17.31</w:t>
            </w:r>
          </w:p>
        </w:tc>
      </w:tr>
    </w:tbl>
    <w:p>
      <w:pPr>
        <w:spacing w:after="40"/>
      </w:pPr>
    </w:p>
    <w:p>
      <w:pPr>
        <w:spacing w:after="60" w:before="0"/>
      </w:pPr>
      <w:r>
        <w:rPr>
          <w:b w:val="0"/>
          <w:i w:val="0"/>
          <w:color w:val="1C3A36"/>
          <w:sz w:val="18"/>
        </w:rPr>
        <w:t>Sensitivity, in real units — the two dials this method owns: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448"/>
            <w:shd w:val="clear" w:color="auto" w:fill="EAF0EE"/>
          </w:tcPr>
          <w:p>
            <w:pPr>
              <w:spacing w:after="20"/>
            </w:pPr>
            <w:r>
              <w:rPr>
                <w:b/>
                <w:color w:val="1C3A36"/>
                <w:sz w:val="17"/>
              </w:rPr>
              <w:t>Attributable share</w:t>
            </w:r>
          </w:p>
        </w:tc>
        <w:tc>
          <w:tcPr>
            <w:tcW w:type="dxa" w:w="1800"/>
            <w:shd w:val="clear" w:color="auto" w:fill="EAF0EE"/>
          </w:tcPr>
          <w:p>
            <w:pPr>
              <w:spacing w:after="20"/>
            </w:pPr>
            <w:r>
              <w:rPr>
                <w:b/>
                <w:color w:val="1C3A36"/>
                <w:sz w:val="17"/>
              </w:rPr>
              <w:t>80%</w:t>
            </w:r>
          </w:p>
        </w:tc>
        <w:tc>
          <w:tcPr>
            <w:tcW w:type="dxa" w:w="2016"/>
            <w:shd w:val="clear" w:color="auto" w:fill="EAF0EE"/>
          </w:tcPr>
          <w:p>
            <w:pPr>
              <w:spacing w:after="20"/>
            </w:pPr>
            <w:r>
              <w:rPr>
                <w:b/>
                <w:color w:val="1C3A36"/>
                <w:sz w:val="17"/>
              </w:rPr>
              <w:t>85% (base)</w:t>
            </w:r>
          </w:p>
        </w:tc>
        <w:tc>
          <w:tcPr>
            <w:tcW w:type="dxa" w:w="1800"/>
            <w:shd w:val="clear" w:color="auto" w:fill="EAF0EE"/>
          </w:tcPr>
          <w:p>
            <w:pPr>
              <w:spacing w:after="20"/>
            </w:pPr>
            <w:r>
              <w:rPr>
                <w:b/>
                <w:color w:val="1C3A36"/>
                <w:sz w:val="17"/>
              </w:rPr>
              <w:t>90%</w:t>
            </w:r>
          </w:p>
        </w:tc>
      </w:tr>
      <w:tr>
        <w:tc>
          <w:tcPr>
            <w:tcW w:type="dxa" w:w="2448"/>
          </w:tcPr>
          <w:p>
            <w:pPr>
              <w:spacing w:after="20"/>
            </w:pPr>
            <w:r>
              <w:rPr>
                <w:color w:val="1C3A36"/>
                <w:sz w:val="17"/>
              </w:rPr>
              <w:t>Value (AED/sh)</w:t>
            </w:r>
          </w:p>
        </w:tc>
        <w:tc>
          <w:tcPr>
            <w:tcW w:type="dxa" w:w="1800"/>
          </w:tcPr>
          <w:p>
            <w:pPr>
              <w:spacing w:after="20"/>
              <w:jc w:val="right"/>
            </w:pPr>
            <w:r>
              <w:rPr>
                <w:color w:val="1C3A36"/>
                <w:sz w:val="17"/>
              </w:rPr>
              <w:t>16.29</w:t>
            </w:r>
          </w:p>
        </w:tc>
        <w:tc>
          <w:tcPr>
            <w:tcW w:type="dxa" w:w="2016"/>
          </w:tcPr>
          <w:p>
            <w:pPr>
              <w:spacing w:after="20"/>
              <w:jc w:val="right"/>
            </w:pPr>
            <w:r>
              <w:rPr>
                <w:color w:val="1C3A36"/>
                <w:sz w:val="17"/>
              </w:rPr>
              <w:t>17.31</w:t>
            </w:r>
          </w:p>
        </w:tc>
        <w:tc>
          <w:tcPr>
            <w:tcW w:type="dxa" w:w="1800"/>
          </w:tcPr>
          <w:p>
            <w:pPr>
              <w:spacing w:after="20"/>
              <w:jc w:val="right"/>
            </w:pPr>
            <w:r>
              <w:rPr>
                <w:color w:val="1C3A36"/>
                <w:sz w:val="17"/>
              </w:rPr>
              <w:t>18.33</w:t>
            </w:r>
          </w:p>
        </w:tc>
      </w:tr>
      <w:tr>
        <w:tc>
          <w:tcPr>
            <w:tcW w:type="dxa" w:w="2448"/>
          </w:tcPr>
          <w:p>
            <w:pPr>
              <w:spacing w:after="20"/>
            </w:pPr>
            <w:r>
              <w:rPr>
                <w:color w:val="1C3A36"/>
                <w:sz w:val="17"/>
              </w:rPr>
              <w:t>Cash multiple</w:t>
            </w:r>
          </w:p>
        </w:tc>
        <w:tc>
          <w:tcPr>
            <w:tcW w:type="dxa" w:w="1800"/>
          </w:tcPr>
          <w:p>
            <w:pPr>
              <w:spacing w:after="20"/>
              <w:jc w:val="right"/>
            </w:pPr>
            <w:r>
              <w:rPr>
                <w:color w:val="1C3A36"/>
                <w:sz w:val="17"/>
              </w:rPr>
              <w:t>11.5×</w:t>
            </w:r>
          </w:p>
        </w:tc>
        <w:tc>
          <w:tcPr>
            <w:tcW w:type="dxa" w:w="2016"/>
          </w:tcPr>
          <w:p>
            <w:pPr>
              <w:spacing w:after="20"/>
              <w:jc w:val="right"/>
            </w:pPr>
            <w:r>
              <w:rPr>
                <w:color w:val="1C3A36"/>
                <w:sz w:val="17"/>
              </w:rPr>
              <w:t>13.5× (base)</w:t>
            </w:r>
          </w:p>
        </w:tc>
        <w:tc>
          <w:tcPr>
            <w:tcW w:type="dxa" w:w="1800"/>
          </w:tcPr>
          <w:p>
            <w:pPr>
              <w:spacing w:after="20"/>
              <w:jc w:val="right"/>
            </w:pPr>
            <w:r>
              <w:rPr>
                <w:color w:val="1C3A36"/>
                <w:sz w:val="17"/>
              </w:rPr>
              <w:t>15.0×</w:t>
            </w:r>
          </w:p>
        </w:tc>
      </w:tr>
      <w:tr>
        <w:tc>
          <w:tcPr>
            <w:tcW w:type="dxa" w:w="2448"/>
          </w:tcPr>
          <w:p>
            <w:pPr>
              <w:spacing w:after="20"/>
            </w:pPr>
            <w:r>
              <w:rPr>
                <w:color w:val="1C3A36"/>
                <w:sz w:val="17"/>
              </w:rPr>
              <w:t>Value (AED/sh)</w:t>
            </w:r>
          </w:p>
        </w:tc>
        <w:tc>
          <w:tcPr>
            <w:tcW w:type="dxa" w:w="1800"/>
          </w:tcPr>
          <w:p>
            <w:pPr>
              <w:spacing w:after="20"/>
              <w:jc w:val="right"/>
            </w:pPr>
            <w:r>
              <w:rPr>
                <w:color w:val="1C3A36"/>
                <w:sz w:val="17"/>
              </w:rPr>
              <w:t>14.75</w:t>
            </w:r>
          </w:p>
        </w:tc>
        <w:tc>
          <w:tcPr>
            <w:tcW w:type="dxa" w:w="2016"/>
          </w:tcPr>
          <w:p>
            <w:pPr>
              <w:spacing w:after="20"/>
              <w:jc w:val="right"/>
            </w:pPr>
            <w:r>
              <w:rPr>
                <w:color w:val="1C3A36"/>
                <w:sz w:val="17"/>
              </w:rPr>
              <w:t>17.31</w:t>
            </w:r>
          </w:p>
        </w:tc>
        <w:tc>
          <w:tcPr>
            <w:tcW w:type="dxa" w:w="1800"/>
          </w:tcPr>
          <w:p>
            <w:pPr>
              <w:spacing w:after="20"/>
              <w:jc w:val="right"/>
            </w:pPr>
            <w:r>
              <w:rPr>
                <w:color w:val="1C3A36"/>
                <w:sz w:val="17"/>
              </w:rPr>
              <w:t>19.23</w:t>
            </w:r>
          </w:p>
        </w:tc>
      </w:tr>
    </w:tbl>
    <w:p>
      <w:pPr>
        <w:spacing w:after="40"/>
      </w:pPr>
    </w:p>
    <w:p>
      <w:pPr>
        <w:spacing w:after="120" w:before="0"/>
      </w:pPr>
      <w:r>
        <w:rPr>
          <w:b w:val="0"/>
          <w:i w:val="0"/>
          <w:color w:val="1C3A36"/>
          <w:sz w:val="18"/>
        </w:rPr>
        <w:t>On today’s price: spot sits about AED 2.4 above his 17.31 — the market is pre-paying roughly two turns of cash-earnings multiple for the Vodafone proceeds and the royalty option. Not egregious; not free. Weakest assumption: the 85% attributable haircut — minority cash entitlement is lumpy, and Maroc Telecom’s dividend policy is not e&amp;’s to set. Falsifier: FY26 royalty paid exceeding royalty expensed (the catch-up reversing) while operating cash flow stalls below AED 24 bn — that combination would mean the cash engine, not the accruals, was the flattering item.</w:t>
      </w:r>
    </w:p>
    <w:p>
      <w:pPr>
        <w:spacing w:after="80" w:before="200"/>
      </w:pPr>
      <w:r>
        <w:rPr>
          <w:b/>
          <w:i w:val="0"/>
          <w:color w:val="1C3A36"/>
          <w:sz w:val="24"/>
        </w:rPr>
        <w:t>C.3  Expert 3 — macro-policy: pricing the regime tree</w:t>
      </w:r>
    </w:p>
    <w:p>
      <w:pPr>
        <w:spacing w:after="120" w:before="0"/>
      </w:pPr>
      <w:r>
        <w:rPr>
          <w:b w:val="0"/>
          <w:i w:val="0"/>
          <w:color w:val="1C3A36"/>
          <w:sz w:val="21"/>
        </w:rPr>
        <w:t>The tradition. Expert 3 prices regimes, not line items: when the binding constraint on a valuation is a policy decision — here the 2027 royalty, with the Vodafone clearance and the regional tape as second-order — the honest method is to name the states, price the whole complex under each, and weight them. This is the only expert who pays anything today for the enterprise lenses’ view of the franchise, because it is the only method built to hold two futures at once.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672"/>
            <w:shd w:val="clear" w:color="auto" w:fill="EAF0EE"/>
          </w:tcPr>
          <w:p>
            <w:pPr>
              <w:spacing w:after="20"/>
            </w:pPr>
            <w:r>
              <w:rPr>
                <w:b/>
                <w:color w:val="1C3A36"/>
                <w:sz w:val="17"/>
              </w:rPr>
              <w:t>Regime</w:t>
            </w:r>
          </w:p>
        </w:tc>
        <w:tc>
          <w:tcPr>
            <w:tcW w:type="dxa" w:w="720"/>
            <w:shd w:val="clear" w:color="auto" w:fill="EAF0EE"/>
          </w:tcPr>
          <w:p>
            <w:pPr>
              <w:spacing w:after="20"/>
            </w:pPr>
            <w:r>
              <w:rPr>
                <w:b/>
                <w:color w:val="1C3A36"/>
                <w:sz w:val="17"/>
              </w:rPr>
              <w:t>P</w:t>
            </w:r>
          </w:p>
        </w:tc>
        <w:tc>
          <w:tcPr>
            <w:tcW w:type="dxa" w:w="3384"/>
            <w:shd w:val="clear" w:color="auto" w:fill="EAF0EE"/>
          </w:tcPr>
          <w:p>
            <w:pPr>
              <w:spacing w:after="20"/>
            </w:pPr>
            <w:r>
              <w:rPr>
                <w:b/>
                <w:color w:val="1C3A36"/>
                <w:sz w:val="17"/>
              </w:rPr>
              <w:t>What it does to the lenses</w:t>
            </w:r>
          </w:p>
        </w:tc>
        <w:tc>
          <w:tcPr>
            <w:tcW w:type="dxa" w:w="1080"/>
            <w:shd w:val="clear" w:color="auto" w:fill="EAF0EE"/>
          </w:tcPr>
          <w:p>
            <w:pPr>
              <w:spacing w:after="20"/>
            </w:pPr>
            <w:r>
              <w:rPr>
                <w:b/>
                <w:color w:val="1C3A36"/>
                <w:sz w:val="17"/>
              </w:rPr>
              <w:t>AED/sh</w:t>
            </w:r>
          </w:p>
        </w:tc>
      </w:tr>
      <w:tr>
        <w:tc>
          <w:tcPr>
            <w:tcW w:type="dxa" w:w="3672"/>
          </w:tcPr>
          <w:p>
            <w:pPr>
              <w:spacing w:after="20"/>
            </w:pPr>
            <w:r>
              <w:rPr>
                <w:color w:val="1C3A36"/>
                <w:sz w:val="17"/>
              </w:rPr>
              <w:t>Benign: royalty &lt;=38% signalled early, Vodafone clears, payout step-up, calm tape</w:t>
            </w:r>
          </w:p>
        </w:tc>
        <w:tc>
          <w:tcPr>
            <w:tcW w:type="dxa" w:w="720"/>
          </w:tcPr>
          <w:p>
            <w:pPr>
              <w:spacing w:after="20"/>
              <w:jc w:val="right"/>
            </w:pPr>
            <w:r>
              <w:rPr>
                <w:color w:val="1C3A36"/>
                <w:sz w:val="17"/>
              </w:rPr>
              <w:t>25%</w:t>
            </w:r>
          </w:p>
        </w:tc>
        <w:tc>
          <w:tcPr>
            <w:tcW w:type="dxa" w:w="3384"/>
          </w:tcPr>
          <w:p>
            <w:pPr>
              <w:spacing w:after="20"/>
              <w:jc w:val="right"/>
            </w:pPr>
            <w:r>
              <w:rPr>
                <w:color w:val="1C3A36"/>
                <w:sz w:val="17"/>
              </w:rPr>
              <w:t>DCF to bull (WACC -70bp, royalty relief); market lenses re-rate ~1x of EV/EBITDA</w:t>
            </w:r>
          </w:p>
        </w:tc>
        <w:tc>
          <w:tcPr>
            <w:tcW w:type="dxa" w:w="1080"/>
          </w:tcPr>
          <w:p>
            <w:pPr>
              <w:spacing w:after="20"/>
              <w:jc w:val="right"/>
            </w:pPr>
            <w:r>
              <w:rPr>
                <w:color w:val="1C3A36"/>
                <w:sz w:val="17"/>
              </w:rPr>
              <w:t>38.64</w:t>
            </w:r>
          </w:p>
        </w:tc>
      </w:tr>
      <w:tr>
        <w:tc>
          <w:tcPr>
            <w:tcW w:type="dxa" w:w="3672"/>
          </w:tcPr>
          <w:p>
            <w:pPr>
              <w:spacing w:after="20"/>
            </w:pPr>
            <w:r>
              <w:rPr>
                <w:color w:val="1C3A36"/>
                <w:sz w:val="17"/>
              </w:rPr>
              <w:t>Base: regime rolled late in the year, approvals grind through, guidance holds</w:t>
            </w:r>
          </w:p>
        </w:tc>
        <w:tc>
          <w:tcPr>
            <w:tcW w:type="dxa" w:w="720"/>
          </w:tcPr>
          <w:p>
            <w:pPr>
              <w:spacing w:after="20"/>
              <w:jc w:val="right"/>
            </w:pPr>
            <w:r>
              <w:rPr>
                <w:color w:val="1C3A36"/>
                <w:sz w:val="17"/>
              </w:rPr>
              <w:t>45%</w:t>
            </w:r>
          </w:p>
        </w:tc>
        <w:tc>
          <w:tcPr>
            <w:tcW w:type="dxa" w:w="3384"/>
          </w:tcPr>
          <w:p>
            <w:pPr>
              <w:spacing w:after="20"/>
              <w:jc w:val="right"/>
            </w:pPr>
            <w:r>
              <w:rPr>
                <w:color w:val="1C3A36"/>
                <w:sz w:val="17"/>
              </w:rPr>
              <w:t>all four lenses at base; the weighted central</w:t>
            </w:r>
          </w:p>
        </w:tc>
        <w:tc>
          <w:tcPr>
            <w:tcW w:type="dxa" w:w="1080"/>
          </w:tcPr>
          <w:p>
            <w:pPr>
              <w:spacing w:after="20"/>
              <w:jc w:val="right"/>
            </w:pPr>
            <w:r>
              <w:rPr>
                <w:color w:val="1C3A36"/>
                <w:sz w:val="17"/>
              </w:rPr>
              <w:t>22.72</w:t>
            </w:r>
          </w:p>
        </w:tc>
      </w:tr>
      <w:tr>
        <w:tc>
          <w:tcPr>
            <w:tcW w:type="dxa" w:w="3672"/>
          </w:tcPr>
          <w:p>
            <w:pPr>
              <w:spacing w:after="20"/>
            </w:pPr>
            <w:r>
              <w:rPr>
                <w:color w:val="1C3A36"/>
                <w:sz w:val="17"/>
              </w:rPr>
              <w:t>Adverse: royalty raised/broadened or regional re-escalation; deal delayed</w:t>
            </w:r>
          </w:p>
        </w:tc>
        <w:tc>
          <w:tcPr>
            <w:tcW w:type="dxa" w:w="720"/>
          </w:tcPr>
          <w:p>
            <w:pPr>
              <w:spacing w:after="20"/>
              <w:jc w:val="right"/>
            </w:pPr>
            <w:r>
              <w:rPr>
                <w:color w:val="1C3A36"/>
                <w:sz w:val="17"/>
              </w:rPr>
              <w:t>30%</w:t>
            </w:r>
          </w:p>
        </w:tc>
        <w:tc>
          <w:tcPr>
            <w:tcW w:type="dxa" w:w="3384"/>
          </w:tcPr>
          <w:p>
            <w:pPr>
              <w:spacing w:after="20"/>
              <w:jc w:val="right"/>
            </w:pPr>
            <w:r>
              <w:rPr>
                <w:color w:val="1C3A36"/>
                <w:sz w:val="17"/>
              </w:rPr>
              <w:t>DCF to bear (t_eff +3pp, WACC +100bp); multiples compress toward 6.0x/12x</w:t>
            </w:r>
          </w:p>
        </w:tc>
        <w:tc>
          <w:tcPr>
            <w:tcW w:type="dxa" w:w="1080"/>
          </w:tcPr>
          <w:p>
            <w:pPr>
              <w:spacing w:after="20"/>
              <w:jc w:val="right"/>
            </w:pPr>
            <w:r>
              <w:rPr>
                <w:color w:val="1C3A36"/>
                <w:sz w:val="17"/>
              </w:rPr>
              <w:t>17.08</w:t>
            </w:r>
          </w:p>
        </w:tc>
      </w:tr>
      <w:tr>
        <w:tc>
          <w:tcPr>
            <w:tcW w:type="dxa" w:w="3672"/>
            <w:shd w:val="clear" w:color="auto" w:fill="F6F1E6"/>
          </w:tcPr>
          <w:p>
            <w:pPr>
              <w:spacing w:after="20"/>
            </w:pPr>
            <w:r>
              <w:rPr>
                <w:b/>
                <w:color w:val="1C3A36"/>
                <w:sz w:val="17"/>
              </w:rPr>
              <w:t>Probability-weighted value</w:t>
            </w:r>
          </w:p>
        </w:tc>
        <w:tc>
          <w:tcPr>
            <w:tcW w:type="dxa" w:w="720"/>
            <w:shd w:val="clear" w:color="auto" w:fill="F6F1E6"/>
          </w:tcPr>
          <w:p>
            <w:pPr>
              <w:spacing w:after="20"/>
              <w:jc w:val="right"/>
            </w:pPr>
            <w:r>
              <w:rPr>
                <w:b/>
                <w:color w:val="1C3A36"/>
                <w:sz w:val="17"/>
              </w:rPr>
            </w:r>
          </w:p>
        </w:tc>
        <w:tc>
          <w:tcPr>
            <w:tcW w:type="dxa" w:w="3384"/>
            <w:shd w:val="clear" w:color="auto" w:fill="F6F1E6"/>
          </w:tcPr>
          <w:p>
            <w:pPr>
              <w:spacing w:after="20"/>
              <w:jc w:val="right"/>
            </w:pPr>
            <w:r>
              <w:rPr>
                <w:b/>
                <w:color w:val="1C3A36"/>
                <w:sz w:val="17"/>
              </w:rPr>
            </w:r>
          </w:p>
        </w:tc>
        <w:tc>
          <w:tcPr>
            <w:tcW w:type="dxa" w:w="1080"/>
            <w:shd w:val="clear" w:color="auto" w:fill="F6F1E6"/>
          </w:tcPr>
          <w:p>
            <w:pPr>
              <w:spacing w:after="20"/>
              <w:jc w:val="right"/>
            </w:pPr>
            <w:r>
              <w:rPr>
                <w:b/>
                <w:color w:val="1C3A36"/>
                <w:sz w:val="17"/>
              </w:rPr>
              <w:t>25.01</w:t>
            </w:r>
          </w:p>
        </w:tc>
      </w:tr>
    </w:tbl>
    <w:p>
      <w:pPr>
        <w:spacing w:after="40"/>
      </w:pPr>
    </w:p>
    <w:p>
      <w:pPr>
        <w:spacing w:after="120" w:before="0"/>
      </w:pPr>
      <w:r>
        <w:rPr>
          <w:b w:val="0"/>
          <w:i w:val="0"/>
          <w:color w:val="1C3A36"/>
          <w:sz w:val="18"/>
        </w:rPr>
        <w:t>Sensitivity, in real units — the asymmetry is the finding: shifting 10 points of probability from base to the benign regime adds AED +1.59; the same shift to the adverse regime costs only -0.56. The good state is worth roughly three times more per probability point than the bad state costs, because a favourable royalty settlement re-rates every lens at once while an adverse one mostly re-cuts the DCF. Weakest assumption: the 45% base weight — policy timing is genuinely unknowable. On today’s price: spot is approximately this tree with the benign branch deleted — the market is assigning close to zero to the good-policy state. Falsifier: any official 2027 royalty communication; the tree collapses to one branch the day it prints.</w:t>
      </w:r>
    </w:p>
    <w:p>
      <w:pPr>
        <w:spacing w:after="80" w:before="200"/>
      </w:pPr>
      <w:r>
        <w:rPr>
          <w:b/>
          <w:i w:val="0"/>
          <w:color w:val="1C3A36"/>
          <w:sz w:val="24"/>
        </w:rPr>
        <w:t>C.4  Cross-examination</w:t>
      </w:r>
    </w:p>
    <w:p>
      <w:pPr>
        <w:spacing w:after="120" w:before="0"/>
      </w:pPr>
      <w:r>
        <w:rPr>
          <w:b w:val="0"/>
          <w:i w:val="0"/>
          <w:color w:val="1C3A36"/>
          <w:sz w:val="18"/>
        </w:rPr>
        <w:t>Expert 1 to the others: “You are both pricing things nobody has announced. The accountant’s attributable haircut is a guess wearing a green eyeshade, and the strategist’s benign regime is a press release that does not exist. The market has watched this royalty for a decade — 14× guided earnings IS the informed price of that history.”</w:t>
      </w:r>
    </w:p>
    <w:p>
      <w:pPr>
        <w:spacing w:after="120" w:before="0"/>
      </w:pPr>
      <w:r>
        <w:rPr>
          <w:b w:val="0"/>
          <w:i w:val="0"/>
          <w:color w:val="1C3A36"/>
          <w:sz w:val="18"/>
        </w:rPr>
        <w:t>Expert 2 to the others: “The classicist trusts an EPS guide issued by a management team whose reported number needed three one-off strips to become comparable, and the strategist’s tree pays today for cash that arrives, if ever, after 2027. My number is the only one built entirely from figures an auditor signed. If the truth is higher, it will show up in cash flow — and I will raise it then.”</w:t>
      </w:r>
    </w:p>
    <w:p>
      <w:pPr>
        <w:spacing w:after="120" w:before="0"/>
      </w:pPr>
      <w:r>
        <w:rPr>
          <w:b w:val="0"/>
          <w:i w:val="0"/>
          <w:color w:val="1C3A36"/>
          <w:sz w:val="18"/>
        </w:rPr>
        <w:t>Expert 3 to the others: “You are both extrapolating a regime whose expiry date is printed in the accounts. Pricing e&amp; off current earnings or current cash flow through 31-Dec-2026 is precise about the past and silent about the only question that matters. My weights may be wrong; refusing to weight the states at all is not caution, it is a 100% bet on the status quo.”</w:t>
      </w:r>
    </w:p>
    <w:p>
      <w:pPr>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6035040" cy="2053158"/>
            <wp:docPr id="10" name="Picture 10"/>
            <wp:cNvGraphicFramePr>
              <a:graphicFrameLocks noChangeAspect="1"/>
            </wp:cNvGraphicFramePr>
            <a:graphic>
              <a:graphicData uri="http://schemas.openxmlformats.org/drawingml/2006/picture">
                <pic:pic>
                  <pic:nvPicPr>
                    <pic:cNvPr id="0" name="fig10_experts.png"/>
                    <pic:cNvPicPr/>
                  </pic:nvPicPr>
                  <pic:blipFill>
                    <a:blip r:embed="rId18"/>
                    <a:stretch>
                      <a:fillRect/>
                    </a:stretch>
                  </pic:blipFill>
                  <pic:spPr>
                    <a:xfrm>
                      <a:off x="0" y="0"/>
                      <a:ext cx="6035040" cy="2053158"/>
                    </a:xfrm>
                    <a:prstGeom prst="rect"/>
                  </pic:spPr>
                </pic:pic>
              </a:graphicData>
            </a:graphic>
          </wp:inline>
        </w:drawing>
      </w:r>
    </w:p>
    <w:p>
      <w:pPr>
        <w:spacing w:after="200" w:before="0"/>
      </w:pPr>
      <w:r>
        <w:rPr>
          <w:b w:val="0"/>
          <w:i/>
          <w:color w:val="6E7B77"/>
          <w:sz w:val="17"/>
        </w:rPr>
        <w:t>Figure 10 · The panel’s ranges against spot and the weighted central band.</w:t>
      </w:r>
    </w:p>
    <w:p>
      <w:pPr>
        <w:spacing w:after="120" w:before="0"/>
      </w:pPr>
      <w:r>
        <w:rPr>
          <w:b w:val="0"/>
          <w:i w:val="0"/>
          <w:color w:val="1C3A36"/>
          <w:sz w:val="19"/>
        </w:rPr>
        <w:t>Expert 1 (18.90) and Expert 2 (17.31) bracket spot from a dirham or two either side — one trusting guidance, one trusting audited cash — while Expert 3 (25.01) sits well above both, because the regime tree is the only method in the room that pays anything today for the franchise the enterprise lenses see. The panel’s spread IS the finding: on current earnings e&amp; is roughly fairly priced; the premium is a claim about policy and terminal economics, not about next quarter. Note what did not happen: no expert lands below 14.7 even on bear settings — the downside cases are about paying too much for optionality, not about impairment of the operating franchise.</w:t>
      </w:r>
    </w:p>
    <w:p>
      <w:pPr>
        <w:spacing w:after="80" w:before="200"/>
      </w:pPr>
      <w:r>
        <w:rPr>
          <w:b/>
          <w:i w:val="0"/>
          <w:color w:val="1C3A36"/>
          <w:sz w:val="24"/>
        </w:rPr>
        <w:t>C.6  Reading the divergence</w:t>
      </w:r>
    </w:p>
    <w:p>
      <w:pPr>
        <w:spacing w:after="120" w:before="0"/>
      </w:pPr>
      <w:r>
        <w:rPr>
          <w:b w:val="0"/>
          <w:i w:val="0"/>
          <w:color w:val="1C3A36"/>
          <w:sz w:val="19"/>
        </w:rPr>
        <w:t>When the earnings-anchored experts cluster at spot and the policy method runs 25% higher, the market is not mispricing the P&amp;L — it is charging an uncertainty toll on the royalty reset and the conglomerate structure. The toll shrinks on three visible gates: the royalty announcement, the Vodafone clearance, and the first proceeds-funded payout decision. Each gate has a date inside the next nine months; that is what makes this study’s central testable rather than theological. And the cross-examination cuts both ways: if the gates pass and the price does not move, Expert 1 was right and the toll was never mispriced — that outcome would be recorded on the public ledger like any other.</w:t>
      </w:r>
    </w:p>
    <w:p>
      <w:pPr>
        <w:spacing w:after="120" w:before="280"/>
      </w:pPr>
      <w:r>
        <w:rPr>
          <w:b/>
          <w:i w:val="0"/>
          <w:color w:val="1C3A36"/>
          <w:sz w:val="30"/>
        </w:rPr>
        <w:t>About this series</w:t>
      </w:r>
    </w:p>
    <w:p>
      <w:pPr>
        <w:spacing w:after="120" w:before="0"/>
      </w:pPr>
      <w:r>
        <w:rPr>
          <w:b w:val="0"/>
          <w:i w:val="0"/>
          <w:color w:val="1C3A36"/>
          <w:sz w:val="19"/>
        </w:rPr>
        <w:t>Testahil publishes independent, methodology-first valuation studies: fair-value ranges and probability distributions, never ratings or price targets. Every Monte-Carlo forecast is registered, graded on maturity (T+20 and T+60 cohorts), and published — pass or fail — on the public Calibration Ledger at testahil.com. Every forecast in this series is preceded by a five-year rolling backtest of the engine on the stock’s own history; this one recorded a parity verdict — calibrated and market-validated, with no single-name edge claimed — and is published under that tier. The cohort registered here matures 6-Aug-2026 (T+20) and 2-Oct-2026 (T+60).</w:t>
      </w:r>
    </w:p>
    <w:p>
      <w:pPr>
        <w:spacing w:after="120" w:before="280"/>
      </w:pPr>
      <w:r>
        <w:rPr>
          <w:b/>
          <w:i w:val="0"/>
          <w:color w:val="1C3A36"/>
          <w:sz w:val="30"/>
        </w:rPr>
        <w:t>Disclosure &amp; Disclaimer</w:t>
      </w:r>
    </w:p>
    <w:p>
      <w:pPr>
        <w:spacing w:after="80" w:before="0"/>
      </w:pPr>
      <w:r>
        <w:rPr>
          <w:b w:val="0"/>
          <w:i w:val="0"/>
          <w:color w:val="6E7B77"/>
          <w:sz w:val="17"/>
        </w:rPr>
        <w:t>1. No advice. This document is educational analysis and personal opinion. It is not investment advice, a recommendation, an offer, or a solicitation to buy or sell any security, and it is not directed at the circumstances of any person.</w:t>
      </w:r>
    </w:p>
    <w:p>
      <w:pPr>
        <w:spacing w:after="80" w:before="0"/>
      </w:pPr>
      <w:r>
        <w:rPr>
          <w:b w:val="0"/>
          <w:i w:val="0"/>
          <w:color w:val="6E7B77"/>
          <w:sz w:val="17"/>
        </w:rPr>
        <w:t>2. No licence. The preparer is not licensed by the SCA, the FRA, or any other securities regulator, holds no advisory or brokerage authorisation, manages no client money, and accepts no fees or clients in connection with this work.</w:t>
      </w:r>
    </w:p>
    <w:p>
      <w:pPr>
        <w:spacing w:after="80" w:before="0"/>
      </w:pPr>
      <w:r>
        <w:rPr>
          <w:b w:val="0"/>
          <w:i w:val="0"/>
          <w:color w:val="6E7B77"/>
          <w:sz w:val="17"/>
        </w:rPr>
        <w:t>3. Sources. Company figures are e&amp;’s own published disclosure (earnings releases, audited and reviewed financial statements); market data are dated quotes from the named venues and vendors. Errors are possible; the preparer corrects them publicly when found.</w:t>
      </w:r>
    </w:p>
    <w:p>
      <w:pPr>
        <w:spacing w:after="80" w:before="0"/>
      </w:pPr>
      <w:r>
        <w:rPr>
          <w:b w:val="0"/>
          <w:i w:val="0"/>
          <w:color w:val="6E7B77"/>
          <w:sz w:val="17"/>
        </w:rPr>
        <w:t>4. Judgments. All forecasts, drivers, multiples, probabilities and scenario weights are the preparer’s judgments, flagged as such, and will be wrong in ways that matter. Ranges and distributions are the only honest output format; no single number in this document is a prediction.</w:t>
      </w:r>
    </w:p>
    <w:p>
      <w:pPr>
        <w:spacing w:after="80" w:before="0"/>
      </w:pPr>
      <w:r>
        <w:rPr>
          <w:b w:val="0"/>
          <w:i w:val="0"/>
          <w:color w:val="6E7B77"/>
          <w:sz w:val="17"/>
        </w:rPr>
        <w:t>5. Risk. Securities involve risk of loss, including total loss. Past calibration performance — including the public ledger — does not guarantee future forecast quality. Consult a licensed financial advisor before any investment decision.</w:t>
      </w:r>
    </w:p>
    <w:p>
      <w:pPr>
        <w:spacing w:after="80" w:before="0"/>
      </w:pPr>
      <w:r>
        <w:rPr>
          <w:b w:val="0"/>
          <w:i w:val="0"/>
          <w:color w:val="6E7B77"/>
          <w:sz w:val="17"/>
        </w:rPr>
        <w:t>6. Positions. The preparer may hold, or may take, a position in the security discussed, and owes readers no duty to update this document. Publication date: 10 July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