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127.30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37 and EGP 57 a share. Because the contested judgement below is carried BOTH ways and the two are never averaged, the study publishes TWO weighted centres: EGP 36.64 a share on the permanent-provision reading and EGP 54.24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36.64 and EGP 54.24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37 and EGP 57.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36.64</w:t>
            </w:r>
          </w:p>
        </w:tc>
        <w:tc>
          <w:tcPr>
            <w:tcW w:type="dxa" w:w="1224"/>
          </w:tcPr>
          <w:p>
            <w:pPr>
              <w:spacing w:after="20"/>
              <w:jc w:val="right"/>
            </w:pPr>
            <w:r>
              <w:rPr>
                <w:color w:val="1C3A36"/>
                <w:sz w:val="18"/>
              </w:rPr>
              <w:t>-71%</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54.24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43.91</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1.19x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48.65</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56.78</w:t>
            </w:r>
          </w:p>
        </w:tc>
        <w:tc>
          <w:tcPr>
            <w:tcW w:type="dxa" w:w="1224"/>
          </w:tcPr>
          <w:p>
            <w:pPr>
              <w:spacing w:after="20"/>
              <w:jc w:val="right"/>
            </w:pPr>
            <w:r>
              <w:rPr>
                <w:color w:val="1C3A36"/>
                <w:sz w:val="18"/>
              </w:rPr>
              <w:t>-55%</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36.64</w:t>
            </w:r>
          </w:p>
        </w:tc>
        <w:tc>
          <w:tcPr>
            <w:tcW w:type="dxa" w:w="1224"/>
            <w:shd w:val="clear" w:color="auto" w:fill="F6F1E6"/>
          </w:tcPr>
          <w:p>
            <w:pPr>
              <w:spacing w:after="20"/>
              <w:jc w:val="right"/>
            </w:pPr>
            <w:r>
              <w:rPr>
                <w:b/>
                <w:color w:val="1C3A36"/>
                <w:sz w:val="18"/>
              </w:rPr>
              <w:t>-71%</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54.24</w:t>
            </w:r>
          </w:p>
        </w:tc>
        <w:tc>
          <w:tcPr>
            <w:tcW w:type="dxa" w:w="1224"/>
            <w:shd w:val="clear" w:color="auto" w:fill="F6F1E6"/>
          </w:tcPr>
          <w:p>
            <w:pPr>
              <w:spacing w:after="20"/>
              <w:jc w:val="right"/>
            </w:pPr>
            <w:r>
              <w:rPr>
                <w:b/>
                <w:color w:val="1C3A36"/>
                <w:sz w:val="18"/>
              </w:rPr>
              <w:t>-57%</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42.92 / 51.72</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36.64 – 56.78</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25.57%</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22.71%</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15.03%</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22.71%</w:t>
            </w:r>
          </w:p>
        </w:tc>
        <w:tc>
          <w:tcPr>
            <w:tcW w:type="dxa" w:w="1325"/>
            <w:shd w:val="clear" w:color="auto" w:fill="F6F1E6"/>
          </w:tcPr>
          <w:p>
            <w:pPr>
              <w:spacing w:after="20"/>
              <w:jc w:val="right"/>
            </w:pPr>
            <w:r>
              <w:rPr>
                <w:b/>
                <w:color w:val="1C3A36"/>
                <w:sz w:val="17"/>
              </w:rPr>
              <w:t>20.65%</w:t>
            </w:r>
          </w:p>
        </w:tc>
        <w:tc>
          <w:tcPr>
            <w:tcW w:type="dxa" w:w="1325"/>
            <w:shd w:val="clear" w:color="auto" w:fill="F6F1E6"/>
          </w:tcPr>
          <w:p>
            <w:pPr>
              <w:spacing w:after="20"/>
              <w:jc w:val="right"/>
            </w:pPr>
            <w:r>
              <w:rPr>
                <w:b/>
                <w:color w:val="1C3A36"/>
                <w:sz w:val="17"/>
              </w:rPr>
              <w:t>18.40%</w:t>
            </w:r>
          </w:p>
        </w:tc>
        <w:tc>
          <w:tcPr>
            <w:tcW w:type="dxa" w:w="1325"/>
            <w:shd w:val="clear" w:color="auto" w:fill="F6F1E6"/>
          </w:tcPr>
          <w:p>
            <w:pPr>
              <w:spacing w:after="20"/>
              <w:jc w:val="right"/>
            </w:pPr>
            <w:r>
              <w:rPr>
                <w:b/>
                <w:color w:val="1C3A36"/>
                <w:sz w:val="17"/>
              </w:rPr>
              <w:t>16.53%</w:t>
            </w:r>
          </w:p>
        </w:tc>
        <w:tc>
          <w:tcPr>
            <w:tcW w:type="dxa" w:w="1325"/>
            <w:shd w:val="clear" w:color="auto" w:fill="F6F1E6"/>
          </w:tcPr>
          <w:p>
            <w:pPr>
              <w:spacing w:after="20"/>
              <w:jc w:val="right"/>
            </w:pPr>
            <w:r>
              <w:rPr>
                <w:b/>
                <w:color w:val="1C3A36"/>
                <w:sz w:val="17"/>
              </w:rPr>
              <w:t>15.03%</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0.8149</w:t>
            </w:r>
          </w:p>
        </w:tc>
        <w:tc>
          <w:tcPr>
            <w:tcW w:type="dxa" w:w="1325"/>
          </w:tcPr>
          <w:p>
            <w:pPr>
              <w:spacing w:after="20"/>
              <w:jc w:val="right"/>
            </w:pPr>
            <w:r>
              <w:rPr>
                <w:color w:val="1C3A36"/>
                <w:sz w:val="17"/>
              </w:rPr>
              <w:t>0.6755</w:t>
            </w:r>
          </w:p>
        </w:tc>
        <w:tc>
          <w:tcPr>
            <w:tcW w:type="dxa" w:w="1325"/>
          </w:tcPr>
          <w:p>
            <w:pPr>
              <w:spacing w:after="20"/>
              <w:jc w:val="right"/>
            </w:pPr>
            <w:r>
              <w:rPr>
                <w:color w:val="1C3A36"/>
                <w:sz w:val="17"/>
              </w:rPr>
              <w:t>0.5705</w:t>
            </w:r>
          </w:p>
        </w:tc>
        <w:tc>
          <w:tcPr>
            <w:tcW w:type="dxa" w:w="1325"/>
          </w:tcPr>
          <w:p>
            <w:pPr>
              <w:spacing w:after="20"/>
              <w:jc w:val="right"/>
            </w:pPr>
            <w:r>
              <w:rPr>
                <w:color w:val="1C3A36"/>
                <w:sz w:val="17"/>
              </w:rPr>
              <w:t>0.4896</w:t>
            </w:r>
          </w:p>
        </w:tc>
        <w:tc>
          <w:tcPr>
            <w:tcW w:type="dxa" w:w="1325"/>
          </w:tcPr>
          <w:p>
            <w:pPr>
              <w:spacing w:after="20"/>
              <w:jc w:val="right"/>
            </w:pPr>
            <w:r>
              <w:rPr>
                <w:color w:val="1C3A36"/>
                <w:sz w:val="17"/>
              </w:rPr>
              <w:t>0.4256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-268</w:t>
            </w:r>
          </w:p>
        </w:tc>
        <w:tc>
          <w:tcPr>
            <w:tcW w:type="dxa" w:w="1325"/>
          </w:tcPr>
          <w:p>
            <w:pPr>
              <w:spacing w:after="20"/>
              <w:jc w:val="right"/>
            </w:pPr>
            <w:r>
              <w:rPr>
                <w:color w:val="1C3A36"/>
                <w:sz w:val="17"/>
              </w:rPr>
              <w:t>380</w:t>
            </w:r>
          </w:p>
        </w:tc>
        <w:tc>
          <w:tcPr>
            <w:tcW w:type="dxa" w:w="1325"/>
          </w:tcPr>
          <w:p>
            <w:pPr>
              <w:spacing w:after="20"/>
              <w:jc w:val="right"/>
            </w:pPr>
            <w:r>
              <w:rPr>
                <w:color w:val="1C3A36"/>
                <w:sz w:val="17"/>
              </w:rPr>
              <w:t>598</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661</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2,002</w:t>
            </w:r>
          </w:p>
        </w:tc>
        <w:tc>
          <w:tcPr>
            <w:tcW w:type="dxa" w:w="2232"/>
          </w:tcPr>
          <w:p>
            <w:pPr>
              <w:spacing w:after="20"/>
              <w:jc w:val="right"/>
            </w:pPr>
            <w:r>
              <w:rPr>
                <w:color w:val="1C3A36"/>
                <w:sz w:val="18"/>
              </w:rPr>
              <w:t>11.86</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8,559</w:t>
            </w:r>
          </w:p>
        </w:tc>
        <w:tc>
          <w:tcPr>
            <w:tcW w:type="dxa" w:w="2232"/>
          </w:tcPr>
          <w:p>
            <w:pPr>
              <w:spacing w:after="20"/>
              <w:jc w:val="right"/>
            </w:pPr>
            <w:r>
              <w:rPr>
                <w:color w:val="1C3A36"/>
                <w:sz w:val="18"/>
              </w:rPr>
              <w:t>50.72</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10,561</w:t>
            </w:r>
          </w:p>
        </w:tc>
        <w:tc>
          <w:tcPr>
            <w:tcW w:type="dxa" w:w="2232"/>
          </w:tcPr>
          <w:p>
            <w:pPr>
              <w:spacing w:after="20"/>
              <w:jc w:val="right"/>
            </w:pPr>
            <w:r>
              <w:rPr>
                <w:color w:val="1C3A36"/>
                <w:sz w:val="18"/>
              </w:rPr>
              <w:t>62.58</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81%</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13,551</w:t>
            </w:r>
          </w:p>
        </w:tc>
        <w:tc>
          <w:tcPr>
            <w:tcW w:type="dxa" w:w="2232"/>
          </w:tcPr>
          <w:p>
            <w:pPr>
              <w:spacing w:after="20"/>
              <w:jc w:val="right"/>
            </w:pPr>
            <w:r>
              <w:rPr>
                <w:color w:val="1C3A36"/>
                <w:sz w:val="18"/>
              </w:rPr>
              <w:t>80.30</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63%</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6,183</w:t>
            </w:r>
          </w:p>
        </w:tc>
        <w:tc>
          <w:tcPr>
            <w:tcW w:type="dxa" w:w="2232"/>
          </w:tcPr>
          <w:p>
            <w:pPr>
              <w:spacing w:after="20"/>
              <w:jc w:val="right"/>
            </w:pPr>
            <w:r>
              <w:rPr>
                <w:color w:val="1C3A36"/>
                <w:sz w:val="18"/>
              </w:rPr>
              <w:t>36.64</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9,154</w:t>
            </w:r>
          </w:p>
        </w:tc>
        <w:tc>
          <w:tcPr>
            <w:tcW w:type="dxa" w:w="2232"/>
            <w:shd w:val="clear" w:color="auto" w:fill="F6F1E6"/>
          </w:tcPr>
          <w:p>
            <w:pPr>
              <w:spacing w:after="20"/>
              <w:jc w:val="right"/>
            </w:pPr>
            <w:r>
              <w:rPr>
                <w:b/>
                <w:color w:val="1C3A36"/>
                <w:sz w:val="18"/>
              </w:rPr>
              <w:t>54.24</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81% of the CORE operating value and 63%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16.90% is worth more than its book: the multiple that relationship justifies is (return less growth) over (cost of equity less growth), or 1.19 times book — EGP 43.91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6.33x</w:t>
            </w:r>
          </w:p>
        </w:tc>
        <w:tc>
          <w:tcPr>
            <w:tcW w:type="dxa" w:w="1368"/>
          </w:tcPr>
          <w:p>
            <w:pPr>
              <w:spacing w:after="20"/>
              <w:jc w:val="right"/>
            </w:pPr>
            <w:r>
              <w:rPr>
                <w:color w:val="1C3A36"/>
                <w:sz w:val="17"/>
              </w:rPr>
              <w:t>34.55</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6.47x</w:t>
            </w:r>
          </w:p>
        </w:tc>
        <w:tc>
          <w:tcPr>
            <w:tcW w:type="dxa" w:w="1368"/>
          </w:tcPr>
          <w:p>
            <w:pPr>
              <w:spacing w:after="20"/>
              <w:jc w:val="right"/>
            </w:pPr>
            <w:r>
              <w:rPr>
                <w:color w:val="1C3A36"/>
                <w:sz w:val="17"/>
              </w:rPr>
              <w:t>55.25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16.9%</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6.46x</w:t>
            </w:r>
          </w:p>
        </w:tc>
        <w:tc>
          <w:tcPr>
            <w:tcW w:type="dxa" w:w="1368"/>
            <w:shd w:val="clear" w:color="auto" w:fill="F6F1E6"/>
          </w:tcPr>
          <w:p>
            <w:pPr>
              <w:spacing w:after="20"/>
              <w:jc w:val="right"/>
            </w:pPr>
            <w:r>
              <w:rPr>
                <w:b/>
                <w:color w:val="1C3A36"/>
                <w:sz w:val="17"/>
              </w:rPr>
              <w:t>48.65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16.90% less 7% growth, on the 63% payout that growth rate permits, that is EGP 56.78 a share. Using today's crisis-level cost of equity of 25.57%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37 to EGP 57.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36.64 a share on Frame A and EGP 54.24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7,983 million of revenue by FY2030 at a 45% contribution margin closes the gap from EGP 36.64 to EGP 127.30. That is 30% of FY2030 revenue, or about USD 114 million a year — 1.14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114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90.66 a share — EGP 15,299 million, 71% of the entire share price — for a plant this study values at nothing, against a stated build cost of USD 100 million, about EGP 7,011 million. The market is not merely paying for the plant to work; it is paying roughly 2.2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114 million a year of biosimilar revenue by 2030 is a figure the company will eventually disclose, and a reader can check this study against it. An asset turn of 1.14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28.99%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0.629</w:t>
            </w:r>
          </w:p>
        </w:tc>
        <w:tc>
          <w:tcPr>
            <w:tcW w:type="dxa" w:w="1368"/>
          </w:tcPr>
          <w:p>
            <w:pPr>
              <w:spacing w:after="20"/>
              <w:jc w:val="right"/>
            </w:pPr>
            <w:r>
              <w:rPr>
                <w:color w:val="1C3A36"/>
                <w:sz w:val="16"/>
              </w:rPr>
              <w:t>0.629</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25.57%</w:t>
            </w:r>
          </w:p>
        </w:tc>
        <w:tc>
          <w:tcPr>
            <w:tcW w:type="dxa" w:w="1368"/>
            <w:shd w:val="clear" w:color="auto" w:fill="F6F1E6"/>
          </w:tcPr>
          <w:p>
            <w:pPr>
              <w:spacing w:after="20"/>
              <w:jc w:val="right"/>
            </w:pPr>
            <w:r>
              <w:rPr>
                <w:b/>
                <w:color w:val="1C3A36"/>
                <w:sz w:val="16"/>
              </w:rPr>
              <w:t>25.51%</w:t>
            </w:r>
          </w:p>
        </w:tc>
        <w:tc>
          <w:tcPr>
            <w:tcW w:type="dxa" w:w="4536"/>
            <w:shd w:val="clear" w:color="auto" w:fill="F6F1E6"/>
          </w:tcPr>
          <w:p>
            <w:pPr>
              <w:spacing w:after="20"/>
              <w:jc w:val="right"/>
            </w:pPr>
            <w:r>
              <w:rPr>
                <w:b/>
                <w:color w:val="1C3A36"/>
                <w:sz w:val="16"/>
              </w:rPr>
              <w:t>The two bases agree to 6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22.71%</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22.31%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15.03%</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16.90%, cost of debt after tax 9.56%, DERIVED debt weight 25.5% on today's market values. The forecast balance sheet, once funded, carries 47.9% on book at FY2030E, which would give 13.38%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22.71%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36.64</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27.77</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52.23</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37.34</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c>
          <w:tcPr>
            <w:tcW w:type="dxa" w:w="1368"/>
          </w:tcPr>
          <w:p>
            <w:pPr>
              <w:spacing w:after="20"/>
              <w:jc w:val="right"/>
            </w:pPr>
            <w:r>
              <w:rPr>
                <w:color w:val="1C3A36"/>
                <w:sz w:val="17"/>
              </w:rPr>
              <w:t>53</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32</w:t>
            </w:r>
          </w:p>
        </w:tc>
        <w:tc>
          <w:tcPr>
            <w:tcW w:type="dxa" w:w="1368"/>
          </w:tcPr>
          <w:p>
            <w:pPr>
              <w:spacing w:after="20"/>
              <w:jc w:val="right"/>
            </w:pPr>
            <w:r>
              <w:rPr>
                <w:color w:val="1C3A36"/>
                <w:sz w:val="17"/>
              </w:rPr>
              <w:t>35</w:t>
            </w:r>
          </w:p>
        </w:tc>
        <w:tc>
          <w:tcPr>
            <w:tcW w:type="dxa" w:w="1368"/>
          </w:tcPr>
          <w:p>
            <w:pPr>
              <w:spacing w:after="20"/>
              <w:jc w:val="right"/>
            </w:pPr>
            <w:r>
              <w:rPr>
                <w:color w:val="1C3A36"/>
                <w:sz w:val="17"/>
              </w:rPr>
              <w:t>39</w:t>
            </w:r>
          </w:p>
        </w:tc>
        <w:tc>
          <w:tcPr>
            <w:tcW w:type="dxa" w:w="1368"/>
          </w:tcPr>
          <w:p>
            <w:pPr>
              <w:spacing w:after="20"/>
              <w:jc w:val="right"/>
            </w:pPr>
            <w:r>
              <w:rPr>
                <w:color w:val="1C3A36"/>
                <w:sz w:val="17"/>
              </w:rPr>
              <w:t>44</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25</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30</w:t>
            </w:r>
          </w:p>
        </w:tc>
        <w:tc>
          <w:tcPr>
            <w:tcW w:type="dxa" w:w="1368"/>
          </w:tcPr>
          <w:p>
            <w:pPr>
              <w:spacing w:after="20"/>
              <w:jc w:val="right"/>
            </w:pPr>
            <w:r>
              <w:rPr>
                <w:color w:val="1C3A36"/>
                <w:sz w:val="17"/>
              </w:rPr>
              <w:t>33</w:t>
            </w:r>
          </w:p>
        </w:tc>
        <w:tc>
          <w:tcPr>
            <w:tcW w:type="dxa" w:w="1368"/>
          </w:tcPr>
          <w:p>
            <w:pPr>
              <w:spacing w:after="20"/>
              <w:jc w:val="right"/>
            </w:pPr>
            <w:r>
              <w:rPr>
                <w:color w:val="1C3A36"/>
                <w:sz w:val="17"/>
              </w:rPr>
              <w:t>37</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25</w:t>
            </w:r>
          </w:p>
        </w:tc>
        <w:tc>
          <w:tcPr>
            <w:tcW w:type="dxa" w:w="1368"/>
          </w:tcPr>
          <w:p>
            <w:pPr>
              <w:spacing w:after="20"/>
              <w:jc w:val="right"/>
            </w:pPr>
            <w:r>
              <w:rPr>
                <w:color w:val="1C3A36"/>
                <w:sz w:val="17"/>
              </w:rPr>
              <w:t>28</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26</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18 to EGP 53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1,996 million of FY2030 sales, or USD 28 million a year — is worth about EGP 22.67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4160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4160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A third set was run on the period AFTER the currency break that dominates the older history — 16 windows from 2022-06-20 to 2026-03-24, scoring -0.0109 — and it is published here because it is the set that matches the period the bands shown above are built on. All three are reported together; reporting only two of three would be a choice about which evidence a reader sees.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36.64</w:t>
            </w:r>
          </w:p>
        </w:tc>
        <w:tc>
          <w:tcPr>
            <w:tcW w:type="dxa" w:w="2952"/>
          </w:tcPr>
          <w:p>
            <w:pPr>
              <w:spacing w:after="20"/>
              <w:jc w:val="right"/>
            </w:pPr>
            <w:r>
              <w:rPr>
                <w:color w:val="1C3A36"/>
                <w:sz w:val="16"/>
              </w:rPr>
              <w:t>the terminal discount rate and the terminal growth rate — 81%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54.24</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43.91</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48.65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56.78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36.64; the highest is the normalised-earnings lens at EGP 56.78. The cash-flow readings charge the new plant's full cost and credit it with nothing, so they sit low despite capturing five years of the volume and price growth the existing business is already delivering. The relative lens prices the company on what a 18.8% return and a 16.9% perpetual cost of equity can justify, which supports about 6.33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114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36.64 and EGP 54.24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36.64 on Frame A (-54%) and EGP 54.24 on Frame B (-32%)</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beta composite contains the subject itself</w:t>
            </w:r>
          </w:p>
        </w:tc>
        <w:tc>
          <w:tcPr>
            <w:tcW w:type="dxa" w:w="4824"/>
          </w:tcPr>
          <w:p>
            <w:pPr>
              <w:spacing w:after="20"/>
              <w:jc w:val="right"/>
            </w:pPr>
            <w:r>
              <w:rPr>
                <w:color w:val="1C3A36"/>
                <w:sz w:val="16"/>
              </w:rPr>
              <w:t>the 36-name equal-weighted local composite the beta is regressed against includes this company at about 2.8% weight, which biases the coefficient toward one. Removing it gives 0.565 rather than 0.629, which would RAISE the two centres by about EGP 28.40 and EGP 18.62 a share. The in-index coefficient is carried because it is the more conservative of the two and because it is what a real local index produces; both are published in the bibliography</w:t>
            </w:r>
          </w:p>
        </w:tc>
        <w:tc>
          <w:tcPr>
            <w:tcW w:type="dxa" w:w="2376"/>
          </w:tcPr>
          <w:p>
            <w:pPr>
              <w:spacing w:after="20"/>
              <w:jc w:val="right"/>
            </w:pPr>
            <w:r>
              <w:rPr>
                <w:color w:val="1C3A36"/>
                <w:sz w:val="16"/>
              </w:rPr>
              <w:t>a published local index that excludes the constituent under study</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114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14,621</w:t>
            </w:r>
          </w:p>
        </w:tc>
        <w:tc>
          <w:tcPr>
            <w:tcW w:type="dxa" w:w="1469"/>
            <w:shd w:val="clear" w:color="auto" w:fill="F6F1E6"/>
          </w:tcPr>
          <w:p>
            <w:pPr>
              <w:spacing w:after="20"/>
              <w:jc w:val="right"/>
            </w:pPr>
            <w:r>
              <w:rPr>
                <w:b/>
                <w:color w:val="1C3A36"/>
                <w:sz w:val="15"/>
              </w:rPr>
              <w:t>16,637</w:t>
            </w:r>
          </w:p>
        </w:tc>
        <w:tc>
          <w:tcPr>
            <w:tcW w:type="dxa" w:w="1469"/>
            <w:shd w:val="clear" w:color="auto" w:fill="F6F1E6"/>
          </w:tcPr>
          <w:p>
            <w:pPr>
              <w:spacing w:after="20"/>
              <w:jc w:val="right"/>
            </w:pPr>
            <w:r>
              <w:rPr>
                <w:b/>
                <w:color w:val="1C3A36"/>
                <w:sz w:val="15"/>
              </w:rPr>
              <w:t>18,608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25,318</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29,586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5,390</w:t>
            </w:r>
          </w:p>
        </w:tc>
        <w:tc>
          <w:tcPr>
            <w:tcW w:type="dxa" w:w="1469"/>
            <w:shd w:val="clear" w:color="auto" w:fill="F6F1E6"/>
          </w:tcPr>
          <w:p>
            <w:pPr>
              <w:spacing w:after="20"/>
              <w:jc w:val="right"/>
            </w:pPr>
            <w:r>
              <w:rPr>
                <w:b/>
                <w:color w:val="1C3A36"/>
                <w:sz w:val="15"/>
              </w:rPr>
              <w:t>6,115</w:t>
            </w:r>
          </w:p>
        </w:tc>
        <w:tc>
          <w:tcPr>
            <w:tcW w:type="dxa" w:w="1469"/>
            <w:shd w:val="clear" w:color="auto" w:fill="F6F1E6"/>
          </w:tcPr>
          <w:p>
            <w:pPr>
              <w:spacing w:after="20"/>
              <w:jc w:val="right"/>
            </w:pPr>
            <w:r>
              <w:rPr>
                <w:b/>
                <w:color w:val="1C3A36"/>
                <w:sz w:val="15"/>
              </w:rPr>
              <w:t>6,785</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9,866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11,481</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1,353</w:t>
            </w:r>
          </w:p>
        </w:tc>
        <w:tc>
          <w:tcPr>
            <w:tcW w:type="dxa" w:w="1469"/>
            <w:shd w:val="clear" w:color="auto" w:fill="F6F1E6"/>
          </w:tcPr>
          <w:p>
            <w:pPr>
              <w:spacing w:after="20"/>
              <w:jc w:val="right"/>
            </w:pPr>
            <w:r>
              <w:rPr>
                <w:b/>
                <w:color w:val="1C3A36"/>
                <w:sz w:val="15"/>
              </w:rPr>
              <w:t>1,678</w:t>
            </w:r>
          </w:p>
        </w:tc>
        <w:tc>
          <w:tcPr>
            <w:tcW w:type="dxa" w:w="1469"/>
            <w:shd w:val="clear" w:color="auto" w:fill="F6F1E6"/>
          </w:tcPr>
          <w:p>
            <w:pPr>
              <w:spacing w:after="20"/>
              <w:jc w:val="right"/>
            </w:pPr>
            <w:r>
              <w:rPr>
                <w:b/>
                <w:color w:val="1C3A36"/>
                <w:sz w:val="15"/>
              </w:rPr>
              <w:t>1,979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2,326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4,606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512</w:t>
            </w:r>
          </w:p>
        </w:tc>
        <w:tc>
          <w:tcPr>
            <w:tcW w:type="dxa" w:w="1469"/>
            <w:shd w:val="clear" w:color="auto" w:fill="F6F1E6"/>
          </w:tcPr>
          <w:p>
            <w:pPr>
              <w:spacing w:after="20"/>
              <w:jc w:val="right"/>
            </w:pPr>
            <w:r>
              <w:rPr>
                <w:b/>
                <w:color w:val="1C3A36"/>
                <w:sz w:val="15"/>
              </w:rPr>
              <w:t>532</w:t>
            </w:r>
          </w:p>
        </w:tc>
        <w:tc>
          <w:tcPr>
            <w:tcW w:type="dxa" w:w="1469"/>
            <w:shd w:val="clear" w:color="auto" w:fill="F6F1E6"/>
          </w:tcPr>
          <w:p>
            <w:pPr>
              <w:spacing w:after="20"/>
              <w:jc w:val="right"/>
            </w:pPr>
            <w:r>
              <w:rPr>
                <w:b/>
                <w:color w:val="1C3A36"/>
                <w:sz w:val="15"/>
              </w:rPr>
              <w:t>558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1,103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2,722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27.77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81%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2,002</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1,509</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15.03% − 7% = 8.03%</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20,109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8,559</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10,561</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6,183</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36.64</w:t>
            </w:r>
          </w:p>
        </w:tc>
      </w:tr>
    </w:tbl>
    <w:p>
      <w:pPr>
        <w:spacing w:after="40"/>
      </w:pPr>
    </w:p>
    <w:p>
      <w:pPr>
        <w:spacing w:after="120" w:before="0"/>
      </w:pPr>
      <w:r>
        <w:rPr>
          <w:b w:val="0"/>
          <w:i w:val="0"/>
          <w:color w:val="1C3A36"/>
          <w:sz w:val="21"/>
        </w:rPr>
        <w:t>Named sensitivity: the terminal discount rate. Every 100 basis points on it is worth roughly EGP 6 a share. At 81%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16.90%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1.19x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43.91</w:t>
            </w:r>
          </w:p>
        </w:tc>
      </w:tr>
    </w:tbl>
    <w:p>
      <w:pPr>
        <w:spacing w:after="40"/>
      </w:pPr>
    </w:p>
    <w:p>
      <w:pPr>
        <w:spacing w:after="120" w:before="0"/>
      </w:pPr>
      <w:r>
        <w:rPr>
          <w:b w:val="0"/>
          <w:i w:val="0"/>
          <w:color w:val="1C3A36"/>
          <w:sz w:val="21"/>
        </w:rPr>
        <w:t>Named sensitivity: the sustainable return. If it settles at 20% rather than 18.8%, the justified multiple falls to 1.31 times and the value to EGP 48.56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36.64</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90.66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15,299m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7,983m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30%</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114m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1.14x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10,264 million, or USD 146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18 to EGP 53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36.64 to EGP 43.91 a share, and the study's own two centres, EGP 36.64 and EGP 54.24,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36.64. Expert 2 says: nothing until it produces a return, so EGP 43.91. Expert 3 says: the market says EGP 90.66 a share, which requires USD 114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-7.27</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90.66</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-17.60</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-90.66</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-73.06</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-17.60</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