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17.4% to 31.9%. This study does not use a single rate: it discounts each year at its own, starting at 32.37% on the credit-default-swap premium — the rating-based premium runs 3.42% higher in the first year —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35.79%</w:t>
            </w:r>
          </w:p>
        </w:tc>
        <w:tc>
          <w:tcPr>
            <w:tcW w:type="dxa" w:w="1378"/>
          </w:tcPr>
          <w:p>
            <w:pPr>
              <w:jc w:val="right"/>
            </w:pPr>
            <w:r/>
            <w:r>
              <w:rPr>
                <w:color w:val="1A1D21"/>
                <w:sz w:val="17"/>
              </w:rPr>
              <w:t>221,706</w:t>
            </w:r>
          </w:p>
        </w:tc>
        <w:tc>
          <w:tcPr>
            <w:tcW w:type="dxa" w:w="1202"/>
          </w:tcPr>
          <w:p>
            <w:pPr>
              <w:jc w:val="right"/>
            </w:pPr>
            <w:r/>
            <w:r>
              <w:rPr>
                <w:color w:val="1A1D21"/>
                <w:sz w:val="17"/>
              </w:rPr>
              <w:t>244,183</w:t>
            </w:r>
          </w:p>
        </w:tc>
        <w:tc>
          <w:tcPr>
            <w:tcW w:type="dxa" w:w="1151"/>
          </w:tcPr>
          <w:p>
            <w:pPr>
              <w:jc w:val="right"/>
            </w:pPr>
            <w:r/>
            <w:r>
              <w:rPr>
                <w:color w:val="1A1D21"/>
                <w:sz w:val="17"/>
              </w:rPr>
              <w:t>118.50</w:t>
            </w:r>
          </w:p>
        </w:tc>
        <w:tc>
          <w:tcPr>
            <w:tcW w:type="dxa" w:w="867"/>
          </w:tcPr>
          <w:p>
            <w:pPr>
              <w:jc w:val="right"/>
            </w:pPr>
            <w:r/>
            <w:r>
              <w:rPr>
                <w:color w:val="1A1D21"/>
                <w:sz w:val="17"/>
              </w:rPr>
              <w:t>113.24</w:t>
            </w:r>
          </w:p>
        </w:tc>
        <w:tc>
          <w:tcPr>
            <w:tcW w:type="dxa" w:w="867"/>
          </w:tcPr>
          <w:p>
            <w:pPr>
              <w:jc w:val="right"/>
            </w:pPr>
            <w:r/>
            <w:r>
              <w:rPr>
                <w:color w:val="1A1D21"/>
                <w:sz w:val="17"/>
              </w:rPr>
              <w:t>82.15</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35.79%</w:t>
            </w:r>
          </w:p>
        </w:tc>
        <w:tc>
          <w:tcPr>
            <w:tcW w:type="dxa" w:w="1378"/>
          </w:tcPr>
          <w:p>
            <w:pPr>
              <w:jc w:val="right"/>
            </w:pPr>
            <w:r/>
            <w:r>
              <w:rPr>
                <w:color w:val="1A1D21"/>
                <w:sz w:val="17"/>
              </w:rPr>
              <w:t>78,802</w:t>
            </w:r>
          </w:p>
        </w:tc>
        <w:tc>
          <w:tcPr>
            <w:tcW w:type="dxa" w:w="1202"/>
          </w:tcPr>
          <w:p>
            <w:pPr>
              <w:jc w:val="right"/>
            </w:pPr>
            <w:r/>
            <w:r>
              <w:rPr>
                <w:color w:val="1A1D21"/>
                <w:sz w:val="17"/>
              </w:rPr>
              <w:t>131,255</w:t>
            </w:r>
          </w:p>
        </w:tc>
        <w:tc>
          <w:tcPr>
            <w:tcW w:type="dxa" w:w="1151"/>
          </w:tcPr>
          <w:p>
            <w:pPr>
              <w:jc w:val="right"/>
            </w:pPr>
            <w:r/>
            <w:r>
              <w:rPr>
                <w:color w:val="1A1D21"/>
                <w:sz w:val="17"/>
              </w:rPr>
              <w:t>63.70</w:t>
            </w:r>
          </w:p>
        </w:tc>
        <w:tc>
          <w:tcPr>
            <w:tcW w:type="dxa" w:w="867"/>
          </w:tcPr>
          <w:p>
            <w:pPr>
              <w:jc w:val="right"/>
            </w:pPr>
            <w:r/>
            <w:r>
              <w:rPr>
                <w:color w:val="1A1D21"/>
                <w:sz w:val="17"/>
              </w:rPr>
              <w:t>43.89</w:t>
            </w:r>
          </w:p>
        </w:tc>
        <w:tc>
          <w:tcPr>
            <w:tcW w:type="dxa" w:w="867"/>
          </w:tcPr>
          <w:p>
            <w:pPr>
              <w:jc w:val="right"/>
            </w:pPr>
            <w:r/>
            <w:r>
              <w:rPr>
                <w:color w:val="1A1D21"/>
                <w:sz w:val="17"/>
              </w:rPr>
              <w:t>44.16</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32.37%</w:t>
            </w:r>
          </w:p>
        </w:tc>
        <w:tc>
          <w:tcPr>
            <w:tcW w:type="dxa" w:w="1378"/>
          </w:tcPr>
          <w:p>
            <w:pPr>
              <w:jc w:val="right"/>
            </w:pPr>
            <w:r/>
            <w:r>
              <w:rPr>
                <w:color w:val="1A1D21"/>
                <w:sz w:val="17"/>
              </w:rPr>
              <w:t>233,520</w:t>
            </w:r>
          </w:p>
        </w:tc>
        <w:tc>
          <w:tcPr>
            <w:tcW w:type="dxa" w:w="1202"/>
          </w:tcPr>
          <w:p>
            <w:pPr>
              <w:jc w:val="right"/>
            </w:pPr>
            <w:r/>
            <w:r>
              <w:rPr>
                <w:color w:val="1A1D21"/>
                <w:sz w:val="17"/>
              </w:rPr>
              <w:t>253,519</w:t>
            </w:r>
          </w:p>
        </w:tc>
        <w:tc>
          <w:tcPr>
            <w:tcW w:type="dxa" w:w="1151"/>
          </w:tcPr>
          <w:p>
            <w:pPr>
              <w:jc w:val="right"/>
            </w:pPr>
            <w:r/>
            <w:r>
              <w:rPr>
                <w:color w:val="1A1D21"/>
                <w:sz w:val="17"/>
              </w:rPr>
              <w:t>123.03</w:t>
            </w:r>
          </w:p>
        </w:tc>
        <w:tc>
          <w:tcPr>
            <w:tcW w:type="dxa" w:w="867"/>
          </w:tcPr>
          <w:p>
            <w:pPr>
              <w:jc w:val="right"/>
            </w:pPr>
            <w:r/>
            <w:r>
              <w:rPr>
                <w:color w:val="1A1D21"/>
                <w:sz w:val="17"/>
              </w:rPr>
              <w:t>118.97</w:t>
            </w:r>
          </w:p>
        </w:tc>
        <w:tc>
          <w:tcPr>
            <w:tcW w:type="dxa" w:w="867"/>
          </w:tcPr>
          <w:p>
            <w:pPr>
              <w:jc w:val="right"/>
            </w:pPr>
            <w:r/>
            <w:r>
              <w:rPr>
                <w:color w:val="1A1D21"/>
                <w:sz w:val="17"/>
              </w:rPr>
              <w:t>85.29</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32.37%</w:t>
            </w:r>
          </w:p>
        </w:tc>
        <w:tc>
          <w:tcPr>
            <w:tcW w:type="dxa" w:w="1378"/>
          </w:tcPr>
          <w:p>
            <w:pPr>
              <w:jc w:val="right"/>
            </w:pPr>
            <w:r/>
            <w:r>
              <w:rPr>
                <w:color w:val="1A1D21"/>
                <w:sz w:val="17"/>
              </w:rPr>
              <w:t>82,629</w:t>
            </w:r>
          </w:p>
        </w:tc>
        <w:tc>
          <w:tcPr>
            <w:tcW w:type="dxa" w:w="1202"/>
          </w:tcPr>
          <w:p>
            <w:pPr>
              <w:jc w:val="right"/>
            </w:pPr>
            <w:r/>
            <w:r>
              <w:rPr>
                <w:color w:val="1A1D21"/>
                <w:sz w:val="17"/>
              </w:rPr>
              <w:t>134,279</w:t>
            </w:r>
          </w:p>
        </w:tc>
        <w:tc>
          <w:tcPr>
            <w:tcW w:type="dxa" w:w="1151"/>
          </w:tcPr>
          <w:p>
            <w:pPr>
              <w:jc w:val="right"/>
            </w:pPr>
            <w:r/>
            <w:r>
              <w:rPr>
                <w:color w:val="1A1D21"/>
                <w:sz w:val="17"/>
              </w:rPr>
              <w:t>65.16</w:t>
            </w:r>
          </w:p>
        </w:tc>
        <w:tc>
          <w:tcPr>
            <w:tcW w:type="dxa" w:w="867"/>
          </w:tcPr>
          <w:p>
            <w:pPr>
              <w:jc w:val="right"/>
            </w:pPr>
            <w:r/>
            <w:r>
              <w:rPr>
                <w:color w:val="1A1D21"/>
                <w:sz w:val="17"/>
              </w:rPr>
              <w:t>45.75</w:t>
            </w:r>
          </w:p>
        </w:tc>
        <w:tc>
          <w:tcPr>
            <w:tcW w:type="dxa" w:w="867"/>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case built on the rating-based equity risk premium, slower conversion, whose first-year rate is 35.79%;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118.50</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+0.26</w:t>
            </w:r>
          </w:p>
        </w:tc>
        <w:tc>
          <w:tcPr>
            <w:tcW w:type="dxa" w:w="1032"/>
          </w:tcPr>
          <w:p>
            <w:pPr>
              <w:jc w:val="right"/>
            </w:pPr>
            <w:r/>
            <w:r>
              <w:rPr>
                <w:color w:val="1A1D21"/>
                <w:sz w:val="17"/>
              </w:rPr>
              <w:t>0.68</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-0.25</w:t>
            </w:r>
          </w:p>
        </w:tc>
        <w:tc>
          <w:tcPr>
            <w:tcW w:type="dxa" w:w="1032"/>
          </w:tcPr>
          <w:p>
            <w:pPr>
              <w:jc w:val="right"/>
            </w:pPr>
            <w:r/>
            <w:r>
              <w:rPr>
                <w:color w:val="1A1D21"/>
                <w:sz w:val="17"/>
              </w:rPr>
              <w:t>0.44</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58.54</w:t>
            </w:r>
          </w:p>
        </w:tc>
      </w:tr>
      <w:tr>
        <w:trPr>
          <w:cantSplit/>
        </w:trPr>
        <w:tc>
          <w:tcPr>
            <w:tcW w:type="dxa" w:w="3969"/>
          </w:tcPr>
          <w:p>
            <w:r/>
            <w:r>
              <w:rPr>
                <w:color w:val="1A1D21"/>
                <w:sz w:val="17"/>
              </w:rPr>
              <w:t>10</w:t>
            </w:r>
          </w:p>
        </w:tc>
        <w:tc>
          <w:tcPr>
            <w:tcW w:type="dxa" w:w="2268"/>
          </w:tcPr>
          <w:p>
            <w:pPr>
              <w:jc w:val="right"/>
            </w:pPr>
            <w:r/>
            <w:r>
              <w:rPr>
                <w:color w:val="1A1D21"/>
                <w:sz w:val="17"/>
              </w:rPr>
              <w:t>84.50</w:t>
            </w:r>
          </w:p>
        </w:tc>
      </w:tr>
      <w:tr>
        <w:trPr>
          <w:cantSplit/>
        </w:trPr>
        <w:tc>
          <w:tcPr>
            <w:tcW w:type="dxa" w:w="3969"/>
          </w:tcPr>
          <w:p>
            <w:r/>
            <w:r>
              <w:rPr>
                <w:color w:val="1A1D21"/>
                <w:sz w:val="17"/>
              </w:rPr>
              <w:t>12</w:t>
            </w:r>
          </w:p>
        </w:tc>
        <w:tc>
          <w:tcPr>
            <w:tcW w:type="dxa" w:w="2268"/>
          </w:tcPr>
          <w:p>
            <w:pPr>
              <w:jc w:val="right"/>
            </w:pPr>
            <w:r/>
            <w:r>
              <w:rPr>
                <w:color w:val="1A1D21"/>
                <w:sz w:val="17"/>
              </w:rPr>
              <w:t>103.67</w:t>
            </w:r>
          </w:p>
        </w:tc>
      </w:tr>
      <w:tr>
        <w:trPr>
          <w:cantSplit/>
        </w:trPr>
        <w:tc>
          <w:tcPr>
            <w:tcW w:type="dxa" w:w="3969"/>
          </w:tcPr>
          <w:p>
            <w:r/>
            <w:r>
              <w:rPr>
                <w:color w:val="1A1D21"/>
                <w:sz w:val="17"/>
              </w:rPr>
              <w:t>14</w:t>
            </w:r>
          </w:p>
        </w:tc>
        <w:tc>
          <w:tcPr>
            <w:tcW w:type="dxa" w:w="2268"/>
          </w:tcPr>
          <w:p>
            <w:pPr>
              <w:jc w:val="right"/>
            </w:pPr>
            <w:r/>
            <w:r>
              <w:rPr>
                <w:color w:val="1A1D21"/>
                <w:sz w:val="17"/>
              </w:rPr>
              <w:t>118.50</w:t>
            </w:r>
          </w:p>
        </w:tc>
      </w:tr>
      <w:tr>
        <w:trPr>
          <w:cantSplit/>
        </w:trPr>
        <w:tc>
          <w:tcPr>
            <w:tcW w:type="dxa" w:w="3969"/>
          </w:tcPr>
          <w:p>
            <w:r/>
            <w:r>
              <w:rPr>
                <w:color w:val="1A1D21"/>
                <w:sz w:val="17"/>
              </w:rPr>
              <w:t>16</w:t>
            </w:r>
          </w:p>
        </w:tc>
        <w:tc>
          <w:tcPr>
            <w:tcW w:type="dxa" w:w="2268"/>
          </w:tcPr>
          <w:p>
            <w:pPr>
              <w:jc w:val="right"/>
            </w:pPr>
            <w:r/>
            <w:r>
              <w:rPr>
                <w:color w:val="1A1D21"/>
                <w:sz w:val="17"/>
              </w:rPr>
              <w:t>130.36</w:t>
            </w:r>
          </w:p>
        </w:tc>
      </w:tr>
      <w:tr>
        <w:trPr>
          <w:cantSplit/>
        </w:trPr>
        <w:tc>
          <w:tcPr>
            <w:tcW w:type="dxa" w:w="3969"/>
          </w:tcPr>
          <w:p>
            <w:r/>
            <w:r>
              <w:rPr>
                <w:color w:val="1A1D21"/>
                <w:sz w:val="17"/>
              </w:rPr>
              <w:t>20</w:t>
            </w:r>
          </w:p>
        </w:tc>
        <w:tc>
          <w:tcPr>
            <w:tcW w:type="dxa" w:w="2268"/>
          </w:tcPr>
          <w:p>
            <w:pPr>
              <w:jc w:val="right"/>
            </w:pPr>
            <w:r/>
            <w:r>
              <w:rPr>
                <w:color w:val="1A1D21"/>
                <w:sz w:val="17"/>
              </w:rPr>
              <w:t>148.18</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118.50 a share and the faster one EGP 63.70.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32.4%</w:t>
            </w:r>
          </w:p>
        </w:tc>
        <w:tc>
          <w:tcPr>
            <w:tcW w:type="dxa" w:w="794"/>
          </w:tcPr>
          <w:p>
            <w:pPr>
              <w:jc w:val="right"/>
            </w:pPr>
            <w:r/>
            <w:r>
              <w:rPr>
                <w:color w:val="1A1D21"/>
                <w:sz w:val="17"/>
              </w:rPr>
              <w:t>28.6%</w:t>
            </w:r>
          </w:p>
        </w:tc>
        <w:tc>
          <w:tcPr>
            <w:tcW w:type="dxa" w:w="794"/>
          </w:tcPr>
          <w:p>
            <w:pPr>
              <w:jc w:val="right"/>
            </w:pPr>
            <w:r/>
            <w:r>
              <w:rPr>
                <w:color w:val="1A1D21"/>
                <w:sz w:val="17"/>
              </w:rPr>
              <w:t>25.7%</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0.755</w:t>
            </w:r>
          </w:p>
        </w:tc>
        <w:tc>
          <w:tcPr>
            <w:tcW w:type="dxa" w:w="794"/>
          </w:tcPr>
          <w:p>
            <w:pPr>
              <w:jc w:val="right"/>
            </w:pPr>
            <w:r/>
            <w:r>
              <w:rPr>
                <w:color w:val="1A1D21"/>
                <w:sz w:val="17"/>
              </w:rPr>
              <w:t>0.587</w:t>
            </w:r>
          </w:p>
        </w:tc>
        <w:tc>
          <w:tcPr>
            <w:tcW w:type="dxa" w:w="794"/>
          </w:tcPr>
          <w:p>
            <w:pPr>
              <w:jc w:val="right"/>
            </w:pPr>
            <w:r/>
            <w:r>
              <w:rPr>
                <w:color w:val="1A1D21"/>
                <w:sz w:val="17"/>
              </w:rPr>
              <w:t>0.467</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0.171</w:t>
            </w:r>
          </w:p>
        </w:tc>
        <w:tc>
          <w:tcPr>
            <w:tcW w:type="dxa" w:w="794"/>
          </w:tcPr>
          <w:p>
            <w:pPr>
              <w:jc w:val="right"/>
            </w:pPr>
            <w:r/>
            <w:r>
              <w:rPr>
                <w:color w:val="1A1D21"/>
                <w:sz w:val="17"/>
              </w:rPr>
              <w:t>0.140</w:t>
            </w:r>
          </w:p>
        </w:tc>
        <w:tc>
          <w:tcPr>
            <w:tcW w:type="dxa" w:w="794"/>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196.51</w:t>
            </w:r>
          </w:p>
        </w:tc>
        <w:tc>
          <w:tcPr>
            <w:tcW w:type="dxa" w:w="2494"/>
          </w:tcPr>
          <w:p>
            <w:pPr>
              <w:jc w:val="right"/>
            </w:pPr>
            <w:r/>
            <w:r>
              <w:rPr>
                <w:color w:val="1A1D21"/>
                <w:sz w:val="17"/>
              </w:rPr>
              <w:t>125.52</w:t>
            </w:r>
          </w:p>
        </w:tc>
        <w:tc>
          <w:tcPr>
            <w:tcW w:type="dxa" w:w="2381"/>
          </w:tcPr>
          <w:p>
            <w:pPr>
              <w:jc w:val="right"/>
            </w:pPr>
            <w:r/>
            <w:r>
              <w:rPr>
                <w:color w:val="1A1D21"/>
                <w:sz w:val="17"/>
              </w:rPr>
              <w:t>101%</w:t>
            </w:r>
          </w:p>
        </w:tc>
      </w:tr>
      <w:tr>
        <w:trPr>
          <w:cantSplit/>
        </w:trPr>
        <w:tc>
          <w:tcPr>
            <w:tcW w:type="dxa" w:w="1814"/>
          </w:tcPr>
          <w:p>
            <w:r/>
            <w:r>
              <w:rPr>
                <w:color w:val="1A1D21"/>
                <w:sz w:val="17"/>
              </w:rPr>
              <w:t>28.37%</w:t>
            </w:r>
          </w:p>
        </w:tc>
        <w:tc>
          <w:tcPr>
            <w:tcW w:type="dxa" w:w="2494"/>
          </w:tcPr>
          <w:p>
            <w:pPr>
              <w:jc w:val="right"/>
            </w:pPr>
            <w:r/>
            <w:r>
              <w:rPr>
                <w:color w:val="1A1D21"/>
                <w:sz w:val="17"/>
              </w:rPr>
              <w:t>149.44</w:t>
            </w:r>
          </w:p>
        </w:tc>
        <w:tc>
          <w:tcPr>
            <w:tcW w:type="dxa" w:w="2494"/>
          </w:tcPr>
          <w:p>
            <w:pPr>
              <w:jc w:val="right"/>
            </w:pPr>
            <w:r/>
            <w:r>
              <w:rPr>
                <w:color w:val="1A1D21"/>
                <w:sz w:val="17"/>
              </w:rPr>
              <w:t>84.41</w:t>
            </w:r>
          </w:p>
        </w:tc>
        <w:tc>
          <w:tcPr>
            <w:tcW w:type="dxa" w:w="2381"/>
          </w:tcPr>
          <w:p>
            <w:pPr>
              <w:jc w:val="right"/>
            </w:pPr>
            <w:r/>
            <w:r>
              <w:rPr>
                <w:color w:val="1A1D21"/>
                <w:sz w:val="17"/>
              </w:rPr>
              <w:t>53%</w:t>
            </w:r>
          </w:p>
        </w:tc>
      </w:tr>
      <w:tr>
        <w:trPr>
          <w:cantSplit/>
        </w:trPr>
        <w:tc>
          <w:tcPr>
            <w:tcW w:type="dxa" w:w="1814"/>
          </w:tcPr>
          <w:p>
            <w:r/>
            <w:r>
              <w:rPr>
                <w:color w:val="1A1D21"/>
                <w:sz w:val="17"/>
              </w:rPr>
              <w:t>30.37%</w:t>
            </w:r>
          </w:p>
        </w:tc>
        <w:tc>
          <w:tcPr>
            <w:tcW w:type="dxa" w:w="2494"/>
          </w:tcPr>
          <w:p>
            <w:pPr>
              <w:jc w:val="right"/>
            </w:pPr>
            <w:r/>
            <w:r>
              <w:rPr>
                <w:color w:val="1A1D21"/>
                <w:sz w:val="17"/>
              </w:rPr>
              <w:t>134.67</w:t>
            </w:r>
          </w:p>
        </w:tc>
        <w:tc>
          <w:tcPr>
            <w:tcW w:type="dxa" w:w="2494"/>
          </w:tcPr>
          <w:p>
            <w:pPr>
              <w:jc w:val="right"/>
            </w:pPr>
            <w:r/>
            <w:r>
              <w:rPr>
                <w:color w:val="1A1D21"/>
                <w:sz w:val="17"/>
              </w:rPr>
              <w:t>73.18</w:t>
            </w:r>
          </w:p>
        </w:tc>
        <w:tc>
          <w:tcPr>
            <w:tcW w:type="dxa" w:w="2381"/>
          </w:tcPr>
          <w:p>
            <w:pPr>
              <w:jc w:val="right"/>
            </w:pPr>
            <w:r/>
            <w:r>
              <w:rPr>
                <w:color w:val="1A1D21"/>
                <w:sz w:val="17"/>
              </w:rPr>
              <w:t>38%</w:t>
            </w:r>
          </w:p>
        </w:tc>
      </w:tr>
      <w:tr>
        <w:trPr>
          <w:cantSplit/>
        </w:trPr>
        <w:tc>
          <w:tcPr>
            <w:tcW w:type="dxa" w:w="1814"/>
          </w:tcPr>
          <w:p>
            <w:r/>
            <w:r>
              <w:rPr>
                <w:color w:val="1A1D21"/>
                <w:sz w:val="17"/>
              </w:rPr>
              <w:t>32.37%</w:t>
            </w:r>
          </w:p>
        </w:tc>
        <w:tc>
          <w:tcPr>
            <w:tcW w:type="dxa" w:w="2494"/>
          </w:tcPr>
          <w:p>
            <w:pPr>
              <w:jc w:val="right"/>
            </w:pPr>
            <w:r/>
            <w:r>
              <w:rPr>
                <w:color w:val="1A1D21"/>
                <w:sz w:val="17"/>
              </w:rPr>
              <w:t>123.03</w:t>
            </w:r>
          </w:p>
        </w:tc>
        <w:tc>
          <w:tcPr>
            <w:tcW w:type="dxa" w:w="2494"/>
          </w:tcPr>
          <w:p>
            <w:pPr>
              <w:jc w:val="right"/>
            </w:pPr>
            <w:r/>
            <w:r>
              <w:rPr>
                <w:color w:val="1A1D21"/>
                <w:sz w:val="17"/>
              </w:rPr>
              <w:t>65.16</w:t>
            </w:r>
          </w:p>
        </w:tc>
        <w:tc>
          <w:tcPr>
            <w:tcW w:type="dxa" w:w="2381"/>
          </w:tcPr>
          <w:p>
            <w:pPr>
              <w:jc w:val="right"/>
            </w:pPr>
            <w:r/>
            <w:r>
              <w:rPr>
                <w:color w:val="1A1D21"/>
                <w:sz w:val="17"/>
              </w:rPr>
              <w:t>26%</w:t>
            </w:r>
          </w:p>
        </w:tc>
      </w:tr>
      <w:tr>
        <w:trPr>
          <w:cantSplit/>
        </w:trPr>
        <w:tc>
          <w:tcPr>
            <w:tcW w:type="dxa" w:w="1814"/>
          </w:tcPr>
          <w:p>
            <w:r/>
            <w:r>
              <w:rPr>
                <w:color w:val="1A1D21"/>
                <w:sz w:val="17"/>
              </w:rPr>
              <w:t>34.37%</w:t>
            </w:r>
          </w:p>
        </w:tc>
        <w:tc>
          <w:tcPr>
            <w:tcW w:type="dxa" w:w="2494"/>
          </w:tcPr>
          <w:p>
            <w:pPr>
              <w:jc w:val="right"/>
            </w:pPr>
            <w:r/>
            <w:r>
              <w:rPr>
                <w:color w:val="1A1D21"/>
                <w:sz w:val="17"/>
              </w:rPr>
              <w:t>113.59</w:t>
            </w:r>
          </w:p>
        </w:tc>
        <w:tc>
          <w:tcPr>
            <w:tcW w:type="dxa" w:w="2494"/>
          </w:tcPr>
          <w:p>
            <w:pPr>
              <w:jc w:val="right"/>
            </w:pPr>
            <w:r/>
            <w:r>
              <w:rPr>
                <w:color w:val="1A1D21"/>
                <w:sz w:val="17"/>
              </w:rPr>
              <w:t>59.32</w:t>
            </w:r>
          </w:p>
        </w:tc>
        <w:tc>
          <w:tcPr>
            <w:tcW w:type="dxa" w:w="2381"/>
          </w:tcPr>
          <w:p>
            <w:pPr>
              <w:jc w:val="right"/>
            </w:pPr>
            <w:r/>
            <w:r>
              <w:rPr>
                <w:color w:val="1A1D21"/>
                <w:sz w:val="17"/>
              </w:rPr>
              <w:t>16%</w:t>
            </w:r>
          </w:p>
        </w:tc>
      </w:tr>
      <w:tr>
        <w:trPr>
          <w:cantSplit/>
        </w:trPr>
        <w:tc>
          <w:tcPr>
            <w:tcW w:type="dxa" w:w="1814"/>
          </w:tcPr>
          <w:p>
            <w:r/>
            <w:r>
              <w:rPr>
                <w:color w:val="1A1D21"/>
                <w:sz w:val="17"/>
              </w:rPr>
              <w:t>36.37%</w:t>
            </w:r>
          </w:p>
        </w:tc>
        <w:tc>
          <w:tcPr>
            <w:tcW w:type="dxa" w:w="2494"/>
          </w:tcPr>
          <w:p>
            <w:pPr>
              <w:jc w:val="right"/>
            </w:pPr>
            <w:r/>
            <w:r>
              <w:rPr>
                <w:color w:val="1A1D21"/>
                <w:sz w:val="17"/>
              </w:rPr>
              <w:t>105.78</w:t>
            </w:r>
          </w:p>
        </w:tc>
        <w:tc>
          <w:tcPr>
            <w:tcW w:type="dxa" w:w="2494"/>
          </w:tcPr>
          <w:p>
            <w:pPr>
              <w:jc w:val="right"/>
            </w:pPr>
            <w:r/>
            <w:r>
              <w:rPr>
                <w:color w:val="1A1D21"/>
                <w:sz w:val="17"/>
              </w:rPr>
              <w:t>54.99</w:t>
            </w:r>
          </w:p>
        </w:tc>
        <w:tc>
          <w:tcPr>
            <w:tcW w:type="dxa" w:w="2381"/>
          </w:tcPr>
          <w:p>
            <w:pPr>
              <w:jc w:val="right"/>
            </w:pPr>
            <w:r/>
            <w:r>
              <w:rPr>
                <w:color w:val="1A1D21"/>
                <w:sz w:val="17"/>
              </w:rPr>
              <w:t>8%</w:t>
            </w:r>
          </w:p>
        </w:tc>
      </w:tr>
      <w:tr>
        <w:trPr>
          <w:cantSplit/>
        </w:trPr>
        <w:tc>
          <w:tcPr>
            <w:tcW w:type="dxa" w:w="1814"/>
          </w:tcPr>
          <w:p>
            <w:r/>
            <w:r>
              <w:rPr>
                <w:color w:val="1A1D21"/>
                <w:sz w:val="17"/>
              </w:rPr>
              <w:t>40.37%</w:t>
            </w:r>
          </w:p>
        </w:tc>
        <w:tc>
          <w:tcPr>
            <w:tcW w:type="dxa" w:w="2494"/>
          </w:tcPr>
          <w:p>
            <w:pPr>
              <w:jc w:val="right"/>
            </w:pPr>
            <w:r/>
            <w:r>
              <w:rPr>
                <w:color w:val="1A1D21"/>
                <w:sz w:val="17"/>
              </w:rPr>
              <w:t>93.62</w:t>
            </w:r>
          </w:p>
        </w:tc>
        <w:tc>
          <w:tcPr>
            <w:tcW w:type="dxa" w:w="2494"/>
          </w:tcPr>
          <w:p>
            <w:pPr>
              <w:jc w:val="right"/>
            </w:pPr>
            <w:r/>
            <w:r>
              <w:rPr>
                <w:color w:val="1A1D21"/>
                <w:sz w:val="17"/>
              </w:rPr>
              <w:t>49.28</w:t>
            </w:r>
          </w:p>
        </w:tc>
        <w:tc>
          <w:tcPr>
            <w:tcW w:type="dxa" w:w="2381"/>
          </w:tcPr>
          <w:p>
            <w:pPr>
              <w:jc w:val="right"/>
            </w:pPr>
            <w:r/>
            <w:r>
              <w:rPr>
                <w:color w:val="1A1D21"/>
                <w:sz w:val="17"/>
              </w:rPr>
              <w:t>-4%</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63.70 – 123.03</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17.4% to 31.9%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