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13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H1-2026 interim 30.85%, WHICH IMPLIES 35.15% IN THE SECOND QUARTER ALONE. EVERY EARLIER EDITION OF THIS ENTRY STOPPED AT THE QUARTER AND CALLED IT 'the Q1-2026 uptick', while the half that contains it — registered in this same file as h1_26_tax and flagged there as material — ran five points higher again. Quoting the quarter as the current observation when the half it sits inside is known and worse is not a neutral choice of period. The adopted 24.5% is therefore BELOW every one of the last four observations and the study prices the alternative explicitly rather than leaving the reader to find it.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that level is ESCALATED AT THE HOUSE'S OWN US LONG-RUN INFLATION of 2.5% a year, reaching about 15,453/t by FY2030E. It is NOT held flat and this note said it was for two editions after the path changed: holding a dollar price flat in nominal terms is a real decline of 2.5% a year, which is a directional view on copper and not the absence of one. The level is still not a forecast — it is today's price carried forward in real terms. Copper is the largest single input into the Cables segment and a genuine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