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at its share of value, proxied by the filed profit share (adopted); at book and pro rata shown beside it</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held flat in real terms, not extrapolated</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16.6% to 29.1%</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