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40"/>
        </w:rPr>
        <w:t>PALM HILLS DEVELOPMENTS</w:t>
      </w:r>
    </w:p>
    <w:p>
      <w:pPr>
        <w:spacing w:after="280"/>
      </w:pPr>
      <w:r>
        <w:rPr>
          <w:b w:val="0"/>
          <w:i w:val="0"/>
          <w:color w:val="5B6570"/>
          <w:sz w:val="20"/>
        </w:rPr>
        <w:t>Egyptian Exchange · PHDC · Egyptian pounds · edition of 30 August 2026</w:t>
      </w:r>
    </w:p>
    <w:p>
      <w:pPr>
        <w:pStyle w:val="Heading2"/>
      </w:pPr>
      <w:r>
        <w:t>READ FIRST</w:t>
      </w:r>
    </w:p>
    <w:p>
      <w:pPr>
        <w:spacing w:after="140"/>
      </w:pPr>
      <w:r>
        <w:rPr>
          <w:b w:val="0"/>
          <w:i w:val="0"/>
          <w:color w:val="1A1D21"/>
          <w:sz w:val="20"/>
        </w:rPr>
        <w:t>This is a valuation study, not advice. It carries no rating, no recommendation and no price target. What it publishes is a range of value and the reasoning behind it, so that a reader can disagree with the reasoning rather than with a number.</w:t>
      </w:r>
    </w:p>
    <w:p>
      <w:pPr>
        <w:spacing w:after="140"/>
      </w:pPr>
      <w:r>
        <w:rPr>
          <w:b w:val="0"/>
          <w:i w:val="0"/>
          <w:color w:val="1A1D21"/>
          <w:sz w:val="20"/>
        </w:rPr>
        <w:t>It supersedes the edition of 11 June 2026. Two things in that edition were wrong and are corrected here, and both are set out plainly in section 1.8 rather than buried: the discount rate was below Egypt's own government bond yield, and the project-level price and cost table it valued the company on is not disclosed by the company anywhere.</w:t>
      </w:r>
    </w:p>
    <w:p>
      <w:pPr>
        <w:spacing w:after="140"/>
      </w:pPr>
      <w:r>
        <w:rPr>
          <w:b w:val="0"/>
          <w:i w:val="0"/>
          <w:color w:val="1A1D21"/>
          <w:sz w:val="20"/>
        </w:rPr>
        <w:t>The company's own audited statements are the only source used for its reported history. Where something needed is not disclosed, this study says so and does not fill the hole. There are five such gaps and they are listed in section 7.</w:t>
      </w:r>
    </w:p>
    <w:p>
      <w:pPr>
        <w:spacing w:after="140"/>
      </w:pPr>
      <w:r>
        <w:rPr>
          <w:b w:val="0"/>
          <w:i/>
          <w:color w:val="5B6570"/>
          <w:sz w:val="18"/>
        </w:rPr>
        <w:t>Information set: everything the company had published as at 30 August 2026, which ends at its first-quarter 2026 results. No half-year 2026 figures had been released at that date.</w:t>
      </w:r>
    </w:p>
    <w:p>
      <w:pPr>
        <w:pStyle w:val="Heading1"/>
      </w:pPr>
      <w:r>
        <w:t>Headline</w:t>
      </w:r>
    </w:p>
    <w:p>
      <w:pPr>
        <w:spacing w:after="140"/>
      </w:pPr>
      <w:r>
        <w:rPr>
          <w:b/>
          <w:i w:val="0"/>
          <w:color w:val="1A1D21"/>
          <w:sz w:val="23"/>
        </w:rPr>
        <w:t>Palm Hills is worth EGP 10.94 a share on a base case built from the company's own units and prices, in a range of EGP 4.60 to EGP 23.33. The shares trade at EGP 15.20.</w:t>
      </w:r>
    </w:p>
    <w:p>
      <w:pPr>
        <w:pStyle w:val="ListBullet"/>
        <w:spacing w:after="60"/>
      </w:pPr>
      <w:r>
        <w:rPr>
          <w:color w:val="1A1D21"/>
          <w:sz w:val="20"/>
        </w:rPr>
        <w:t>The forecast is built from units and prices the company itself discloses: 5,633 units sold across three regions at EGP 15.70 to 25.09 million a unit, and separately 1,886 units delivered at EGP 21.29 million of revenue each, because units handed over were contracted years earlier at lower prices.</w:t>
      </w:r>
    </w:p>
    <w:p>
      <w:pPr>
        <w:pStyle w:val="ListBullet"/>
        <w:spacing w:after="60"/>
      </w:pPr>
      <w:r>
        <w:rPr>
          <w:color w:val="1A1D21"/>
          <w:sz w:val="20"/>
        </w:rPr>
        <w:t>The discount rate in the previous edition was 18.00%. Egypt's ten-year government bond yields 23.00%. Rebuilt from the ground up, the company's cost of capital is 26.25%.</w:t>
      </w:r>
    </w:p>
    <w:p>
      <w:pPr>
        <w:pStyle w:val="ListBullet"/>
        <w:spacing w:after="60"/>
      </w:pPr>
      <w:r>
        <w:rPr>
          <w:color w:val="1A1D21"/>
          <w:sz w:val="20"/>
        </w:rPr>
        <w:t>Value turns on how quickly contracted sales become cash. Over the three years the company has published a cash-flow statement, operating cash was 4.3%, 17.9% and 3.9% of revenue. At the low end the shares are worth EGP 4.29; at the high end, EGP 35.14.</w:t>
      </w:r>
    </w:p>
    <w:p>
      <w:pPr>
        <w:pStyle w:val="ListBullet"/>
        <w:spacing w:after="60"/>
      </w:pPr>
      <w:r>
        <w:rPr>
          <w:color w:val="1A1D21"/>
          <w:sz w:val="20"/>
        </w:rPr>
        <w:t>At the closing price of EGP 15.20 the market is paying for a conversion rate of 8.9% — above the two weak years, well below the strong one.</w:t>
      </w:r>
    </w:p>
    <w:p>
      <w:pPr>
        <w:pStyle w:val="ListBullet"/>
        <w:spacing w:after="60"/>
      </w:pPr>
      <w:r>
        <w:rPr>
          <w:color w:val="1A1D21"/>
          <w:sz w:val="20"/>
        </w:rPr>
        <w:t>The contracted order book stands at EGP 263bn against 2025 revenue of EGP 36.2bn. What limits this company is how fast it can build and hand over, not whether it can sell.</w:t>
      </w:r>
    </w:p>
    <w:p>
      <w:pPr>
        <w:pStyle w:val="Heading1"/>
      </w:pPr>
      <w:r>
        <w:t>Valuation summary — every read at a glance</w:t>
      </w:r>
    </w:p>
    <w:tbl>
      <w:tblPr>
        <w:tblStyle w:val="TableGrid"/>
        <w:tblW w:type="auto" w:w="0"/>
        <w:jc w:val="center"/>
        <w:tblLayout w:type="fixed"/>
        <w:tblLook w:firstColumn="1" w:firstRow="1" w:lastColumn="0" w:lastRow="0" w:noHBand="0" w:noVBand="1" w:val="04A0"/>
        <w:tblLayout w:type="fixed"/>
      </w:tblPr>
      <w:tblGrid>
        <w:gridCol w:w="3175"/>
        <w:gridCol w:w="1474"/>
        <w:gridCol w:w="1474"/>
        <w:gridCol w:w="1474"/>
        <w:gridCol w:w="1134"/>
      </w:tblGrid>
      <w:tr>
        <w:trPr>
          <w:tblHeader w:val="true"/>
        </w:trPr>
        <w:tc>
          <w:tcPr>
            <w:tcW w:type="dxa" w:w="3175"/>
          </w:tcPr>
          <w:p>
            <w:r/>
            <w:r>
              <w:rPr>
                <w:b/>
                <w:color w:val="5B6570"/>
                <w:sz w:val="17"/>
              </w:rPr>
              <w:t>Lens</w:t>
            </w:r>
          </w:p>
        </w:tc>
        <w:tc>
          <w:tcPr>
            <w:tcW w:type="dxa" w:w="1474"/>
          </w:tcPr>
          <w:p>
            <w:r/>
            <w:r>
              <w:rPr>
                <w:b/>
                <w:color w:val="5B6570"/>
                <w:sz w:val="17"/>
              </w:rPr>
              <w:t>Bear</w:t>
            </w:r>
          </w:p>
        </w:tc>
        <w:tc>
          <w:tcPr>
            <w:tcW w:type="dxa" w:w="1474"/>
          </w:tcPr>
          <w:p>
            <w:r/>
            <w:r>
              <w:rPr>
                <w:b/>
                <w:color w:val="5B6570"/>
                <w:sz w:val="17"/>
              </w:rPr>
              <w:t>Base</w:t>
            </w:r>
          </w:p>
        </w:tc>
        <w:tc>
          <w:tcPr>
            <w:tcW w:type="dxa" w:w="1474"/>
          </w:tcPr>
          <w:p>
            <w:r/>
            <w:r>
              <w:rPr>
                <w:b/>
                <w:color w:val="5B6570"/>
                <w:sz w:val="17"/>
              </w:rPr>
              <w:t>Full value</w:t>
            </w:r>
          </w:p>
        </w:tc>
        <w:tc>
          <w:tcPr>
            <w:tcW w:type="dxa" w:w="1134"/>
          </w:tcPr>
          <w:p>
            <w:r/>
            <w:r>
              <w:rPr>
                <w:b/>
                <w:color w:val="5B6570"/>
                <w:sz w:val="17"/>
              </w:rPr>
              <w:t>Weight</w:t>
            </w:r>
          </w:p>
        </w:tc>
      </w:tr>
      <w:tr>
        <w:trPr>
          <w:cantSplit/>
        </w:trPr>
        <w:tc>
          <w:tcPr>
            <w:tcW w:type="dxa" w:w="3175"/>
          </w:tcPr>
          <w:p>
            <w:r/>
            <w:r>
              <w:rPr>
                <w:color w:val="1A1D21"/>
                <w:sz w:val="17"/>
              </w:rPr>
              <w:t>Discounted cash flow</w:t>
            </w:r>
          </w:p>
        </w:tc>
        <w:tc>
          <w:tcPr>
            <w:tcW w:type="dxa" w:w="1474"/>
          </w:tcPr>
          <w:p>
            <w:pPr>
              <w:jc w:val="right"/>
            </w:pPr>
            <w:r/>
            <w:r>
              <w:rPr>
                <w:color w:val="1A1D21"/>
                <w:sz w:val="17"/>
              </w:rPr>
              <w:t>2.85</w:t>
            </w:r>
          </w:p>
        </w:tc>
        <w:tc>
          <w:tcPr>
            <w:tcW w:type="dxa" w:w="1474"/>
          </w:tcPr>
          <w:p>
            <w:pPr>
              <w:jc w:val="right"/>
            </w:pPr>
            <w:r/>
            <w:r>
              <w:rPr>
                <w:color w:val="1A1D21"/>
                <w:sz w:val="17"/>
              </w:rPr>
              <w:t>14.86</w:t>
            </w:r>
          </w:p>
        </w:tc>
        <w:tc>
          <w:tcPr>
            <w:tcW w:type="dxa" w:w="1474"/>
          </w:tcPr>
          <w:p>
            <w:pPr>
              <w:jc w:val="right"/>
            </w:pPr>
            <w:r/>
            <w:r>
              <w:rPr>
                <w:color w:val="1A1D21"/>
                <w:sz w:val="17"/>
              </w:rPr>
              <w:t>38.75</w:t>
            </w:r>
          </w:p>
        </w:tc>
        <w:tc>
          <w:tcPr>
            <w:tcW w:type="dxa" w:w="1134"/>
          </w:tcPr>
          <w:p>
            <w:pPr>
              <w:jc w:val="right"/>
            </w:pPr>
            <w:r/>
            <w:r>
              <w:rPr>
                <w:color w:val="1A1D21"/>
                <w:sz w:val="17"/>
              </w:rPr>
              <w:t>45%</w:t>
            </w:r>
          </w:p>
        </w:tc>
      </w:tr>
      <w:tr>
        <w:trPr>
          <w:cantSplit/>
        </w:trPr>
        <w:tc>
          <w:tcPr>
            <w:tcW w:type="dxa" w:w="3175"/>
          </w:tcPr>
          <w:p>
            <w:r/>
            <w:r>
              <w:rPr>
                <w:color w:val="1A1D21"/>
                <w:sz w:val="17"/>
              </w:rPr>
              <w:t>Book value of equity</w:t>
            </w:r>
          </w:p>
        </w:tc>
        <w:tc>
          <w:tcPr>
            <w:tcW w:type="dxa" w:w="1474"/>
          </w:tcPr>
          <w:p>
            <w:pPr>
              <w:jc w:val="right"/>
            </w:pPr>
            <w:r/>
            <w:r>
              <w:rPr>
                <w:color w:val="1A1D21"/>
                <w:sz w:val="17"/>
              </w:rPr>
              <w:t>5.91</w:t>
            </w:r>
          </w:p>
        </w:tc>
        <w:tc>
          <w:tcPr>
            <w:tcW w:type="dxa" w:w="1474"/>
          </w:tcPr>
          <w:p>
            <w:pPr>
              <w:jc w:val="right"/>
            </w:pPr>
            <w:r/>
            <w:r>
              <w:rPr>
                <w:color w:val="1A1D21"/>
                <w:sz w:val="17"/>
              </w:rPr>
              <w:t>6.56</w:t>
            </w:r>
          </w:p>
        </w:tc>
        <w:tc>
          <w:tcPr>
            <w:tcW w:type="dxa" w:w="1474"/>
          </w:tcPr>
          <w:p>
            <w:pPr>
              <w:jc w:val="right"/>
            </w:pPr>
            <w:r/>
            <w:r>
              <w:rPr>
                <w:color w:val="1A1D21"/>
                <w:sz w:val="17"/>
              </w:rPr>
              <w:t>8.53</w:t>
            </w:r>
          </w:p>
        </w:tc>
        <w:tc>
          <w:tcPr>
            <w:tcW w:type="dxa" w:w="1134"/>
          </w:tcPr>
          <w:p>
            <w:pPr>
              <w:jc w:val="right"/>
            </w:pPr>
            <w:r/>
            <w:r>
              <w:rPr>
                <w:color w:val="1A1D21"/>
                <w:sz w:val="17"/>
              </w:rPr>
              <w:t>15%</w:t>
            </w:r>
          </w:p>
        </w:tc>
      </w:tr>
      <w:tr>
        <w:trPr>
          <w:cantSplit/>
        </w:trPr>
        <w:tc>
          <w:tcPr>
            <w:tcW w:type="dxa" w:w="3175"/>
          </w:tcPr>
          <w:p>
            <w:r/>
            <w:r>
              <w:rPr>
                <w:color w:val="1A1D21"/>
                <w:sz w:val="17"/>
              </w:rPr>
              <w:t>Earnings multiple on own history</w:t>
            </w:r>
          </w:p>
        </w:tc>
        <w:tc>
          <w:tcPr>
            <w:tcW w:type="dxa" w:w="1474"/>
          </w:tcPr>
          <w:p>
            <w:pPr>
              <w:jc w:val="right"/>
            </w:pPr>
            <w:r/>
            <w:r>
              <w:rPr>
                <w:color w:val="1A1D21"/>
                <w:sz w:val="17"/>
              </w:rPr>
              <w:t>7.45</w:t>
            </w:r>
          </w:p>
        </w:tc>
        <w:tc>
          <w:tcPr>
            <w:tcW w:type="dxa" w:w="1474"/>
          </w:tcPr>
          <w:p>
            <w:pPr>
              <w:jc w:val="right"/>
            </w:pPr>
            <w:r/>
            <w:r>
              <w:rPr>
                <w:color w:val="1A1D21"/>
                <w:sz w:val="17"/>
              </w:rPr>
              <w:t>11.17</w:t>
            </w:r>
          </w:p>
        </w:tc>
        <w:tc>
          <w:tcPr>
            <w:tcW w:type="dxa" w:w="1474"/>
          </w:tcPr>
          <w:p>
            <w:pPr>
              <w:jc w:val="right"/>
            </w:pPr>
            <w:r/>
            <w:r>
              <w:rPr>
                <w:color w:val="1A1D21"/>
                <w:sz w:val="17"/>
              </w:rPr>
              <w:t>17.37</w:t>
            </w:r>
          </w:p>
        </w:tc>
        <w:tc>
          <w:tcPr>
            <w:tcW w:type="dxa" w:w="1134"/>
          </w:tcPr>
          <w:p>
            <w:pPr>
              <w:jc w:val="right"/>
            </w:pPr>
            <w:r/>
            <w:r>
              <w:rPr>
                <w:color w:val="1A1D21"/>
                <w:sz w:val="17"/>
              </w:rPr>
              <w:t>20%</w:t>
            </w:r>
          </w:p>
        </w:tc>
      </w:tr>
      <w:tr>
        <w:trPr>
          <w:cantSplit/>
        </w:trPr>
        <w:tc>
          <w:tcPr>
            <w:tcW w:type="dxa" w:w="3175"/>
          </w:tcPr>
          <w:p>
            <w:r/>
            <w:r>
              <w:rPr>
                <w:color w:val="1A1D21"/>
                <w:sz w:val="17"/>
              </w:rPr>
              <w:t>Normalised earnings power</w:t>
            </w:r>
          </w:p>
        </w:tc>
        <w:tc>
          <w:tcPr>
            <w:tcW w:type="dxa" w:w="1474"/>
          </w:tcPr>
          <w:p>
            <w:pPr>
              <w:jc w:val="right"/>
            </w:pPr>
            <w:r/>
            <w:r>
              <w:rPr>
                <w:color w:val="1A1D21"/>
                <w:sz w:val="17"/>
              </w:rPr>
              <w:t>4.72</w:t>
            </w:r>
          </w:p>
        </w:tc>
        <w:tc>
          <w:tcPr>
            <w:tcW w:type="dxa" w:w="1474"/>
          </w:tcPr>
          <w:p>
            <w:pPr>
              <w:jc w:val="right"/>
            </w:pPr>
            <w:r/>
            <w:r>
              <w:rPr>
                <w:color w:val="1A1D21"/>
                <w:sz w:val="17"/>
              </w:rPr>
              <w:t>5.17</w:t>
            </w:r>
          </w:p>
        </w:tc>
        <w:tc>
          <w:tcPr>
            <w:tcW w:type="dxa" w:w="1474"/>
          </w:tcPr>
          <w:p>
            <w:pPr>
              <w:jc w:val="right"/>
            </w:pPr>
            <w:r/>
            <w:r>
              <w:rPr>
                <w:color w:val="1A1D21"/>
                <w:sz w:val="17"/>
              </w:rPr>
              <w:t>5.72</w:t>
            </w:r>
          </w:p>
        </w:tc>
        <w:tc>
          <w:tcPr>
            <w:tcW w:type="dxa" w:w="1134"/>
          </w:tcPr>
          <w:p>
            <w:pPr>
              <w:jc w:val="right"/>
            </w:pPr>
            <w:r/>
            <w:r>
              <w:rPr>
                <w:color w:val="1A1D21"/>
                <w:sz w:val="17"/>
              </w:rPr>
              <w:t>20%</w:t>
            </w:r>
          </w:p>
        </w:tc>
      </w:tr>
      <w:tr>
        <w:trPr>
          <w:cantSplit/>
        </w:trPr>
        <w:tc>
          <w:tcPr>
            <w:tcW w:type="dxa" w:w="3175"/>
          </w:tcPr>
          <w:p>
            <w:r/>
            <w:r>
              <w:rPr>
                <w:color w:val="1A1D21"/>
                <w:sz w:val="17"/>
              </w:rPr>
              <w:t>Weighted central</w:t>
            </w:r>
          </w:p>
        </w:tc>
        <w:tc>
          <w:tcPr>
            <w:tcW w:type="dxa" w:w="1474"/>
          </w:tcPr>
          <w:p>
            <w:pPr>
              <w:jc w:val="right"/>
            </w:pPr>
            <w:r/>
            <w:r>
              <w:rPr>
                <w:color w:val="1A1D21"/>
                <w:sz w:val="17"/>
              </w:rPr>
              <w:t>4.60</w:t>
            </w:r>
          </w:p>
        </w:tc>
        <w:tc>
          <w:tcPr>
            <w:tcW w:type="dxa" w:w="1474"/>
          </w:tcPr>
          <w:p>
            <w:pPr>
              <w:jc w:val="right"/>
            </w:pPr>
            <w:r/>
            <w:r>
              <w:rPr>
                <w:color w:val="1A1D21"/>
                <w:sz w:val="17"/>
              </w:rPr>
              <w:t>10.94</w:t>
            </w:r>
          </w:p>
        </w:tc>
        <w:tc>
          <w:tcPr>
            <w:tcW w:type="dxa" w:w="1474"/>
          </w:tcPr>
          <w:p>
            <w:pPr>
              <w:jc w:val="right"/>
            </w:pPr>
            <w:r/>
            <w:r>
              <w:rPr>
                <w:color w:val="1A1D21"/>
                <w:sz w:val="17"/>
              </w:rPr>
              <w:t>23.33</w:t>
            </w:r>
          </w:p>
        </w:tc>
        <w:tc>
          <w:tcPr>
            <w:tcW w:type="dxa" w:w="1134"/>
          </w:tcPr>
          <w:p>
            <w:pPr>
              <w:jc w:val="right"/>
            </w:pPr>
            <w:r/>
            <w:r>
              <w:rPr>
                <w:color w:val="1A1D21"/>
                <w:sz w:val="17"/>
              </w:rPr>
              <w:t>100%</w:t>
            </w:r>
          </w:p>
        </w:tc>
      </w:tr>
      <w:tr>
        <w:trPr>
          <w:cantSplit/>
        </w:trPr>
        <w:tc>
          <w:tcPr>
            <w:tcW w:type="dxa" w:w="3175"/>
          </w:tcPr>
          <w:p>
            <w:r/>
            <w:r>
              <w:rPr>
                <w:color w:val="1A1D21"/>
                <w:sz w:val="17"/>
              </w:rPr>
              <w:t>Market price, 23 Aug 2026</w:t>
            </w:r>
          </w:p>
        </w:tc>
        <w:tc>
          <w:tcPr>
            <w:tcW w:type="dxa" w:w="1474"/>
          </w:tcPr>
          <w:p>
            <w:r/>
            <w:r>
              <w:rPr>
                <w:color w:val="1A1D21"/>
                <w:sz w:val="17"/>
              </w:rPr>
            </w:r>
          </w:p>
        </w:tc>
        <w:tc>
          <w:tcPr>
            <w:tcW w:type="dxa" w:w="1474"/>
          </w:tcPr>
          <w:p>
            <w:pPr>
              <w:jc w:val="right"/>
            </w:pPr>
            <w:r/>
            <w:r>
              <w:rPr>
                <w:color w:val="1A1D21"/>
                <w:sz w:val="17"/>
              </w:rPr>
              <w:t>15.20</w:t>
            </w:r>
          </w:p>
        </w:tc>
        <w:tc>
          <w:tcPr>
            <w:tcW w:type="dxa" w:w="1474"/>
          </w:tcPr>
          <w:p>
            <w:r/>
            <w:r>
              <w:rPr>
                <w:color w:val="1A1D21"/>
                <w:sz w:val="17"/>
              </w:rPr>
            </w:r>
          </w:p>
        </w:tc>
        <w:tc>
          <w:tcPr>
            <w:tcW w:type="dxa" w:w="1134"/>
          </w:tcPr>
          <w:p>
            <w:r/>
            <w:r>
              <w:rPr>
                <w:color w:val="1A1D21"/>
                <w:sz w:val="17"/>
              </w:rPr>
            </w:r>
          </w:p>
        </w:tc>
      </w:tr>
      <w:tr>
        <w:trPr>
          <w:cantSplit/>
        </w:trPr>
        <w:tc>
          <w:tcPr>
            <w:tcW w:type="dxa" w:w="3175"/>
          </w:tcPr>
          <w:p>
            <w:r/>
            <w:r>
              <w:rPr>
                <w:color w:val="1A1D21"/>
                <w:sz w:val="17"/>
              </w:rPr>
              <w:t>vs the weighted central</w:t>
            </w:r>
          </w:p>
        </w:tc>
        <w:tc>
          <w:tcPr>
            <w:tcW w:type="dxa" w:w="1474"/>
          </w:tcPr>
          <w:p>
            <w:r/>
            <w:r>
              <w:rPr>
                <w:color w:val="1A1D21"/>
                <w:sz w:val="17"/>
              </w:rPr>
              <w:t>+230%</w:t>
            </w:r>
          </w:p>
        </w:tc>
        <w:tc>
          <w:tcPr>
            <w:tcW w:type="dxa" w:w="1474"/>
          </w:tcPr>
          <w:p>
            <w:r/>
            <w:r>
              <w:rPr>
                <w:color w:val="1A1D21"/>
                <w:sz w:val="17"/>
              </w:rPr>
              <w:t>+39%</w:t>
            </w:r>
          </w:p>
        </w:tc>
        <w:tc>
          <w:tcPr>
            <w:tcW w:type="dxa" w:w="1474"/>
          </w:tcPr>
          <w:p>
            <w:pPr>
              <w:jc w:val="right"/>
            </w:pPr>
            <w:r/>
            <w:r>
              <w:rPr>
                <w:color w:val="1A1D21"/>
                <w:sz w:val="17"/>
              </w:rPr>
              <w:t>-35%</w:t>
            </w:r>
          </w:p>
        </w:tc>
        <w:tc>
          <w:tcPr>
            <w:tcW w:type="dxa" w:w="1134"/>
          </w:tcPr>
          <w:p>
            <w:r/>
            <w:r>
              <w:rPr>
                <w:color w:val="1A1D21"/>
                <w:sz w:val="17"/>
              </w:rPr>
            </w:r>
          </w:p>
        </w:tc>
      </w:tr>
    </w:tbl>
    <w:p>
      <w:pPr>
        <w:spacing w:after="200"/>
      </w:pPr>
      <w:r>
        <w:rPr>
          <w:b w:val="0"/>
          <w:i/>
          <w:color w:val="5B6570"/>
          <w:sz w:val="16"/>
        </w:rPr>
        <w:t>EGP per share. Weights are stated in advance and are the same across the three columns. The discounted cash flow carries the most weight because it is the only lens built from the company's own units and prices; book value carries the least because it is a floor, not a value.</w:t>
      </w:r>
    </w:p>
    <w:p>
      <w:pPr>
        <w:jc w:val="center"/>
      </w:pPr>
      <w:r>
        <w:drawing>
          <wp:inline xmlns:a="http://schemas.openxmlformats.org/drawingml/2006/main" xmlns:pic="http://schemas.openxmlformats.org/drawingml/2006/picture">
            <wp:extent cx="5832000" cy="2427171"/>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427171"/>
                    </a:xfrm>
                    <a:prstGeom prst="rect"/>
                  </pic:spPr>
                </pic:pic>
              </a:graphicData>
            </a:graphic>
          </wp:inline>
        </w:drawing>
      </w:r>
    </w:p>
    <w:p>
      <w:pPr>
        <w:spacing w:after="240"/>
        <w:jc w:val="center"/>
      </w:pPr>
      <w:r>
        <w:rPr>
          <w:b w:val="0"/>
          <w:i/>
          <w:color w:val="5B6570"/>
          <w:sz w:val="16"/>
        </w:rPr>
        <w:t>Figure 1 — each bar is one observed rate of cash conversion; the bar spans the discount rate from four points below the rebuilt cost of capital to four points above, and the white tick marks the value at the rebuilt rate itself. Shown against the closing price and the previous edition's central figure.</w:t>
      </w:r>
    </w:p>
    <w:p>
      <w:pPr>
        <w:pStyle w:val="Heading1"/>
      </w:pPr>
      <w:r>
        <w:t>Company overview</w:t>
      </w:r>
    </w:p>
    <w:p>
      <w:pPr>
        <w:spacing w:after="140"/>
      </w:pPr>
      <w:r>
        <w:rPr>
          <w:b w:val="0"/>
          <w:i w:val="0"/>
          <w:color w:val="1A1D21"/>
          <w:sz w:val="20"/>
        </w:rPr>
        <w:t>Palm Hills Developments builds and sells residential and commercial property in Egypt, principally in West Cairo, East Cairo, and the North Coast and Alexandria. It has been listed on the Egyptian Exchange since 2008. Units are sold off plan and paid for in instalments over several years, so the company collects cash long before, and long after, it recognises the sale.</w:t>
      </w:r>
    </w:p>
    <w:p>
      <w:pPr>
        <w:spacing w:after="140"/>
      </w:pPr>
      <w:r>
        <w:rPr>
          <w:b w:val="0"/>
          <w:i w:val="0"/>
          <w:color w:val="1A1D21"/>
          <w:sz w:val="20"/>
        </w:rPr>
        <w:t>Two things follow from that model and they shape everything in this study. First, revenue is recognised as construction completes rather than when a contract is signed, so the order book and the income statement move on different clocks. Second, the balance sheet carries a very large receivable book — EGP 103.5bn at the end of 2025 — against customer advances of EGP 69.4bn.</w:t>
      </w:r>
    </w:p>
    <w:tbl>
      <w:tblPr>
        <w:tblStyle w:val="TableGrid"/>
        <w:tblW w:type="auto" w:w="0"/>
        <w:jc w:val="center"/>
        <w:tblLayout w:type="fixed"/>
        <w:tblLook w:firstColumn="1" w:firstRow="1" w:lastColumn="0" w:lastRow="0" w:noHBand="0" w:noVBand="1" w:val="04A0"/>
        <w:tblLayout w:type="fixed"/>
      </w:tblPr>
      <w:tblGrid>
        <w:gridCol w:w="4196"/>
        <w:gridCol w:w="2495"/>
        <w:gridCol w:w="2495"/>
      </w:tblGrid>
      <w:tr>
        <w:trPr>
          <w:tblHeader w:val="true"/>
        </w:trPr>
        <w:tc>
          <w:tcPr>
            <w:tcW w:type="dxa" w:w="4195"/>
          </w:tcPr>
          <w:p>
            <w:r/>
            <w:r>
              <w:rPr>
                <w:b/>
                <w:color w:val="5B6570"/>
                <w:sz w:val="17"/>
              </w:rPr>
            </w:r>
          </w:p>
        </w:tc>
        <w:tc>
          <w:tcPr>
            <w:tcW w:type="dxa" w:w="2494"/>
          </w:tcPr>
          <w:p>
            <w:r/>
            <w:r>
              <w:rPr>
                <w:b/>
                <w:color w:val="5B6570"/>
                <w:sz w:val="17"/>
              </w:rPr>
              <w:t>2025</w:t>
            </w:r>
          </w:p>
        </w:tc>
        <w:tc>
          <w:tcPr>
            <w:tcW w:type="dxa" w:w="2494"/>
          </w:tcPr>
          <w:p>
            <w:r/>
            <w:r>
              <w:rPr>
                <w:b/>
                <w:color w:val="5B6570"/>
                <w:sz w:val="17"/>
              </w:rPr>
              <w:t>2024</w:t>
            </w:r>
          </w:p>
        </w:tc>
      </w:tr>
      <w:tr>
        <w:trPr>
          <w:cantSplit/>
        </w:trPr>
        <w:tc>
          <w:tcPr>
            <w:tcW w:type="dxa" w:w="4195"/>
          </w:tcPr>
          <w:p>
            <w:r/>
            <w:r>
              <w:rPr>
                <w:color w:val="1A1D21"/>
                <w:sz w:val="17"/>
              </w:rPr>
              <w:t>Revenue (EGP mn)</w:t>
            </w:r>
          </w:p>
        </w:tc>
        <w:tc>
          <w:tcPr>
            <w:tcW w:type="dxa" w:w="2494"/>
          </w:tcPr>
          <w:p>
            <w:pPr>
              <w:jc w:val="right"/>
            </w:pPr>
            <w:r/>
            <w:r>
              <w:rPr>
                <w:color w:val="1A1D21"/>
                <w:sz w:val="17"/>
              </w:rPr>
              <w:t>36,169</w:t>
            </w:r>
          </w:p>
        </w:tc>
        <w:tc>
          <w:tcPr>
            <w:tcW w:type="dxa" w:w="2494"/>
          </w:tcPr>
          <w:p>
            <w:pPr>
              <w:jc w:val="right"/>
            </w:pPr>
            <w:r/>
            <w:r>
              <w:rPr>
                <w:color w:val="1A1D21"/>
                <w:sz w:val="17"/>
              </w:rPr>
              <w:t>27,167</w:t>
            </w:r>
          </w:p>
        </w:tc>
      </w:tr>
      <w:tr>
        <w:trPr>
          <w:cantSplit/>
        </w:trPr>
        <w:tc>
          <w:tcPr>
            <w:tcW w:type="dxa" w:w="4195"/>
          </w:tcPr>
          <w:p>
            <w:r/>
            <w:r>
              <w:rPr>
                <w:color w:val="1A1D21"/>
                <w:sz w:val="17"/>
              </w:rPr>
              <w:t>Gross profit (EGP mn)</w:t>
            </w:r>
          </w:p>
        </w:tc>
        <w:tc>
          <w:tcPr>
            <w:tcW w:type="dxa" w:w="2494"/>
          </w:tcPr>
          <w:p>
            <w:pPr>
              <w:jc w:val="right"/>
            </w:pPr>
            <w:r/>
            <w:r>
              <w:rPr>
                <w:color w:val="1A1D21"/>
                <w:sz w:val="17"/>
              </w:rPr>
              <w:t>14,888</w:t>
            </w:r>
          </w:p>
        </w:tc>
        <w:tc>
          <w:tcPr>
            <w:tcW w:type="dxa" w:w="2494"/>
          </w:tcPr>
          <w:p>
            <w:pPr>
              <w:jc w:val="right"/>
            </w:pPr>
            <w:r/>
            <w:r>
              <w:rPr>
                <w:color w:val="1A1D21"/>
                <w:sz w:val="17"/>
              </w:rPr>
              <w:t>9,330</w:t>
            </w:r>
          </w:p>
        </w:tc>
      </w:tr>
      <w:tr>
        <w:trPr>
          <w:cantSplit/>
        </w:trPr>
        <w:tc>
          <w:tcPr>
            <w:tcW w:type="dxa" w:w="4195"/>
          </w:tcPr>
          <w:p>
            <w:r/>
            <w:r>
              <w:rPr>
                <w:color w:val="1A1D21"/>
                <w:sz w:val="17"/>
              </w:rPr>
              <w:t>Gross margin</w:t>
            </w:r>
          </w:p>
        </w:tc>
        <w:tc>
          <w:tcPr>
            <w:tcW w:type="dxa" w:w="2494"/>
          </w:tcPr>
          <w:p>
            <w:pPr>
              <w:jc w:val="right"/>
            </w:pPr>
            <w:r/>
            <w:r>
              <w:rPr>
                <w:color w:val="1A1D21"/>
                <w:sz w:val="17"/>
              </w:rPr>
              <w:t>41.2%</w:t>
            </w:r>
          </w:p>
        </w:tc>
        <w:tc>
          <w:tcPr>
            <w:tcW w:type="dxa" w:w="2494"/>
          </w:tcPr>
          <w:p>
            <w:pPr>
              <w:jc w:val="right"/>
            </w:pPr>
            <w:r/>
            <w:r>
              <w:rPr>
                <w:color w:val="1A1D21"/>
                <w:sz w:val="17"/>
              </w:rPr>
              <w:t>34.3%</w:t>
            </w:r>
          </w:p>
        </w:tc>
      </w:tr>
      <w:tr>
        <w:trPr>
          <w:cantSplit/>
        </w:trPr>
        <w:tc>
          <w:tcPr>
            <w:tcW w:type="dxa" w:w="4195"/>
          </w:tcPr>
          <w:p>
            <w:r/>
            <w:r>
              <w:rPr>
                <w:color w:val="1A1D21"/>
                <w:sz w:val="17"/>
              </w:rPr>
              <w:t>Profit after tax and minority (EGP mn)</w:t>
            </w:r>
          </w:p>
        </w:tc>
        <w:tc>
          <w:tcPr>
            <w:tcW w:type="dxa" w:w="2494"/>
          </w:tcPr>
          <w:p>
            <w:pPr>
              <w:jc w:val="right"/>
            </w:pPr>
            <w:r/>
            <w:r>
              <w:rPr>
                <w:color w:val="1A1D21"/>
                <w:sz w:val="17"/>
              </w:rPr>
              <w:t>4,217</w:t>
            </w:r>
          </w:p>
        </w:tc>
        <w:tc>
          <w:tcPr>
            <w:tcW w:type="dxa" w:w="2494"/>
          </w:tcPr>
          <w:p>
            <w:pPr>
              <w:jc w:val="right"/>
            </w:pPr>
            <w:r/>
            <w:r>
              <w:rPr>
                <w:color w:val="1A1D21"/>
                <w:sz w:val="17"/>
              </w:rPr>
              <w:t>3,255</w:t>
            </w:r>
          </w:p>
        </w:tc>
      </w:tr>
      <w:tr>
        <w:trPr>
          <w:cantSplit/>
        </w:trPr>
        <w:tc>
          <w:tcPr>
            <w:tcW w:type="dxa" w:w="4195"/>
          </w:tcPr>
          <w:p>
            <w:r/>
            <w:r>
              <w:rPr>
                <w:color w:val="1A1D21"/>
                <w:sz w:val="17"/>
              </w:rPr>
              <w:t>Cash from operations (EGP mn)</w:t>
            </w:r>
          </w:p>
        </w:tc>
        <w:tc>
          <w:tcPr>
            <w:tcW w:type="dxa" w:w="2494"/>
          </w:tcPr>
          <w:p>
            <w:pPr>
              <w:jc w:val="right"/>
            </w:pPr>
            <w:r/>
            <w:r>
              <w:rPr>
                <w:color w:val="1A1D21"/>
                <w:sz w:val="17"/>
              </w:rPr>
              <w:t>1,424</w:t>
            </w:r>
          </w:p>
        </w:tc>
        <w:tc>
          <w:tcPr>
            <w:tcW w:type="dxa" w:w="2494"/>
          </w:tcPr>
          <w:p>
            <w:pPr>
              <w:jc w:val="right"/>
            </w:pPr>
            <w:r/>
            <w:r>
              <w:rPr>
                <w:color w:val="1A1D21"/>
                <w:sz w:val="17"/>
              </w:rPr>
              <w:t>4,855</w:t>
            </w:r>
          </w:p>
        </w:tc>
      </w:tr>
      <w:tr>
        <w:trPr>
          <w:cantSplit/>
        </w:trPr>
        <w:tc>
          <w:tcPr>
            <w:tcW w:type="dxa" w:w="4195"/>
          </w:tcPr>
          <w:p>
            <w:r/>
            <w:r>
              <w:rPr>
                <w:color w:val="1A1D21"/>
                <w:sz w:val="17"/>
              </w:rPr>
              <w:t>Order book (EGP mn)</w:t>
            </w:r>
          </w:p>
        </w:tc>
        <w:tc>
          <w:tcPr>
            <w:tcW w:type="dxa" w:w="2494"/>
          </w:tcPr>
          <w:p>
            <w:r/>
            <w:r>
              <w:rPr>
                <w:color w:val="1A1D21"/>
                <w:sz w:val="17"/>
              </w:rPr>
              <w:t>263,000 (at 31 Mar 2026)</w:t>
            </w:r>
          </w:p>
        </w:tc>
        <w:tc>
          <w:tcPr>
            <w:tcW w:type="dxa" w:w="2494"/>
          </w:tcPr>
          <w:p>
            <w:pPr>
              <w:jc w:val="right"/>
            </w:pPr>
            <w:r/>
            <w:r>
              <w:rPr>
                <w:color w:val="1A1D21"/>
                <w:sz w:val="17"/>
              </w:rPr>
              <w:t>147,000</w:t>
            </w:r>
          </w:p>
        </w:tc>
      </w:tr>
      <w:tr>
        <w:trPr>
          <w:cantSplit/>
        </w:trPr>
        <w:tc>
          <w:tcPr>
            <w:tcW w:type="dxa" w:w="4195"/>
          </w:tcPr>
          <w:p>
            <w:r/>
            <w:r>
              <w:rPr>
                <w:color w:val="1A1D21"/>
                <w:sz w:val="17"/>
              </w:rPr>
              <w:t>Total assets (EGP mn)</w:t>
            </w:r>
          </w:p>
        </w:tc>
        <w:tc>
          <w:tcPr>
            <w:tcW w:type="dxa" w:w="2494"/>
          </w:tcPr>
          <w:p>
            <w:pPr>
              <w:jc w:val="right"/>
            </w:pPr>
            <w:r/>
            <w:r>
              <w:rPr>
                <w:color w:val="1A1D21"/>
                <w:sz w:val="17"/>
              </w:rPr>
              <w:t>172,130</w:t>
            </w:r>
          </w:p>
        </w:tc>
        <w:tc>
          <w:tcPr>
            <w:tcW w:type="dxa" w:w="2494"/>
          </w:tcPr>
          <w:p>
            <w:pPr>
              <w:jc w:val="right"/>
            </w:pPr>
            <w:r/>
            <w:r>
              <w:rPr>
                <w:color w:val="1A1D21"/>
                <w:sz w:val="17"/>
              </w:rPr>
              <w:t>123,437</w:t>
            </w:r>
          </w:p>
        </w:tc>
      </w:tr>
      <w:tr>
        <w:trPr>
          <w:cantSplit/>
        </w:trPr>
        <w:tc>
          <w:tcPr>
            <w:tcW w:type="dxa" w:w="4195"/>
          </w:tcPr>
          <w:p>
            <w:r/>
            <w:r>
              <w:rPr>
                <w:color w:val="1A1D21"/>
                <w:sz w:val="17"/>
              </w:rPr>
              <w:t>Shareholders' funds (EGP mn)</w:t>
            </w:r>
          </w:p>
        </w:tc>
        <w:tc>
          <w:tcPr>
            <w:tcW w:type="dxa" w:w="2494"/>
          </w:tcPr>
          <w:p>
            <w:pPr>
              <w:jc w:val="right"/>
            </w:pPr>
            <w:r/>
            <w:r>
              <w:rPr>
                <w:color w:val="1A1D21"/>
                <w:sz w:val="17"/>
              </w:rPr>
              <w:t>18,766</w:t>
            </w:r>
          </w:p>
        </w:tc>
        <w:tc>
          <w:tcPr>
            <w:tcW w:type="dxa" w:w="2494"/>
          </w:tcPr>
          <w:p>
            <w:pPr>
              <w:jc w:val="right"/>
            </w:pPr>
            <w:r/>
            <w:r>
              <w:rPr>
                <w:color w:val="1A1D21"/>
                <w:sz w:val="17"/>
              </w:rPr>
              <w:t>14,625</w:t>
            </w:r>
          </w:p>
        </w:tc>
      </w:tr>
    </w:tbl>
    <w:p>
      <w:pPr>
        <w:spacing w:after="200"/>
      </w:pPr>
      <w:r>
        <w:rPr>
          <w:b w:val="0"/>
          <w:i/>
          <w:color w:val="5B6570"/>
          <w:sz w:val="16"/>
        </w:rPr>
        <w:t>Source: the company's audited consolidated financial statements and its own results releases.</w:t>
      </w:r>
    </w:p>
    <w:p>
      <w:pPr>
        <w:pStyle w:val="Heading1"/>
      </w:pPr>
      <w:r>
        <w:t>1  Fundamental valuation</w:t>
      </w:r>
    </w:p>
    <w:p>
      <w:pPr>
        <w:pStyle w:val="Heading2"/>
      </w:pPr>
      <w:r>
        <w:t>1.1  The cash-flow model</w:t>
      </w:r>
    </w:p>
    <w:p>
      <w:pPr>
        <w:spacing w:after="140"/>
      </w:pPr>
      <w:r>
        <w:rPr>
          <w:b w:val="0"/>
          <w:i w:val="0"/>
          <w:color w:val="1A1D21"/>
          <w:sz w:val="20"/>
        </w:rPr>
        <w:t>The model runs five years from the audited 2025 base and then a terminal value. Revenue is limited by how much the company can build and hand over, not by how much it has sold: the order book is EGP 263bn against 2025 revenue of EGP 36.2bn, so sales are not the binding constraint and have not been for some years. Revenue is therefore units handed over times the revenue each one carries — 1,886 units in 2026, growing 15 per cent a year on the company's own disclosed run of handovers, at EGP 21.29 million a unit escalating with inflation. Nothing here is a ratio applied to last year's revenue.</w:t>
      </w:r>
    </w:p>
    <w:p>
      <w:pPr>
        <w:spacing w:after="140"/>
      </w:pPr>
      <w:r>
        <w:rPr>
          <w:b w:val="0"/>
          <w:i w:val="0"/>
          <w:color w:val="1A1D21"/>
          <w:sz w:val="20"/>
        </w:rPr>
        <w:t>Cost is recognised on the same completion schedule as revenue. That sounds obvious and it is the single most important correction in this edition. Since January 2016 the company has recognised revenue on standalone units as construction progresses; a model that accrues revenue that way but accrues cost on handover has the two legs on different clocks, and it systematically overstates profit. Gross margin here is an output of price against cost, never an input.</w:t>
      </w:r>
    </w:p>
    <w:tbl>
      <w:tblPr>
        <w:tblStyle w:val="TableGrid"/>
        <w:tblW w:type="auto" w:w="0"/>
        <w:jc w:val="center"/>
        <w:tblLayout w:type="fixed"/>
        <w:tblLook w:firstColumn="1" w:firstRow="1" w:lastColumn="0" w:lastRow="0" w:noHBand="0" w:noVBand="1" w:val="04A0"/>
        <w:tblLayout w:type="fixed"/>
      </w:tblPr>
      <w:tblGrid>
        <w:gridCol w:w="3515"/>
        <w:gridCol w:w="1247"/>
        <w:gridCol w:w="1247"/>
        <w:gridCol w:w="1247"/>
        <w:gridCol w:w="1247"/>
        <w:gridCol w:w="1247"/>
      </w:tblGrid>
      <w:tr>
        <w:trPr>
          <w:tblHeader w:val="true"/>
        </w:trPr>
        <w:tc>
          <w:tcPr>
            <w:tcW w:type="dxa" w:w="3515"/>
          </w:tcPr>
          <w:p>
            <w:r/>
            <w:r>
              <w:rPr>
                <w:b/>
                <w:color w:val="5B6570"/>
                <w:sz w:val="17"/>
              </w:rPr>
              <w:t>EGP mn unless stated</w:t>
            </w:r>
          </w:p>
        </w:tc>
        <w:tc>
          <w:tcPr>
            <w:tcW w:type="dxa" w:w="1247"/>
          </w:tcPr>
          <w:p>
            <w:r/>
            <w:r>
              <w:rPr>
                <w:b/>
                <w:color w:val="5B6570"/>
                <w:sz w:val="17"/>
              </w:rPr>
              <w:t>2026</w:t>
            </w:r>
          </w:p>
        </w:tc>
        <w:tc>
          <w:tcPr>
            <w:tcW w:type="dxa" w:w="1247"/>
          </w:tcPr>
          <w:p>
            <w:r/>
            <w:r>
              <w:rPr>
                <w:b/>
                <w:color w:val="5B6570"/>
                <w:sz w:val="17"/>
              </w:rPr>
              <w:t>2027</w:t>
            </w:r>
          </w:p>
        </w:tc>
        <w:tc>
          <w:tcPr>
            <w:tcW w:type="dxa" w:w="1247"/>
          </w:tcPr>
          <w:p>
            <w:r/>
            <w:r>
              <w:rPr>
                <w:b/>
                <w:color w:val="5B6570"/>
                <w:sz w:val="17"/>
              </w:rPr>
              <w:t>2028</w:t>
            </w:r>
          </w:p>
        </w:tc>
        <w:tc>
          <w:tcPr>
            <w:tcW w:type="dxa" w:w="1247"/>
          </w:tcPr>
          <w:p>
            <w:r/>
            <w:r>
              <w:rPr>
                <w:b/>
                <w:color w:val="5B6570"/>
                <w:sz w:val="17"/>
              </w:rPr>
              <w:t>2029</w:t>
            </w:r>
          </w:p>
        </w:tc>
        <w:tc>
          <w:tcPr>
            <w:tcW w:type="dxa" w:w="1247"/>
          </w:tcPr>
          <w:p>
            <w:r/>
            <w:r>
              <w:rPr>
                <w:b/>
                <w:color w:val="5B6570"/>
                <w:sz w:val="17"/>
              </w:rPr>
              <w:t>2030</w:t>
            </w:r>
          </w:p>
        </w:tc>
      </w:tr>
      <w:tr>
        <w:trPr>
          <w:cantSplit/>
        </w:trPr>
        <w:tc>
          <w:tcPr>
            <w:tcW w:type="dxa" w:w="3515"/>
          </w:tcPr>
          <w:p>
            <w:r/>
            <w:r>
              <w:rPr>
                <w:color w:val="1A1D21"/>
                <w:sz w:val="17"/>
              </w:rPr>
              <w:t>Units sold</w:t>
            </w:r>
          </w:p>
        </w:tc>
        <w:tc>
          <w:tcPr>
            <w:tcW w:type="dxa" w:w="1247"/>
          </w:tcPr>
          <w:p>
            <w:pPr>
              <w:jc w:val="right"/>
            </w:pPr>
            <w:r/>
            <w:r>
              <w:rPr>
                <w:color w:val="1A1D21"/>
                <w:sz w:val="17"/>
              </w:rPr>
              <w:t>5,633</w:t>
            </w:r>
          </w:p>
        </w:tc>
        <w:tc>
          <w:tcPr>
            <w:tcW w:type="dxa" w:w="1247"/>
          </w:tcPr>
          <w:p>
            <w:pPr>
              <w:jc w:val="right"/>
            </w:pPr>
            <w:r/>
            <w:r>
              <w:rPr>
                <w:color w:val="1A1D21"/>
                <w:sz w:val="17"/>
              </w:rPr>
              <w:t>5,633</w:t>
            </w:r>
          </w:p>
        </w:tc>
        <w:tc>
          <w:tcPr>
            <w:tcW w:type="dxa" w:w="1247"/>
          </w:tcPr>
          <w:p>
            <w:pPr>
              <w:jc w:val="right"/>
            </w:pPr>
            <w:r/>
            <w:r>
              <w:rPr>
                <w:color w:val="1A1D21"/>
                <w:sz w:val="17"/>
              </w:rPr>
              <w:t>5,633</w:t>
            </w:r>
          </w:p>
        </w:tc>
        <w:tc>
          <w:tcPr>
            <w:tcW w:type="dxa" w:w="1247"/>
          </w:tcPr>
          <w:p>
            <w:pPr>
              <w:jc w:val="right"/>
            </w:pPr>
            <w:r/>
            <w:r>
              <w:rPr>
                <w:color w:val="1A1D21"/>
                <w:sz w:val="17"/>
              </w:rPr>
              <w:t>5,633</w:t>
            </w:r>
          </w:p>
        </w:tc>
        <w:tc>
          <w:tcPr>
            <w:tcW w:type="dxa" w:w="1247"/>
          </w:tcPr>
          <w:p>
            <w:pPr>
              <w:jc w:val="right"/>
            </w:pPr>
            <w:r/>
            <w:r>
              <w:rPr>
                <w:color w:val="1A1D21"/>
                <w:sz w:val="17"/>
              </w:rPr>
              <w:t>5,633</w:t>
            </w:r>
          </w:p>
        </w:tc>
      </w:tr>
      <w:tr>
        <w:trPr>
          <w:cantSplit/>
        </w:trPr>
        <w:tc>
          <w:tcPr>
            <w:tcW w:type="dxa" w:w="3515"/>
          </w:tcPr>
          <w:p>
            <w:r/>
            <w:r>
              <w:rPr>
                <w:color w:val="1A1D21"/>
                <w:sz w:val="17"/>
              </w:rPr>
              <w:t>New sales (EGP mn)</w:t>
            </w:r>
          </w:p>
        </w:tc>
        <w:tc>
          <w:tcPr>
            <w:tcW w:type="dxa" w:w="1247"/>
          </w:tcPr>
          <w:p>
            <w:pPr>
              <w:jc w:val="right"/>
            </w:pPr>
            <w:r/>
            <w:r>
              <w:rPr>
                <w:color w:val="1A1D21"/>
                <w:sz w:val="17"/>
              </w:rPr>
              <w:t>139,999</w:t>
            </w:r>
          </w:p>
        </w:tc>
        <w:tc>
          <w:tcPr>
            <w:tcW w:type="dxa" w:w="1247"/>
          </w:tcPr>
          <w:p>
            <w:pPr>
              <w:jc w:val="right"/>
            </w:pPr>
            <w:r/>
            <w:r>
              <w:rPr>
                <w:color w:val="1A1D21"/>
                <w:sz w:val="17"/>
              </w:rPr>
              <w:t>175,279</w:t>
            </w:r>
          </w:p>
        </w:tc>
        <w:tc>
          <w:tcPr>
            <w:tcW w:type="dxa" w:w="1247"/>
          </w:tcPr>
          <w:p>
            <w:pPr>
              <w:jc w:val="right"/>
            </w:pPr>
            <w:r/>
            <w:r>
              <w:rPr>
                <w:color w:val="1A1D21"/>
                <w:sz w:val="17"/>
              </w:rPr>
              <w:t>219,450</w:t>
            </w:r>
          </w:p>
        </w:tc>
        <w:tc>
          <w:tcPr>
            <w:tcW w:type="dxa" w:w="1247"/>
          </w:tcPr>
          <w:p>
            <w:pPr>
              <w:jc w:val="right"/>
            </w:pPr>
            <w:r/>
            <w:r>
              <w:rPr>
                <w:color w:val="1A1D21"/>
                <w:sz w:val="17"/>
              </w:rPr>
              <w:t>274,751</w:t>
            </w:r>
          </w:p>
        </w:tc>
        <w:tc>
          <w:tcPr>
            <w:tcW w:type="dxa" w:w="1247"/>
          </w:tcPr>
          <w:p>
            <w:pPr>
              <w:jc w:val="right"/>
            </w:pPr>
            <w:r/>
            <w:r>
              <w:rPr>
                <w:color w:val="1A1D21"/>
                <w:sz w:val="17"/>
              </w:rPr>
              <w:t>343,988</w:t>
            </w:r>
          </w:p>
        </w:tc>
      </w:tr>
      <w:tr>
        <w:trPr>
          <w:cantSplit/>
        </w:trPr>
        <w:tc>
          <w:tcPr>
            <w:tcW w:type="dxa" w:w="3515"/>
          </w:tcPr>
          <w:p>
            <w:r/>
            <w:r>
              <w:rPr>
                <w:color w:val="1A1D21"/>
                <w:sz w:val="17"/>
              </w:rPr>
              <w:t>Units delivered</w:t>
            </w:r>
          </w:p>
        </w:tc>
        <w:tc>
          <w:tcPr>
            <w:tcW w:type="dxa" w:w="1247"/>
          </w:tcPr>
          <w:p>
            <w:pPr>
              <w:jc w:val="right"/>
            </w:pPr>
            <w:r/>
            <w:r>
              <w:rPr>
                <w:color w:val="1A1D21"/>
                <w:sz w:val="17"/>
              </w:rPr>
              <w:t>1,886</w:t>
            </w:r>
          </w:p>
        </w:tc>
        <w:tc>
          <w:tcPr>
            <w:tcW w:type="dxa" w:w="1247"/>
          </w:tcPr>
          <w:p>
            <w:pPr>
              <w:jc w:val="right"/>
            </w:pPr>
            <w:r/>
            <w:r>
              <w:rPr>
                <w:color w:val="1A1D21"/>
                <w:sz w:val="17"/>
              </w:rPr>
              <w:t>2,168</w:t>
            </w:r>
          </w:p>
        </w:tc>
        <w:tc>
          <w:tcPr>
            <w:tcW w:type="dxa" w:w="1247"/>
          </w:tcPr>
          <w:p>
            <w:pPr>
              <w:jc w:val="right"/>
            </w:pPr>
            <w:r/>
            <w:r>
              <w:rPr>
                <w:color w:val="1A1D21"/>
                <w:sz w:val="17"/>
              </w:rPr>
              <w:t>2,494</w:t>
            </w:r>
          </w:p>
        </w:tc>
        <w:tc>
          <w:tcPr>
            <w:tcW w:type="dxa" w:w="1247"/>
          </w:tcPr>
          <w:p>
            <w:pPr>
              <w:jc w:val="right"/>
            </w:pPr>
            <w:r/>
            <w:r>
              <w:rPr>
                <w:color w:val="1A1D21"/>
                <w:sz w:val="17"/>
              </w:rPr>
              <w:t>2,868</w:t>
            </w:r>
          </w:p>
        </w:tc>
        <w:tc>
          <w:tcPr>
            <w:tcW w:type="dxa" w:w="1247"/>
          </w:tcPr>
          <w:p>
            <w:pPr>
              <w:jc w:val="right"/>
            </w:pPr>
            <w:r/>
            <w:r>
              <w:rPr>
                <w:color w:val="1A1D21"/>
                <w:sz w:val="17"/>
              </w:rPr>
              <w:t>3,298</w:t>
            </w:r>
          </w:p>
        </w:tc>
      </w:tr>
      <w:tr>
        <w:trPr>
          <w:cantSplit/>
        </w:trPr>
        <w:tc>
          <w:tcPr>
            <w:tcW w:type="dxa" w:w="3515"/>
          </w:tcPr>
          <w:p>
            <w:r/>
            <w:r>
              <w:rPr>
                <w:color w:val="1A1D21"/>
                <w:sz w:val="17"/>
              </w:rPr>
              <w:t>Revenue per delivered unit (EGP mn)</w:t>
            </w:r>
          </w:p>
        </w:tc>
        <w:tc>
          <w:tcPr>
            <w:tcW w:type="dxa" w:w="1247"/>
          </w:tcPr>
          <w:p>
            <w:pPr>
              <w:jc w:val="right"/>
            </w:pPr>
            <w:r/>
            <w:r>
              <w:rPr>
                <w:color w:val="1A1D21"/>
                <w:sz w:val="17"/>
              </w:rPr>
              <w:t>21.29</w:t>
            </w:r>
          </w:p>
        </w:tc>
        <w:tc>
          <w:tcPr>
            <w:tcW w:type="dxa" w:w="1247"/>
          </w:tcPr>
          <w:p>
            <w:pPr>
              <w:jc w:val="right"/>
            </w:pPr>
            <w:r/>
            <w:r>
              <w:rPr>
                <w:color w:val="1A1D21"/>
                <w:sz w:val="17"/>
              </w:rPr>
              <w:t>26.66</w:t>
            </w:r>
          </w:p>
        </w:tc>
        <w:tc>
          <w:tcPr>
            <w:tcW w:type="dxa" w:w="1247"/>
          </w:tcPr>
          <w:p>
            <w:pPr>
              <w:jc w:val="right"/>
            </w:pPr>
            <w:r/>
            <w:r>
              <w:rPr>
                <w:color w:val="1A1D21"/>
                <w:sz w:val="17"/>
              </w:rPr>
              <w:t>33.38</w:t>
            </w:r>
          </w:p>
        </w:tc>
        <w:tc>
          <w:tcPr>
            <w:tcW w:type="dxa" w:w="1247"/>
          </w:tcPr>
          <w:p>
            <w:pPr>
              <w:jc w:val="right"/>
            </w:pPr>
            <w:r/>
            <w:r>
              <w:rPr>
                <w:color w:val="1A1D21"/>
                <w:sz w:val="17"/>
              </w:rPr>
              <w:t>41.79</w:t>
            </w:r>
          </w:p>
        </w:tc>
        <w:tc>
          <w:tcPr>
            <w:tcW w:type="dxa" w:w="1247"/>
          </w:tcPr>
          <w:p>
            <w:pPr>
              <w:jc w:val="right"/>
            </w:pPr>
            <w:r/>
            <w:r>
              <w:rPr>
                <w:color w:val="1A1D21"/>
                <w:sz w:val="17"/>
              </w:rPr>
              <w:t>52.32</w:t>
            </w:r>
          </w:p>
        </w:tc>
      </w:tr>
      <w:tr>
        <w:trPr>
          <w:cantSplit/>
        </w:trPr>
        <w:tc>
          <w:tcPr>
            <w:tcW w:type="dxa" w:w="3515"/>
          </w:tcPr>
          <w:p>
            <w:r/>
            <w:r>
              <w:rPr>
                <w:color w:val="1A1D21"/>
                <w:sz w:val="17"/>
              </w:rPr>
              <w:t>Revenue</w:t>
            </w:r>
          </w:p>
        </w:tc>
        <w:tc>
          <w:tcPr>
            <w:tcW w:type="dxa" w:w="1247"/>
          </w:tcPr>
          <w:p>
            <w:pPr>
              <w:jc w:val="right"/>
            </w:pPr>
            <w:r/>
            <w:r>
              <w:rPr>
                <w:color w:val="1A1D21"/>
                <w:sz w:val="17"/>
              </w:rPr>
              <w:t>40,148</w:t>
            </w:r>
          </w:p>
        </w:tc>
        <w:tc>
          <w:tcPr>
            <w:tcW w:type="dxa" w:w="1247"/>
          </w:tcPr>
          <w:p>
            <w:pPr>
              <w:jc w:val="right"/>
            </w:pPr>
            <w:r/>
            <w:r>
              <w:rPr>
                <w:color w:val="1A1D21"/>
                <w:sz w:val="17"/>
              </w:rPr>
              <w:t>57,805</w:t>
            </w:r>
          </w:p>
        </w:tc>
        <w:tc>
          <w:tcPr>
            <w:tcW w:type="dxa" w:w="1247"/>
          </w:tcPr>
          <w:p>
            <w:pPr>
              <w:jc w:val="right"/>
            </w:pPr>
            <w:r/>
            <w:r>
              <w:rPr>
                <w:color w:val="1A1D21"/>
                <w:sz w:val="17"/>
              </w:rPr>
              <w:t>83,228</w:t>
            </w:r>
          </w:p>
        </w:tc>
        <w:tc>
          <w:tcPr>
            <w:tcW w:type="dxa" w:w="1247"/>
          </w:tcPr>
          <w:p>
            <w:pPr>
              <w:jc w:val="right"/>
            </w:pPr>
            <w:r/>
            <w:r>
              <w:rPr>
                <w:color w:val="1A1D21"/>
                <w:sz w:val="17"/>
              </w:rPr>
              <w:t>119,831</w:t>
            </w:r>
          </w:p>
        </w:tc>
        <w:tc>
          <w:tcPr>
            <w:tcW w:type="dxa" w:w="1247"/>
          </w:tcPr>
          <w:p>
            <w:pPr>
              <w:jc w:val="right"/>
            </w:pPr>
            <w:r/>
            <w:r>
              <w:rPr>
                <w:color w:val="1A1D21"/>
                <w:sz w:val="17"/>
              </w:rPr>
              <w:t>172,533</w:t>
            </w:r>
          </w:p>
        </w:tc>
      </w:tr>
      <w:tr>
        <w:trPr>
          <w:cantSplit/>
        </w:trPr>
        <w:tc>
          <w:tcPr>
            <w:tcW w:type="dxa" w:w="3515"/>
          </w:tcPr>
          <w:p>
            <w:r/>
            <w:r>
              <w:rPr>
                <w:color w:val="1A1D21"/>
                <w:sz w:val="17"/>
              </w:rPr>
              <w:t>Cost per delivered unit (EGP mn)</w:t>
            </w:r>
          </w:p>
        </w:tc>
        <w:tc>
          <w:tcPr>
            <w:tcW w:type="dxa" w:w="1247"/>
          </w:tcPr>
          <w:p>
            <w:pPr>
              <w:jc w:val="right"/>
            </w:pPr>
            <w:r/>
            <w:r>
              <w:rPr>
                <w:color w:val="1A1D21"/>
                <w:sz w:val="17"/>
              </w:rPr>
              <w:t>13.13</w:t>
            </w:r>
          </w:p>
        </w:tc>
        <w:tc>
          <w:tcPr>
            <w:tcW w:type="dxa" w:w="1247"/>
          </w:tcPr>
          <w:p>
            <w:pPr>
              <w:jc w:val="right"/>
            </w:pPr>
            <w:r/>
            <w:r>
              <w:rPr>
                <w:color w:val="1A1D21"/>
                <w:sz w:val="17"/>
              </w:rPr>
              <w:t>16.44</w:t>
            </w:r>
          </w:p>
        </w:tc>
        <w:tc>
          <w:tcPr>
            <w:tcW w:type="dxa" w:w="1247"/>
          </w:tcPr>
          <w:p>
            <w:pPr>
              <w:jc w:val="right"/>
            </w:pPr>
            <w:r/>
            <w:r>
              <w:rPr>
                <w:color w:val="1A1D21"/>
                <w:sz w:val="17"/>
              </w:rPr>
              <w:t>20.59</w:t>
            </w:r>
          </w:p>
        </w:tc>
        <w:tc>
          <w:tcPr>
            <w:tcW w:type="dxa" w:w="1247"/>
          </w:tcPr>
          <w:p>
            <w:pPr>
              <w:jc w:val="right"/>
            </w:pPr>
            <w:r/>
            <w:r>
              <w:rPr>
                <w:color w:val="1A1D21"/>
                <w:sz w:val="17"/>
              </w:rPr>
              <w:t>25.77</w:t>
            </w:r>
          </w:p>
        </w:tc>
        <w:tc>
          <w:tcPr>
            <w:tcW w:type="dxa" w:w="1247"/>
          </w:tcPr>
          <w:p>
            <w:pPr>
              <w:jc w:val="right"/>
            </w:pPr>
            <w:r/>
            <w:r>
              <w:rPr>
                <w:color w:val="1A1D21"/>
                <w:sz w:val="17"/>
              </w:rPr>
              <w:t>32.27</w:t>
            </w:r>
          </w:p>
        </w:tc>
      </w:tr>
      <w:tr>
        <w:trPr>
          <w:cantSplit/>
        </w:trPr>
        <w:tc>
          <w:tcPr>
            <w:tcW w:type="dxa" w:w="3515"/>
          </w:tcPr>
          <w:p>
            <w:r/>
            <w:r>
              <w:rPr>
                <w:color w:val="1A1D21"/>
                <w:sz w:val="17"/>
              </w:rPr>
              <w:t>Cost of revenue</w:t>
            </w:r>
          </w:p>
        </w:tc>
        <w:tc>
          <w:tcPr>
            <w:tcW w:type="dxa" w:w="1247"/>
          </w:tcPr>
          <w:p>
            <w:pPr>
              <w:jc w:val="right"/>
            </w:pPr>
            <w:r/>
            <w:r>
              <w:rPr>
                <w:color w:val="1A1D21"/>
                <w:sz w:val="17"/>
              </w:rPr>
              <w:t>24,762</w:t>
            </w:r>
          </w:p>
        </w:tc>
        <w:tc>
          <w:tcPr>
            <w:tcW w:type="dxa" w:w="1247"/>
          </w:tcPr>
          <w:p>
            <w:pPr>
              <w:jc w:val="right"/>
            </w:pPr>
            <w:r/>
            <w:r>
              <w:rPr>
                <w:color w:val="1A1D21"/>
                <w:sz w:val="17"/>
              </w:rPr>
              <w:t>35,653</w:t>
            </w:r>
          </w:p>
        </w:tc>
        <w:tc>
          <w:tcPr>
            <w:tcW w:type="dxa" w:w="1247"/>
          </w:tcPr>
          <w:p>
            <w:pPr>
              <w:jc w:val="right"/>
            </w:pPr>
            <w:r/>
            <w:r>
              <w:rPr>
                <w:color w:val="1A1D21"/>
                <w:sz w:val="17"/>
              </w:rPr>
              <w:t>51,333</w:t>
            </w:r>
          </w:p>
        </w:tc>
        <w:tc>
          <w:tcPr>
            <w:tcW w:type="dxa" w:w="1247"/>
          </w:tcPr>
          <w:p>
            <w:pPr>
              <w:jc w:val="right"/>
            </w:pPr>
            <w:r/>
            <w:r>
              <w:rPr>
                <w:color w:val="1A1D21"/>
                <w:sz w:val="17"/>
              </w:rPr>
              <w:t>73,909</w:t>
            </w:r>
          </w:p>
        </w:tc>
        <w:tc>
          <w:tcPr>
            <w:tcW w:type="dxa" w:w="1247"/>
          </w:tcPr>
          <w:p>
            <w:pPr>
              <w:jc w:val="right"/>
            </w:pPr>
            <w:r/>
            <w:r>
              <w:rPr>
                <w:color w:val="1A1D21"/>
                <w:sz w:val="17"/>
              </w:rPr>
              <w:t>106,414</w:t>
            </w:r>
          </w:p>
        </w:tc>
      </w:tr>
      <w:tr>
        <w:trPr>
          <w:cantSplit/>
        </w:trPr>
        <w:tc>
          <w:tcPr>
            <w:tcW w:type="dxa" w:w="3515"/>
          </w:tcPr>
          <w:p>
            <w:r/>
            <w:r>
              <w:rPr>
                <w:color w:val="1A1D21"/>
                <w:sz w:val="17"/>
              </w:rPr>
              <w:t>Gross profit</w:t>
            </w:r>
          </w:p>
        </w:tc>
        <w:tc>
          <w:tcPr>
            <w:tcW w:type="dxa" w:w="1247"/>
          </w:tcPr>
          <w:p>
            <w:pPr>
              <w:jc w:val="right"/>
            </w:pPr>
            <w:r/>
            <w:r>
              <w:rPr>
                <w:color w:val="1A1D21"/>
                <w:sz w:val="17"/>
              </w:rPr>
              <w:t>15,386</w:t>
            </w:r>
          </w:p>
        </w:tc>
        <w:tc>
          <w:tcPr>
            <w:tcW w:type="dxa" w:w="1247"/>
          </w:tcPr>
          <w:p>
            <w:pPr>
              <w:jc w:val="right"/>
            </w:pPr>
            <w:r/>
            <w:r>
              <w:rPr>
                <w:color w:val="1A1D21"/>
                <w:sz w:val="17"/>
              </w:rPr>
              <w:t>22,152</w:t>
            </w:r>
          </w:p>
        </w:tc>
        <w:tc>
          <w:tcPr>
            <w:tcW w:type="dxa" w:w="1247"/>
          </w:tcPr>
          <w:p>
            <w:pPr>
              <w:jc w:val="right"/>
            </w:pPr>
            <w:r/>
            <w:r>
              <w:rPr>
                <w:color w:val="1A1D21"/>
                <w:sz w:val="17"/>
              </w:rPr>
              <w:t>31,895</w:t>
            </w:r>
          </w:p>
        </w:tc>
        <w:tc>
          <w:tcPr>
            <w:tcW w:type="dxa" w:w="1247"/>
          </w:tcPr>
          <w:p>
            <w:pPr>
              <w:jc w:val="right"/>
            </w:pPr>
            <w:r/>
            <w:r>
              <w:rPr>
                <w:color w:val="1A1D21"/>
                <w:sz w:val="17"/>
              </w:rPr>
              <w:t>45,922</w:t>
            </w:r>
          </w:p>
        </w:tc>
        <w:tc>
          <w:tcPr>
            <w:tcW w:type="dxa" w:w="1247"/>
          </w:tcPr>
          <w:p>
            <w:pPr>
              <w:jc w:val="right"/>
            </w:pPr>
            <w:r/>
            <w:r>
              <w:rPr>
                <w:color w:val="1A1D21"/>
                <w:sz w:val="17"/>
              </w:rPr>
              <w:t>66,119</w:t>
            </w:r>
          </w:p>
        </w:tc>
      </w:tr>
      <w:tr>
        <w:trPr>
          <w:cantSplit/>
        </w:trPr>
        <w:tc>
          <w:tcPr>
            <w:tcW w:type="dxa" w:w="3515"/>
          </w:tcPr>
          <w:p>
            <w:r/>
            <w:r>
              <w:rPr>
                <w:color w:val="1A1D21"/>
                <w:sz w:val="17"/>
              </w:rPr>
              <w:t>Gross margin (output)</w:t>
            </w:r>
          </w:p>
        </w:tc>
        <w:tc>
          <w:tcPr>
            <w:tcW w:type="dxa" w:w="1247"/>
          </w:tcPr>
          <w:p>
            <w:pPr>
              <w:jc w:val="right"/>
            </w:pPr>
            <w:r/>
            <w:r>
              <w:rPr>
                <w:color w:val="1A1D21"/>
                <w:sz w:val="17"/>
              </w:rPr>
              <w:t>38.3%</w:t>
            </w:r>
          </w:p>
        </w:tc>
        <w:tc>
          <w:tcPr>
            <w:tcW w:type="dxa" w:w="1247"/>
          </w:tcPr>
          <w:p>
            <w:pPr>
              <w:jc w:val="right"/>
            </w:pPr>
            <w:r/>
            <w:r>
              <w:rPr>
                <w:color w:val="1A1D21"/>
                <w:sz w:val="17"/>
              </w:rPr>
              <w:t>38.3%</w:t>
            </w:r>
          </w:p>
        </w:tc>
        <w:tc>
          <w:tcPr>
            <w:tcW w:type="dxa" w:w="1247"/>
          </w:tcPr>
          <w:p>
            <w:pPr>
              <w:jc w:val="right"/>
            </w:pPr>
            <w:r/>
            <w:r>
              <w:rPr>
                <w:color w:val="1A1D21"/>
                <w:sz w:val="17"/>
              </w:rPr>
              <w:t>38.3%</w:t>
            </w:r>
          </w:p>
        </w:tc>
        <w:tc>
          <w:tcPr>
            <w:tcW w:type="dxa" w:w="1247"/>
          </w:tcPr>
          <w:p>
            <w:pPr>
              <w:jc w:val="right"/>
            </w:pPr>
            <w:r/>
            <w:r>
              <w:rPr>
                <w:color w:val="1A1D21"/>
                <w:sz w:val="17"/>
              </w:rPr>
              <w:t>38.3%</w:t>
            </w:r>
          </w:p>
        </w:tc>
        <w:tc>
          <w:tcPr>
            <w:tcW w:type="dxa" w:w="1247"/>
          </w:tcPr>
          <w:p>
            <w:pPr>
              <w:jc w:val="right"/>
            </w:pPr>
            <w:r/>
            <w:r>
              <w:rPr>
                <w:color w:val="1A1D21"/>
                <w:sz w:val="17"/>
              </w:rPr>
              <w:t>38.3%</w:t>
            </w:r>
          </w:p>
        </w:tc>
      </w:tr>
      <w:tr>
        <w:trPr>
          <w:cantSplit/>
        </w:trPr>
        <w:tc>
          <w:tcPr>
            <w:tcW w:type="dxa" w:w="3515"/>
          </w:tcPr>
          <w:p>
            <w:r/>
            <w:r>
              <w:rPr>
                <w:color w:val="1A1D21"/>
                <w:sz w:val="17"/>
              </w:rPr>
              <w:t>Overheads</w:t>
            </w:r>
          </w:p>
        </w:tc>
        <w:tc>
          <w:tcPr>
            <w:tcW w:type="dxa" w:w="1247"/>
          </w:tcPr>
          <w:p>
            <w:pPr>
              <w:jc w:val="right"/>
            </w:pPr>
            <w:r/>
            <w:r>
              <w:rPr>
                <w:color w:val="1A1D21"/>
                <w:sz w:val="17"/>
              </w:rPr>
              <w:t>7,066</w:t>
            </w:r>
          </w:p>
        </w:tc>
        <w:tc>
          <w:tcPr>
            <w:tcW w:type="dxa" w:w="1247"/>
          </w:tcPr>
          <w:p>
            <w:pPr>
              <w:jc w:val="right"/>
            </w:pPr>
            <w:r/>
            <w:r>
              <w:rPr>
                <w:color w:val="1A1D21"/>
                <w:sz w:val="17"/>
              </w:rPr>
              <w:t>10,173</w:t>
            </w:r>
          </w:p>
        </w:tc>
        <w:tc>
          <w:tcPr>
            <w:tcW w:type="dxa" w:w="1247"/>
          </w:tcPr>
          <w:p>
            <w:pPr>
              <w:jc w:val="right"/>
            </w:pPr>
            <w:r/>
            <w:r>
              <w:rPr>
                <w:color w:val="1A1D21"/>
                <w:sz w:val="17"/>
              </w:rPr>
              <w:t>14,648</w:t>
            </w:r>
          </w:p>
        </w:tc>
        <w:tc>
          <w:tcPr>
            <w:tcW w:type="dxa" w:w="1247"/>
          </w:tcPr>
          <w:p>
            <w:pPr>
              <w:jc w:val="right"/>
            </w:pPr>
            <w:r/>
            <w:r>
              <w:rPr>
                <w:color w:val="1A1D21"/>
                <w:sz w:val="17"/>
              </w:rPr>
              <w:t>21,090</w:t>
            </w:r>
          </w:p>
        </w:tc>
        <w:tc>
          <w:tcPr>
            <w:tcW w:type="dxa" w:w="1247"/>
          </w:tcPr>
          <w:p>
            <w:pPr>
              <w:jc w:val="right"/>
            </w:pPr>
            <w:r/>
            <w:r>
              <w:rPr>
                <w:color w:val="1A1D21"/>
                <w:sz w:val="17"/>
              </w:rPr>
              <w:t>30,365</w:t>
            </w:r>
          </w:p>
        </w:tc>
      </w:tr>
      <w:tr>
        <w:trPr>
          <w:cantSplit/>
        </w:trPr>
        <w:tc>
          <w:tcPr>
            <w:tcW w:type="dxa" w:w="3515"/>
          </w:tcPr>
          <w:p>
            <w:r/>
            <w:r>
              <w:rPr>
                <w:color w:val="1A1D21"/>
                <w:sz w:val="17"/>
              </w:rPr>
              <w:t>Operating profit</w:t>
            </w:r>
          </w:p>
        </w:tc>
        <w:tc>
          <w:tcPr>
            <w:tcW w:type="dxa" w:w="1247"/>
          </w:tcPr>
          <w:p>
            <w:pPr>
              <w:jc w:val="right"/>
            </w:pPr>
            <w:r/>
            <w:r>
              <w:rPr>
                <w:color w:val="1A1D21"/>
                <w:sz w:val="17"/>
              </w:rPr>
              <w:t>7,927</w:t>
            </w:r>
          </w:p>
        </w:tc>
        <w:tc>
          <w:tcPr>
            <w:tcW w:type="dxa" w:w="1247"/>
          </w:tcPr>
          <w:p>
            <w:pPr>
              <w:jc w:val="right"/>
            </w:pPr>
            <w:r/>
            <w:r>
              <w:rPr>
                <w:color w:val="1A1D21"/>
                <w:sz w:val="17"/>
              </w:rPr>
              <w:t>11,414</w:t>
            </w:r>
          </w:p>
        </w:tc>
        <w:tc>
          <w:tcPr>
            <w:tcW w:type="dxa" w:w="1247"/>
          </w:tcPr>
          <w:p>
            <w:pPr>
              <w:jc w:val="right"/>
            </w:pPr>
            <w:r/>
            <w:r>
              <w:rPr>
                <w:color w:val="1A1D21"/>
                <w:sz w:val="17"/>
              </w:rPr>
              <w:t>16,433</w:t>
            </w:r>
          </w:p>
        </w:tc>
        <w:tc>
          <w:tcPr>
            <w:tcW w:type="dxa" w:w="1247"/>
          </w:tcPr>
          <w:p>
            <w:pPr>
              <w:jc w:val="right"/>
            </w:pPr>
            <w:r/>
            <w:r>
              <w:rPr>
                <w:color w:val="1A1D21"/>
                <w:sz w:val="17"/>
              </w:rPr>
              <w:t>23,661</w:t>
            </w:r>
          </w:p>
        </w:tc>
        <w:tc>
          <w:tcPr>
            <w:tcW w:type="dxa" w:w="1247"/>
          </w:tcPr>
          <w:p>
            <w:pPr>
              <w:jc w:val="right"/>
            </w:pPr>
            <w:r/>
            <w:r>
              <w:rPr>
                <w:color w:val="1A1D21"/>
                <w:sz w:val="17"/>
              </w:rPr>
              <w:t>34,067</w:t>
            </w:r>
          </w:p>
        </w:tc>
      </w:tr>
      <w:tr>
        <w:trPr>
          <w:cantSplit/>
        </w:trPr>
        <w:tc>
          <w:tcPr>
            <w:tcW w:type="dxa" w:w="3515"/>
          </w:tcPr>
          <w:p>
            <w:r/>
            <w:r>
              <w:rPr>
                <w:color w:val="1A1D21"/>
                <w:sz w:val="17"/>
              </w:rPr>
              <w:t>Finance cost</w:t>
            </w:r>
          </w:p>
        </w:tc>
        <w:tc>
          <w:tcPr>
            <w:tcW w:type="dxa" w:w="1247"/>
          </w:tcPr>
          <w:p>
            <w:pPr>
              <w:jc w:val="right"/>
            </w:pPr>
            <w:r/>
            <w:r>
              <w:rPr>
                <w:color w:val="1A1D21"/>
                <w:sz w:val="17"/>
              </w:rPr>
              <w:t>3,348</w:t>
            </w:r>
          </w:p>
        </w:tc>
        <w:tc>
          <w:tcPr>
            <w:tcW w:type="dxa" w:w="1247"/>
          </w:tcPr>
          <w:p>
            <w:pPr>
              <w:jc w:val="right"/>
            </w:pPr>
            <w:r/>
            <w:r>
              <w:rPr>
                <w:color w:val="1A1D21"/>
                <w:sz w:val="17"/>
              </w:rPr>
              <w:t>3,348</w:t>
            </w:r>
          </w:p>
        </w:tc>
        <w:tc>
          <w:tcPr>
            <w:tcW w:type="dxa" w:w="1247"/>
          </w:tcPr>
          <w:p>
            <w:pPr>
              <w:jc w:val="right"/>
            </w:pPr>
            <w:r/>
            <w:r>
              <w:rPr>
                <w:color w:val="1A1D21"/>
                <w:sz w:val="17"/>
              </w:rPr>
              <w:t>3,348</w:t>
            </w:r>
          </w:p>
        </w:tc>
        <w:tc>
          <w:tcPr>
            <w:tcW w:type="dxa" w:w="1247"/>
          </w:tcPr>
          <w:p>
            <w:pPr>
              <w:jc w:val="right"/>
            </w:pPr>
            <w:r/>
            <w:r>
              <w:rPr>
                <w:color w:val="1A1D21"/>
                <w:sz w:val="17"/>
              </w:rPr>
              <w:t>3,348</w:t>
            </w:r>
          </w:p>
        </w:tc>
        <w:tc>
          <w:tcPr>
            <w:tcW w:type="dxa" w:w="1247"/>
          </w:tcPr>
          <w:p>
            <w:pPr>
              <w:jc w:val="right"/>
            </w:pPr>
            <w:r/>
            <w:r>
              <w:rPr>
                <w:color w:val="1A1D21"/>
                <w:sz w:val="17"/>
              </w:rPr>
              <w:t>3,348</w:t>
            </w:r>
          </w:p>
        </w:tc>
      </w:tr>
      <w:tr>
        <w:trPr>
          <w:cantSplit/>
        </w:trPr>
        <w:tc>
          <w:tcPr>
            <w:tcW w:type="dxa" w:w="3515"/>
          </w:tcPr>
          <w:p>
            <w:r/>
            <w:r>
              <w:rPr>
                <w:color w:val="1A1D21"/>
                <w:sz w:val="17"/>
              </w:rPr>
              <w:t>Profit before tax</w:t>
            </w:r>
          </w:p>
        </w:tc>
        <w:tc>
          <w:tcPr>
            <w:tcW w:type="dxa" w:w="1247"/>
          </w:tcPr>
          <w:p>
            <w:pPr>
              <w:jc w:val="right"/>
            </w:pPr>
            <w:r/>
            <w:r>
              <w:rPr>
                <w:color w:val="1A1D21"/>
                <w:sz w:val="17"/>
              </w:rPr>
              <w:t>4,580</w:t>
            </w:r>
          </w:p>
        </w:tc>
        <w:tc>
          <w:tcPr>
            <w:tcW w:type="dxa" w:w="1247"/>
          </w:tcPr>
          <w:p>
            <w:pPr>
              <w:jc w:val="right"/>
            </w:pPr>
            <w:r/>
            <w:r>
              <w:rPr>
                <w:color w:val="1A1D21"/>
                <w:sz w:val="17"/>
              </w:rPr>
              <w:t>8,066</w:t>
            </w:r>
          </w:p>
        </w:tc>
        <w:tc>
          <w:tcPr>
            <w:tcW w:type="dxa" w:w="1247"/>
          </w:tcPr>
          <w:p>
            <w:pPr>
              <w:jc w:val="right"/>
            </w:pPr>
            <w:r/>
            <w:r>
              <w:rPr>
                <w:color w:val="1A1D21"/>
                <w:sz w:val="17"/>
              </w:rPr>
              <w:t>13,086</w:t>
            </w:r>
          </w:p>
        </w:tc>
        <w:tc>
          <w:tcPr>
            <w:tcW w:type="dxa" w:w="1247"/>
          </w:tcPr>
          <w:p>
            <w:pPr>
              <w:jc w:val="right"/>
            </w:pPr>
            <w:r/>
            <w:r>
              <w:rPr>
                <w:color w:val="1A1D21"/>
                <w:sz w:val="17"/>
              </w:rPr>
              <w:t>20,313</w:t>
            </w:r>
          </w:p>
        </w:tc>
        <w:tc>
          <w:tcPr>
            <w:tcW w:type="dxa" w:w="1247"/>
          </w:tcPr>
          <w:p>
            <w:pPr>
              <w:jc w:val="right"/>
            </w:pPr>
            <w:r/>
            <w:r>
              <w:rPr>
                <w:color w:val="1A1D21"/>
                <w:sz w:val="17"/>
              </w:rPr>
              <w:t>30,719</w:t>
            </w:r>
          </w:p>
        </w:tc>
      </w:tr>
      <w:tr>
        <w:trPr>
          <w:cantSplit/>
        </w:trPr>
        <w:tc>
          <w:tcPr>
            <w:tcW w:type="dxa" w:w="3515"/>
          </w:tcPr>
          <w:p>
            <w:r/>
            <w:r>
              <w:rPr>
                <w:color w:val="1A1D21"/>
                <w:sz w:val="17"/>
              </w:rPr>
              <w:t>Tax rate</w:t>
            </w:r>
          </w:p>
        </w:tc>
        <w:tc>
          <w:tcPr>
            <w:tcW w:type="dxa" w:w="1247"/>
          </w:tcPr>
          <w:p>
            <w:pPr>
              <w:jc w:val="right"/>
            </w:pPr>
            <w:r/>
            <w:r>
              <w:rPr>
                <w:color w:val="1A1D21"/>
                <w:sz w:val="17"/>
              </w:rPr>
              <w:t>22.5%</w:t>
            </w:r>
          </w:p>
        </w:tc>
        <w:tc>
          <w:tcPr>
            <w:tcW w:type="dxa" w:w="1247"/>
          </w:tcPr>
          <w:p>
            <w:pPr>
              <w:jc w:val="right"/>
            </w:pPr>
            <w:r/>
            <w:r>
              <w:rPr>
                <w:color w:val="1A1D21"/>
                <w:sz w:val="17"/>
              </w:rPr>
              <w:t>22.5%</w:t>
            </w:r>
          </w:p>
        </w:tc>
        <w:tc>
          <w:tcPr>
            <w:tcW w:type="dxa" w:w="1247"/>
          </w:tcPr>
          <w:p>
            <w:pPr>
              <w:jc w:val="right"/>
            </w:pPr>
            <w:r/>
            <w:r>
              <w:rPr>
                <w:color w:val="1A1D21"/>
                <w:sz w:val="17"/>
              </w:rPr>
              <w:t>22.5%</w:t>
            </w:r>
          </w:p>
        </w:tc>
        <w:tc>
          <w:tcPr>
            <w:tcW w:type="dxa" w:w="1247"/>
          </w:tcPr>
          <w:p>
            <w:pPr>
              <w:jc w:val="right"/>
            </w:pPr>
            <w:r/>
            <w:r>
              <w:rPr>
                <w:color w:val="1A1D21"/>
                <w:sz w:val="17"/>
              </w:rPr>
              <w:t>22.5%</w:t>
            </w:r>
          </w:p>
        </w:tc>
        <w:tc>
          <w:tcPr>
            <w:tcW w:type="dxa" w:w="1247"/>
          </w:tcPr>
          <w:p>
            <w:pPr>
              <w:jc w:val="right"/>
            </w:pPr>
            <w:r/>
            <w:r>
              <w:rPr>
                <w:color w:val="1A1D21"/>
                <w:sz w:val="17"/>
              </w:rPr>
              <w:t>22.5%</w:t>
            </w:r>
          </w:p>
        </w:tc>
      </w:tr>
      <w:tr>
        <w:trPr>
          <w:cantSplit/>
        </w:trPr>
        <w:tc>
          <w:tcPr>
            <w:tcW w:type="dxa" w:w="3515"/>
          </w:tcPr>
          <w:p>
            <w:r/>
            <w:r>
              <w:rPr>
                <w:color w:val="1A1D21"/>
                <w:sz w:val="17"/>
              </w:rPr>
              <w:t>Net profit</w:t>
            </w:r>
          </w:p>
        </w:tc>
        <w:tc>
          <w:tcPr>
            <w:tcW w:type="dxa" w:w="1247"/>
          </w:tcPr>
          <w:p>
            <w:pPr>
              <w:jc w:val="right"/>
            </w:pPr>
            <w:r/>
            <w:r>
              <w:rPr>
                <w:color w:val="1A1D21"/>
                <w:sz w:val="17"/>
              </w:rPr>
              <w:t>3,549</w:t>
            </w:r>
          </w:p>
        </w:tc>
        <w:tc>
          <w:tcPr>
            <w:tcW w:type="dxa" w:w="1247"/>
          </w:tcPr>
          <w:p>
            <w:pPr>
              <w:jc w:val="right"/>
            </w:pPr>
            <w:r/>
            <w:r>
              <w:rPr>
                <w:color w:val="1A1D21"/>
                <w:sz w:val="17"/>
              </w:rPr>
              <w:t>6,251</w:t>
            </w:r>
          </w:p>
        </w:tc>
        <w:tc>
          <w:tcPr>
            <w:tcW w:type="dxa" w:w="1247"/>
          </w:tcPr>
          <w:p>
            <w:pPr>
              <w:jc w:val="right"/>
            </w:pPr>
            <w:r/>
            <w:r>
              <w:rPr>
                <w:color w:val="1A1D21"/>
                <w:sz w:val="17"/>
              </w:rPr>
              <w:t>10,141</w:t>
            </w:r>
          </w:p>
        </w:tc>
        <w:tc>
          <w:tcPr>
            <w:tcW w:type="dxa" w:w="1247"/>
          </w:tcPr>
          <w:p>
            <w:pPr>
              <w:jc w:val="right"/>
            </w:pPr>
            <w:r/>
            <w:r>
              <w:rPr>
                <w:color w:val="1A1D21"/>
                <w:sz w:val="17"/>
              </w:rPr>
              <w:t>15,743</w:t>
            </w:r>
          </w:p>
        </w:tc>
        <w:tc>
          <w:tcPr>
            <w:tcW w:type="dxa" w:w="1247"/>
          </w:tcPr>
          <w:p>
            <w:pPr>
              <w:jc w:val="right"/>
            </w:pPr>
            <w:r/>
            <w:r>
              <w:rPr>
                <w:color w:val="1A1D21"/>
                <w:sz w:val="17"/>
              </w:rPr>
              <w:t>23,807</w:t>
            </w:r>
          </w:p>
        </w:tc>
      </w:tr>
      <w:tr>
        <w:trPr>
          <w:cantSplit/>
        </w:trPr>
        <w:tc>
          <w:tcPr>
            <w:tcW w:type="dxa" w:w="3515"/>
          </w:tcPr>
          <w:p>
            <w:r/>
            <w:r>
              <w:rPr>
                <w:color w:val="1A1D21"/>
                <w:sz w:val="17"/>
              </w:rPr>
              <w:t>Earnings per share (EGP)</w:t>
            </w:r>
          </w:p>
        </w:tc>
        <w:tc>
          <w:tcPr>
            <w:tcW w:type="dxa" w:w="1247"/>
          </w:tcPr>
          <w:p>
            <w:pPr>
              <w:jc w:val="right"/>
            </w:pPr>
            <w:r/>
            <w:r>
              <w:rPr>
                <w:color w:val="1A1D21"/>
                <w:sz w:val="17"/>
              </w:rPr>
              <w:t>1.24</w:t>
            </w:r>
          </w:p>
        </w:tc>
        <w:tc>
          <w:tcPr>
            <w:tcW w:type="dxa" w:w="1247"/>
          </w:tcPr>
          <w:p>
            <w:pPr>
              <w:jc w:val="right"/>
            </w:pPr>
            <w:r/>
            <w:r>
              <w:rPr>
                <w:color w:val="1A1D21"/>
                <w:sz w:val="17"/>
              </w:rPr>
              <w:t>2.19</w:t>
            </w:r>
          </w:p>
        </w:tc>
        <w:tc>
          <w:tcPr>
            <w:tcW w:type="dxa" w:w="1247"/>
          </w:tcPr>
          <w:p>
            <w:pPr>
              <w:jc w:val="right"/>
            </w:pPr>
            <w:r/>
            <w:r>
              <w:rPr>
                <w:color w:val="1A1D21"/>
                <w:sz w:val="17"/>
              </w:rPr>
              <w:t>3.55</w:t>
            </w:r>
          </w:p>
        </w:tc>
        <w:tc>
          <w:tcPr>
            <w:tcW w:type="dxa" w:w="1247"/>
          </w:tcPr>
          <w:p>
            <w:pPr>
              <w:jc w:val="right"/>
            </w:pPr>
            <w:r/>
            <w:r>
              <w:rPr>
                <w:color w:val="1A1D21"/>
                <w:sz w:val="17"/>
              </w:rPr>
              <w:t>5.50</w:t>
            </w:r>
          </w:p>
        </w:tc>
        <w:tc>
          <w:tcPr>
            <w:tcW w:type="dxa" w:w="1247"/>
          </w:tcPr>
          <w:p>
            <w:pPr>
              <w:jc w:val="right"/>
            </w:pPr>
            <w:r/>
            <w:r>
              <w:rPr>
                <w:color w:val="1A1D21"/>
                <w:sz w:val="17"/>
              </w:rPr>
              <w:t>8.32</w:t>
            </w:r>
          </w:p>
        </w:tc>
      </w:tr>
      <w:tr>
        <w:trPr>
          <w:cantSplit/>
        </w:trPr>
        <w:tc>
          <w:tcPr>
            <w:tcW w:type="dxa" w:w="3515"/>
          </w:tcPr>
          <w:p>
            <w:r/>
            <w:r>
              <w:rPr>
                <w:color w:val="1A1D21"/>
                <w:sz w:val="17"/>
              </w:rPr>
              <w:t>Order book, closing</w:t>
            </w:r>
          </w:p>
        </w:tc>
        <w:tc>
          <w:tcPr>
            <w:tcW w:type="dxa" w:w="1247"/>
          </w:tcPr>
          <w:p>
            <w:pPr>
              <w:jc w:val="right"/>
            </w:pPr>
            <w:r/>
            <w:r>
              <w:rPr>
                <w:color w:val="1A1D21"/>
                <w:sz w:val="17"/>
              </w:rPr>
              <w:t>362,852</w:t>
            </w:r>
          </w:p>
        </w:tc>
        <w:tc>
          <w:tcPr>
            <w:tcW w:type="dxa" w:w="1247"/>
          </w:tcPr>
          <w:p>
            <w:pPr>
              <w:jc w:val="right"/>
            </w:pPr>
            <w:r/>
            <w:r>
              <w:rPr>
                <w:color w:val="1A1D21"/>
                <w:sz w:val="17"/>
              </w:rPr>
              <w:t>480,326</w:t>
            </w:r>
          </w:p>
        </w:tc>
        <w:tc>
          <w:tcPr>
            <w:tcW w:type="dxa" w:w="1247"/>
          </w:tcPr>
          <w:p>
            <w:pPr>
              <w:jc w:val="right"/>
            </w:pPr>
            <w:r/>
            <w:r>
              <w:rPr>
                <w:color w:val="1A1D21"/>
                <w:sz w:val="17"/>
              </w:rPr>
              <w:t>616,548</w:t>
            </w:r>
          </w:p>
        </w:tc>
        <w:tc>
          <w:tcPr>
            <w:tcW w:type="dxa" w:w="1247"/>
          </w:tcPr>
          <w:p>
            <w:pPr>
              <w:jc w:val="right"/>
            </w:pPr>
            <w:r/>
            <w:r>
              <w:rPr>
                <w:color w:val="1A1D21"/>
                <w:sz w:val="17"/>
              </w:rPr>
              <w:t>771,468</w:t>
            </w:r>
          </w:p>
        </w:tc>
        <w:tc>
          <w:tcPr>
            <w:tcW w:type="dxa" w:w="1247"/>
          </w:tcPr>
          <w:p>
            <w:pPr>
              <w:jc w:val="right"/>
            </w:pPr>
            <w:r/>
            <w:r>
              <w:rPr>
                <w:color w:val="1A1D21"/>
                <w:sz w:val="17"/>
              </w:rPr>
              <w:t>942,924</w:t>
            </w:r>
          </w:p>
        </w:tc>
      </w:tr>
    </w:tbl>
    <w:p>
      <w:pPr>
        <w:spacing w:after="200"/>
      </w:pPr>
      <w:r>
        <w:rPr>
          <w:b w:val="0"/>
          <w:i/>
          <w:color w:val="5B6570"/>
          <w:sz w:val="16"/>
        </w:rPr>
        <w:t>Every line follows from the two engines above. Gross margin is what price per unit and cost per unit leave behind, not an assumption.</w:t>
      </w:r>
    </w:p>
    <w:p>
      <w:pPr>
        <w:spacing w:after="140"/>
      </w:pPr>
      <w:r>
        <w:rPr>
          <w:b w:val="0"/>
          <w:i w:val="0"/>
          <w:color w:val="1A1D21"/>
          <w:sz w:val="20"/>
        </w:rPr>
        <w:t>Three anchors hold this table to what was actually reported. FY2026 is part-reported: the company disclosed first-quarter revenue of EGP 9,300 million, up 11 per cent on the same quarter of 2025, which places that quarter at 23.2 per cent of the full year and gives an FY2026 revenue anchor of EGP 40,148 million from the actual rather than from a trend. The finance charge is the disclosed rate on the interest-bearing borrowings, 13.91 per cent, not the 25.50 per cent marginal rate used for discounting — a large part of the balance does not bear interest and part of the charge is capitalised into work in progress. And the gross margin is held at 38.3 per cent, the average of the last two disclosures.</w:t>
      </w:r>
    </w:p>
    <w:p>
      <w:pPr>
        <w:spacing w:after="140"/>
      </w:pPr>
      <w:r>
        <w:rPr>
          <w:b w:val="0"/>
          <w:i w:val="0"/>
          <w:color w:val="1A1D21"/>
          <w:sz w:val="20"/>
        </w:rPr>
        <w:t>One drift was measured and deliberately not carried. The move from a 41.2 per cent gross margin in 2025 to 35.5 per cent in the first quarter of 2026 implies cost rising about 9.6 per cent a year faster than price. Compounded over five years that takes gross margin to 7.5 per cent and the company to a loss by 2030 — on the strength of one quarter against one year, for a developer whose margin moves with which project happens to hand over. It is sensitised in section 1.9 instead of extrapolated.</w:t>
      </w:r>
    </w:p>
    <w:tbl>
      <w:tblPr>
        <w:tblStyle w:val="TableGrid"/>
        <w:tblW w:type="auto" w:w="0"/>
        <w:jc w:val="center"/>
        <w:tblLayout w:type="fixed"/>
        <w:tblLook w:firstColumn="1" w:firstRow="1" w:lastColumn="0" w:lastRow="0" w:noHBand="0" w:noVBand="1" w:val="04A0"/>
        <w:tblLayout w:type="fixed"/>
      </w:tblPr>
      <w:tblGrid>
        <w:gridCol w:w="3402"/>
        <w:gridCol w:w="1928"/>
        <w:gridCol w:w="1928"/>
        <w:gridCol w:w="1928"/>
      </w:tblGrid>
      <w:tr>
        <w:trPr>
          <w:tblHeader w:val="true"/>
        </w:trPr>
        <w:tc>
          <w:tcPr>
            <w:tcW w:type="dxa" w:w="3402"/>
          </w:tcPr>
          <w:p>
            <w:r/>
            <w:r>
              <w:rPr>
                <w:b/>
                <w:color w:val="5B6570"/>
                <w:sz w:val="17"/>
              </w:rPr>
              <w:t>Revenue, years three to five (EGP mn)</w:t>
            </w:r>
          </w:p>
        </w:tc>
        <w:tc>
          <w:tcPr>
            <w:tcW w:type="dxa" w:w="1928"/>
          </w:tcPr>
          <w:p>
            <w:r/>
            <w:r>
              <w:rPr>
                <w:b/>
                <w:color w:val="5B6570"/>
                <w:sz w:val="17"/>
              </w:rPr>
              <w:t>Low</w:t>
            </w:r>
          </w:p>
        </w:tc>
        <w:tc>
          <w:tcPr>
            <w:tcW w:type="dxa" w:w="1928"/>
          </w:tcPr>
          <w:p>
            <w:r/>
            <w:r>
              <w:rPr>
                <w:b/>
                <w:color w:val="5B6570"/>
                <w:sz w:val="17"/>
              </w:rPr>
              <w:t>Point</w:t>
            </w:r>
          </w:p>
        </w:tc>
        <w:tc>
          <w:tcPr>
            <w:tcW w:type="dxa" w:w="1928"/>
          </w:tcPr>
          <w:p>
            <w:r/>
            <w:r>
              <w:rPr>
                <w:b/>
                <w:color w:val="5B6570"/>
                <w:sz w:val="17"/>
              </w:rPr>
              <w:t>High</w:t>
            </w:r>
          </w:p>
        </w:tc>
      </w:tr>
      <w:tr>
        <w:trPr>
          <w:cantSplit/>
        </w:trPr>
        <w:tc>
          <w:tcPr>
            <w:tcW w:type="dxa" w:w="3402"/>
          </w:tcPr>
          <w:p>
            <w:r/>
            <w:r>
              <w:rPr>
                <w:color w:val="1A1D21"/>
                <w:sz w:val="17"/>
              </w:rPr>
              <w:t>2028</w:t>
            </w:r>
          </w:p>
        </w:tc>
        <w:tc>
          <w:tcPr>
            <w:tcW w:type="dxa" w:w="1928"/>
          </w:tcPr>
          <w:p>
            <w:pPr>
              <w:jc w:val="right"/>
            </w:pPr>
            <w:r/>
            <w:r>
              <w:rPr>
                <w:color w:val="1A1D21"/>
                <w:sz w:val="17"/>
              </w:rPr>
              <w:t>37,567</w:t>
            </w:r>
          </w:p>
        </w:tc>
        <w:tc>
          <w:tcPr>
            <w:tcW w:type="dxa" w:w="1928"/>
          </w:tcPr>
          <w:p>
            <w:pPr>
              <w:jc w:val="right"/>
            </w:pPr>
            <w:r/>
            <w:r>
              <w:rPr>
                <w:color w:val="1A1D21"/>
                <w:sz w:val="17"/>
              </w:rPr>
              <w:t>83,228</w:t>
            </w:r>
          </w:p>
        </w:tc>
        <w:tc>
          <w:tcPr>
            <w:tcW w:type="dxa" w:w="1928"/>
          </w:tcPr>
          <w:p>
            <w:pPr>
              <w:jc w:val="right"/>
            </w:pPr>
            <w:r/>
            <w:r>
              <w:rPr>
                <w:color w:val="1A1D21"/>
                <w:sz w:val="17"/>
              </w:rPr>
              <w:t>157,708</w:t>
            </w:r>
          </w:p>
        </w:tc>
      </w:tr>
      <w:tr>
        <w:trPr>
          <w:cantSplit/>
        </w:trPr>
        <w:tc>
          <w:tcPr>
            <w:tcW w:type="dxa" w:w="3402"/>
          </w:tcPr>
          <w:p>
            <w:r/>
            <w:r>
              <w:rPr>
                <w:color w:val="1A1D21"/>
                <w:sz w:val="17"/>
              </w:rPr>
              <w:t>2029</w:t>
            </w:r>
          </w:p>
        </w:tc>
        <w:tc>
          <w:tcPr>
            <w:tcW w:type="dxa" w:w="1928"/>
          </w:tcPr>
          <w:p>
            <w:pPr>
              <w:jc w:val="right"/>
            </w:pPr>
            <w:r/>
            <w:r>
              <w:rPr>
                <w:color w:val="1A1D21"/>
                <w:sz w:val="17"/>
              </w:rPr>
              <w:t>57,855</w:t>
            </w:r>
          </w:p>
        </w:tc>
        <w:tc>
          <w:tcPr>
            <w:tcW w:type="dxa" w:w="1928"/>
          </w:tcPr>
          <w:p>
            <w:pPr>
              <w:jc w:val="right"/>
            </w:pPr>
            <w:r/>
            <w:r>
              <w:rPr>
                <w:color w:val="1A1D21"/>
                <w:sz w:val="17"/>
              </w:rPr>
              <w:t>119,831</w:t>
            </w:r>
          </w:p>
        </w:tc>
        <w:tc>
          <w:tcPr>
            <w:tcW w:type="dxa" w:w="1928"/>
          </w:tcPr>
          <w:p>
            <w:pPr>
              <w:jc w:val="right"/>
            </w:pPr>
            <w:r/>
            <w:r>
              <w:rPr>
                <w:color w:val="1A1D21"/>
                <w:sz w:val="17"/>
              </w:rPr>
              <w:t>254,120</w:t>
            </w:r>
          </w:p>
        </w:tc>
      </w:tr>
      <w:tr>
        <w:trPr>
          <w:cantSplit/>
        </w:trPr>
        <w:tc>
          <w:tcPr>
            <w:tcW w:type="dxa" w:w="3402"/>
          </w:tcPr>
          <w:p>
            <w:r/>
            <w:r>
              <w:rPr>
                <w:color w:val="1A1D21"/>
                <w:sz w:val="17"/>
              </w:rPr>
              <w:t>2030</w:t>
            </w:r>
          </w:p>
        </w:tc>
        <w:tc>
          <w:tcPr>
            <w:tcW w:type="dxa" w:w="1928"/>
          </w:tcPr>
          <w:p>
            <w:pPr>
              <w:jc w:val="right"/>
            </w:pPr>
            <w:r/>
            <w:r>
              <w:rPr>
                <w:color w:val="1A1D21"/>
                <w:sz w:val="17"/>
              </w:rPr>
              <w:t>112,623</w:t>
            </w:r>
          </w:p>
        </w:tc>
        <w:tc>
          <w:tcPr>
            <w:tcW w:type="dxa" w:w="1928"/>
          </w:tcPr>
          <w:p>
            <w:pPr>
              <w:jc w:val="right"/>
            </w:pPr>
            <w:r/>
            <w:r>
              <w:rPr>
                <w:color w:val="1A1D21"/>
                <w:sz w:val="17"/>
              </w:rPr>
              <w:t>172,533</w:t>
            </w:r>
          </w:p>
        </w:tc>
        <w:tc>
          <w:tcPr>
            <w:tcW w:type="dxa" w:w="1928"/>
          </w:tcPr>
          <w:p>
            <w:pPr>
              <w:jc w:val="right"/>
            </w:pPr>
            <w:r/>
            <w:r>
              <w:rPr>
                <w:color w:val="1A1D21"/>
                <w:sz w:val="17"/>
              </w:rPr>
              <w:t>288,343</w:t>
            </w:r>
          </w:p>
        </w:tc>
      </w:tr>
    </w:tbl>
    <w:p>
      <w:pPr>
        <w:spacing w:after="200"/>
      </w:pPr>
      <w:r>
        <w:rPr>
          <w:b w:val="0"/>
          <w:i/>
          <w:color w:val="5B6570"/>
          <w:sz w:val="16"/>
        </w:rPr>
        <w:t>The band is this method's OWN measured error at each horizon, taken from testing it across ten annual starting points on the company's 2011-2025 history. It is not a scenario; it is the spread the method has actually produced.</w:t>
      </w:r>
    </w:p>
    <w:p>
      <w:pPr>
        <w:pStyle w:val="Heading3"/>
      </w:pPr>
      <w:r>
        <w:t>The cash-flow calculation in full</w:t>
      </w:r>
    </w:p>
    <w:p>
      <w:pPr>
        <w:spacing w:after="140"/>
      </w:pPr>
      <w:r>
        <w:rPr>
          <w:b w:val="0"/>
          <w:i w:val="0"/>
          <w:color w:val="1A1D21"/>
          <w:sz w:val="20"/>
        </w:rPr>
        <w:t>Operating profit is not cash, and for a developer selling on instalments the gap between the two is the whole question. The table below runs every step from operating profit to a present value, year by year, with nothing collapsed.</w:t>
      </w:r>
    </w:p>
    <w:tbl>
      <w:tblPr>
        <w:tblStyle w:val="TableGrid"/>
        <w:tblW w:type="auto" w:w="0"/>
        <w:jc w:val="center"/>
        <w:tblLayout w:type="fixed"/>
        <w:tblLook w:firstColumn="1" w:firstRow="1" w:lastColumn="0" w:lastRow="0" w:noHBand="0" w:noVBand="1" w:val="04A0"/>
        <w:tblLayout w:type="fixed"/>
      </w:tblPr>
      <w:tblGrid>
        <w:gridCol w:w="3515"/>
        <w:gridCol w:w="1247"/>
        <w:gridCol w:w="1247"/>
        <w:gridCol w:w="1247"/>
        <w:gridCol w:w="1247"/>
        <w:gridCol w:w="1247"/>
      </w:tblGrid>
      <w:tr>
        <w:trPr>
          <w:tblHeader w:val="true"/>
        </w:trPr>
        <w:tc>
          <w:tcPr>
            <w:tcW w:type="dxa" w:w="3515"/>
          </w:tcPr>
          <w:p>
            <w:r/>
            <w:r>
              <w:rPr>
                <w:b/>
                <w:color w:val="5B6570"/>
                <w:sz w:val="17"/>
              </w:rPr>
              <w:t>EGP million</w:t>
            </w:r>
          </w:p>
        </w:tc>
        <w:tc>
          <w:tcPr>
            <w:tcW w:type="dxa" w:w="1247"/>
          </w:tcPr>
          <w:p>
            <w:r/>
            <w:r>
              <w:rPr>
                <w:b/>
                <w:color w:val="5B6570"/>
                <w:sz w:val="17"/>
              </w:rPr>
              <w:t>2026</w:t>
            </w:r>
          </w:p>
        </w:tc>
        <w:tc>
          <w:tcPr>
            <w:tcW w:type="dxa" w:w="1247"/>
          </w:tcPr>
          <w:p>
            <w:r/>
            <w:r>
              <w:rPr>
                <w:b/>
                <w:color w:val="5B6570"/>
                <w:sz w:val="17"/>
              </w:rPr>
              <w:t>2027</w:t>
            </w:r>
          </w:p>
        </w:tc>
        <w:tc>
          <w:tcPr>
            <w:tcW w:type="dxa" w:w="1247"/>
          </w:tcPr>
          <w:p>
            <w:r/>
            <w:r>
              <w:rPr>
                <w:b/>
                <w:color w:val="5B6570"/>
                <w:sz w:val="17"/>
              </w:rPr>
              <w:t>2028</w:t>
            </w:r>
          </w:p>
        </w:tc>
        <w:tc>
          <w:tcPr>
            <w:tcW w:type="dxa" w:w="1247"/>
          </w:tcPr>
          <w:p>
            <w:r/>
            <w:r>
              <w:rPr>
                <w:b/>
                <w:color w:val="5B6570"/>
                <w:sz w:val="17"/>
              </w:rPr>
              <w:t>2029</w:t>
            </w:r>
          </w:p>
        </w:tc>
        <w:tc>
          <w:tcPr>
            <w:tcW w:type="dxa" w:w="1247"/>
          </w:tcPr>
          <w:p>
            <w:r/>
            <w:r>
              <w:rPr>
                <w:b/>
                <w:color w:val="5B6570"/>
                <w:sz w:val="17"/>
              </w:rPr>
              <w:t>2030</w:t>
            </w:r>
          </w:p>
        </w:tc>
      </w:tr>
      <w:tr>
        <w:trPr>
          <w:cantSplit/>
        </w:trPr>
        <w:tc>
          <w:tcPr>
            <w:tcW w:type="dxa" w:w="3515"/>
          </w:tcPr>
          <w:p>
            <w:r/>
            <w:r>
              <w:rPr>
                <w:color w:val="1A1D21"/>
                <w:sz w:val="17"/>
              </w:rPr>
              <w:t>Operating profit</w:t>
            </w:r>
          </w:p>
        </w:tc>
        <w:tc>
          <w:tcPr>
            <w:tcW w:type="dxa" w:w="1247"/>
          </w:tcPr>
          <w:p>
            <w:pPr>
              <w:jc w:val="right"/>
            </w:pPr>
            <w:r/>
            <w:r>
              <w:rPr>
                <w:color w:val="1A1D21"/>
                <w:sz w:val="17"/>
              </w:rPr>
              <w:t>7,927</w:t>
            </w:r>
          </w:p>
        </w:tc>
        <w:tc>
          <w:tcPr>
            <w:tcW w:type="dxa" w:w="1247"/>
          </w:tcPr>
          <w:p>
            <w:pPr>
              <w:jc w:val="right"/>
            </w:pPr>
            <w:r/>
            <w:r>
              <w:rPr>
                <w:color w:val="1A1D21"/>
                <w:sz w:val="17"/>
              </w:rPr>
              <w:t>11,414</w:t>
            </w:r>
          </w:p>
        </w:tc>
        <w:tc>
          <w:tcPr>
            <w:tcW w:type="dxa" w:w="1247"/>
          </w:tcPr>
          <w:p>
            <w:pPr>
              <w:jc w:val="right"/>
            </w:pPr>
            <w:r/>
            <w:r>
              <w:rPr>
                <w:color w:val="1A1D21"/>
                <w:sz w:val="17"/>
              </w:rPr>
              <w:t>16,433</w:t>
            </w:r>
          </w:p>
        </w:tc>
        <w:tc>
          <w:tcPr>
            <w:tcW w:type="dxa" w:w="1247"/>
          </w:tcPr>
          <w:p>
            <w:pPr>
              <w:jc w:val="right"/>
            </w:pPr>
            <w:r/>
            <w:r>
              <w:rPr>
                <w:color w:val="1A1D21"/>
                <w:sz w:val="17"/>
              </w:rPr>
              <w:t>23,661</w:t>
            </w:r>
          </w:p>
        </w:tc>
        <w:tc>
          <w:tcPr>
            <w:tcW w:type="dxa" w:w="1247"/>
          </w:tcPr>
          <w:p>
            <w:pPr>
              <w:jc w:val="right"/>
            </w:pPr>
            <w:r/>
            <w:r>
              <w:rPr>
                <w:color w:val="1A1D21"/>
                <w:sz w:val="17"/>
              </w:rPr>
              <w:t>34,067</w:t>
            </w:r>
          </w:p>
        </w:tc>
      </w:tr>
      <w:tr>
        <w:trPr>
          <w:cantSplit/>
        </w:trPr>
        <w:tc>
          <w:tcPr>
            <w:tcW w:type="dxa" w:w="3515"/>
          </w:tcPr>
          <w:p>
            <w:r/>
            <w:r>
              <w:rPr>
                <w:color w:val="1A1D21"/>
                <w:sz w:val="17"/>
              </w:rPr>
              <w:t>Cash from operations</w:t>
            </w:r>
          </w:p>
        </w:tc>
        <w:tc>
          <w:tcPr>
            <w:tcW w:type="dxa" w:w="1247"/>
          </w:tcPr>
          <w:p>
            <w:pPr>
              <w:jc w:val="right"/>
            </w:pPr>
            <w:r/>
            <w:r>
              <w:rPr>
                <w:color w:val="1A1D21"/>
                <w:sz w:val="17"/>
              </w:rPr>
              <w:t>3,498</w:t>
            </w:r>
          </w:p>
        </w:tc>
        <w:tc>
          <w:tcPr>
            <w:tcW w:type="dxa" w:w="1247"/>
          </w:tcPr>
          <w:p>
            <w:pPr>
              <w:jc w:val="right"/>
            </w:pPr>
            <w:r/>
            <w:r>
              <w:rPr>
                <w:color w:val="1A1D21"/>
                <w:sz w:val="17"/>
              </w:rPr>
              <w:t>5,037</w:t>
            </w:r>
          </w:p>
        </w:tc>
        <w:tc>
          <w:tcPr>
            <w:tcW w:type="dxa" w:w="1247"/>
          </w:tcPr>
          <w:p>
            <w:pPr>
              <w:jc w:val="right"/>
            </w:pPr>
            <w:r/>
            <w:r>
              <w:rPr>
                <w:color w:val="1A1D21"/>
                <w:sz w:val="17"/>
              </w:rPr>
              <w:t>7,252</w:t>
            </w:r>
          </w:p>
        </w:tc>
        <w:tc>
          <w:tcPr>
            <w:tcW w:type="dxa" w:w="1247"/>
          </w:tcPr>
          <w:p>
            <w:pPr>
              <w:jc w:val="right"/>
            </w:pPr>
            <w:r/>
            <w:r>
              <w:rPr>
                <w:color w:val="1A1D21"/>
                <w:sz w:val="17"/>
              </w:rPr>
              <w:t>10,442</w:t>
            </w:r>
          </w:p>
        </w:tc>
        <w:tc>
          <w:tcPr>
            <w:tcW w:type="dxa" w:w="1247"/>
          </w:tcPr>
          <w:p>
            <w:pPr>
              <w:jc w:val="right"/>
            </w:pPr>
            <w:r/>
            <w:r>
              <w:rPr>
                <w:color w:val="1A1D21"/>
                <w:sz w:val="17"/>
              </w:rPr>
              <w:t>15,034</w:t>
            </w:r>
          </w:p>
        </w:tc>
      </w:tr>
      <w:tr>
        <w:trPr>
          <w:cantSplit/>
        </w:trPr>
        <w:tc>
          <w:tcPr>
            <w:tcW w:type="dxa" w:w="3515"/>
          </w:tcPr>
          <w:p>
            <w:r/>
            <w:r>
              <w:rPr>
                <w:color w:val="1A1D21"/>
                <w:sz w:val="17"/>
              </w:rPr>
              <w:t xml:space="preserve">  as a share of revenue</w:t>
            </w:r>
          </w:p>
        </w:tc>
        <w:tc>
          <w:tcPr>
            <w:tcW w:type="dxa" w:w="1247"/>
          </w:tcPr>
          <w:p>
            <w:pPr>
              <w:jc w:val="right"/>
            </w:pPr>
            <w:r/>
            <w:r>
              <w:rPr>
                <w:color w:val="1A1D21"/>
                <w:sz w:val="17"/>
              </w:rPr>
              <w:t>8.7%</w:t>
            </w:r>
          </w:p>
        </w:tc>
        <w:tc>
          <w:tcPr>
            <w:tcW w:type="dxa" w:w="1247"/>
          </w:tcPr>
          <w:p>
            <w:pPr>
              <w:jc w:val="right"/>
            </w:pPr>
            <w:r/>
            <w:r>
              <w:rPr>
                <w:color w:val="1A1D21"/>
                <w:sz w:val="17"/>
              </w:rPr>
              <w:t>8.7%</w:t>
            </w:r>
          </w:p>
        </w:tc>
        <w:tc>
          <w:tcPr>
            <w:tcW w:type="dxa" w:w="1247"/>
          </w:tcPr>
          <w:p>
            <w:pPr>
              <w:jc w:val="right"/>
            </w:pPr>
            <w:r/>
            <w:r>
              <w:rPr>
                <w:color w:val="1A1D21"/>
                <w:sz w:val="17"/>
              </w:rPr>
              <w:t>8.7%</w:t>
            </w:r>
          </w:p>
        </w:tc>
        <w:tc>
          <w:tcPr>
            <w:tcW w:type="dxa" w:w="1247"/>
          </w:tcPr>
          <w:p>
            <w:pPr>
              <w:jc w:val="right"/>
            </w:pPr>
            <w:r/>
            <w:r>
              <w:rPr>
                <w:color w:val="1A1D21"/>
                <w:sz w:val="17"/>
              </w:rPr>
              <w:t>8.7%</w:t>
            </w:r>
          </w:p>
        </w:tc>
        <w:tc>
          <w:tcPr>
            <w:tcW w:type="dxa" w:w="1247"/>
          </w:tcPr>
          <w:p>
            <w:pPr>
              <w:jc w:val="right"/>
            </w:pPr>
            <w:r/>
            <w:r>
              <w:rPr>
                <w:color w:val="1A1D21"/>
                <w:sz w:val="17"/>
              </w:rPr>
              <w:t>8.7%</w:t>
            </w:r>
          </w:p>
        </w:tc>
      </w:tr>
      <w:tr>
        <w:trPr>
          <w:cantSplit/>
        </w:trPr>
        <w:tc>
          <w:tcPr>
            <w:tcW w:type="dxa" w:w="3515"/>
          </w:tcPr>
          <w:p>
            <w:r/>
            <w:r>
              <w:rPr>
                <w:color w:val="1A1D21"/>
                <w:sz w:val="17"/>
              </w:rPr>
              <w:t>plus finance cost, after tax</w:t>
            </w:r>
          </w:p>
        </w:tc>
        <w:tc>
          <w:tcPr>
            <w:tcW w:type="dxa" w:w="1247"/>
          </w:tcPr>
          <w:p>
            <w:pPr>
              <w:jc w:val="right"/>
            </w:pPr>
            <w:r/>
            <w:r>
              <w:rPr>
                <w:color w:val="1A1D21"/>
                <w:sz w:val="17"/>
              </w:rPr>
              <w:t>2,594</w:t>
            </w:r>
          </w:p>
        </w:tc>
        <w:tc>
          <w:tcPr>
            <w:tcW w:type="dxa" w:w="1247"/>
          </w:tcPr>
          <w:p>
            <w:pPr>
              <w:jc w:val="right"/>
            </w:pPr>
            <w:r/>
            <w:r>
              <w:rPr>
                <w:color w:val="1A1D21"/>
                <w:sz w:val="17"/>
              </w:rPr>
              <w:t>2,594</w:t>
            </w:r>
          </w:p>
        </w:tc>
        <w:tc>
          <w:tcPr>
            <w:tcW w:type="dxa" w:w="1247"/>
          </w:tcPr>
          <w:p>
            <w:pPr>
              <w:jc w:val="right"/>
            </w:pPr>
            <w:r/>
            <w:r>
              <w:rPr>
                <w:color w:val="1A1D21"/>
                <w:sz w:val="17"/>
              </w:rPr>
              <w:t>2,594</w:t>
            </w:r>
          </w:p>
        </w:tc>
        <w:tc>
          <w:tcPr>
            <w:tcW w:type="dxa" w:w="1247"/>
          </w:tcPr>
          <w:p>
            <w:pPr>
              <w:jc w:val="right"/>
            </w:pPr>
            <w:r/>
            <w:r>
              <w:rPr>
                <w:color w:val="1A1D21"/>
                <w:sz w:val="17"/>
              </w:rPr>
              <w:t>2,594</w:t>
            </w:r>
          </w:p>
        </w:tc>
        <w:tc>
          <w:tcPr>
            <w:tcW w:type="dxa" w:w="1247"/>
          </w:tcPr>
          <w:p>
            <w:pPr>
              <w:jc w:val="right"/>
            </w:pPr>
            <w:r/>
            <w:r>
              <w:rPr>
                <w:color w:val="1A1D21"/>
                <w:sz w:val="17"/>
              </w:rPr>
              <w:t>2,594</w:t>
            </w:r>
          </w:p>
        </w:tc>
      </w:tr>
      <w:tr>
        <w:trPr>
          <w:cantSplit/>
        </w:trPr>
        <w:tc>
          <w:tcPr>
            <w:tcW w:type="dxa" w:w="3515"/>
          </w:tcPr>
          <w:p>
            <w:r/>
            <w:r>
              <w:rPr>
                <w:color w:val="1A1D21"/>
                <w:sz w:val="17"/>
              </w:rPr>
              <w:t>less capital expenditure</w:t>
            </w:r>
          </w:p>
        </w:tc>
        <w:tc>
          <w:tcPr>
            <w:tcW w:type="dxa" w:w="1247"/>
          </w:tcPr>
          <w:p>
            <w:pPr>
              <w:jc w:val="right"/>
            </w:pPr>
            <w:r/>
            <w:r>
              <w:rPr>
                <w:color w:val="1A1D21"/>
                <w:sz w:val="17"/>
              </w:rPr>
              <w:t>401</w:t>
            </w:r>
          </w:p>
        </w:tc>
        <w:tc>
          <w:tcPr>
            <w:tcW w:type="dxa" w:w="1247"/>
          </w:tcPr>
          <w:p>
            <w:pPr>
              <w:jc w:val="right"/>
            </w:pPr>
            <w:r/>
            <w:r>
              <w:rPr>
                <w:color w:val="1A1D21"/>
                <w:sz w:val="17"/>
              </w:rPr>
              <w:t>578</w:t>
            </w:r>
          </w:p>
        </w:tc>
        <w:tc>
          <w:tcPr>
            <w:tcW w:type="dxa" w:w="1247"/>
          </w:tcPr>
          <w:p>
            <w:pPr>
              <w:jc w:val="right"/>
            </w:pPr>
            <w:r/>
            <w:r>
              <w:rPr>
                <w:color w:val="1A1D21"/>
                <w:sz w:val="17"/>
              </w:rPr>
              <w:t>832</w:t>
            </w:r>
          </w:p>
        </w:tc>
        <w:tc>
          <w:tcPr>
            <w:tcW w:type="dxa" w:w="1247"/>
          </w:tcPr>
          <w:p>
            <w:pPr>
              <w:jc w:val="right"/>
            </w:pPr>
            <w:r/>
            <w:r>
              <w:rPr>
                <w:color w:val="1A1D21"/>
                <w:sz w:val="17"/>
              </w:rPr>
              <w:t>1,198</w:t>
            </w:r>
          </w:p>
        </w:tc>
        <w:tc>
          <w:tcPr>
            <w:tcW w:type="dxa" w:w="1247"/>
          </w:tcPr>
          <w:p>
            <w:pPr>
              <w:jc w:val="right"/>
            </w:pPr>
            <w:r/>
            <w:r>
              <w:rPr>
                <w:color w:val="1A1D21"/>
                <w:sz w:val="17"/>
              </w:rPr>
              <w:t>1,725</w:t>
            </w:r>
          </w:p>
        </w:tc>
      </w:tr>
      <w:tr>
        <w:trPr>
          <w:cantSplit/>
        </w:trPr>
        <w:tc>
          <w:tcPr>
            <w:tcW w:type="dxa" w:w="3515"/>
          </w:tcPr>
          <w:p>
            <w:r/>
            <w:r>
              <w:rPr>
                <w:color w:val="1A1D21"/>
                <w:sz w:val="17"/>
              </w:rPr>
              <w:t>Free cash flow to the firm</w:t>
            </w:r>
          </w:p>
        </w:tc>
        <w:tc>
          <w:tcPr>
            <w:tcW w:type="dxa" w:w="1247"/>
          </w:tcPr>
          <w:p>
            <w:pPr>
              <w:jc w:val="right"/>
            </w:pPr>
            <w:r/>
            <w:r>
              <w:rPr>
                <w:color w:val="1A1D21"/>
                <w:sz w:val="17"/>
              </w:rPr>
              <w:t>5,691</w:t>
            </w:r>
          </w:p>
        </w:tc>
        <w:tc>
          <w:tcPr>
            <w:tcW w:type="dxa" w:w="1247"/>
          </w:tcPr>
          <w:p>
            <w:pPr>
              <w:jc w:val="right"/>
            </w:pPr>
            <w:r/>
            <w:r>
              <w:rPr>
                <w:color w:val="1A1D21"/>
                <w:sz w:val="17"/>
              </w:rPr>
              <w:t>7,053</w:t>
            </w:r>
          </w:p>
        </w:tc>
        <w:tc>
          <w:tcPr>
            <w:tcW w:type="dxa" w:w="1247"/>
          </w:tcPr>
          <w:p>
            <w:pPr>
              <w:jc w:val="right"/>
            </w:pPr>
            <w:r/>
            <w:r>
              <w:rPr>
                <w:color w:val="1A1D21"/>
                <w:sz w:val="17"/>
              </w:rPr>
              <w:t>9,014</w:t>
            </w:r>
          </w:p>
        </w:tc>
        <w:tc>
          <w:tcPr>
            <w:tcW w:type="dxa" w:w="1247"/>
          </w:tcPr>
          <w:p>
            <w:pPr>
              <w:jc w:val="right"/>
            </w:pPr>
            <w:r/>
            <w:r>
              <w:rPr>
                <w:color w:val="1A1D21"/>
                <w:sz w:val="17"/>
              </w:rPr>
              <w:t>11,838</w:t>
            </w:r>
          </w:p>
        </w:tc>
        <w:tc>
          <w:tcPr>
            <w:tcW w:type="dxa" w:w="1247"/>
          </w:tcPr>
          <w:p>
            <w:pPr>
              <w:jc w:val="right"/>
            </w:pPr>
            <w:r/>
            <w:r>
              <w:rPr>
                <w:color w:val="1A1D21"/>
                <w:sz w:val="17"/>
              </w:rPr>
              <w:t>15,903</w:t>
            </w:r>
          </w:p>
        </w:tc>
      </w:tr>
      <w:tr>
        <w:trPr>
          <w:cantSplit/>
        </w:trPr>
        <w:tc>
          <w:tcPr>
            <w:tcW w:type="dxa" w:w="3515"/>
          </w:tcPr>
          <w:p>
            <w:r/>
            <w:r>
              <w:rPr>
                <w:color w:val="1A1D21"/>
                <w:sz w:val="17"/>
              </w:rPr>
              <w:t>Discount factor at 26.25%</w:t>
            </w:r>
          </w:p>
        </w:tc>
        <w:tc>
          <w:tcPr>
            <w:tcW w:type="dxa" w:w="1247"/>
          </w:tcPr>
          <w:p>
            <w:pPr>
              <w:jc w:val="right"/>
            </w:pPr>
            <w:r/>
            <w:r>
              <w:rPr>
                <w:color w:val="1A1D21"/>
                <w:sz w:val="17"/>
              </w:rPr>
              <w:t>0.792</w:t>
            </w:r>
          </w:p>
        </w:tc>
        <w:tc>
          <w:tcPr>
            <w:tcW w:type="dxa" w:w="1247"/>
          </w:tcPr>
          <w:p>
            <w:pPr>
              <w:jc w:val="right"/>
            </w:pPr>
            <w:r/>
            <w:r>
              <w:rPr>
                <w:color w:val="1A1D21"/>
                <w:sz w:val="17"/>
              </w:rPr>
              <w:t>0.627</w:t>
            </w:r>
          </w:p>
        </w:tc>
        <w:tc>
          <w:tcPr>
            <w:tcW w:type="dxa" w:w="1247"/>
          </w:tcPr>
          <w:p>
            <w:pPr>
              <w:jc w:val="right"/>
            </w:pPr>
            <w:r/>
            <w:r>
              <w:rPr>
                <w:color w:val="1A1D21"/>
                <w:sz w:val="17"/>
              </w:rPr>
              <w:t>0.497</w:t>
            </w:r>
          </w:p>
        </w:tc>
        <w:tc>
          <w:tcPr>
            <w:tcW w:type="dxa" w:w="1247"/>
          </w:tcPr>
          <w:p>
            <w:pPr>
              <w:jc w:val="right"/>
            </w:pPr>
            <w:r/>
            <w:r>
              <w:rPr>
                <w:color w:val="1A1D21"/>
                <w:sz w:val="17"/>
              </w:rPr>
              <w:t>0.394</w:t>
            </w:r>
          </w:p>
        </w:tc>
        <w:tc>
          <w:tcPr>
            <w:tcW w:type="dxa" w:w="1247"/>
          </w:tcPr>
          <w:p>
            <w:pPr>
              <w:jc w:val="right"/>
            </w:pPr>
            <w:r/>
            <w:r>
              <w:rPr>
                <w:color w:val="1A1D21"/>
                <w:sz w:val="17"/>
              </w:rPr>
              <w:t>0.312</w:t>
            </w:r>
          </w:p>
        </w:tc>
      </w:tr>
      <w:tr>
        <w:trPr>
          <w:cantSplit/>
        </w:trPr>
        <w:tc>
          <w:tcPr>
            <w:tcW w:type="dxa" w:w="3515"/>
          </w:tcPr>
          <w:p>
            <w:r/>
            <w:r>
              <w:rPr>
                <w:color w:val="1A1D21"/>
                <w:sz w:val="17"/>
              </w:rPr>
              <w:t>Present value</w:t>
            </w:r>
          </w:p>
        </w:tc>
        <w:tc>
          <w:tcPr>
            <w:tcW w:type="dxa" w:w="1247"/>
          </w:tcPr>
          <w:p>
            <w:pPr>
              <w:jc w:val="right"/>
            </w:pPr>
            <w:r/>
            <w:r>
              <w:rPr>
                <w:color w:val="1A1D21"/>
                <w:sz w:val="17"/>
              </w:rPr>
              <w:t>4,508</w:t>
            </w:r>
          </w:p>
        </w:tc>
        <w:tc>
          <w:tcPr>
            <w:tcW w:type="dxa" w:w="1247"/>
          </w:tcPr>
          <w:p>
            <w:pPr>
              <w:jc w:val="right"/>
            </w:pPr>
            <w:r/>
            <w:r>
              <w:rPr>
                <w:color w:val="1A1D21"/>
                <w:sz w:val="17"/>
              </w:rPr>
              <w:t>4,425</w:t>
            </w:r>
          </w:p>
        </w:tc>
        <w:tc>
          <w:tcPr>
            <w:tcW w:type="dxa" w:w="1247"/>
          </w:tcPr>
          <w:p>
            <w:pPr>
              <w:jc w:val="right"/>
            </w:pPr>
            <w:r/>
            <w:r>
              <w:rPr>
                <w:color w:val="1A1D21"/>
                <w:sz w:val="17"/>
              </w:rPr>
              <w:t>4,480</w:t>
            </w:r>
          </w:p>
        </w:tc>
        <w:tc>
          <w:tcPr>
            <w:tcW w:type="dxa" w:w="1247"/>
          </w:tcPr>
          <w:p>
            <w:pPr>
              <w:jc w:val="right"/>
            </w:pPr>
            <w:r/>
            <w:r>
              <w:rPr>
                <w:color w:val="1A1D21"/>
                <w:sz w:val="17"/>
              </w:rPr>
              <w:t>4,660</w:t>
            </w:r>
          </w:p>
        </w:tc>
        <w:tc>
          <w:tcPr>
            <w:tcW w:type="dxa" w:w="1247"/>
          </w:tcPr>
          <w:p>
            <w:pPr>
              <w:jc w:val="right"/>
            </w:pPr>
            <w:r/>
            <w:r>
              <w:rPr>
                <w:color w:val="1A1D21"/>
                <w:sz w:val="17"/>
              </w:rPr>
              <w:t>4,958</w:t>
            </w:r>
          </w:p>
        </w:tc>
      </w:tr>
    </w:tbl>
    <w:p>
      <w:pPr>
        <w:spacing w:after="200"/>
      </w:pPr>
      <w:r>
        <w:rPr>
          <w:b w:val="0"/>
          <w:i/>
          <w:color w:val="5B6570"/>
          <w:sz w:val="16"/>
        </w:rPr>
        <w:t>The finance charge is added back after tax because the discount rate already carries the cost of debt; leaving it in the cash flow would charge for the same thing twice. Capital expenditure is maintenance only, at one per cent of revenue: for this company the building itself is inventory, and it is already inside operating cash.</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Bridge from enterprise value to equity, base case</w:t>
            </w:r>
          </w:p>
        </w:tc>
        <w:tc>
          <w:tcPr>
            <w:tcW w:type="dxa" w:w="3175"/>
          </w:tcPr>
          <w:p>
            <w:r/>
            <w:r>
              <w:rPr>
                <w:b/>
                <w:color w:val="5B6570"/>
                <w:sz w:val="17"/>
              </w:rPr>
              <w:t>EGP mn</w:t>
            </w:r>
          </w:p>
        </w:tc>
      </w:tr>
      <w:tr>
        <w:trPr>
          <w:cantSplit/>
        </w:trPr>
        <w:tc>
          <w:tcPr>
            <w:tcW w:type="dxa" w:w="6009"/>
          </w:tcPr>
          <w:p>
            <w:r/>
            <w:r>
              <w:rPr>
                <w:color w:val="1A1D21"/>
                <w:sz w:val="17"/>
              </w:rPr>
              <w:t>Present value of the explicit five years</w:t>
            </w:r>
          </w:p>
        </w:tc>
        <w:tc>
          <w:tcPr>
            <w:tcW w:type="dxa" w:w="3175"/>
          </w:tcPr>
          <w:p>
            <w:pPr>
              <w:jc w:val="right"/>
            </w:pPr>
            <w:r/>
            <w:r>
              <w:rPr>
                <w:color w:val="1A1D21"/>
                <w:sz w:val="17"/>
              </w:rPr>
              <w:t>23,030.2</w:t>
            </w:r>
          </w:p>
        </w:tc>
      </w:tr>
      <w:tr>
        <w:trPr>
          <w:cantSplit/>
        </w:trPr>
        <w:tc>
          <w:tcPr>
            <w:tcW w:type="dxa" w:w="6009"/>
          </w:tcPr>
          <w:p>
            <w:r/>
            <w:r>
              <w:rPr>
                <w:color w:val="1A1D21"/>
                <w:sz w:val="17"/>
              </w:rPr>
              <w:t>Present value beyond year five</w:t>
            </w:r>
          </w:p>
        </w:tc>
        <w:tc>
          <w:tcPr>
            <w:tcW w:type="dxa" w:w="3175"/>
          </w:tcPr>
          <w:p>
            <w:pPr>
              <w:jc w:val="right"/>
            </w:pPr>
            <w:r/>
            <w:r>
              <w:rPr>
                <w:color w:val="1A1D21"/>
                <w:sz w:val="17"/>
              </w:rPr>
              <w:t>38,969.3</w:t>
            </w:r>
          </w:p>
        </w:tc>
      </w:tr>
      <w:tr>
        <w:trPr>
          <w:cantSplit/>
        </w:trPr>
        <w:tc>
          <w:tcPr>
            <w:tcW w:type="dxa" w:w="6009"/>
          </w:tcPr>
          <w:p>
            <w:r/>
            <w:r>
              <w:rPr>
                <w:color w:val="1A1D21"/>
                <w:sz w:val="17"/>
              </w:rPr>
              <w:t>Enterprise value</w:t>
            </w:r>
          </w:p>
        </w:tc>
        <w:tc>
          <w:tcPr>
            <w:tcW w:type="dxa" w:w="3175"/>
          </w:tcPr>
          <w:p>
            <w:pPr>
              <w:jc w:val="right"/>
            </w:pPr>
            <w:r/>
            <w:r>
              <w:rPr>
                <w:color w:val="1A1D21"/>
                <w:sz w:val="17"/>
              </w:rPr>
              <w:t>61,999.5</w:t>
            </w:r>
          </w:p>
        </w:tc>
      </w:tr>
      <w:tr>
        <w:trPr>
          <w:cantSplit/>
        </w:trPr>
        <w:tc>
          <w:tcPr>
            <w:tcW w:type="dxa" w:w="6009"/>
          </w:tcPr>
          <w:p>
            <w:r/>
            <w:r>
              <w:rPr>
                <w:color w:val="1A1D21"/>
                <w:sz w:val="17"/>
              </w:rPr>
              <w:t>less net debt</w:t>
            </w:r>
          </w:p>
        </w:tc>
        <w:tc>
          <w:tcPr>
            <w:tcW w:type="dxa" w:w="3175"/>
          </w:tcPr>
          <w:p>
            <w:pPr>
              <w:jc w:val="right"/>
            </w:pPr>
            <w:r/>
            <w:r>
              <w:rPr>
                <w:color w:val="1A1D21"/>
                <w:sz w:val="17"/>
              </w:rPr>
              <w:t>-24,133.2</w:t>
            </w:r>
          </w:p>
        </w:tc>
      </w:tr>
      <w:tr>
        <w:trPr>
          <w:cantSplit/>
        </w:trPr>
        <w:tc>
          <w:tcPr>
            <w:tcW w:type="dxa" w:w="6009"/>
          </w:tcPr>
          <w:p>
            <w:r/>
            <w:r>
              <w:rPr>
                <w:color w:val="1A1D21"/>
                <w:sz w:val="17"/>
              </w:rPr>
              <w:t>plus investments in associates</w:t>
            </w:r>
          </w:p>
        </w:tc>
        <w:tc>
          <w:tcPr>
            <w:tcW w:type="dxa" w:w="3175"/>
          </w:tcPr>
          <w:p>
            <w:pPr>
              <w:jc w:val="right"/>
            </w:pPr>
            <w:r/>
            <w:r>
              <w:rPr>
                <w:color w:val="1A1D21"/>
                <w:sz w:val="17"/>
              </w:rPr>
              <w:t>3,611.6</w:t>
            </w:r>
          </w:p>
        </w:tc>
      </w:tr>
      <w:tr>
        <w:trPr>
          <w:cantSplit/>
        </w:trPr>
        <w:tc>
          <w:tcPr>
            <w:tcW w:type="dxa" w:w="6009"/>
          </w:tcPr>
          <w:p>
            <w:r/>
            <w:r>
              <w:rPr>
                <w:color w:val="1A1D21"/>
                <w:sz w:val="17"/>
              </w:rPr>
              <w:t>plus investment property</w:t>
            </w:r>
          </w:p>
        </w:tc>
        <w:tc>
          <w:tcPr>
            <w:tcW w:type="dxa" w:w="3175"/>
          </w:tcPr>
          <w:p>
            <w:pPr>
              <w:jc w:val="right"/>
            </w:pPr>
            <w:r/>
            <w:r>
              <w:rPr>
                <w:color w:val="1A1D21"/>
                <w:sz w:val="17"/>
              </w:rPr>
              <w:t>1,032.5</w:t>
            </w:r>
          </w:p>
        </w:tc>
      </w:tr>
      <w:tr>
        <w:trPr>
          <w:cantSplit/>
        </w:trPr>
        <w:tc>
          <w:tcPr>
            <w:tcW w:type="dxa" w:w="6009"/>
          </w:tcPr>
          <w:p>
            <w:r/>
            <w:r>
              <w:rPr>
                <w:color w:val="1A1D21"/>
                <w:sz w:val="17"/>
              </w:rPr>
              <w:t>Equity value</w:t>
            </w:r>
          </w:p>
        </w:tc>
        <w:tc>
          <w:tcPr>
            <w:tcW w:type="dxa" w:w="3175"/>
          </w:tcPr>
          <w:p>
            <w:pPr>
              <w:jc w:val="right"/>
            </w:pPr>
            <w:r/>
            <w:r>
              <w:rPr>
                <w:color w:val="1A1D21"/>
                <w:sz w:val="17"/>
              </w:rPr>
              <w:t>42,510.4</w:t>
            </w:r>
          </w:p>
        </w:tc>
      </w:tr>
      <w:tr>
        <w:trPr>
          <w:cantSplit/>
        </w:trPr>
        <w:tc>
          <w:tcPr>
            <w:tcW w:type="dxa" w:w="6009"/>
          </w:tcPr>
          <w:p>
            <w:r/>
            <w:r>
              <w:rPr>
                <w:color w:val="1A1D21"/>
                <w:sz w:val="17"/>
              </w:rPr>
              <w:t>Shares outstanding, millions</w:t>
            </w:r>
          </w:p>
        </w:tc>
        <w:tc>
          <w:tcPr>
            <w:tcW w:type="dxa" w:w="3175"/>
          </w:tcPr>
          <w:p>
            <w:pPr>
              <w:jc w:val="right"/>
            </w:pPr>
            <w:r/>
            <w:r>
              <w:rPr>
                <w:color w:val="1A1D21"/>
                <w:sz w:val="17"/>
              </w:rPr>
              <w:t>2,859.9</w:t>
            </w:r>
          </w:p>
        </w:tc>
      </w:tr>
      <w:tr>
        <w:trPr>
          <w:cantSplit/>
        </w:trPr>
        <w:tc>
          <w:tcPr>
            <w:tcW w:type="dxa" w:w="6009"/>
          </w:tcPr>
          <w:p>
            <w:r/>
            <w:r>
              <w:rPr>
                <w:color w:val="1A1D21"/>
                <w:sz w:val="17"/>
              </w:rPr>
              <w:t>Value per share, EGP</w:t>
            </w:r>
          </w:p>
        </w:tc>
        <w:tc>
          <w:tcPr>
            <w:tcW w:type="dxa" w:w="3175"/>
          </w:tcPr>
          <w:p>
            <w:pPr>
              <w:jc w:val="right"/>
            </w:pPr>
            <w:r/>
            <w:r>
              <w:rPr>
                <w:color w:val="1A1D21"/>
                <w:sz w:val="17"/>
              </w:rPr>
              <w:t>14.9</w:t>
            </w:r>
          </w:p>
        </w:tc>
      </w:tr>
    </w:tbl>
    <w:p>
      <w:pPr>
        <w:spacing w:after="200"/>
      </w:pPr>
      <w:r>
        <w:rPr>
          <w:b w:val="0"/>
          <w:i/>
          <w:color w:val="5B6570"/>
          <w:sz w:val="16"/>
        </w:rPr>
        <w:t>The terminal value is 63 per cent of enterprise value, which is high and is one reason the range is published rather than a point.</w:t>
      </w:r>
    </w:p>
    <w:p>
      <w:pPr>
        <w:pStyle w:val="Heading3"/>
      </w:pPr>
      <w:r>
        <w:t>What the two statements disagree about, and why it is not resolved here</w:t>
      </w:r>
    </w:p>
    <w:p>
      <w:pPr>
        <w:spacing w:after="140"/>
      </w:pPr>
      <w:r>
        <w:rPr>
          <w:b w:val="0"/>
          <w:i w:val="0"/>
          <w:color w:val="1A1D21"/>
          <w:sz w:val="20"/>
        </w:rPr>
        <w:t>The audited balance sheet and the audited cash-flow statement tell different stories about the same year, and the difference is the largest single uncertainty in this valuation. Working capital on the balance sheet rose EGP 20,085 million in 2025. Net profit plus depreciation less the operating cash the company reported implies it rose EGP 3,146 million. The difference is EGP 16,938 million — 46.8 per cent of the year's revenue.</w:t>
      </w:r>
    </w:p>
    <w:p>
      <w:pPr>
        <w:spacing w:after="140"/>
      </w:pPr>
      <w:r>
        <w:rPr>
          <w:b w:val="0"/>
          <w:i w:val="0"/>
          <w:color w:val="1A1D21"/>
          <w:sz w:val="20"/>
        </w:rPr>
        <w:t>A difference that size is not depreciation and it is not capitalised interest. It is consolidation, land taken on deferred terms, and reclassification inside a book where revenue is recognised as construction progresses. The 2025 cash-flow statement is published in its three totals only, so the difference cannot be split from what the company has disclosed. It is therefore not split. It is measured, recorded in the register of what is missing, and the forecast is published two ways around it rather than one — set out in full in Appendix A.3.</w:t>
      </w:r>
    </w:p>
    <w:tbl>
      <w:tblPr>
        <w:tblStyle w:val="TableGrid"/>
        <w:tblW w:type="auto" w:w="0"/>
        <w:jc w:val="center"/>
        <w:tblLayout w:type="fixed"/>
        <w:tblLook w:firstColumn="1" w:firstRow="1" w:lastColumn="0" w:lastRow="0" w:noHBand="0" w:noVBand="1" w:val="04A0"/>
        <w:tblLayout w:type="fixed"/>
      </w:tblPr>
      <w:tblGrid>
        <w:gridCol w:w="4763"/>
        <w:gridCol w:w="1928"/>
        <w:gridCol w:w="1928"/>
      </w:tblGrid>
      <w:tr>
        <w:trPr>
          <w:tblHeader w:val="true"/>
        </w:trPr>
        <w:tc>
          <w:tcPr>
            <w:tcW w:type="dxa" w:w="4762"/>
          </w:tcPr>
          <w:p>
            <w:r/>
            <w:r>
              <w:rPr>
                <w:b/>
                <w:color w:val="5B6570"/>
                <w:sz w:val="17"/>
              </w:rPr>
              <w:t>The collection cycle, as reported</w:t>
            </w:r>
          </w:p>
        </w:tc>
        <w:tc>
          <w:tcPr>
            <w:tcW w:type="dxa" w:w="1928"/>
          </w:tcPr>
          <w:p>
            <w:r/>
            <w:r>
              <w:rPr>
                <w:b/>
                <w:color w:val="5B6570"/>
                <w:sz w:val="17"/>
              </w:rPr>
              <w:t>2025</w:t>
            </w:r>
          </w:p>
        </w:tc>
        <w:tc>
          <w:tcPr>
            <w:tcW w:type="dxa" w:w="1928"/>
          </w:tcPr>
          <w:p>
            <w:r/>
            <w:r>
              <w:rPr>
                <w:b/>
                <w:color w:val="5B6570"/>
                <w:sz w:val="17"/>
              </w:rPr>
              <w:t>2024</w:t>
            </w:r>
          </w:p>
        </w:tc>
      </w:tr>
      <w:tr>
        <w:trPr>
          <w:cantSplit/>
        </w:trPr>
        <w:tc>
          <w:tcPr>
            <w:tcW w:type="dxa" w:w="4762"/>
          </w:tcPr>
          <w:p>
            <w:r/>
            <w:r>
              <w:rPr>
                <w:color w:val="1A1D21"/>
                <w:sz w:val="17"/>
              </w:rPr>
              <w:t>Collection period, days</w:t>
            </w:r>
          </w:p>
        </w:tc>
        <w:tc>
          <w:tcPr>
            <w:tcW w:type="dxa" w:w="1928"/>
          </w:tcPr>
          <w:p>
            <w:pPr>
              <w:jc w:val="right"/>
            </w:pPr>
            <w:r/>
            <w:r>
              <w:rPr>
                <w:color w:val="1A1D21"/>
                <w:sz w:val="17"/>
              </w:rPr>
              <w:t>1045</w:t>
            </w:r>
          </w:p>
        </w:tc>
        <w:tc>
          <w:tcPr>
            <w:tcW w:type="dxa" w:w="1928"/>
          </w:tcPr>
          <w:p>
            <w:pPr>
              <w:jc w:val="right"/>
            </w:pPr>
            <w:r/>
            <w:r>
              <w:rPr>
                <w:color w:val="1A1D21"/>
                <w:sz w:val="17"/>
              </w:rPr>
              <w:t>1035</w:t>
            </w:r>
          </w:p>
        </w:tc>
      </w:tr>
      <w:tr>
        <w:trPr>
          <w:cantSplit/>
        </w:trPr>
        <w:tc>
          <w:tcPr>
            <w:tcW w:type="dxa" w:w="4762"/>
          </w:tcPr>
          <w:p>
            <w:r/>
            <w:r>
              <w:rPr>
                <w:color w:val="1A1D21"/>
                <w:sz w:val="17"/>
              </w:rPr>
              <w:t>Work in progress, days of cost</w:t>
            </w:r>
          </w:p>
        </w:tc>
        <w:tc>
          <w:tcPr>
            <w:tcW w:type="dxa" w:w="1928"/>
          </w:tcPr>
          <w:p>
            <w:pPr>
              <w:jc w:val="right"/>
            </w:pPr>
            <w:r/>
            <w:r>
              <w:rPr>
                <w:color w:val="1A1D21"/>
                <w:sz w:val="17"/>
              </w:rPr>
              <w:t>304</w:t>
            </w:r>
          </w:p>
        </w:tc>
        <w:tc>
          <w:tcPr>
            <w:tcW w:type="dxa" w:w="1928"/>
          </w:tcPr>
          <w:p>
            <w:pPr>
              <w:jc w:val="right"/>
            </w:pPr>
            <w:r/>
            <w:r>
              <w:rPr>
                <w:color w:val="1A1D21"/>
                <w:sz w:val="17"/>
              </w:rPr>
              <w:t>270</w:t>
            </w:r>
          </w:p>
        </w:tc>
      </w:tr>
      <w:tr>
        <w:trPr>
          <w:cantSplit/>
        </w:trPr>
        <w:tc>
          <w:tcPr>
            <w:tcW w:type="dxa" w:w="4762"/>
          </w:tcPr>
          <w:p>
            <w:r/>
            <w:r>
              <w:rPr>
                <w:color w:val="1A1D21"/>
                <w:sz w:val="17"/>
              </w:rPr>
              <w:t>Suppliers, days of cost</w:t>
            </w:r>
          </w:p>
        </w:tc>
        <w:tc>
          <w:tcPr>
            <w:tcW w:type="dxa" w:w="1928"/>
          </w:tcPr>
          <w:p>
            <w:pPr>
              <w:jc w:val="right"/>
            </w:pPr>
            <w:r/>
            <w:r>
              <w:rPr>
                <w:color w:val="1A1D21"/>
                <w:sz w:val="17"/>
              </w:rPr>
              <w:t>66</w:t>
            </w:r>
          </w:p>
        </w:tc>
        <w:tc>
          <w:tcPr>
            <w:tcW w:type="dxa" w:w="1928"/>
          </w:tcPr>
          <w:p>
            <w:pPr>
              <w:jc w:val="right"/>
            </w:pPr>
            <w:r/>
            <w:r>
              <w:rPr>
                <w:color w:val="1A1D21"/>
                <w:sz w:val="17"/>
              </w:rPr>
              <w:t>70</w:t>
            </w:r>
          </w:p>
        </w:tc>
      </w:tr>
      <w:tr>
        <w:trPr>
          <w:cantSplit/>
        </w:trPr>
        <w:tc>
          <w:tcPr>
            <w:tcW w:type="dxa" w:w="4762"/>
          </w:tcPr>
          <w:p>
            <w:r/>
            <w:r>
              <w:rPr>
                <w:color w:val="1A1D21"/>
                <w:sz w:val="17"/>
              </w:rPr>
              <w:t>Customer advances, share of the order book</w:t>
            </w:r>
          </w:p>
        </w:tc>
        <w:tc>
          <w:tcPr>
            <w:tcW w:type="dxa" w:w="1928"/>
          </w:tcPr>
          <w:p>
            <w:pPr>
              <w:jc w:val="right"/>
            </w:pPr>
            <w:r/>
            <w:r>
              <w:rPr>
                <w:color w:val="1A1D21"/>
                <w:sz w:val="17"/>
              </w:rPr>
              <w:t>26.4%</w:t>
            </w:r>
          </w:p>
        </w:tc>
        <w:tc>
          <w:tcPr>
            <w:tcW w:type="dxa" w:w="1928"/>
          </w:tcPr>
          <w:p>
            <w:pPr>
              <w:jc w:val="right"/>
            </w:pPr>
            <w:r/>
            <w:r>
              <w:rPr>
                <w:color w:val="1A1D21"/>
                <w:sz w:val="17"/>
              </w:rPr>
              <w:t>32.2%</w:t>
            </w:r>
          </w:p>
        </w:tc>
      </w:tr>
      <w:tr>
        <w:trPr>
          <w:cantSplit/>
        </w:trPr>
        <w:tc>
          <w:tcPr>
            <w:tcW w:type="dxa" w:w="4762"/>
          </w:tcPr>
          <w:p>
            <w:r/>
            <w:r>
              <w:rPr>
                <w:color w:val="1A1D21"/>
                <w:sz w:val="17"/>
              </w:rPr>
              <w:t>Net working capital (EGP mn)</w:t>
            </w:r>
          </w:p>
        </w:tc>
        <w:tc>
          <w:tcPr>
            <w:tcW w:type="dxa" w:w="1928"/>
          </w:tcPr>
          <w:p>
            <w:pPr>
              <w:jc w:val="right"/>
            </w:pPr>
            <w:r/>
            <w:r>
              <w:rPr>
                <w:color w:val="1A1D21"/>
                <w:sz w:val="17"/>
              </w:rPr>
              <w:t>62,324</w:t>
            </w:r>
          </w:p>
        </w:tc>
        <w:tc>
          <w:tcPr>
            <w:tcW w:type="dxa" w:w="1928"/>
          </w:tcPr>
          <w:p>
            <w:pPr>
              <w:jc w:val="right"/>
            </w:pPr>
            <w:r/>
            <w:r>
              <w:rPr>
                <w:color w:val="1A1D21"/>
                <w:sz w:val="17"/>
              </w:rPr>
              <w:t>42,239</w:t>
            </w:r>
          </w:p>
        </w:tc>
      </w:tr>
      <w:tr>
        <w:trPr>
          <w:cantSplit/>
        </w:trPr>
        <w:tc>
          <w:tcPr>
            <w:tcW w:type="dxa" w:w="4762"/>
          </w:tcPr>
          <w:p>
            <w:r/>
            <w:r>
              <w:rPr>
                <w:color w:val="1A1D21"/>
                <w:sz w:val="17"/>
              </w:rPr>
              <w:t xml:space="preserve">  as a multiple of revenue</w:t>
            </w:r>
          </w:p>
        </w:tc>
        <w:tc>
          <w:tcPr>
            <w:tcW w:type="dxa" w:w="1928"/>
          </w:tcPr>
          <w:p>
            <w:pPr>
              <w:jc w:val="right"/>
            </w:pPr>
            <w:r/>
            <w:r>
              <w:rPr>
                <w:color w:val="1A1D21"/>
                <w:sz w:val="17"/>
              </w:rPr>
              <w:t>1.72</w:t>
            </w:r>
          </w:p>
        </w:tc>
        <w:tc>
          <w:tcPr>
            <w:tcW w:type="dxa" w:w="1928"/>
          </w:tcPr>
          <w:p>
            <w:pPr>
              <w:jc w:val="right"/>
            </w:pPr>
            <w:r/>
            <w:r>
              <w:rPr>
                <w:color w:val="1A1D21"/>
                <w:sz w:val="17"/>
              </w:rPr>
              <w:t>1.55</w:t>
            </w:r>
          </w:p>
        </w:tc>
      </w:tr>
    </w:tbl>
    <w:p>
      <w:pPr>
        <w:spacing w:after="200"/>
      </w:pPr>
      <w:r>
        <w:rPr>
          <w:b w:val="0"/>
          <w:i/>
          <w:color w:val="5B6570"/>
          <w:sz w:val="16"/>
        </w:rPr>
        <w:t>Both years measured the same way on the two audited sheets. The collection period is close to three years because units are sold on multi-year instalments; customer advances against the order book are what funds the building in the meantime.</w:t>
      </w:r>
    </w:p>
    <w:p>
      <w:pPr>
        <w:pStyle w:val="Heading2"/>
      </w:pPr>
      <w:r>
        <w:t>1.2  Book value and sustainable return</w:t>
      </w:r>
    </w:p>
    <w:p>
      <w:pPr>
        <w:spacing w:after="140"/>
      </w:pPr>
      <w:r>
        <w:rPr>
          <w:b w:val="0"/>
          <w:i w:val="0"/>
          <w:color w:val="1A1D21"/>
          <w:sz w:val="20"/>
        </w:rPr>
        <w:t>Shareholders' funds were EGP 18,766 million at the end of 2025, or EGP 6.56 a share, against a market price of EGP 15.20 — the shares change hands at about 2.3 times book. Profit after tax and minority interest of EGP 4,217 million on average shareholders' funds gives a return on equity of roughly 25.3%. Against a cost of equity of 31.3%, the company is not currently earning its cost of capital on book, which is why book value sits well below every cash-flow read in this study rather than acting as a floor.</w:t>
      </w:r>
    </w:p>
    <w:p>
      <w:pPr>
        <w:pStyle w:val="Heading2"/>
      </w:pPr>
      <w:r>
        <w:t>1.3  Relative multiples</w:t>
      </w:r>
    </w:p>
    <w:p>
      <w:pPr>
        <w:spacing w:after="140"/>
      </w:pPr>
      <w:r>
        <w:rPr>
          <w:b w:val="0"/>
          <w:i w:val="0"/>
          <w:color w:val="1A1D21"/>
          <w:sz w:val="20"/>
        </w:rPr>
        <w:t>The Egyptian listed developers are compared in Appendix B on the measures that can actually be sourced for all of them on the same basis. Earnings and book multiples for the peer group are NOT published here: no peer discloses figures this study can obtain on a consistent basis, and a multiple assembled from inconsistent or unsourced inputs would look precise and mean nothing. What is comparable is market risk, and on that measure Palm Hills sits in the middle of its sector.</w:t>
      </w:r>
    </w:p>
    <w:p>
      <w:pPr>
        <w:pStyle w:val="Heading2"/>
      </w:pPr>
      <w:r>
        <w:t>1.4  Normalised earnings power</w:t>
      </w:r>
    </w:p>
    <w:p>
      <w:pPr>
        <w:spacing w:after="140"/>
      </w:pPr>
      <w:r>
        <w:rPr>
          <w:b w:val="0"/>
          <w:i w:val="0"/>
          <w:color w:val="1A1D21"/>
          <w:sz w:val="20"/>
        </w:rPr>
        <w:t>Normalising on the three disclosed years, revenue converts to gross profit at about 38.3%, overheads absorb about 17.6% of revenue, and interest on the disclosed borrowings absorbs a further large share. The result is a company whose accounting profit is real but whose cash profit is small and volatile: EGP 1,424 million of operating cash in 2025 on EGP 36,169 million of revenue, against EGP 4,855 million on EGP 27,167 million the year before.</w:t>
      </w:r>
    </w:p>
    <w:p>
      <w:pPr>
        <w:pStyle w:val="Heading2"/>
      </w:pPr>
      <w:r>
        <w:t>1.5  Synthesis — the lenses in one field</w:t>
      </w:r>
    </w:p>
    <w:p>
      <w:pPr>
        <w:spacing w:after="140"/>
      </w:pPr>
      <w:r>
        <w:rPr>
          <w:b w:val="0"/>
          <w:i w:val="0"/>
          <w:color w:val="1A1D21"/>
          <w:sz w:val="20"/>
        </w:rPr>
        <w:t>The four lenses disagree, and the disagreement is the information. The discounted cash flow is the widest because it carries the crux; book value is the narrowest because it is arithmetic on a reported balance sheet. Normalised earnings power is the most severe: at a 31.3% cost of equity, a company earning a 11.7% net margin does not capitalise to much.</w:t>
      </w:r>
    </w:p>
    <w:tbl>
      <w:tblPr>
        <w:tblStyle w:val="TableGrid"/>
        <w:tblW w:type="auto" w:w="0"/>
        <w:jc w:val="center"/>
        <w:tblLayout w:type="fixed"/>
        <w:tblLook w:firstColumn="1" w:firstRow="1" w:lastColumn="0" w:lastRow="0" w:noHBand="0" w:noVBand="1" w:val="04A0"/>
        <w:tblLayout w:type="fixed"/>
      </w:tblPr>
      <w:tblGrid>
        <w:gridCol w:w="2381"/>
        <w:gridCol w:w="1134"/>
        <w:gridCol w:w="1134"/>
        <w:gridCol w:w="1247"/>
        <w:gridCol w:w="907"/>
        <w:gridCol w:w="2495"/>
      </w:tblGrid>
      <w:tr>
        <w:trPr>
          <w:tblHeader w:val="true"/>
        </w:trPr>
        <w:tc>
          <w:tcPr>
            <w:tcW w:type="dxa" w:w="2381"/>
          </w:tcPr>
          <w:p>
            <w:r/>
            <w:r>
              <w:rPr>
                <w:b/>
                <w:color w:val="5B6570"/>
                <w:sz w:val="17"/>
              </w:rPr>
              <w:t>Lens</w:t>
            </w:r>
          </w:p>
        </w:tc>
        <w:tc>
          <w:tcPr>
            <w:tcW w:type="dxa" w:w="1134"/>
          </w:tcPr>
          <w:p>
            <w:r/>
            <w:r>
              <w:rPr>
                <w:b/>
                <w:color w:val="5B6570"/>
                <w:sz w:val="17"/>
              </w:rPr>
              <w:t>Bear</w:t>
            </w:r>
          </w:p>
        </w:tc>
        <w:tc>
          <w:tcPr>
            <w:tcW w:type="dxa" w:w="1134"/>
          </w:tcPr>
          <w:p>
            <w:r/>
            <w:r>
              <w:rPr>
                <w:b/>
                <w:color w:val="5B6570"/>
                <w:sz w:val="17"/>
              </w:rPr>
              <w:t>Base</w:t>
            </w:r>
          </w:p>
        </w:tc>
        <w:tc>
          <w:tcPr>
            <w:tcW w:type="dxa" w:w="1247"/>
          </w:tcPr>
          <w:p>
            <w:r/>
            <w:r>
              <w:rPr>
                <w:b/>
                <w:color w:val="5B6570"/>
                <w:sz w:val="17"/>
              </w:rPr>
              <w:t>Full value</w:t>
            </w:r>
          </w:p>
        </w:tc>
        <w:tc>
          <w:tcPr>
            <w:tcW w:type="dxa" w:w="907"/>
          </w:tcPr>
          <w:p>
            <w:r/>
            <w:r>
              <w:rPr>
                <w:b/>
                <w:color w:val="5B6570"/>
                <w:sz w:val="17"/>
              </w:rPr>
              <w:t>Weight</w:t>
            </w:r>
          </w:p>
        </w:tc>
        <w:tc>
          <w:tcPr>
            <w:tcW w:type="dxa" w:w="2494"/>
          </w:tcPr>
          <w:p>
            <w:r/>
            <w:r>
              <w:rPr>
                <w:b/>
                <w:color w:val="5B6570"/>
                <w:sz w:val="17"/>
              </w:rPr>
              <w:t>What moves it</w:t>
            </w:r>
          </w:p>
        </w:tc>
      </w:tr>
      <w:tr>
        <w:trPr>
          <w:cantSplit/>
        </w:trPr>
        <w:tc>
          <w:tcPr>
            <w:tcW w:type="dxa" w:w="2381"/>
          </w:tcPr>
          <w:p>
            <w:r/>
            <w:r>
              <w:rPr>
                <w:color w:val="1A1D21"/>
                <w:sz w:val="17"/>
              </w:rPr>
              <w:t>Discounted cash flow</w:t>
            </w:r>
          </w:p>
        </w:tc>
        <w:tc>
          <w:tcPr>
            <w:tcW w:type="dxa" w:w="1134"/>
          </w:tcPr>
          <w:p>
            <w:pPr>
              <w:jc w:val="right"/>
            </w:pPr>
            <w:r/>
            <w:r>
              <w:rPr>
                <w:color w:val="1A1D21"/>
                <w:sz w:val="17"/>
              </w:rPr>
              <w:t>2.85</w:t>
            </w:r>
          </w:p>
        </w:tc>
        <w:tc>
          <w:tcPr>
            <w:tcW w:type="dxa" w:w="1134"/>
          </w:tcPr>
          <w:p>
            <w:pPr>
              <w:jc w:val="right"/>
            </w:pPr>
            <w:r/>
            <w:r>
              <w:rPr>
                <w:color w:val="1A1D21"/>
                <w:sz w:val="17"/>
              </w:rPr>
              <w:t>14.86</w:t>
            </w:r>
          </w:p>
        </w:tc>
        <w:tc>
          <w:tcPr>
            <w:tcW w:type="dxa" w:w="1247"/>
          </w:tcPr>
          <w:p>
            <w:pPr>
              <w:jc w:val="right"/>
            </w:pPr>
            <w:r/>
            <w:r>
              <w:rPr>
                <w:color w:val="1A1D21"/>
                <w:sz w:val="17"/>
              </w:rPr>
              <w:t>38.75</w:t>
            </w:r>
          </w:p>
        </w:tc>
        <w:tc>
          <w:tcPr>
            <w:tcW w:type="dxa" w:w="907"/>
          </w:tcPr>
          <w:p>
            <w:pPr>
              <w:jc w:val="right"/>
            </w:pPr>
            <w:r/>
            <w:r>
              <w:rPr>
                <w:color w:val="1A1D21"/>
                <w:sz w:val="17"/>
              </w:rPr>
              <w:t>45%</w:t>
            </w:r>
          </w:p>
        </w:tc>
        <w:tc>
          <w:tcPr>
            <w:tcW w:type="dxa" w:w="2494"/>
          </w:tcPr>
          <w:p>
            <w:r/>
            <w:r>
              <w:rPr>
                <w:color w:val="1A1D21"/>
                <w:sz w:val="17"/>
              </w:rPr>
              <w:t>cash conversion, then the discount rate</w:t>
            </w:r>
          </w:p>
        </w:tc>
      </w:tr>
      <w:tr>
        <w:trPr>
          <w:cantSplit/>
        </w:trPr>
        <w:tc>
          <w:tcPr>
            <w:tcW w:type="dxa" w:w="2381"/>
          </w:tcPr>
          <w:p>
            <w:r/>
            <w:r>
              <w:rPr>
                <w:color w:val="1A1D21"/>
                <w:sz w:val="17"/>
              </w:rPr>
              <w:t>Book value of equity</w:t>
            </w:r>
          </w:p>
        </w:tc>
        <w:tc>
          <w:tcPr>
            <w:tcW w:type="dxa" w:w="1134"/>
          </w:tcPr>
          <w:p>
            <w:pPr>
              <w:jc w:val="right"/>
            </w:pPr>
            <w:r/>
            <w:r>
              <w:rPr>
                <w:color w:val="1A1D21"/>
                <w:sz w:val="17"/>
              </w:rPr>
              <w:t>5.91</w:t>
            </w:r>
          </w:p>
        </w:tc>
        <w:tc>
          <w:tcPr>
            <w:tcW w:type="dxa" w:w="1134"/>
          </w:tcPr>
          <w:p>
            <w:pPr>
              <w:jc w:val="right"/>
            </w:pPr>
            <w:r/>
            <w:r>
              <w:rPr>
                <w:color w:val="1A1D21"/>
                <w:sz w:val="17"/>
              </w:rPr>
              <w:t>6.56</w:t>
            </w:r>
          </w:p>
        </w:tc>
        <w:tc>
          <w:tcPr>
            <w:tcW w:type="dxa" w:w="1247"/>
          </w:tcPr>
          <w:p>
            <w:pPr>
              <w:jc w:val="right"/>
            </w:pPr>
            <w:r/>
            <w:r>
              <w:rPr>
                <w:color w:val="1A1D21"/>
                <w:sz w:val="17"/>
              </w:rPr>
              <w:t>8.53</w:t>
            </w:r>
          </w:p>
        </w:tc>
        <w:tc>
          <w:tcPr>
            <w:tcW w:type="dxa" w:w="907"/>
          </w:tcPr>
          <w:p>
            <w:pPr>
              <w:jc w:val="right"/>
            </w:pPr>
            <w:r/>
            <w:r>
              <w:rPr>
                <w:color w:val="1A1D21"/>
                <w:sz w:val="17"/>
              </w:rPr>
              <w:t>15%</w:t>
            </w:r>
          </w:p>
        </w:tc>
        <w:tc>
          <w:tcPr>
            <w:tcW w:type="dxa" w:w="2494"/>
          </w:tcPr>
          <w:p>
            <w:r/>
            <w:r>
              <w:rPr>
                <w:color w:val="1A1D21"/>
                <w:sz w:val="17"/>
              </w:rPr>
              <w:t>nothing — it is a reported figure</w:t>
            </w:r>
          </w:p>
        </w:tc>
      </w:tr>
      <w:tr>
        <w:trPr>
          <w:cantSplit/>
        </w:trPr>
        <w:tc>
          <w:tcPr>
            <w:tcW w:type="dxa" w:w="2381"/>
          </w:tcPr>
          <w:p>
            <w:r/>
            <w:r>
              <w:rPr>
                <w:color w:val="1A1D21"/>
                <w:sz w:val="17"/>
              </w:rPr>
              <w:t>Earnings multiple on own history</w:t>
            </w:r>
          </w:p>
        </w:tc>
        <w:tc>
          <w:tcPr>
            <w:tcW w:type="dxa" w:w="1134"/>
          </w:tcPr>
          <w:p>
            <w:pPr>
              <w:jc w:val="right"/>
            </w:pPr>
            <w:r/>
            <w:r>
              <w:rPr>
                <w:color w:val="1A1D21"/>
                <w:sz w:val="17"/>
              </w:rPr>
              <w:t>7.45</w:t>
            </w:r>
          </w:p>
        </w:tc>
        <w:tc>
          <w:tcPr>
            <w:tcW w:type="dxa" w:w="1134"/>
          </w:tcPr>
          <w:p>
            <w:pPr>
              <w:jc w:val="right"/>
            </w:pPr>
            <w:r/>
            <w:r>
              <w:rPr>
                <w:color w:val="1A1D21"/>
                <w:sz w:val="17"/>
              </w:rPr>
              <w:t>11.17</w:t>
            </w:r>
          </w:p>
        </w:tc>
        <w:tc>
          <w:tcPr>
            <w:tcW w:type="dxa" w:w="1247"/>
          </w:tcPr>
          <w:p>
            <w:pPr>
              <w:jc w:val="right"/>
            </w:pPr>
            <w:r/>
            <w:r>
              <w:rPr>
                <w:color w:val="1A1D21"/>
                <w:sz w:val="17"/>
              </w:rPr>
              <w:t>17.37</w:t>
            </w:r>
          </w:p>
        </w:tc>
        <w:tc>
          <w:tcPr>
            <w:tcW w:type="dxa" w:w="907"/>
          </w:tcPr>
          <w:p>
            <w:pPr>
              <w:jc w:val="right"/>
            </w:pPr>
            <w:r/>
            <w:r>
              <w:rPr>
                <w:color w:val="1A1D21"/>
                <w:sz w:val="17"/>
              </w:rPr>
              <w:t>20%</w:t>
            </w:r>
          </w:p>
        </w:tc>
        <w:tc>
          <w:tcPr>
            <w:tcW w:type="dxa" w:w="2494"/>
          </w:tcPr>
          <w:p>
            <w:r/>
            <w:r>
              <w:rPr>
                <w:color w:val="1A1D21"/>
                <w:sz w:val="17"/>
              </w:rPr>
              <w:t>the multiple the shares have historically carried, 6x to 14x</w:t>
            </w:r>
          </w:p>
        </w:tc>
      </w:tr>
      <w:tr>
        <w:trPr>
          <w:cantSplit/>
        </w:trPr>
        <w:tc>
          <w:tcPr>
            <w:tcW w:type="dxa" w:w="2381"/>
          </w:tcPr>
          <w:p>
            <w:r/>
            <w:r>
              <w:rPr>
                <w:color w:val="1A1D21"/>
                <w:sz w:val="17"/>
              </w:rPr>
              <w:t>Normalised earnings power</w:t>
            </w:r>
          </w:p>
        </w:tc>
        <w:tc>
          <w:tcPr>
            <w:tcW w:type="dxa" w:w="1134"/>
          </w:tcPr>
          <w:p>
            <w:pPr>
              <w:jc w:val="right"/>
            </w:pPr>
            <w:r/>
            <w:r>
              <w:rPr>
                <w:color w:val="1A1D21"/>
                <w:sz w:val="17"/>
              </w:rPr>
              <w:t>4.72</w:t>
            </w:r>
          </w:p>
        </w:tc>
        <w:tc>
          <w:tcPr>
            <w:tcW w:type="dxa" w:w="1134"/>
          </w:tcPr>
          <w:p>
            <w:pPr>
              <w:jc w:val="right"/>
            </w:pPr>
            <w:r/>
            <w:r>
              <w:rPr>
                <w:color w:val="1A1D21"/>
                <w:sz w:val="17"/>
              </w:rPr>
              <w:t>5.17</w:t>
            </w:r>
          </w:p>
        </w:tc>
        <w:tc>
          <w:tcPr>
            <w:tcW w:type="dxa" w:w="1247"/>
          </w:tcPr>
          <w:p>
            <w:pPr>
              <w:jc w:val="right"/>
            </w:pPr>
            <w:r/>
            <w:r>
              <w:rPr>
                <w:color w:val="1A1D21"/>
                <w:sz w:val="17"/>
              </w:rPr>
              <w:t>5.72</w:t>
            </w:r>
          </w:p>
        </w:tc>
        <w:tc>
          <w:tcPr>
            <w:tcW w:type="dxa" w:w="907"/>
          </w:tcPr>
          <w:p>
            <w:pPr>
              <w:jc w:val="right"/>
            </w:pPr>
            <w:r/>
            <w:r>
              <w:rPr>
                <w:color w:val="1A1D21"/>
                <w:sz w:val="17"/>
              </w:rPr>
              <w:t>20%</w:t>
            </w:r>
          </w:p>
        </w:tc>
        <w:tc>
          <w:tcPr>
            <w:tcW w:type="dxa" w:w="2494"/>
          </w:tcPr>
          <w:p>
            <w:r/>
            <w:r>
              <w:rPr>
                <w:color w:val="1A1D21"/>
                <w:sz w:val="17"/>
              </w:rPr>
              <w:t>the cost of equity</w:t>
            </w:r>
          </w:p>
        </w:tc>
      </w:tr>
      <w:tr>
        <w:trPr>
          <w:cantSplit/>
        </w:trPr>
        <w:tc>
          <w:tcPr>
            <w:tcW w:type="dxa" w:w="2381"/>
          </w:tcPr>
          <w:p>
            <w:r/>
            <w:r>
              <w:rPr>
                <w:color w:val="1A1D21"/>
                <w:sz w:val="17"/>
              </w:rPr>
              <w:t>Weighted central</w:t>
            </w:r>
          </w:p>
        </w:tc>
        <w:tc>
          <w:tcPr>
            <w:tcW w:type="dxa" w:w="1134"/>
          </w:tcPr>
          <w:p>
            <w:pPr>
              <w:jc w:val="right"/>
            </w:pPr>
            <w:r/>
            <w:r>
              <w:rPr>
                <w:color w:val="1A1D21"/>
                <w:sz w:val="17"/>
              </w:rPr>
              <w:t>4.60</w:t>
            </w:r>
          </w:p>
        </w:tc>
        <w:tc>
          <w:tcPr>
            <w:tcW w:type="dxa" w:w="1134"/>
          </w:tcPr>
          <w:p>
            <w:pPr>
              <w:jc w:val="right"/>
            </w:pPr>
            <w:r/>
            <w:r>
              <w:rPr>
                <w:color w:val="1A1D21"/>
                <w:sz w:val="17"/>
              </w:rPr>
              <w:t>10.94</w:t>
            </w:r>
          </w:p>
        </w:tc>
        <w:tc>
          <w:tcPr>
            <w:tcW w:type="dxa" w:w="1247"/>
          </w:tcPr>
          <w:p>
            <w:pPr>
              <w:jc w:val="right"/>
            </w:pPr>
            <w:r/>
            <w:r>
              <w:rPr>
                <w:color w:val="1A1D21"/>
                <w:sz w:val="17"/>
              </w:rPr>
              <w:t>23.33</w:t>
            </w:r>
          </w:p>
        </w:tc>
        <w:tc>
          <w:tcPr>
            <w:tcW w:type="dxa" w:w="907"/>
          </w:tcPr>
          <w:p>
            <w:pPr>
              <w:jc w:val="right"/>
            </w:pPr>
            <w:r/>
            <w:r>
              <w:rPr>
                <w:color w:val="1A1D21"/>
                <w:sz w:val="17"/>
              </w:rPr>
              <w:t>100%</w:t>
            </w:r>
          </w:p>
        </w:tc>
        <w:tc>
          <w:tcPr>
            <w:tcW w:type="dxa" w:w="2494"/>
          </w:tcPr>
          <w:p>
            <w:r/>
            <w:r>
              <w:rPr>
                <w:color w:val="1A1D21"/>
                <w:sz w:val="17"/>
              </w:rPr>
            </w:r>
          </w:p>
        </w:tc>
      </w:tr>
    </w:tbl>
    <w:p>
      <w:pPr>
        <w:spacing w:after="200"/>
      </w:pPr>
      <w:r>
        <w:rPr>
          <w:b w:val="0"/>
          <w:i/>
          <w:color w:val="5B6570"/>
          <w:sz w:val="16"/>
        </w:rPr>
        <w:t>EGP per share, against a close of EGP 15.20. The weights are stated before the numbers are read and are identical across the three columns.</w:t>
      </w:r>
    </w:p>
    <w:p>
      <w:pPr>
        <w:pStyle w:val="Heading2"/>
      </w:pPr>
      <w:r>
        <w:t>1.6  Drivers — units and prices, by region</w:t>
      </w:r>
    </w:p>
    <w:p>
      <w:pPr>
        <w:spacing w:after="140"/>
      </w:pPr>
      <w:r>
        <w:rPr>
          <w:b w:val="0"/>
          <w:i w:val="0"/>
          <w:color w:val="1A1D21"/>
          <w:sz w:val="20"/>
        </w:rPr>
        <w:t>This is what the forecast is built from. For each operating region the company publishes both the value of new sales and the number of units behind it, so the average selling price per unit is a realised figure, not an assumption. Dividing one disclosure by the other is the only step taken.</w:t>
      </w:r>
    </w:p>
    <w:p>
      <w:pPr>
        <w:pStyle w:val="Heading3"/>
      </w:pPr>
      <w:r>
        <w:t>North Coast &amp; Alexandria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4,205</w:t>
            </w:r>
          </w:p>
        </w:tc>
        <w:tc>
          <w:tcPr>
            <w:tcW w:type="dxa" w:w="1361"/>
          </w:tcPr>
          <w:p>
            <w:pPr>
              <w:jc w:val="right"/>
            </w:pPr>
            <w:r/>
            <w:r>
              <w:rPr>
                <w:color w:val="1A1D21"/>
                <w:sz w:val="17"/>
              </w:rPr>
              <w:t>7,139</w:t>
            </w:r>
          </w:p>
        </w:tc>
        <w:tc>
          <w:tcPr>
            <w:tcW w:type="dxa" w:w="1361"/>
          </w:tcPr>
          <w:p>
            <w:pPr>
              <w:jc w:val="right"/>
            </w:pPr>
            <w:r/>
            <w:r>
              <w:rPr>
                <w:color w:val="1A1D21"/>
                <w:sz w:val="17"/>
              </w:rPr>
              <w:t>5,627</w:t>
            </w:r>
          </w:p>
        </w:tc>
        <w:tc>
          <w:tcPr>
            <w:tcW w:type="dxa" w:w="1361"/>
          </w:tcPr>
          <w:p>
            <w:pPr>
              <w:jc w:val="right"/>
            </w:pPr>
            <w:r/>
            <w:r>
              <w:rPr>
                <w:color w:val="1A1D21"/>
                <w:sz w:val="17"/>
              </w:rPr>
              <w:t>13,900</w:t>
            </w:r>
          </w:p>
        </w:tc>
        <w:tc>
          <w:tcPr>
            <w:tcW w:type="dxa" w:w="1361"/>
          </w:tcPr>
          <w:p>
            <w:pPr>
              <w:jc w:val="right"/>
            </w:pPr>
            <w:r/>
            <w:r>
              <w:rPr>
                <w:color w:val="1A1D21"/>
                <w:sz w:val="17"/>
              </w:rPr>
              <w:t>95,082</w:t>
            </w:r>
          </w:p>
        </w:tc>
      </w:tr>
      <w:tr>
        <w:trPr>
          <w:cantSplit/>
        </w:trPr>
        <w:tc>
          <w:tcPr>
            <w:tcW w:type="dxa" w:w="2494"/>
          </w:tcPr>
          <w:p>
            <w:r/>
            <w:r>
              <w:rPr>
                <w:color w:val="1A1D21"/>
                <w:sz w:val="17"/>
              </w:rPr>
              <w:t>Units sold</w:t>
            </w:r>
          </w:p>
        </w:tc>
        <w:tc>
          <w:tcPr>
            <w:tcW w:type="dxa" w:w="1361"/>
          </w:tcPr>
          <w:p>
            <w:pPr>
              <w:jc w:val="right"/>
            </w:pPr>
            <w:r/>
            <w:r>
              <w:rPr>
                <w:color w:val="1A1D21"/>
                <w:sz w:val="17"/>
              </w:rPr>
              <w:t>726</w:t>
            </w:r>
          </w:p>
        </w:tc>
        <w:tc>
          <w:tcPr>
            <w:tcW w:type="dxa" w:w="1361"/>
          </w:tcPr>
          <w:p>
            <w:pPr>
              <w:jc w:val="right"/>
            </w:pPr>
            <w:r/>
            <w:r>
              <w:rPr>
                <w:color w:val="1A1D21"/>
                <w:sz w:val="17"/>
              </w:rPr>
              <w:t>1,552</w:t>
            </w:r>
          </w:p>
        </w:tc>
        <w:tc>
          <w:tcPr>
            <w:tcW w:type="dxa" w:w="1361"/>
          </w:tcPr>
          <w:p>
            <w:pPr>
              <w:jc w:val="right"/>
            </w:pPr>
            <w:r/>
            <w:r>
              <w:rPr>
                <w:color w:val="1A1D21"/>
                <w:sz w:val="17"/>
              </w:rPr>
              <w:t>800</w:t>
            </w:r>
          </w:p>
        </w:tc>
        <w:tc>
          <w:tcPr>
            <w:tcW w:type="dxa" w:w="1361"/>
          </w:tcPr>
          <w:p>
            <w:pPr>
              <w:jc w:val="right"/>
            </w:pPr>
            <w:r/>
            <w:r>
              <w:rPr>
                <w:color w:val="1A1D21"/>
                <w:sz w:val="17"/>
              </w:rPr>
              <w:t>1,231</w:t>
            </w:r>
          </w:p>
        </w:tc>
        <w:tc>
          <w:tcPr>
            <w:tcW w:type="dxa" w:w="1361"/>
          </w:tcPr>
          <w:p>
            <w:pPr>
              <w:jc w:val="right"/>
            </w:pPr>
            <w:r/>
            <w:r>
              <w:rPr>
                <w:color w:val="1A1D21"/>
                <w:sz w:val="17"/>
              </w:rPr>
              <w:t>4,192</w:t>
            </w:r>
          </w:p>
        </w:tc>
      </w:tr>
      <w:tr>
        <w:trPr>
          <w:cantSplit/>
        </w:trPr>
        <w:tc>
          <w:tcPr>
            <w:tcW w:type="dxa" w:w="2494"/>
          </w:tcPr>
          <w:p>
            <w:r/>
            <w:r>
              <w:rPr>
                <w:color w:val="1A1D21"/>
                <w:sz w:val="17"/>
              </w:rPr>
              <w:t>Price per unit (EGP mn)</w:t>
            </w:r>
          </w:p>
        </w:tc>
        <w:tc>
          <w:tcPr>
            <w:tcW w:type="dxa" w:w="1361"/>
          </w:tcPr>
          <w:p>
            <w:pPr>
              <w:jc w:val="right"/>
            </w:pPr>
            <w:r/>
            <w:r>
              <w:rPr>
                <w:color w:val="1A1D21"/>
                <w:sz w:val="17"/>
              </w:rPr>
              <w:t>5.79</w:t>
            </w:r>
          </w:p>
        </w:tc>
        <w:tc>
          <w:tcPr>
            <w:tcW w:type="dxa" w:w="1361"/>
          </w:tcPr>
          <w:p>
            <w:pPr>
              <w:jc w:val="right"/>
            </w:pPr>
            <w:r/>
            <w:r>
              <w:rPr>
                <w:color w:val="1A1D21"/>
                <w:sz w:val="17"/>
              </w:rPr>
              <w:t>4.60</w:t>
            </w:r>
          </w:p>
        </w:tc>
        <w:tc>
          <w:tcPr>
            <w:tcW w:type="dxa" w:w="1361"/>
          </w:tcPr>
          <w:p>
            <w:pPr>
              <w:jc w:val="right"/>
            </w:pPr>
            <w:r/>
            <w:r>
              <w:rPr>
                <w:color w:val="1A1D21"/>
                <w:sz w:val="17"/>
              </w:rPr>
              <w:t>7.03</w:t>
            </w:r>
          </w:p>
        </w:tc>
        <w:tc>
          <w:tcPr>
            <w:tcW w:type="dxa" w:w="1361"/>
          </w:tcPr>
          <w:p>
            <w:pPr>
              <w:jc w:val="right"/>
            </w:pPr>
            <w:r/>
            <w:r>
              <w:rPr>
                <w:color w:val="1A1D21"/>
                <w:sz w:val="17"/>
              </w:rPr>
              <w:t>11.29</w:t>
            </w:r>
          </w:p>
        </w:tc>
        <w:tc>
          <w:tcPr>
            <w:tcW w:type="dxa" w:w="1361"/>
          </w:tcPr>
          <w:p>
            <w:pPr>
              <w:jc w:val="right"/>
            </w:pPr>
            <w:r/>
            <w:r>
              <w:rPr>
                <w:color w:val="1A1D21"/>
                <w:sz w:val="17"/>
              </w:rPr>
              <w:t>22.68</w:t>
            </w:r>
          </w:p>
        </w:tc>
      </w:tr>
    </w:tbl>
    <w:p>
      <w:pPr>
        <w:spacing w:after="80"/>
      </w:pPr>
      <w:r>
        <w:rPr>
          <w:b w:val="0"/>
          <w:i w:val="0"/>
          <w:color w:val="1A1D21"/>
          <w:sz w:val="8"/>
        </w:rPr>
      </w:r>
    </w:p>
    <w:p>
      <w:pPr>
        <w:spacing w:after="140"/>
      </w:pPr>
      <w:r>
        <w:rPr>
          <w:b w:val="0"/>
          <w:i w:val="0"/>
          <w:color w:val="5B6570"/>
          <w:sz w:val="18"/>
        </w:rPr>
        <w:t>Carried forward at 2,074 units, the average of the last three disclosed years, at a starting price of EGP 22.68 million a unit, the price realised in 2024, escalated with Egyptian inflation.</w:t>
      </w:r>
    </w:p>
    <w:p>
      <w:pPr>
        <w:pStyle w:val="Heading3"/>
      </w:pPr>
      <w:r>
        <w:t>West Cairo &amp; Badya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6,627</w:t>
            </w:r>
          </w:p>
        </w:tc>
        <w:tc>
          <w:tcPr>
            <w:tcW w:type="dxa" w:w="1361"/>
          </w:tcPr>
          <w:p>
            <w:pPr>
              <w:jc w:val="right"/>
            </w:pPr>
            <w:r/>
            <w:r>
              <w:rPr>
                <w:color w:val="1A1D21"/>
                <w:sz w:val="17"/>
              </w:rPr>
              <w:t>7,258</w:t>
            </w:r>
          </w:p>
        </w:tc>
        <w:tc>
          <w:tcPr>
            <w:tcW w:type="dxa" w:w="1361"/>
          </w:tcPr>
          <w:p>
            <w:pPr>
              <w:jc w:val="right"/>
            </w:pPr>
            <w:r/>
            <w:r>
              <w:rPr>
                <w:color w:val="1A1D21"/>
                <w:sz w:val="17"/>
              </w:rPr>
              <w:t>13,118</w:t>
            </w:r>
          </w:p>
        </w:tc>
        <w:tc>
          <w:tcPr>
            <w:tcW w:type="dxa" w:w="1361"/>
          </w:tcPr>
          <w:p>
            <w:pPr>
              <w:jc w:val="right"/>
            </w:pPr>
            <w:r/>
            <w:r>
              <w:rPr>
                <w:color w:val="1A1D21"/>
                <w:sz w:val="17"/>
              </w:rPr>
              <w:t>32,332</w:t>
            </w:r>
          </w:p>
        </w:tc>
        <w:tc>
          <w:tcPr>
            <w:tcW w:type="dxa" w:w="1361"/>
          </w:tcPr>
          <w:p>
            <w:pPr>
              <w:jc w:val="right"/>
            </w:pPr>
            <w:r/>
            <w:r>
              <w:rPr>
                <w:color w:val="1A1D21"/>
                <w:sz w:val="17"/>
              </w:rPr>
              <w:t>44,570</w:t>
            </w:r>
          </w:p>
        </w:tc>
      </w:tr>
      <w:tr>
        <w:trPr>
          <w:cantSplit/>
        </w:trPr>
        <w:tc>
          <w:tcPr>
            <w:tcW w:type="dxa" w:w="2494"/>
          </w:tcPr>
          <w:p>
            <w:r/>
            <w:r>
              <w:rPr>
                <w:color w:val="1A1D21"/>
                <w:sz w:val="17"/>
              </w:rPr>
              <w:t>Units sold</w:t>
            </w:r>
          </w:p>
        </w:tc>
        <w:tc>
          <w:tcPr>
            <w:tcW w:type="dxa" w:w="1361"/>
          </w:tcPr>
          <w:p>
            <w:pPr>
              <w:jc w:val="right"/>
            </w:pPr>
            <w:r/>
            <w:r>
              <w:rPr>
                <w:color w:val="1A1D21"/>
                <w:sz w:val="17"/>
              </w:rPr>
              <w:t>858</w:t>
            </w:r>
          </w:p>
        </w:tc>
        <w:tc>
          <w:tcPr>
            <w:tcW w:type="dxa" w:w="1361"/>
          </w:tcPr>
          <w:p>
            <w:pPr>
              <w:jc w:val="right"/>
            </w:pPr>
            <w:r/>
            <w:r>
              <w:rPr>
                <w:color w:val="1A1D21"/>
                <w:sz w:val="17"/>
              </w:rPr>
              <w:t>1,416</w:t>
            </w:r>
          </w:p>
        </w:tc>
        <w:tc>
          <w:tcPr>
            <w:tcW w:type="dxa" w:w="1361"/>
          </w:tcPr>
          <w:p>
            <w:pPr>
              <w:jc w:val="right"/>
            </w:pPr>
            <w:r/>
            <w:r>
              <w:rPr>
                <w:color w:val="1A1D21"/>
                <w:sz w:val="17"/>
              </w:rPr>
              <w:t>2,039</w:t>
            </w:r>
          </w:p>
        </w:tc>
        <w:tc>
          <w:tcPr>
            <w:tcW w:type="dxa" w:w="1361"/>
          </w:tcPr>
          <w:p>
            <w:pPr>
              <w:jc w:val="right"/>
            </w:pPr>
            <w:r/>
            <w:r>
              <w:rPr>
                <w:color w:val="1A1D21"/>
                <w:sz w:val="17"/>
              </w:rPr>
              <w:t>2,950</w:t>
            </w:r>
          </w:p>
        </w:tc>
        <w:tc>
          <w:tcPr>
            <w:tcW w:type="dxa" w:w="1361"/>
          </w:tcPr>
          <w:p>
            <w:pPr>
              <w:jc w:val="right"/>
            </w:pPr>
            <w:r/>
            <w:r>
              <w:rPr>
                <w:color w:val="1A1D21"/>
                <w:sz w:val="17"/>
              </w:rPr>
              <w:t>2,839</w:t>
            </w:r>
          </w:p>
        </w:tc>
      </w:tr>
      <w:tr>
        <w:trPr>
          <w:cantSplit/>
        </w:trPr>
        <w:tc>
          <w:tcPr>
            <w:tcW w:type="dxa" w:w="2494"/>
          </w:tcPr>
          <w:p>
            <w:r/>
            <w:r>
              <w:rPr>
                <w:color w:val="1A1D21"/>
                <w:sz w:val="17"/>
              </w:rPr>
              <w:t>Price per unit (EGP mn)</w:t>
            </w:r>
          </w:p>
        </w:tc>
        <w:tc>
          <w:tcPr>
            <w:tcW w:type="dxa" w:w="1361"/>
          </w:tcPr>
          <w:p>
            <w:pPr>
              <w:jc w:val="right"/>
            </w:pPr>
            <w:r/>
            <w:r>
              <w:rPr>
                <w:color w:val="1A1D21"/>
                <w:sz w:val="17"/>
              </w:rPr>
              <w:t>7.72</w:t>
            </w:r>
          </w:p>
        </w:tc>
        <w:tc>
          <w:tcPr>
            <w:tcW w:type="dxa" w:w="1361"/>
          </w:tcPr>
          <w:p>
            <w:pPr>
              <w:jc w:val="right"/>
            </w:pPr>
            <w:r/>
            <w:r>
              <w:rPr>
                <w:color w:val="1A1D21"/>
                <w:sz w:val="17"/>
              </w:rPr>
              <w:t>5.13</w:t>
            </w:r>
          </w:p>
        </w:tc>
        <w:tc>
          <w:tcPr>
            <w:tcW w:type="dxa" w:w="1361"/>
          </w:tcPr>
          <w:p>
            <w:pPr>
              <w:jc w:val="right"/>
            </w:pPr>
            <w:r/>
            <w:r>
              <w:rPr>
                <w:color w:val="1A1D21"/>
                <w:sz w:val="17"/>
              </w:rPr>
              <w:t>6.43</w:t>
            </w:r>
          </w:p>
        </w:tc>
        <w:tc>
          <w:tcPr>
            <w:tcW w:type="dxa" w:w="1361"/>
          </w:tcPr>
          <w:p>
            <w:pPr>
              <w:jc w:val="right"/>
            </w:pPr>
            <w:r/>
            <w:r>
              <w:rPr>
                <w:color w:val="1A1D21"/>
                <w:sz w:val="17"/>
              </w:rPr>
              <w:t>10.96</w:t>
            </w:r>
          </w:p>
        </w:tc>
        <w:tc>
          <w:tcPr>
            <w:tcW w:type="dxa" w:w="1361"/>
          </w:tcPr>
          <w:p>
            <w:pPr>
              <w:jc w:val="right"/>
            </w:pPr>
            <w:r/>
            <w:r>
              <w:rPr>
                <w:color w:val="1A1D21"/>
                <w:sz w:val="17"/>
              </w:rPr>
              <w:t>15.70</w:t>
            </w:r>
          </w:p>
        </w:tc>
      </w:tr>
    </w:tbl>
    <w:p>
      <w:pPr>
        <w:spacing w:after="80"/>
      </w:pPr>
      <w:r>
        <w:rPr>
          <w:b w:val="0"/>
          <w:i w:val="0"/>
          <w:color w:val="1A1D21"/>
          <w:sz w:val="8"/>
        </w:rPr>
      </w:r>
    </w:p>
    <w:p>
      <w:pPr>
        <w:spacing w:after="140"/>
      </w:pPr>
      <w:r>
        <w:rPr>
          <w:b w:val="0"/>
          <w:i w:val="0"/>
          <w:color w:val="5B6570"/>
          <w:sz w:val="18"/>
        </w:rPr>
        <w:t>Carried forward at 2,609 units, the average of the last three disclosed years, at a starting price of EGP 15.70 million a unit, the price realised in 2024, escalated with Egyptian inflation.</w:t>
      </w:r>
    </w:p>
    <w:p>
      <w:pPr>
        <w:pStyle w:val="Heading3"/>
      </w:pPr>
      <w:r>
        <w:t>East Cairo</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1,947</w:t>
            </w:r>
          </w:p>
        </w:tc>
        <w:tc>
          <w:tcPr>
            <w:tcW w:type="dxa" w:w="1361"/>
          </w:tcPr>
          <w:p>
            <w:pPr>
              <w:jc w:val="right"/>
            </w:pPr>
            <w:r/>
            <w:r>
              <w:rPr>
                <w:color w:val="1A1D21"/>
                <w:sz w:val="17"/>
              </w:rPr>
              <w:t>2,892</w:t>
            </w:r>
          </w:p>
        </w:tc>
        <w:tc>
          <w:tcPr>
            <w:tcW w:type="dxa" w:w="1361"/>
          </w:tcPr>
          <w:p>
            <w:pPr>
              <w:jc w:val="right"/>
            </w:pPr>
            <w:r/>
            <w:r>
              <w:rPr>
                <w:color w:val="1A1D21"/>
                <w:sz w:val="17"/>
              </w:rPr>
              <w:t>7,265</w:t>
            </w:r>
          </w:p>
        </w:tc>
        <w:tc>
          <w:tcPr>
            <w:tcW w:type="dxa" w:w="1361"/>
          </w:tcPr>
          <w:p>
            <w:pPr>
              <w:jc w:val="right"/>
            </w:pPr>
            <w:r/>
            <w:r>
              <w:rPr>
                <w:color w:val="1A1D21"/>
                <w:sz w:val="17"/>
              </w:rPr>
              <w:t>13,270</w:t>
            </w:r>
          </w:p>
        </w:tc>
        <w:tc>
          <w:tcPr>
            <w:tcW w:type="dxa" w:w="1361"/>
          </w:tcPr>
          <w:p>
            <w:pPr>
              <w:jc w:val="right"/>
            </w:pPr>
            <w:r/>
            <w:r>
              <w:rPr>
                <w:color w:val="1A1D21"/>
                <w:sz w:val="17"/>
              </w:rPr>
              <w:t>11,364</w:t>
            </w:r>
          </w:p>
        </w:tc>
      </w:tr>
      <w:tr>
        <w:trPr>
          <w:cantSplit/>
        </w:trPr>
        <w:tc>
          <w:tcPr>
            <w:tcW w:type="dxa" w:w="2494"/>
          </w:tcPr>
          <w:p>
            <w:r/>
            <w:r>
              <w:rPr>
                <w:color w:val="1A1D21"/>
                <w:sz w:val="17"/>
              </w:rPr>
              <w:t>Units sold</w:t>
            </w:r>
          </w:p>
        </w:tc>
        <w:tc>
          <w:tcPr>
            <w:tcW w:type="dxa" w:w="1361"/>
          </w:tcPr>
          <w:p>
            <w:pPr>
              <w:jc w:val="right"/>
            </w:pPr>
            <w:r/>
            <w:r>
              <w:rPr>
                <w:color w:val="1A1D21"/>
                <w:sz w:val="17"/>
              </w:rPr>
              <w:t>256</w:t>
            </w:r>
          </w:p>
        </w:tc>
        <w:tc>
          <w:tcPr>
            <w:tcW w:type="dxa" w:w="1361"/>
          </w:tcPr>
          <w:p>
            <w:pPr>
              <w:jc w:val="right"/>
            </w:pPr>
            <w:r/>
            <w:r>
              <w:rPr>
                <w:color w:val="1A1D21"/>
                <w:sz w:val="17"/>
              </w:rPr>
              <w:t>382</w:t>
            </w:r>
          </w:p>
        </w:tc>
        <w:tc>
          <w:tcPr>
            <w:tcW w:type="dxa" w:w="1361"/>
          </w:tcPr>
          <w:p>
            <w:pPr>
              <w:jc w:val="right"/>
            </w:pPr>
            <w:r/>
            <w:r>
              <w:rPr>
                <w:color w:val="1A1D21"/>
                <w:sz w:val="17"/>
              </w:rPr>
              <w:t>1,194</w:t>
            </w:r>
          </w:p>
        </w:tc>
        <w:tc>
          <w:tcPr>
            <w:tcW w:type="dxa" w:w="1361"/>
          </w:tcPr>
          <w:p>
            <w:pPr>
              <w:jc w:val="right"/>
            </w:pPr>
            <w:r/>
            <w:r>
              <w:rPr>
                <w:color w:val="1A1D21"/>
                <w:sz w:val="17"/>
              </w:rPr>
              <w:t>1,200</w:t>
            </w:r>
          </w:p>
        </w:tc>
        <w:tc>
          <w:tcPr>
            <w:tcW w:type="dxa" w:w="1361"/>
          </w:tcPr>
          <w:p>
            <w:pPr>
              <w:jc w:val="right"/>
            </w:pPr>
            <w:r/>
            <w:r>
              <w:rPr>
                <w:color w:val="1A1D21"/>
                <w:sz w:val="17"/>
              </w:rPr>
              <w:t>453</w:t>
            </w:r>
          </w:p>
        </w:tc>
      </w:tr>
      <w:tr>
        <w:trPr>
          <w:cantSplit/>
        </w:trPr>
        <w:tc>
          <w:tcPr>
            <w:tcW w:type="dxa" w:w="2494"/>
          </w:tcPr>
          <w:p>
            <w:r/>
            <w:r>
              <w:rPr>
                <w:color w:val="1A1D21"/>
                <w:sz w:val="17"/>
              </w:rPr>
              <w:t>Price per unit (EGP mn)</w:t>
            </w:r>
          </w:p>
        </w:tc>
        <w:tc>
          <w:tcPr>
            <w:tcW w:type="dxa" w:w="1361"/>
          </w:tcPr>
          <w:p>
            <w:pPr>
              <w:jc w:val="right"/>
            </w:pPr>
            <w:r/>
            <w:r>
              <w:rPr>
                <w:color w:val="1A1D21"/>
                <w:sz w:val="17"/>
              </w:rPr>
              <w:t>7.61</w:t>
            </w:r>
          </w:p>
        </w:tc>
        <w:tc>
          <w:tcPr>
            <w:tcW w:type="dxa" w:w="1361"/>
          </w:tcPr>
          <w:p>
            <w:pPr>
              <w:jc w:val="right"/>
            </w:pPr>
            <w:r/>
            <w:r>
              <w:rPr>
                <w:color w:val="1A1D21"/>
                <w:sz w:val="17"/>
              </w:rPr>
              <w:t>7.57</w:t>
            </w:r>
          </w:p>
        </w:tc>
        <w:tc>
          <w:tcPr>
            <w:tcW w:type="dxa" w:w="1361"/>
          </w:tcPr>
          <w:p>
            <w:pPr>
              <w:jc w:val="right"/>
            </w:pPr>
            <w:r/>
            <w:r>
              <w:rPr>
                <w:color w:val="1A1D21"/>
                <w:sz w:val="17"/>
              </w:rPr>
              <w:t>6.08</w:t>
            </w:r>
          </w:p>
        </w:tc>
        <w:tc>
          <w:tcPr>
            <w:tcW w:type="dxa" w:w="1361"/>
          </w:tcPr>
          <w:p>
            <w:pPr>
              <w:jc w:val="right"/>
            </w:pPr>
            <w:r/>
            <w:r>
              <w:rPr>
                <w:color w:val="1A1D21"/>
                <w:sz w:val="17"/>
              </w:rPr>
              <w:t>11.06</w:t>
            </w:r>
          </w:p>
        </w:tc>
        <w:tc>
          <w:tcPr>
            <w:tcW w:type="dxa" w:w="1361"/>
          </w:tcPr>
          <w:p>
            <w:pPr>
              <w:jc w:val="right"/>
            </w:pPr>
            <w:r/>
            <w:r>
              <w:rPr>
                <w:color w:val="1A1D21"/>
                <w:sz w:val="17"/>
              </w:rPr>
              <w:t>25.09</w:t>
            </w:r>
          </w:p>
        </w:tc>
      </w:tr>
    </w:tbl>
    <w:p>
      <w:pPr>
        <w:spacing w:after="80"/>
      </w:pPr>
      <w:r>
        <w:rPr>
          <w:b w:val="0"/>
          <w:i w:val="0"/>
          <w:color w:val="1A1D21"/>
          <w:sz w:val="8"/>
        </w:rPr>
      </w:r>
    </w:p>
    <w:p>
      <w:pPr>
        <w:spacing w:after="140"/>
      </w:pPr>
      <w:r>
        <w:rPr>
          <w:b w:val="0"/>
          <w:i w:val="0"/>
          <w:color w:val="5B6570"/>
          <w:sz w:val="18"/>
        </w:rPr>
        <w:t>Carried forward at 949 units, the average of the last three disclosed years, at a starting price of EGP 25.09 million a unit, the price realised in 2024, escalated with Egyptian inflation.</w:t>
      </w:r>
    </w:p>
    <w:p>
      <w:pPr>
        <w:spacing w:after="140"/>
      </w:pPr>
      <w:r>
        <w:rPr>
          <w:b w:val="0"/>
          <w:i w:val="0"/>
          <w:color w:val="1A1D21"/>
          <w:sz w:val="20"/>
        </w:rPr>
        <w:t>The three regions reconcile to the group total the same release prints: for 2024, 44,570 plus 95,082 plus 11,364 is 151,016, which is the all-regions figure exactly. That reconciliation is checked in code, so a mis-read series fails loudly rather than quietly becoming a price.</w:t>
      </w:r>
    </w:p>
    <w:p>
      <w:pPr>
        <w:spacing w:after="140"/>
      </w:pPr>
      <w:r>
        <w:rPr>
          <w:b w:val="0"/>
          <w:i w:val="0"/>
          <w:color w:val="1A1D21"/>
          <w:sz w:val="20"/>
        </w:rPr>
        <w:t>Revenue is driven by a different quantity from new sales, and the distinction matters. A unit handed over in 2026 was contracted years earlier at that year's price, so revenue per delivered unit sits below the current selling price — EGP 21.29 million against regional prices of EGP 15.70 to 25.09 million. That gap is why the order book keeps building even as deliveries rise, and it is the single clearest fact about how this business converts sales into reported revenue.</w:t>
      </w:r>
    </w:p>
    <w:p>
      <w:pPr>
        <w:spacing w:after="140"/>
      </w:pPr>
      <w:r>
        <w:rPr>
          <w:b w:val="0"/>
          <w:i w:val="0"/>
          <w:color w:val="1A1D21"/>
          <w:sz w:val="20"/>
        </w:rPr>
        <w:t>What is NOT disclosed, and therefore not used: unit mix, average unit size, price per square metre and construction cost per square metre, for any project. The previous edition carried a full table of those figures across fifteen named projects. None of it is published by the company. It is not reused here, and the forecast is built at the finest level the disclosure actually supports.</w:t>
      </w:r>
    </w:p>
    <w:p>
      <w:pPr>
        <w:pStyle w:val="Heading2"/>
      </w:pPr>
      <w:r>
        <w:t>1.7  The crux</w:t>
      </w:r>
    </w:p>
    <w:p>
      <w:pPr>
        <w:spacing w:after="140"/>
      </w:pPr>
      <w:r>
        <w:rPr>
          <w:b/>
          <w:i w:val="0"/>
          <w:color w:val="1A1D21"/>
          <w:sz w:val="20"/>
        </w:rPr>
        <w:t>How fast do contracted sales become cash?</w:t>
      </w:r>
    </w:p>
    <w:p>
      <w:pPr>
        <w:spacing w:after="140"/>
      </w:pPr>
      <w:r>
        <w:rPr>
          <w:b w:val="0"/>
          <w:i w:val="0"/>
          <w:color w:val="1A1D21"/>
          <w:sz w:val="20"/>
        </w:rPr>
        <w:t>Everything else in this study is secondary to that question. Palm Hills sells off plan on long instalment terms, so a sale signed today produces cash over several years on a schedule the company does not publish — no down-payment percentage, no instalment tenor, no post-handover tail. The previous edition assumed all three. This edition measures the outcome instead, from the three years in which the company has published a cash-flow statement.</w:t>
      </w:r>
    </w:p>
    <w:tbl>
      <w:tblPr>
        <w:tblStyle w:val="TableGrid"/>
        <w:tblW w:type="auto" w:w="0"/>
        <w:jc w:val="center"/>
        <w:tblLayout w:type="fixed"/>
        <w:tblLook w:firstColumn="1" w:firstRow="1" w:lastColumn="0" w:lastRow="0" w:noHBand="0" w:noVBand="1" w:val="04A0"/>
        <w:tblLayout w:type="fixed"/>
      </w:tblPr>
      <w:tblGrid>
        <w:gridCol w:w="1474"/>
        <w:gridCol w:w="2948"/>
        <w:gridCol w:w="2268"/>
        <w:gridCol w:w="2495"/>
      </w:tblGrid>
      <w:tr>
        <w:trPr>
          <w:tblHeader w:val="true"/>
        </w:trPr>
        <w:tc>
          <w:tcPr>
            <w:tcW w:type="dxa" w:w="1474"/>
          </w:tcPr>
          <w:p>
            <w:r/>
            <w:r>
              <w:rPr>
                <w:b/>
                <w:color w:val="5B6570"/>
                <w:sz w:val="17"/>
              </w:rPr>
              <w:t>Year</w:t>
            </w:r>
          </w:p>
        </w:tc>
        <w:tc>
          <w:tcPr>
            <w:tcW w:type="dxa" w:w="2948"/>
          </w:tcPr>
          <w:p>
            <w:r/>
            <w:r>
              <w:rPr>
                <w:b/>
                <w:color w:val="5B6570"/>
                <w:sz w:val="17"/>
              </w:rPr>
              <w:t>Cash from operations (EGP mn)</w:t>
            </w:r>
          </w:p>
        </w:tc>
        <w:tc>
          <w:tcPr>
            <w:tcW w:type="dxa" w:w="2268"/>
          </w:tcPr>
          <w:p>
            <w:r/>
            <w:r>
              <w:rPr>
                <w:b/>
                <w:color w:val="5B6570"/>
                <w:sz w:val="17"/>
              </w:rPr>
              <w:t>Revenue (EGP mn)</w:t>
            </w:r>
          </w:p>
        </w:tc>
        <w:tc>
          <w:tcPr>
            <w:tcW w:type="dxa" w:w="2494"/>
          </w:tcPr>
          <w:p>
            <w:r/>
            <w:r>
              <w:rPr>
                <w:b/>
                <w:color w:val="5B6570"/>
                <w:sz w:val="17"/>
              </w:rPr>
              <w:t>Cash as a share of revenue</w:t>
            </w:r>
          </w:p>
        </w:tc>
      </w:tr>
      <w:tr>
        <w:trPr>
          <w:cantSplit/>
        </w:trPr>
        <w:tc>
          <w:tcPr>
            <w:tcW w:type="dxa" w:w="1474"/>
          </w:tcPr>
          <w:p>
            <w:r/>
            <w:r>
              <w:rPr>
                <w:color w:val="1A1D21"/>
                <w:sz w:val="17"/>
              </w:rPr>
              <w:t>2023</w:t>
            </w:r>
          </w:p>
        </w:tc>
        <w:tc>
          <w:tcPr>
            <w:tcW w:type="dxa" w:w="2948"/>
          </w:tcPr>
          <w:p>
            <w:pPr>
              <w:jc w:val="right"/>
            </w:pPr>
            <w:r/>
            <w:r>
              <w:rPr>
                <w:color w:val="1A1D21"/>
                <w:sz w:val="17"/>
              </w:rPr>
              <w:t>757</w:t>
            </w:r>
          </w:p>
        </w:tc>
        <w:tc>
          <w:tcPr>
            <w:tcW w:type="dxa" w:w="2268"/>
          </w:tcPr>
          <w:p>
            <w:pPr>
              <w:jc w:val="right"/>
            </w:pPr>
            <w:r/>
            <w:r>
              <w:rPr>
                <w:color w:val="1A1D21"/>
                <w:sz w:val="17"/>
              </w:rPr>
              <w:t>17,462</w:t>
            </w:r>
          </w:p>
        </w:tc>
        <w:tc>
          <w:tcPr>
            <w:tcW w:type="dxa" w:w="2494"/>
          </w:tcPr>
          <w:p>
            <w:pPr>
              <w:jc w:val="right"/>
            </w:pPr>
            <w:r/>
            <w:r>
              <w:rPr>
                <w:color w:val="1A1D21"/>
                <w:sz w:val="17"/>
              </w:rPr>
              <w:t>4.3%</w:t>
            </w:r>
          </w:p>
        </w:tc>
      </w:tr>
      <w:tr>
        <w:trPr>
          <w:cantSplit/>
        </w:trPr>
        <w:tc>
          <w:tcPr>
            <w:tcW w:type="dxa" w:w="1474"/>
          </w:tcPr>
          <w:p>
            <w:r/>
            <w:r>
              <w:rPr>
                <w:color w:val="1A1D21"/>
                <w:sz w:val="17"/>
              </w:rPr>
              <w:t>2024</w:t>
            </w:r>
          </w:p>
        </w:tc>
        <w:tc>
          <w:tcPr>
            <w:tcW w:type="dxa" w:w="2948"/>
          </w:tcPr>
          <w:p>
            <w:pPr>
              <w:jc w:val="right"/>
            </w:pPr>
            <w:r/>
            <w:r>
              <w:rPr>
                <w:color w:val="1A1D21"/>
                <w:sz w:val="17"/>
              </w:rPr>
              <w:t>4,855</w:t>
            </w:r>
          </w:p>
        </w:tc>
        <w:tc>
          <w:tcPr>
            <w:tcW w:type="dxa" w:w="2268"/>
          </w:tcPr>
          <w:p>
            <w:pPr>
              <w:jc w:val="right"/>
            </w:pPr>
            <w:r/>
            <w:r>
              <w:rPr>
                <w:color w:val="1A1D21"/>
                <w:sz w:val="17"/>
              </w:rPr>
              <w:t>27,167</w:t>
            </w:r>
          </w:p>
        </w:tc>
        <w:tc>
          <w:tcPr>
            <w:tcW w:type="dxa" w:w="2494"/>
          </w:tcPr>
          <w:p>
            <w:pPr>
              <w:jc w:val="right"/>
            </w:pPr>
            <w:r/>
            <w:r>
              <w:rPr>
                <w:color w:val="1A1D21"/>
                <w:sz w:val="17"/>
              </w:rPr>
              <w:t>17.9%</w:t>
            </w:r>
          </w:p>
        </w:tc>
      </w:tr>
      <w:tr>
        <w:trPr>
          <w:cantSplit/>
        </w:trPr>
        <w:tc>
          <w:tcPr>
            <w:tcW w:type="dxa" w:w="1474"/>
          </w:tcPr>
          <w:p>
            <w:r/>
            <w:r>
              <w:rPr>
                <w:color w:val="1A1D21"/>
                <w:sz w:val="17"/>
              </w:rPr>
              <w:t>2025</w:t>
            </w:r>
          </w:p>
        </w:tc>
        <w:tc>
          <w:tcPr>
            <w:tcW w:type="dxa" w:w="2948"/>
          </w:tcPr>
          <w:p>
            <w:pPr>
              <w:jc w:val="right"/>
            </w:pPr>
            <w:r/>
            <w:r>
              <w:rPr>
                <w:color w:val="1A1D21"/>
                <w:sz w:val="17"/>
              </w:rPr>
              <w:t>1,424</w:t>
            </w:r>
          </w:p>
        </w:tc>
        <w:tc>
          <w:tcPr>
            <w:tcW w:type="dxa" w:w="2268"/>
          </w:tcPr>
          <w:p>
            <w:pPr>
              <w:jc w:val="right"/>
            </w:pPr>
            <w:r/>
            <w:r>
              <w:rPr>
                <w:color w:val="1A1D21"/>
                <w:sz w:val="17"/>
              </w:rPr>
              <w:t>36,169</w:t>
            </w:r>
          </w:p>
        </w:tc>
        <w:tc>
          <w:tcPr>
            <w:tcW w:type="dxa" w:w="2494"/>
          </w:tcPr>
          <w:p>
            <w:pPr>
              <w:jc w:val="right"/>
            </w:pPr>
            <w:r/>
            <w:r>
              <w:rPr>
                <w:color w:val="1A1D21"/>
                <w:sz w:val="17"/>
              </w:rPr>
              <w:t>3.9%</w:t>
            </w:r>
          </w:p>
        </w:tc>
      </w:tr>
    </w:tbl>
    <w:p>
      <w:pPr>
        <w:spacing w:after="200"/>
      </w:pPr>
      <w:r>
        <w:rPr>
          <w:b w:val="0"/>
          <w:i/>
          <w:color w:val="5B6570"/>
          <w:sz w:val="16"/>
        </w:rPr>
        <w:t>The 2024 figure is the one in the audited statements. The company's own results release for that year reported EGP 3,132 million and the figure was later restated; the audited number is used.</w:t>
      </w:r>
    </w:p>
    <w:p>
      <w:pPr>
        <w:spacing w:after="140"/>
      </w:pPr>
      <w:r>
        <w:rPr>
          <w:b w:val="0"/>
          <w:i w:val="0"/>
          <w:color w:val="1A1D21"/>
          <w:sz w:val="20"/>
        </w:rPr>
        <w:t>A spread of 3.9% to 17.9% over three consecutive years is not noise around a stable rate — it is the absence of a stable rate. Until the company discloses its collection terms, or until more years accumulate, this is the honest width of the answer.</w:t>
      </w:r>
    </w:p>
    <w:p>
      <w:pPr>
        <w:pStyle w:val="Heading2"/>
      </w:pPr>
      <w:r>
        <w:t>1.8  Macro, country risk and the cost of capital</w:t>
      </w:r>
    </w:p>
    <w:p>
      <w:pPr>
        <w:spacing w:after="140"/>
      </w:pPr>
      <w:r>
        <w:rPr>
          <w:b w:val="0"/>
          <w:i w:val="0"/>
          <w:color w:val="1A1D21"/>
          <w:sz w:val="20"/>
        </w:rPr>
        <w:t>The previous edition discounted at 18%. Egypt's ten-year government bond yields 23.00%. A discount rate below the sovereign yield prices this company as safer than the government that taxes it, which cannot be right, and it is not a real-versus-nominal mismatch: that edition escalated selling prices at 14 per cent a year, so its cash flows were in nominal pounds throughout.</w:t>
      </w:r>
    </w:p>
    <w:tbl>
      <w:tblPr>
        <w:tblStyle w:val="TableGrid"/>
        <w:tblW w:type="auto" w:w="0"/>
        <w:jc w:val="center"/>
        <w:tblLayout w:type="fixed"/>
        <w:tblLook w:firstColumn="1" w:firstRow="1" w:lastColumn="0" w:lastRow="0" w:noHBand="0" w:noVBand="1" w:val="04A0"/>
        <w:tblLayout w:type="fixed"/>
      </w:tblPr>
      <w:tblGrid>
        <w:gridCol w:w="3969"/>
        <w:gridCol w:w="2608"/>
        <w:gridCol w:w="2608"/>
      </w:tblGrid>
      <w:tr>
        <w:trPr>
          <w:tblHeader w:val="true"/>
        </w:trPr>
        <w:tc>
          <w:tcPr>
            <w:tcW w:type="dxa" w:w="3969"/>
          </w:tcPr>
          <w:p>
            <w:r/>
            <w:r>
              <w:rPr>
                <w:b/>
                <w:color w:val="5B6570"/>
                <w:sz w:val="17"/>
              </w:rPr>
              <w:t>Cost of capital</w:t>
            </w:r>
          </w:p>
        </w:tc>
        <w:tc>
          <w:tcPr>
            <w:tcW w:type="dxa" w:w="2608"/>
          </w:tcPr>
          <w:p>
            <w:r/>
            <w:r>
              <w:rPr>
                <w:b/>
                <w:color w:val="5B6570"/>
                <w:sz w:val="17"/>
              </w:rPr>
              <w:t>On the credit-rating basis</w:t>
            </w:r>
          </w:p>
        </w:tc>
        <w:tc>
          <w:tcPr>
            <w:tcW w:type="dxa" w:w="2608"/>
          </w:tcPr>
          <w:p>
            <w:r/>
            <w:r>
              <w:rPr>
                <w:b/>
                <w:color w:val="5B6570"/>
                <w:sz w:val="17"/>
              </w:rPr>
              <w:t>On the credit-default-swap basis</w:t>
            </w:r>
          </w:p>
        </w:tc>
      </w:tr>
      <w:tr>
        <w:trPr>
          <w:cantSplit/>
        </w:trPr>
        <w:tc>
          <w:tcPr>
            <w:tcW w:type="dxa" w:w="3969"/>
          </w:tcPr>
          <w:p>
            <w:r/>
            <w:r>
              <w:rPr>
                <w:color w:val="1A1D21"/>
                <w:sz w:val="17"/>
              </w:rPr>
              <w:t>Egyptian ten-year government bond yield</w:t>
            </w:r>
          </w:p>
        </w:tc>
        <w:tc>
          <w:tcPr>
            <w:tcW w:type="dxa" w:w="2608"/>
          </w:tcPr>
          <w:p>
            <w:pPr>
              <w:jc w:val="right"/>
            </w:pPr>
            <w:r/>
            <w:r>
              <w:rPr>
                <w:color w:val="1A1D21"/>
                <w:sz w:val="17"/>
              </w:rPr>
              <w:t>23.00%</w:t>
            </w:r>
          </w:p>
        </w:tc>
        <w:tc>
          <w:tcPr>
            <w:tcW w:type="dxa" w:w="2608"/>
          </w:tcPr>
          <w:p>
            <w:pPr>
              <w:jc w:val="right"/>
            </w:pPr>
            <w:r/>
            <w:r>
              <w:rPr>
                <w:color w:val="1A1D21"/>
                <w:sz w:val="17"/>
              </w:rPr>
              <w:t>23.00%</w:t>
            </w:r>
          </w:p>
        </w:tc>
      </w:tr>
      <w:tr>
        <w:trPr>
          <w:cantSplit/>
        </w:trPr>
        <w:tc>
          <w:tcPr>
            <w:tcW w:type="dxa" w:w="3969"/>
          </w:tcPr>
          <w:p>
            <w:r/>
            <w:r>
              <w:rPr>
                <w:color w:val="1A1D21"/>
                <w:sz w:val="17"/>
              </w:rPr>
              <w:t>less Egypt's own sovereign default spread</w:t>
            </w:r>
          </w:p>
        </w:tc>
        <w:tc>
          <w:tcPr>
            <w:tcW w:type="dxa" w:w="2608"/>
          </w:tcPr>
          <w:p>
            <w:pPr>
              <w:jc w:val="right"/>
            </w:pPr>
            <w:r/>
            <w:r>
              <w:rPr>
                <w:color w:val="1A1D21"/>
                <w:sz w:val="17"/>
              </w:rPr>
              <w:t>6.37%</w:t>
            </w:r>
          </w:p>
        </w:tc>
        <w:tc>
          <w:tcPr>
            <w:tcW w:type="dxa" w:w="2608"/>
          </w:tcPr>
          <w:p>
            <w:pPr>
              <w:jc w:val="right"/>
            </w:pPr>
            <w:r/>
            <w:r>
              <w:rPr>
                <w:color w:val="1A1D21"/>
                <w:sz w:val="17"/>
              </w:rPr>
              <w:t>3.41%</w:t>
            </w:r>
          </w:p>
        </w:tc>
      </w:tr>
      <w:tr>
        <w:trPr>
          <w:cantSplit/>
        </w:trPr>
        <w:tc>
          <w:tcPr>
            <w:tcW w:type="dxa" w:w="3969"/>
          </w:tcPr>
          <w:p>
            <w:r/>
            <w:r>
              <w:rPr>
                <w:color w:val="1A1D21"/>
                <w:sz w:val="17"/>
              </w:rPr>
              <w:t>Normalised risk-free rate</w:t>
            </w:r>
          </w:p>
        </w:tc>
        <w:tc>
          <w:tcPr>
            <w:tcW w:type="dxa" w:w="2608"/>
          </w:tcPr>
          <w:p>
            <w:pPr>
              <w:jc w:val="right"/>
            </w:pPr>
            <w:r/>
            <w:r>
              <w:rPr>
                <w:color w:val="1A1D21"/>
                <w:sz w:val="17"/>
              </w:rPr>
              <w:t>16.63%</w:t>
            </w:r>
          </w:p>
        </w:tc>
        <w:tc>
          <w:tcPr>
            <w:tcW w:type="dxa" w:w="2608"/>
          </w:tcPr>
          <w:p>
            <w:pPr>
              <w:jc w:val="right"/>
            </w:pPr>
            <w:r/>
            <w:r>
              <w:rPr>
                <w:color w:val="1A1D21"/>
                <w:sz w:val="17"/>
              </w:rPr>
              <w:t>19.59%</w:t>
            </w:r>
          </w:p>
        </w:tc>
      </w:tr>
      <w:tr>
        <w:trPr>
          <w:cantSplit/>
        </w:trPr>
        <w:tc>
          <w:tcPr>
            <w:tcW w:type="dxa" w:w="3969"/>
          </w:tcPr>
          <w:p>
            <w:r/>
            <w:r>
              <w:rPr>
                <w:color w:val="1A1D21"/>
                <w:sz w:val="17"/>
              </w:rPr>
              <w:t>Equity risk premium for Egypt</w:t>
            </w:r>
          </w:p>
        </w:tc>
        <w:tc>
          <w:tcPr>
            <w:tcW w:type="dxa" w:w="2608"/>
          </w:tcPr>
          <w:p>
            <w:pPr>
              <w:jc w:val="right"/>
            </w:pPr>
            <w:r/>
            <w:r>
              <w:rPr>
                <w:color w:val="1A1D21"/>
                <w:sz w:val="17"/>
              </w:rPr>
              <w:t>13.94%</w:t>
            </w:r>
          </w:p>
        </w:tc>
        <w:tc>
          <w:tcPr>
            <w:tcW w:type="dxa" w:w="2608"/>
          </w:tcPr>
          <w:p>
            <w:pPr>
              <w:jc w:val="right"/>
            </w:pPr>
            <w:r/>
            <w:r>
              <w:rPr>
                <w:color w:val="1A1D21"/>
                <w:sz w:val="17"/>
              </w:rPr>
              <w:t>9.41%</w:t>
            </w:r>
          </w:p>
        </w:tc>
      </w:tr>
      <w:tr>
        <w:trPr>
          <w:cantSplit/>
        </w:trPr>
        <w:tc>
          <w:tcPr>
            <w:tcW w:type="dxa" w:w="3969"/>
          </w:tcPr>
          <w:p>
            <w:r/>
            <w:r>
              <w:rPr>
                <w:color w:val="1A1D21"/>
                <w:sz w:val="17"/>
              </w:rPr>
              <w:t>Beta</w:t>
            </w:r>
          </w:p>
        </w:tc>
        <w:tc>
          <w:tcPr>
            <w:tcW w:type="dxa" w:w="2608"/>
          </w:tcPr>
          <w:p>
            <w:pPr>
              <w:jc w:val="right"/>
            </w:pPr>
            <w:r/>
            <w:r>
              <w:rPr>
                <w:color w:val="1A1D21"/>
                <w:sz w:val="17"/>
              </w:rPr>
              <w:t>1.0493</w:t>
            </w:r>
          </w:p>
        </w:tc>
        <w:tc>
          <w:tcPr>
            <w:tcW w:type="dxa" w:w="2608"/>
          </w:tcPr>
          <w:p>
            <w:pPr>
              <w:jc w:val="right"/>
            </w:pPr>
            <w:r/>
            <w:r>
              <w:rPr>
                <w:color w:val="1A1D21"/>
                <w:sz w:val="17"/>
              </w:rPr>
              <w:t>1.0493</w:t>
            </w:r>
          </w:p>
        </w:tc>
      </w:tr>
      <w:tr>
        <w:trPr>
          <w:cantSplit/>
        </w:trPr>
        <w:tc>
          <w:tcPr>
            <w:tcW w:type="dxa" w:w="3969"/>
          </w:tcPr>
          <w:p>
            <w:r/>
            <w:r>
              <w:rPr>
                <w:color w:val="1A1D21"/>
                <w:sz w:val="17"/>
              </w:rPr>
              <w:t>Cost of equity</w:t>
            </w:r>
          </w:p>
        </w:tc>
        <w:tc>
          <w:tcPr>
            <w:tcW w:type="dxa" w:w="2608"/>
          </w:tcPr>
          <w:p>
            <w:pPr>
              <w:jc w:val="right"/>
            </w:pPr>
            <w:r/>
            <w:r>
              <w:rPr>
                <w:color w:val="1A1D21"/>
                <w:sz w:val="17"/>
              </w:rPr>
              <w:t>31.26%</w:t>
            </w:r>
          </w:p>
        </w:tc>
        <w:tc>
          <w:tcPr>
            <w:tcW w:type="dxa" w:w="2608"/>
          </w:tcPr>
          <w:p>
            <w:pPr>
              <w:jc w:val="right"/>
            </w:pPr>
            <w:r/>
            <w:r>
              <w:rPr>
                <w:color w:val="1A1D21"/>
                <w:sz w:val="17"/>
              </w:rPr>
              <w:t>29.46%</w:t>
            </w:r>
          </w:p>
        </w:tc>
      </w:tr>
      <w:tr>
        <w:trPr>
          <w:cantSplit/>
        </w:trPr>
        <w:tc>
          <w:tcPr>
            <w:tcW w:type="dxa" w:w="3969"/>
          </w:tcPr>
          <w:p>
            <w:r/>
            <w:r>
              <w:rPr>
                <w:color w:val="1A1D21"/>
                <w:sz w:val="17"/>
              </w:rPr>
              <w:t>Cost of debt before tax</w:t>
            </w:r>
          </w:p>
        </w:tc>
        <w:tc>
          <w:tcPr>
            <w:tcW w:type="dxa" w:w="2608"/>
          </w:tcPr>
          <w:p>
            <w:pPr>
              <w:jc w:val="right"/>
            </w:pPr>
            <w:r/>
            <w:r>
              <w:rPr>
                <w:color w:val="1A1D21"/>
                <w:sz w:val="17"/>
              </w:rPr>
              <w:t>25.50%</w:t>
            </w:r>
          </w:p>
        </w:tc>
        <w:tc>
          <w:tcPr>
            <w:tcW w:type="dxa" w:w="2608"/>
          </w:tcPr>
          <w:p>
            <w:pPr>
              <w:jc w:val="right"/>
            </w:pPr>
            <w:r/>
            <w:r>
              <w:rPr>
                <w:color w:val="1A1D21"/>
                <w:sz w:val="17"/>
              </w:rPr>
              <w:t>25.50%</w:t>
            </w:r>
          </w:p>
        </w:tc>
      </w:tr>
      <w:tr>
        <w:trPr>
          <w:cantSplit/>
        </w:trPr>
        <w:tc>
          <w:tcPr>
            <w:tcW w:type="dxa" w:w="3969"/>
          </w:tcPr>
          <w:p>
            <w:r/>
            <w:r>
              <w:rPr>
                <w:color w:val="1A1D21"/>
                <w:sz w:val="17"/>
              </w:rPr>
              <w:t>Cost of debt after tax at 22.5%</w:t>
            </w:r>
          </w:p>
        </w:tc>
        <w:tc>
          <w:tcPr>
            <w:tcW w:type="dxa" w:w="2608"/>
          </w:tcPr>
          <w:p>
            <w:pPr>
              <w:jc w:val="right"/>
            </w:pPr>
            <w:r/>
            <w:r>
              <w:rPr>
                <w:color w:val="1A1D21"/>
                <w:sz w:val="17"/>
              </w:rPr>
              <w:t>19.76%</w:t>
            </w:r>
          </w:p>
        </w:tc>
        <w:tc>
          <w:tcPr>
            <w:tcW w:type="dxa" w:w="2608"/>
          </w:tcPr>
          <w:p>
            <w:pPr>
              <w:jc w:val="right"/>
            </w:pPr>
            <w:r/>
            <w:r>
              <w:rPr>
                <w:color w:val="1A1D21"/>
                <w:sz w:val="17"/>
              </w:rPr>
              <w:t>19.76%</w:t>
            </w:r>
          </w:p>
        </w:tc>
      </w:tr>
      <w:tr>
        <w:trPr>
          <w:cantSplit/>
        </w:trPr>
        <w:tc>
          <w:tcPr>
            <w:tcW w:type="dxa" w:w="3969"/>
          </w:tcPr>
          <w:p>
            <w:r/>
            <w:r>
              <w:rPr>
                <w:color w:val="1A1D21"/>
                <w:sz w:val="17"/>
              </w:rPr>
              <w:t>Equity weight at market value</w:t>
            </w:r>
          </w:p>
        </w:tc>
        <w:tc>
          <w:tcPr>
            <w:tcW w:type="dxa" w:w="2608"/>
          </w:tcPr>
          <w:p>
            <w:pPr>
              <w:jc w:val="right"/>
            </w:pPr>
            <w:r/>
            <w:r>
              <w:rPr>
                <w:color w:val="1A1D21"/>
                <w:sz w:val="17"/>
              </w:rPr>
              <w:t>56.4%</w:t>
            </w:r>
          </w:p>
        </w:tc>
        <w:tc>
          <w:tcPr>
            <w:tcW w:type="dxa" w:w="2608"/>
          </w:tcPr>
          <w:p>
            <w:pPr>
              <w:jc w:val="right"/>
            </w:pPr>
            <w:r/>
            <w:r>
              <w:rPr>
                <w:color w:val="1A1D21"/>
                <w:sz w:val="17"/>
              </w:rPr>
              <w:t>56.4%</w:t>
            </w:r>
          </w:p>
        </w:tc>
      </w:tr>
      <w:tr>
        <w:trPr>
          <w:cantSplit/>
        </w:trPr>
        <w:tc>
          <w:tcPr>
            <w:tcW w:type="dxa" w:w="3969"/>
          </w:tcPr>
          <w:p>
            <w:r/>
            <w:r>
              <w:rPr>
                <w:color w:val="1A1D21"/>
                <w:sz w:val="17"/>
              </w:rPr>
              <w:t>Debt weight</w:t>
            </w:r>
          </w:p>
        </w:tc>
        <w:tc>
          <w:tcPr>
            <w:tcW w:type="dxa" w:w="2608"/>
          </w:tcPr>
          <w:p>
            <w:pPr>
              <w:jc w:val="right"/>
            </w:pPr>
            <w:r/>
            <w:r>
              <w:rPr>
                <w:color w:val="1A1D21"/>
                <w:sz w:val="17"/>
              </w:rPr>
              <w:t>43.6%</w:t>
            </w:r>
          </w:p>
        </w:tc>
        <w:tc>
          <w:tcPr>
            <w:tcW w:type="dxa" w:w="2608"/>
          </w:tcPr>
          <w:p>
            <w:pPr>
              <w:jc w:val="right"/>
            </w:pPr>
            <w:r/>
            <w:r>
              <w:rPr>
                <w:color w:val="1A1D21"/>
                <w:sz w:val="17"/>
              </w:rPr>
              <w:t>43.6%</w:t>
            </w:r>
          </w:p>
        </w:tc>
      </w:tr>
      <w:tr>
        <w:trPr>
          <w:cantSplit/>
        </w:trPr>
        <w:tc>
          <w:tcPr>
            <w:tcW w:type="dxa" w:w="3969"/>
          </w:tcPr>
          <w:p>
            <w:r/>
            <w:r>
              <w:rPr>
                <w:color w:val="1A1D21"/>
                <w:sz w:val="17"/>
              </w:rPr>
              <w:t>Weighted average cost of capital</w:t>
            </w:r>
          </w:p>
        </w:tc>
        <w:tc>
          <w:tcPr>
            <w:tcW w:type="dxa" w:w="2608"/>
          </w:tcPr>
          <w:p>
            <w:pPr>
              <w:jc w:val="right"/>
            </w:pPr>
            <w:r/>
            <w:r>
              <w:rPr>
                <w:color w:val="1A1D21"/>
                <w:sz w:val="17"/>
              </w:rPr>
              <w:t>26.25%</w:t>
            </w:r>
          </w:p>
        </w:tc>
        <w:tc>
          <w:tcPr>
            <w:tcW w:type="dxa" w:w="2608"/>
          </w:tcPr>
          <w:p>
            <w:pPr>
              <w:jc w:val="right"/>
            </w:pPr>
            <w:r/>
            <w:r>
              <w:rPr>
                <w:color w:val="1A1D21"/>
                <w:sz w:val="17"/>
              </w:rPr>
              <w:t>25.24%</w:t>
            </w:r>
          </w:p>
        </w:tc>
      </w:tr>
    </w:tbl>
    <w:p>
      <w:pPr>
        <w:spacing w:after="200"/>
      </w:pPr>
      <w:r>
        <w:rPr>
          <w:b w:val="0"/>
          <w:i/>
          <w:color w:val="5B6570"/>
          <w:sz w:val="16"/>
        </w:rPr>
        <w:t>Country risk is counted once, inside the equity risk premium, and the government bond yield is reduced by Egypt's own default spread on the matching basis before that premium is added. Both bases are published because both are defensible and they differ by about a point.</w:t>
      </w:r>
    </w:p>
    <w:p>
      <w:pPr>
        <w:spacing w:after="140"/>
      </w:pPr>
      <w:r>
        <w:rPr>
          <w:b w:val="0"/>
          <w:i w:val="0"/>
          <w:color w:val="1A1D21"/>
          <w:sz w:val="20"/>
        </w:rPr>
        <w:t>The beta is measured on Palm Hills' own weekly price history against the EGX30 index over 4.85 years: 1.0493, with a standard error of 0.1823, an R-squared of 29.9% and 251 weekly observations. A cross-check adjustment toward the market gives 1.0329. Appendix B shows the same measurement for every listed Egyptian developer.</w:t>
      </w:r>
    </w:p>
    <w:p>
      <w:pPr>
        <w:spacing w:after="140"/>
      </w:pPr>
      <w:r>
        <w:rPr>
          <w:b w:val="0"/>
          <w:i w:val="0"/>
          <w:color w:val="1A1D21"/>
          <w:sz w:val="20"/>
        </w:rPr>
        <w:t>The cost of debt is the one cost-of-capital input in this study that is not sourced, and it is flagged. The right anchor exists: the company closed an EGP 2,015 million securitisation on 4 February 2026, the first draw on a newly approved EGP 30 billion programme, in four tranches of 13, 36, 60 and 84 months rated AA+, AA, A+ and A- on the Egyptian national scale. No coupon is published for any tranche. The cost of debt is therefore built as the sovereign yield plus a 250 basis point corporate spread, which puts it above the sovereign as it must be. The accounting rate is deliberately not used: EGP 3,348 million of finance cost on average gross borrowings of about EGP 26,700 million implies 12.5 per cent, far below the sovereign, because much of the balance does not bear interest and part of the charge is capitalised into work in progress.</w:t>
      </w:r>
    </w:p>
    <w:p>
      <w:pPr>
        <w:pStyle w:val="Heading2"/>
      </w:pPr>
      <w:r>
        <w:t>1.9  Sensitivity</w:t>
      </w:r>
    </w:p>
    <w:p>
      <w:pPr>
        <w:spacing w:after="140"/>
      </w:pPr>
      <w:r>
        <w:rPr>
          <w:b w:val="0"/>
          <w:i w:val="0"/>
          <w:color w:val="1A1D21"/>
          <w:sz w:val="20"/>
        </w:rPr>
        <w:t>The table below prices the crux against the discount rate. Read it down a column rather than across a row: moving the discount rate by the whole 800 basis points of the previous edition's error changes value by less than moving cash conversion from one observed year to another.</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Cash conversion</w:t>
            </w:r>
          </w:p>
        </w:tc>
        <w:tc>
          <w:tcPr>
            <w:tcW w:type="dxa" w:w="1361"/>
          </w:tcPr>
          <w:p>
            <w:r/>
            <w:r>
              <w:rPr>
                <w:b/>
                <w:color w:val="5B6570"/>
                <w:sz w:val="17"/>
              </w:rPr>
              <w:t>22.25%</w:t>
            </w:r>
          </w:p>
        </w:tc>
        <w:tc>
          <w:tcPr>
            <w:tcW w:type="dxa" w:w="1361"/>
          </w:tcPr>
          <w:p>
            <w:r/>
            <w:r>
              <w:rPr>
                <w:b/>
                <w:color w:val="5B6570"/>
                <w:sz w:val="17"/>
              </w:rPr>
              <w:t>24.25%</w:t>
            </w:r>
          </w:p>
        </w:tc>
        <w:tc>
          <w:tcPr>
            <w:tcW w:type="dxa" w:w="1361"/>
          </w:tcPr>
          <w:p>
            <w:r/>
            <w:r>
              <w:rPr>
                <w:b/>
                <w:color w:val="5B6570"/>
                <w:sz w:val="17"/>
              </w:rPr>
              <w:t>26.25%</w:t>
            </w:r>
          </w:p>
        </w:tc>
        <w:tc>
          <w:tcPr>
            <w:tcW w:type="dxa" w:w="1361"/>
          </w:tcPr>
          <w:p>
            <w:r/>
            <w:r>
              <w:rPr>
                <w:b/>
                <w:color w:val="5B6570"/>
                <w:sz w:val="17"/>
              </w:rPr>
              <w:t>28.25%</w:t>
            </w:r>
          </w:p>
        </w:tc>
        <w:tc>
          <w:tcPr>
            <w:tcW w:type="dxa" w:w="1361"/>
          </w:tcPr>
          <w:p>
            <w:r/>
            <w:r>
              <w:rPr>
                <w:b/>
                <w:color w:val="5B6570"/>
                <w:sz w:val="17"/>
              </w:rPr>
              <w:t>30.25%</w:t>
            </w:r>
          </w:p>
        </w:tc>
      </w:tr>
      <w:tr>
        <w:trPr>
          <w:cantSplit/>
        </w:trPr>
        <w:tc>
          <w:tcPr>
            <w:tcW w:type="dxa" w:w="2494"/>
          </w:tcPr>
          <w:p>
            <w:r/>
            <w:r>
              <w:rPr>
                <w:color w:val="1A1D21"/>
                <w:sz w:val="17"/>
              </w:rPr>
              <w:t>3.9%</w:t>
            </w:r>
          </w:p>
        </w:tc>
        <w:tc>
          <w:tcPr>
            <w:tcW w:type="dxa" w:w="1361"/>
          </w:tcPr>
          <w:p>
            <w:pPr>
              <w:jc w:val="right"/>
            </w:pPr>
            <w:r/>
            <w:r>
              <w:rPr>
                <w:color w:val="1A1D21"/>
                <w:sz w:val="17"/>
              </w:rPr>
              <w:t>8.89</w:t>
            </w:r>
          </w:p>
        </w:tc>
        <w:tc>
          <w:tcPr>
            <w:tcW w:type="dxa" w:w="1361"/>
          </w:tcPr>
          <w:p>
            <w:pPr>
              <w:jc w:val="right"/>
            </w:pPr>
            <w:r/>
            <w:r>
              <w:rPr>
                <w:color w:val="1A1D21"/>
                <w:sz w:val="17"/>
              </w:rPr>
              <w:t>6.21</w:t>
            </w:r>
          </w:p>
        </w:tc>
        <w:tc>
          <w:tcPr>
            <w:tcW w:type="dxa" w:w="1361"/>
          </w:tcPr>
          <w:p>
            <w:pPr>
              <w:jc w:val="right"/>
            </w:pPr>
            <w:r/>
            <w:r>
              <w:rPr>
                <w:color w:val="1A1D21"/>
                <w:sz w:val="17"/>
              </w:rPr>
              <w:t>4.29</w:t>
            </w:r>
          </w:p>
        </w:tc>
        <w:tc>
          <w:tcPr>
            <w:tcW w:type="dxa" w:w="1361"/>
          </w:tcPr>
          <w:p>
            <w:pPr>
              <w:jc w:val="right"/>
            </w:pPr>
            <w:r/>
            <w:r>
              <w:rPr>
                <w:color w:val="1A1D21"/>
                <w:sz w:val="17"/>
              </w:rPr>
              <w:t>2.85</w:t>
            </w:r>
          </w:p>
        </w:tc>
        <w:tc>
          <w:tcPr>
            <w:tcW w:type="dxa" w:w="1361"/>
          </w:tcPr>
          <w:p>
            <w:pPr>
              <w:jc w:val="right"/>
            </w:pPr>
            <w:r/>
            <w:r>
              <w:rPr>
                <w:color w:val="1A1D21"/>
                <w:sz w:val="17"/>
              </w:rPr>
              <w:t>1.72</w:t>
            </w:r>
          </w:p>
        </w:tc>
      </w:tr>
      <w:tr>
        <w:trPr>
          <w:cantSplit/>
        </w:trPr>
        <w:tc>
          <w:tcPr>
            <w:tcW w:type="dxa" w:w="2494"/>
          </w:tcPr>
          <w:p>
            <w:r/>
            <w:r>
              <w:rPr>
                <w:color w:val="1A1D21"/>
                <w:sz w:val="17"/>
              </w:rPr>
              <w:t>6.0%</w:t>
            </w:r>
          </w:p>
        </w:tc>
        <w:tc>
          <w:tcPr>
            <w:tcW w:type="dxa" w:w="1361"/>
          </w:tcPr>
          <w:p>
            <w:pPr>
              <w:jc w:val="right"/>
            </w:pPr>
            <w:r/>
            <w:r>
              <w:rPr>
                <w:color w:val="1A1D21"/>
                <w:sz w:val="17"/>
              </w:rPr>
              <w:t>15.56</w:t>
            </w:r>
          </w:p>
        </w:tc>
        <w:tc>
          <w:tcPr>
            <w:tcW w:type="dxa" w:w="1361"/>
          </w:tcPr>
          <w:p>
            <w:pPr>
              <w:jc w:val="right"/>
            </w:pPr>
            <w:r/>
            <w:r>
              <w:rPr>
                <w:color w:val="1A1D21"/>
                <w:sz w:val="17"/>
              </w:rPr>
              <w:t>11.65</w:t>
            </w:r>
          </w:p>
        </w:tc>
        <w:tc>
          <w:tcPr>
            <w:tcW w:type="dxa" w:w="1361"/>
          </w:tcPr>
          <w:p>
            <w:pPr>
              <w:jc w:val="right"/>
            </w:pPr>
            <w:r/>
            <w:r>
              <w:rPr>
                <w:color w:val="1A1D21"/>
                <w:sz w:val="17"/>
              </w:rPr>
              <w:t>8.86</w:t>
            </w:r>
          </w:p>
        </w:tc>
        <w:tc>
          <w:tcPr>
            <w:tcW w:type="dxa" w:w="1361"/>
          </w:tcPr>
          <w:p>
            <w:pPr>
              <w:jc w:val="right"/>
            </w:pPr>
            <w:r/>
            <w:r>
              <w:rPr>
                <w:color w:val="1A1D21"/>
                <w:sz w:val="17"/>
              </w:rPr>
              <w:t>6.76</w:t>
            </w:r>
          </w:p>
        </w:tc>
        <w:tc>
          <w:tcPr>
            <w:tcW w:type="dxa" w:w="1361"/>
          </w:tcPr>
          <w:p>
            <w:pPr>
              <w:jc w:val="right"/>
            </w:pPr>
            <w:r/>
            <w:r>
              <w:rPr>
                <w:color w:val="1A1D21"/>
                <w:sz w:val="17"/>
              </w:rPr>
              <w:t>5.13</w:t>
            </w:r>
          </w:p>
        </w:tc>
      </w:tr>
      <w:tr>
        <w:trPr>
          <w:cantSplit/>
        </w:trPr>
        <w:tc>
          <w:tcPr>
            <w:tcW w:type="dxa" w:w="2494"/>
          </w:tcPr>
          <w:p>
            <w:r/>
            <w:r>
              <w:rPr>
                <w:color w:val="1A1D21"/>
                <w:sz w:val="17"/>
              </w:rPr>
              <w:t>8.7%</w:t>
            </w:r>
          </w:p>
        </w:tc>
        <w:tc>
          <w:tcPr>
            <w:tcW w:type="dxa" w:w="1361"/>
          </w:tcPr>
          <w:p>
            <w:pPr>
              <w:jc w:val="right"/>
            </w:pPr>
            <w:r/>
            <w:r>
              <w:rPr>
                <w:color w:val="1A1D21"/>
                <w:sz w:val="17"/>
              </w:rPr>
              <w:t>24.33</w:t>
            </w:r>
          </w:p>
        </w:tc>
        <w:tc>
          <w:tcPr>
            <w:tcW w:type="dxa" w:w="1361"/>
          </w:tcPr>
          <w:p>
            <w:pPr>
              <w:jc w:val="right"/>
            </w:pPr>
            <w:r/>
            <w:r>
              <w:rPr>
                <w:color w:val="1A1D21"/>
                <w:sz w:val="17"/>
              </w:rPr>
              <w:t>18.81</w:t>
            </w:r>
          </w:p>
        </w:tc>
        <w:tc>
          <w:tcPr>
            <w:tcW w:type="dxa" w:w="1361"/>
          </w:tcPr>
          <w:p>
            <w:pPr>
              <w:jc w:val="right"/>
            </w:pPr>
            <w:r/>
            <w:r>
              <w:rPr>
                <w:color w:val="1A1D21"/>
                <w:sz w:val="17"/>
              </w:rPr>
              <w:t>14.86</w:t>
            </w:r>
          </w:p>
        </w:tc>
        <w:tc>
          <w:tcPr>
            <w:tcW w:type="dxa" w:w="1361"/>
          </w:tcPr>
          <w:p>
            <w:pPr>
              <w:jc w:val="right"/>
            </w:pPr>
            <w:r/>
            <w:r>
              <w:rPr>
                <w:color w:val="1A1D21"/>
                <w:sz w:val="17"/>
              </w:rPr>
              <w:t>11.91</w:t>
            </w:r>
          </w:p>
        </w:tc>
        <w:tc>
          <w:tcPr>
            <w:tcW w:type="dxa" w:w="1361"/>
          </w:tcPr>
          <w:p>
            <w:pPr>
              <w:jc w:val="right"/>
            </w:pPr>
            <w:r/>
            <w:r>
              <w:rPr>
                <w:color w:val="1A1D21"/>
                <w:sz w:val="17"/>
              </w:rPr>
              <w:t>9.62</w:t>
            </w:r>
          </w:p>
        </w:tc>
      </w:tr>
      <w:tr>
        <w:trPr>
          <w:cantSplit/>
        </w:trPr>
        <w:tc>
          <w:tcPr>
            <w:tcW w:type="dxa" w:w="2494"/>
          </w:tcPr>
          <w:p>
            <w:r/>
            <w:r>
              <w:rPr>
                <w:color w:val="1A1D21"/>
                <w:sz w:val="17"/>
              </w:rPr>
              <w:t>12.0%</w:t>
            </w:r>
          </w:p>
        </w:tc>
        <w:tc>
          <w:tcPr>
            <w:tcW w:type="dxa" w:w="1361"/>
          </w:tcPr>
          <w:p>
            <w:pPr>
              <w:jc w:val="right"/>
            </w:pPr>
            <w:r/>
            <w:r>
              <w:rPr>
                <w:color w:val="1A1D21"/>
                <w:sz w:val="17"/>
              </w:rPr>
              <w:t>34.95</w:t>
            </w:r>
          </w:p>
        </w:tc>
        <w:tc>
          <w:tcPr>
            <w:tcW w:type="dxa" w:w="1361"/>
          </w:tcPr>
          <w:p>
            <w:pPr>
              <w:jc w:val="right"/>
            </w:pPr>
            <w:r/>
            <w:r>
              <w:rPr>
                <w:color w:val="1A1D21"/>
                <w:sz w:val="17"/>
              </w:rPr>
              <w:t>27.48</w:t>
            </w:r>
          </w:p>
        </w:tc>
        <w:tc>
          <w:tcPr>
            <w:tcW w:type="dxa" w:w="1361"/>
          </w:tcPr>
          <w:p>
            <w:pPr>
              <w:jc w:val="right"/>
            </w:pPr>
            <w:r/>
            <w:r>
              <w:rPr>
                <w:color w:val="1A1D21"/>
                <w:sz w:val="17"/>
              </w:rPr>
              <w:t>22.14</w:t>
            </w:r>
          </w:p>
        </w:tc>
        <w:tc>
          <w:tcPr>
            <w:tcW w:type="dxa" w:w="1361"/>
          </w:tcPr>
          <w:p>
            <w:pPr>
              <w:jc w:val="right"/>
            </w:pPr>
            <w:r/>
            <w:r>
              <w:rPr>
                <w:color w:val="1A1D21"/>
                <w:sz w:val="17"/>
              </w:rPr>
              <w:t>18.14</w:t>
            </w:r>
          </w:p>
        </w:tc>
        <w:tc>
          <w:tcPr>
            <w:tcW w:type="dxa" w:w="1361"/>
          </w:tcPr>
          <w:p>
            <w:pPr>
              <w:jc w:val="right"/>
            </w:pPr>
            <w:r/>
            <w:r>
              <w:rPr>
                <w:color w:val="1A1D21"/>
                <w:sz w:val="17"/>
              </w:rPr>
              <w:t>15.05</w:t>
            </w:r>
          </w:p>
        </w:tc>
      </w:tr>
      <w:tr>
        <w:trPr>
          <w:cantSplit/>
        </w:trPr>
        <w:tc>
          <w:tcPr>
            <w:tcW w:type="dxa" w:w="2494"/>
          </w:tcPr>
          <w:p>
            <w:r/>
            <w:r>
              <w:rPr>
                <w:color w:val="1A1D21"/>
                <w:sz w:val="17"/>
              </w:rPr>
              <w:t>17.9%</w:t>
            </w:r>
          </w:p>
        </w:tc>
        <w:tc>
          <w:tcPr>
            <w:tcW w:type="dxa" w:w="1361"/>
          </w:tcPr>
          <w:p>
            <w:pPr>
              <w:jc w:val="right"/>
            </w:pPr>
            <w:r/>
            <w:r>
              <w:rPr>
                <w:color w:val="1A1D21"/>
                <w:sz w:val="17"/>
              </w:rPr>
              <w:t>53.92</w:t>
            </w:r>
          </w:p>
        </w:tc>
        <w:tc>
          <w:tcPr>
            <w:tcW w:type="dxa" w:w="1361"/>
          </w:tcPr>
          <w:p>
            <w:pPr>
              <w:jc w:val="right"/>
            </w:pPr>
            <w:r/>
            <w:r>
              <w:rPr>
                <w:color w:val="1A1D21"/>
                <w:sz w:val="17"/>
              </w:rPr>
              <w:t>42.96</w:t>
            </w:r>
          </w:p>
        </w:tc>
        <w:tc>
          <w:tcPr>
            <w:tcW w:type="dxa" w:w="1361"/>
          </w:tcPr>
          <w:p>
            <w:pPr>
              <w:jc w:val="right"/>
            </w:pPr>
            <w:r/>
            <w:r>
              <w:rPr>
                <w:color w:val="1A1D21"/>
                <w:sz w:val="17"/>
              </w:rPr>
              <w:t>35.14</w:t>
            </w:r>
          </w:p>
        </w:tc>
        <w:tc>
          <w:tcPr>
            <w:tcW w:type="dxa" w:w="1361"/>
          </w:tcPr>
          <w:p>
            <w:pPr>
              <w:jc w:val="right"/>
            </w:pPr>
            <w:r/>
            <w:r>
              <w:rPr>
                <w:color w:val="1A1D21"/>
                <w:sz w:val="17"/>
              </w:rPr>
              <w:t>29.28</w:t>
            </w:r>
          </w:p>
        </w:tc>
        <w:tc>
          <w:tcPr>
            <w:tcW w:type="dxa" w:w="1361"/>
          </w:tcPr>
          <w:p>
            <w:pPr>
              <w:jc w:val="right"/>
            </w:pPr>
            <w:r/>
            <w:r>
              <w:rPr>
                <w:color w:val="1A1D21"/>
                <w:sz w:val="17"/>
              </w:rPr>
              <w:t>24.75</w:t>
            </w:r>
          </w:p>
        </w:tc>
      </w:tr>
    </w:tbl>
    <w:p>
      <w:pPr>
        <w:spacing w:after="200"/>
      </w:pPr>
      <w:r>
        <w:rPr>
          <w:b w:val="0"/>
          <w:i/>
          <w:color w:val="5B6570"/>
          <w:sz w:val="16"/>
        </w:rPr>
        <w:t>Value per share in Egyptian pounds. The closing price on 23 August 2026 was EGP 15.20.</w:t>
      </w:r>
    </w:p>
    <w:p>
      <w:pPr>
        <w:jc w:val="center"/>
      </w:pPr>
      <w:r>
        <w:drawing>
          <wp:inline xmlns:a="http://schemas.openxmlformats.org/drawingml/2006/main" xmlns:pic="http://schemas.openxmlformats.org/drawingml/2006/picture">
            <wp:extent cx="5832000" cy="3272375"/>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3272375"/>
                    </a:xfrm>
                    <a:prstGeom prst="rect"/>
                  </pic:spPr>
                </pic:pic>
              </a:graphicData>
            </a:graphic>
          </wp:inline>
        </w:drawing>
      </w:r>
    </w:p>
    <w:p>
      <w:pPr>
        <w:spacing w:after="240"/>
        <w:jc w:val="center"/>
      </w:pPr>
      <w:r>
        <w:rPr>
          <w:b w:val="0"/>
          <w:i/>
          <w:color w:val="5B6570"/>
          <w:sz w:val="16"/>
        </w:rPr>
        <w:t>Figure 2 — the same grid. Darker cells are higher values; the two axes are the discount rate and the rate at which contracted sales turn into cash.</w:t>
      </w:r>
    </w:p>
    <w:p>
      <w:pPr>
        <w:spacing w:after="140"/>
      </w:pPr>
      <w:r>
        <w:rPr>
          <w:b w:val="0"/>
          <w:i w:val="0"/>
          <w:color w:val="1A1D21"/>
          <w:sz w:val="20"/>
        </w:rPr>
        <w:t>Solving the model back to the closing price gives a cash-conversion rate of 8.9%. That is the clearest single statement this study can make about the current price: the market is paying for conversion better than 2023 and 2025 delivered, and materially worse than 2024 did.</w:t>
      </w:r>
    </w:p>
    <w:p>
      <w:pPr>
        <w:pStyle w:val="Heading1"/>
      </w:pPr>
      <w:r>
        <w:t>2  Technical and price structure</w:t>
      </w:r>
    </w:p>
    <w:p>
      <w:pPr>
        <w:spacing w:after="140"/>
      </w:pPr>
      <w:r>
        <w:rPr>
          <w:b w:val="0"/>
          <w:i w:val="0"/>
          <w:color w:val="1A1D21"/>
          <w:sz w:val="20"/>
        </w:rPr>
        <w:t>The shares closed at EGP 15.20 on 23 August 2026, above a rising 20-day average at 15.15, a rising 50-day at 15.10 and a rising 200-day at 10.95. The whole moving-average stack is beneath the price and sloping up, which is the least ambiguous configuration a trend read produces.</w:t>
      </w:r>
    </w:p>
    <w:tbl>
      <w:tblPr>
        <w:tblStyle w:val="TableGrid"/>
        <w:tblW w:type="auto" w:w="0"/>
        <w:jc w:val="center"/>
        <w:tblLayout w:type="fixed"/>
        <w:tblLook w:firstColumn="1" w:firstRow="1" w:lastColumn="0" w:lastRow="0" w:noHBand="0" w:noVBand="1" w:val="04A0"/>
        <w:tblLayout w:type="fixed"/>
      </w:tblPr>
      <w:tblGrid>
        <w:gridCol w:w="2041"/>
        <w:gridCol w:w="2268"/>
        <w:gridCol w:w="2041"/>
        <w:gridCol w:w="2268"/>
      </w:tblGrid>
      <w:tr>
        <w:trPr>
          <w:tblHeader w:val="true"/>
        </w:trPr>
        <w:tc>
          <w:tcPr>
            <w:tcW w:type="dxa" w:w="2041"/>
          </w:tcPr>
          <w:p>
            <w:r/>
            <w:r>
              <w:rPr>
                <w:b/>
                <w:color w:val="5B6570"/>
                <w:sz w:val="17"/>
              </w:rPr>
              <w:t>Resistance</w:t>
            </w:r>
          </w:p>
        </w:tc>
        <w:tc>
          <w:tcPr>
            <w:tcW w:type="dxa" w:w="2268"/>
          </w:tcPr>
          <w:p>
            <w:r/>
            <w:r>
              <w:rPr>
                <w:b/>
                <w:color w:val="5B6570"/>
                <w:sz w:val="17"/>
              </w:rPr>
              <w:t>EGP</w:t>
            </w:r>
          </w:p>
        </w:tc>
        <w:tc>
          <w:tcPr>
            <w:tcW w:type="dxa" w:w="2041"/>
          </w:tcPr>
          <w:p>
            <w:r/>
            <w:r>
              <w:rPr>
                <w:b/>
                <w:color w:val="5B6570"/>
                <w:sz w:val="17"/>
              </w:rPr>
              <w:t>Support</w:t>
            </w:r>
          </w:p>
        </w:tc>
        <w:tc>
          <w:tcPr>
            <w:tcW w:type="dxa" w:w="2268"/>
          </w:tcPr>
          <w:p>
            <w:r/>
            <w:r>
              <w:rPr>
                <w:b/>
                <w:color w:val="5B6570"/>
                <w:sz w:val="17"/>
              </w:rPr>
              <w:t>EGP</w:t>
            </w:r>
          </w:p>
        </w:tc>
      </w:tr>
      <w:tr>
        <w:trPr>
          <w:cantSplit/>
        </w:trPr>
        <w:tc>
          <w:tcPr>
            <w:tcW w:type="dxa" w:w="2041"/>
          </w:tcPr>
          <w:p>
            <w:r/>
            <w:r>
              <w:rPr>
                <w:color w:val="1A1D21"/>
                <w:sz w:val="17"/>
              </w:rPr>
              <w:t>First</w:t>
            </w:r>
          </w:p>
        </w:tc>
        <w:tc>
          <w:tcPr>
            <w:tcW w:type="dxa" w:w="2268"/>
          </w:tcPr>
          <w:p>
            <w:pPr>
              <w:jc w:val="right"/>
            </w:pPr>
            <w:r/>
            <w:r>
              <w:rPr>
                <w:color w:val="1A1D21"/>
                <w:sz w:val="17"/>
              </w:rPr>
              <w:t>15.38</w:t>
            </w:r>
          </w:p>
        </w:tc>
        <w:tc>
          <w:tcPr>
            <w:tcW w:type="dxa" w:w="2041"/>
          </w:tcPr>
          <w:p>
            <w:r/>
            <w:r>
              <w:rPr>
                <w:color w:val="1A1D21"/>
                <w:sz w:val="17"/>
              </w:rPr>
              <w:t>First</w:t>
            </w:r>
          </w:p>
        </w:tc>
        <w:tc>
          <w:tcPr>
            <w:tcW w:type="dxa" w:w="2268"/>
          </w:tcPr>
          <w:p>
            <w:pPr>
              <w:jc w:val="right"/>
            </w:pPr>
            <w:r/>
            <w:r>
              <w:rPr>
                <w:color w:val="1A1D21"/>
                <w:sz w:val="17"/>
              </w:rPr>
              <w:t>14.99</w:t>
            </w:r>
          </w:p>
        </w:tc>
      </w:tr>
      <w:tr>
        <w:trPr>
          <w:cantSplit/>
        </w:trPr>
        <w:tc>
          <w:tcPr>
            <w:tcW w:type="dxa" w:w="2041"/>
          </w:tcPr>
          <w:p>
            <w:r/>
            <w:r>
              <w:rPr>
                <w:color w:val="1A1D21"/>
                <w:sz w:val="17"/>
              </w:rPr>
              <w:t>Second</w:t>
            </w:r>
          </w:p>
        </w:tc>
        <w:tc>
          <w:tcPr>
            <w:tcW w:type="dxa" w:w="2268"/>
          </w:tcPr>
          <w:p>
            <w:pPr>
              <w:jc w:val="right"/>
            </w:pPr>
            <w:r/>
            <w:r>
              <w:rPr>
                <w:color w:val="1A1D21"/>
                <w:sz w:val="17"/>
              </w:rPr>
              <w:t>15.73</w:t>
            </w:r>
          </w:p>
        </w:tc>
        <w:tc>
          <w:tcPr>
            <w:tcW w:type="dxa" w:w="2041"/>
          </w:tcPr>
          <w:p>
            <w:r/>
            <w:r>
              <w:rPr>
                <w:color w:val="1A1D21"/>
                <w:sz w:val="17"/>
              </w:rPr>
              <w:t>Second</w:t>
            </w:r>
          </w:p>
        </w:tc>
        <w:tc>
          <w:tcPr>
            <w:tcW w:type="dxa" w:w="2268"/>
          </w:tcPr>
          <w:p>
            <w:pPr>
              <w:jc w:val="right"/>
            </w:pPr>
            <w:r/>
            <w:r>
              <w:rPr>
                <w:color w:val="1A1D21"/>
                <w:sz w:val="17"/>
              </w:rPr>
              <w:t>14.40</w:t>
            </w:r>
          </w:p>
        </w:tc>
      </w:tr>
      <w:tr>
        <w:trPr>
          <w:cantSplit/>
        </w:trPr>
        <w:tc>
          <w:tcPr>
            <w:tcW w:type="dxa" w:w="2041"/>
          </w:tcPr>
          <w:p>
            <w:r/>
            <w:r>
              <w:rPr>
                <w:color w:val="1A1D21"/>
                <w:sz w:val="17"/>
              </w:rPr>
              <w:t>Third</w:t>
            </w:r>
          </w:p>
        </w:tc>
        <w:tc>
          <w:tcPr>
            <w:tcW w:type="dxa" w:w="2268"/>
          </w:tcPr>
          <w:p>
            <w:pPr>
              <w:jc w:val="right"/>
            </w:pPr>
            <w:r/>
            <w:r>
              <w:rPr>
                <w:color w:val="1A1D21"/>
                <w:sz w:val="17"/>
              </w:rPr>
              <w:t>16.08</w:t>
            </w:r>
          </w:p>
        </w:tc>
        <w:tc>
          <w:tcPr>
            <w:tcW w:type="dxa" w:w="2041"/>
          </w:tcPr>
          <w:p>
            <w:r/>
            <w:r>
              <w:rPr>
                <w:color w:val="1A1D21"/>
                <w:sz w:val="17"/>
              </w:rPr>
              <w:t>Third</w:t>
            </w:r>
          </w:p>
        </w:tc>
        <w:tc>
          <w:tcPr>
            <w:tcW w:type="dxa" w:w="2268"/>
          </w:tcPr>
          <w:p>
            <w:pPr>
              <w:jc w:val="right"/>
            </w:pPr>
            <w:r/>
            <w:r>
              <w:rPr>
                <w:color w:val="1A1D21"/>
                <w:sz w:val="17"/>
              </w:rPr>
              <w:t>13.01</w:t>
            </w:r>
          </w:p>
        </w:tc>
      </w:tr>
    </w:tbl>
    <w:p>
      <w:pPr>
        <w:spacing w:after="200"/>
      </w:pPr>
      <w:r>
        <w:rPr>
          <w:b w:val="0"/>
          <w:i/>
          <w:color w:val="5B6570"/>
          <w:sz w:val="16"/>
        </w:rPr>
        <w:t>Levels are computed from the same cleaned price history the distribution in section 3 is built on; first resistance and first support are always the nearest to the close.</w:t>
      </w:r>
    </w:p>
    <w:p>
      <w:pPr>
        <w:spacing w:after="140"/>
      </w:pPr>
      <w:r>
        <w:rPr>
          <w:b w:val="0"/>
          <w:i w:val="0"/>
          <w:color w:val="1A1D21"/>
          <w:sz w:val="20"/>
        </w:rPr>
        <w:t>The levels sit close together — first resistance is 1.2 per cent above the close and first support 1.4 per cent below — so the near-term structure is tight and offers little information on its own. The 200-day average at 10.95 is far below the price, which is a consequence of how much the shares have risen, not a signal.</w:t>
      </w:r>
    </w:p>
    <w:p>
      <w:pPr>
        <w:pStyle w:val="Heading1"/>
      </w:pPr>
      <w:r>
        <w:t>3  A probabilistic price map</w:t>
      </w:r>
    </w:p>
    <w:p>
      <w:pPr>
        <w:spacing w:after="140"/>
      </w:pPr>
      <w:r>
        <w:rPr>
          <w:b w:val="0"/>
          <w:i w:val="0"/>
          <w:color w:val="1A1D21"/>
          <w:sz w:val="20"/>
        </w:rPr>
        <w:t>This section is not a forecast and does not connect to the valuation above. It is a statement of how widely the price has historically moved over one and three months, expressed as a distribution.</w:t>
      </w:r>
    </w:p>
    <w:tbl>
      <w:tblPr>
        <w:tblStyle w:val="TableGrid"/>
        <w:tblW w:type="auto" w:w="0"/>
        <w:jc w:val="center"/>
        <w:tblLayout w:type="fixed"/>
        <w:tblLook w:firstColumn="1" w:firstRow="1" w:lastColumn="0" w:lastRow="0" w:noHBand="0" w:noVBand="1" w:val="04A0"/>
        <w:tblLayout w:type="fixed"/>
      </w:tblPr>
      <w:tblGrid>
        <w:gridCol w:w="2495"/>
        <w:gridCol w:w="3175"/>
        <w:gridCol w:w="3175"/>
      </w:tblGrid>
      <w:tr>
        <w:trPr>
          <w:tblHeader w:val="true"/>
        </w:trPr>
        <w:tc>
          <w:tcPr>
            <w:tcW w:type="dxa" w:w="2494"/>
          </w:tcPr>
          <w:p>
            <w:r/>
            <w:r>
              <w:rPr>
                <w:b/>
                <w:color w:val="5B6570"/>
                <w:sz w:val="17"/>
              </w:rPr>
              <w:t>Percentile</w:t>
            </w:r>
          </w:p>
        </w:tc>
        <w:tc>
          <w:tcPr>
            <w:tcW w:type="dxa" w:w="3175"/>
          </w:tcPr>
          <w:p>
            <w:r/>
            <w:r>
              <w:rPr>
                <w:b/>
                <w:color w:val="5B6570"/>
                <w:sz w:val="17"/>
              </w:rPr>
              <w:t>One month (EGP)</w:t>
            </w:r>
          </w:p>
        </w:tc>
        <w:tc>
          <w:tcPr>
            <w:tcW w:type="dxa" w:w="3175"/>
          </w:tcPr>
          <w:p>
            <w:r/>
            <w:r>
              <w:rPr>
                <w:b/>
                <w:color w:val="5B6570"/>
                <w:sz w:val="17"/>
              </w:rPr>
              <w:t>Three months (EGP)</w:t>
            </w:r>
          </w:p>
        </w:tc>
      </w:tr>
      <w:tr>
        <w:trPr>
          <w:cantSplit/>
        </w:trPr>
        <w:tc>
          <w:tcPr>
            <w:tcW w:type="dxa" w:w="2494"/>
          </w:tcPr>
          <w:p>
            <w:r/>
            <w:r>
              <w:rPr>
                <w:color w:val="1A1D21"/>
                <w:sz w:val="17"/>
              </w:rPr>
              <w:t>5th</w:t>
            </w:r>
          </w:p>
        </w:tc>
        <w:tc>
          <w:tcPr>
            <w:tcW w:type="dxa" w:w="3175"/>
          </w:tcPr>
          <w:p>
            <w:pPr>
              <w:jc w:val="right"/>
            </w:pPr>
            <w:r/>
            <w:r>
              <w:rPr>
                <w:color w:val="1A1D21"/>
                <w:sz w:val="17"/>
              </w:rPr>
              <w:t>13.08</w:t>
            </w:r>
          </w:p>
        </w:tc>
        <w:tc>
          <w:tcPr>
            <w:tcW w:type="dxa" w:w="3175"/>
          </w:tcPr>
          <w:p>
            <w:pPr>
              <w:jc w:val="right"/>
            </w:pPr>
            <w:r/>
            <w:r>
              <w:rPr>
                <w:color w:val="1A1D21"/>
                <w:sz w:val="17"/>
              </w:rPr>
              <w:t>11.98</w:t>
            </w:r>
          </w:p>
        </w:tc>
      </w:tr>
      <w:tr>
        <w:trPr>
          <w:cantSplit/>
        </w:trPr>
        <w:tc>
          <w:tcPr>
            <w:tcW w:type="dxa" w:w="2494"/>
          </w:tcPr>
          <w:p>
            <w:r/>
            <w:r>
              <w:rPr>
                <w:color w:val="1A1D21"/>
                <w:sz w:val="17"/>
              </w:rPr>
              <w:t>25th</w:t>
            </w:r>
          </w:p>
        </w:tc>
        <w:tc>
          <w:tcPr>
            <w:tcW w:type="dxa" w:w="3175"/>
          </w:tcPr>
          <w:p>
            <w:pPr>
              <w:jc w:val="right"/>
            </w:pPr>
            <w:r/>
            <w:r>
              <w:rPr>
                <w:color w:val="1A1D21"/>
                <w:sz w:val="17"/>
              </w:rPr>
              <w:t>14.67</w:t>
            </w:r>
          </w:p>
        </w:tc>
        <w:tc>
          <w:tcPr>
            <w:tcW w:type="dxa" w:w="3175"/>
          </w:tcPr>
          <w:p>
            <w:pPr>
              <w:jc w:val="right"/>
            </w:pPr>
            <w:r/>
            <w:r>
              <w:rPr>
                <w:color w:val="1A1D21"/>
                <w:sz w:val="17"/>
              </w:rPr>
              <w:t>14.61</w:t>
            </w:r>
          </w:p>
        </w:tc>
      </w:tr>
      <w:tr>
        <w:trPr>
          <w:cantSplit/>
        </w:trPr>
        <w:tc>
          <w:tcPr>
            <w:tcW w:type="dxa" w:w="2494"/>
          </w:tcPr>
          <w:p>
            <w:r/>
            <w:r>
              <w:rPr>
                <w:color w:val="1A1D21"/>
                <w:sz w:val="17"/>
              </w:rPr>
              <w:t>50th</w:t>
            </w:r>
          </w:p>
        </w:tc>
        <w:tc>
          <w:tcPr>
            <w:tcW w:type="dxa" w:w="3175"/>
          </w:tcPr>
          <w:p>
            <w:pPr>
              <w:jc w:val="right"/>
            </w:pPr>
            <w:r/>
            <w:r>
              <w:rPr>
                <w:color w:val="1A1D21"/>
                <w:sz w:val="17"/>
              </w:rPr>
              <w:t>15.64</w:t>
            </w:r>
          </w:p>
        </w:tc>
        <w:tc>
          <w:tcPr>
            <w:tcW w:type="dxa" w:w="3175"/>
          </w:tcPr>
          <w:p>
            <w:pPr>
              <w:jc w:val="right"/>
            </w:pPr>
            <w:r/>
            <w:r>
              <w:rPr>
                <w:color w:val="1A1D21"/>
                <w:sz w:val="17"/>
              </w:rPr>
              <w:t>16.34</w:t>
            </w:r>
          </w:p>
        </w:tc>
      </w:tr>
      <w:tr>
        <w:trPr>
          <w:cantSplit/>
        </w:trPr>
        <w:tc>
          <w:tcPr>
            <w:tcW w:type="dxa" w:w="2494"/>
          </w:tcPr>
          <w:p>
            <w:r/>
            <w:r>
              <w:rPr>
                <w:color w:val="1A1D21"/>
                <w:sz w:val="17"/>
              </w:rPr>
              <w:t>75th</w:t>
            </w:r>
          </w:p>
        </w:tc>
        <w:tc>
          <w:tcPr>
            <w:tcW w:type="dxa" w:w="3175"/>
          </w:tcPr>
          <w:p>
            <w:pPr>
              <w:jc w:val="right"/>
            </w:pPr>
            <w:r/>
            <w:r>
              <w:rPr>
                <w:color w:val="1A1D21"/>
                <w:sz w:val="17"/>
              </w:rPr>
              <w:t>16.68</w:t>
            </w:r>
          </w:p>
        </w:tc>
        <w:tc>
          <w:tcPr>
            <w:tcW w:type="dxa" w:w="3175"/>
          </w:tcPr>
          <w:p>
            <w:pPr>
              <w:jc w:val="right"/>
            </w:pPr>
            <w:r/>
            <w:r>
              <w:rPr>
                <w:color w:val="1A1D21"/>
                <w:sz w:val="17"/>
              </w:rPr>
              <w:t>18.27</w:t>
            </w:r>
          </w:p>
        </w:tc>
      </w:tr>
      <w:tr>
        <w:trPr>
          <w:cantSplit/>
        </w:trPr>
        <w:tc>
          <w:tcPr>
            <w:tcW w:type="dxa" w:w="2494"/>
          </w:tcPr>
          <w:p>
            <w:r/>
            <w:r>
              <w:rPr>
                <w:color w:val="1A1D21"/>
                <w:sz w:val="17"/>
              </w:rPr>
              <w:t>95th</w:t>
            </w:r>
          </w:p>
        </w:tc>
        <w:tc>
          <w:tcPr>
            <w:tcW w:type="dxa" w:w="3175"/>
          </w:tcPr>
          <w:p>
            <w:pPr>
              <w:jc w:val="right"/>
            </w:pPr>
            <w:r/>
            <w:r>
              <w:rPr>
                <w:color w:val="1A1D21"/>
                <w:sz w:val="17"/>
              </w:rPr>
              <w:t>18.71</w:t>
            </w:r>
          </w:p>
        </w:tc>
        <w:tc>
          <w:tcPr>
            <w:tcW w:type="dxa" w:w="3175"/>
          </w:tcPr>
          <w:p>
            <w:pPr>
              <w:jc w:val="right"/>
            </w:pPr>
            <w:r/>
            <w:r>
              <w:rPr>
                <w:color w:val="1A1D21"/>
                <w:sz w:val="17"/>
              </w:rPr>
              <w:t>22.26</w:t>
            </w:r>
          </w:p>
        </w:tc>
      </w:tr>
    </w:tbl>
    <w:p>
      <w:pPr>
        <w:spacing w:after="200"/>
      </w:pPr>
      <w:r>
        <w:rPr>
          <w:b w:val="0"/>
          <w:i/>
          <w:color w:val="5B6570"/>
          <w:sz w:val="16"/>
        </w:rPr>
        <w:t>Resolving 2026-09-23 and 2026-11-23 respectively.</w:t>
      </w:r>
    </w:p>
    <w:p>
      <w:pPr>
        <w:jc w:val="center"/>
      </w:pPr>
      <w:r>
        <w:drawing>
          <wp:inline xmlns:a="http://schemas.openxmlformats.org/drawingml/2006/main" xmlns:pic="http://schemas.openxmlformats.org/drawingml/2006/picture">
            <wp:extent cx="5832000" cy="3110713"/>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3110713"/>
                    </a:xfrm>
                    <a:prstGeom prst="rect"/>
                  </pic:spPr>
                </pic:pic>
              </a:graphicData>
            </a:graphic>
          </wp:inline>
        </w:drawing>
      </w:r>
    </w:p>
    <w:p>
      <w:pPr>
        <w:spacing w:after="240"/>
        <w:jc w:val="center"/>
      </w:pPr>
      <w:r>
        <w:rPr>
          <w:b w:val="0"/>
          <w:i/>
          <w:color w:val="5B6570"/>
          <w:sz w:val="16"/>
        </w:rPr>
        <w:t>Figure 3 — the same distribution drawn as a cone. The shaded bands are the middle half and the 5th-to-95th range.</w:t>
      </w:r>
    </w:p>
    <w:p>
      <w:pPr>
        <w:spacing w:after="140"/>
      </w:pPr>
      <w:r>
        <w:rPr>
          <w:b w:val="0"/>
          <w:i w:val="0"/>
          <w:color w:val="1A1D21"/>
          <w:sz w:val="20"/>
        </w:rPr>
        <w:t>Over 57 resolved three-month forecasts on this company, the price finished inside the 90 per cent band 91.2% of the time, and inside the middle band 50.9% of the time. That is a long record by the standards of this series. The bands are about 1.47 times as wide as a simple random-walk band over the same horizon, which is what Egyptian devaluation risk costs in width.</w:t>
      </w:r>
    </w:p>
    <w:tbl>
      <w:tblPr>
        <w:tblStyle w:val="TableGrid"/>
        <w:tblW w:type="auto" w:w="0"/>
        <w:jc w:val="center"/>
        <w:tblLayout w:type="fixed"/>
        <w:tblLook w:firstColumn="1" w:firstRow="1" w:lastColumn="0" w:lastRow="0" w:noHBand="0" w:noVBand="1" w:val="04A0"/>
        <w:tblLayout w:type="fixed"/>
      </w:tblPr>
      <w:tblGrid>
        <w:gridCol w:w="2495"/>
        <w:gridCol w:w="3402"/>
        <w:gridCol w:w="2948"/>
      </w:tblGrid>
      <w:tr>
        <w:trPr>
          <w:tblHeader w:val="true"/>
        </w:trPr>
        <w:tc>
          <w:tcPr>
            <w:tcW w:type="dxa" w:w="2494"/>
          </w:tcPr>
          <w:p>
            <w:r/>
            <w:r>
              <w:rPr>
                <w:b/>
                <w:color w:val="5B6570"/>
                <w:sz w:val="17"/>
              </w:rPr>
              <w:t>Level (EGP)</w:t>
            </w:r>
          </w:p>
        </w:tc>
        <w:tc>
          <w:tcPr>
            <w:tcW w:type="dxa" w:w="3402"/>
          </w:tcPr>
          <w:p>
            <w:r/>
            <w:r>
              <w:rPr>
                <w:b/>
                <w:color w:val="5B6570"/>
                <w:sz w:val="17"/>
              </w:rPr>
              <w:t>Chance of touching within one month</w:t>
            </w:r>
          </w:p>
        </w:tc>
        <w:tc>
          <w:tcPr>
            <w:tcW w:type="dxa" w:w="2948"/>
          </w:tcPr>
          <w:p>
            <w:r/>
            <w:r>
              <w:rPr>
                <w:b/>
                <w:color w:val="5B6570"/>
                <w:sz w:val="17"/>
              </w:rPr>
              <w:t>Within three months</w:t>
            </w:r>
          </w:p>
        </w:tc>
      </w:tr>
      <w:tr>
        <w:trPr>
          <w:cantSplit/>
        </w:trPr>
        <w:tc>
          <w:tcPr>
            <w:tcW w:type="dxa" w:w="2494"/>
          </w:tcPr>
          <w:p>
            <w:r/>
            <w:r>
              <w:rPr>
                <w:color w:val="1A1D21"/>
                <w:sz w:val="17"/>
              </w:rPr>
              <w:t>20.00</w:t>
            </w:r>
          </w:p>
        </w:tc>
        <w:tc>
          <w:tcPr>
            <w:tcW w:type="dxa" w:w="3402"/>
          </w:tcPr>
          <w:p>
            <w:pPr>
              <w:jc w:val="right"/>
            </w:pPr>
            <w:r/>
            <w:r>
              <w:rPr>
                <w:color w:val="1A1D21"/>
                <w:sz w:val="17"/>
              </w:rPr>
              <w:t>3%</w:t>
            </w:r>
          </w:p>
        </w:tc>
        <w:tc>
          <w:tcPr>
            <w:tcW w:type="dxa" w:w="2948"/>
          </w:tcPr>
          <w:p>
            <w:pPr>
              <w:jc w:val="right"/>
            </w:pPr>
            <w:r/>
            <w:r>
              <w:rPr>
                <w:color w:val="1A1D21"/>
                <w:sz w:val="17"/>
              </w:rPr>
              <w:t>19%</w:t>
            </w:r>
          </w:p>
        </w:tc>
      </w:tr>
      <w:tr>
        <w:trPr>
          <w:cantSplit/>
        </w:trPr>
        <w:tc>
          <w:tcPr>
            <w:tcW w:type="dxa" w:w="2494"/>
          </w:tcPr>
          <w:p>
            <w:r/>
            <w:r>
              <w:rPr>
                <w:color w:val="1A1D21"/>
                <w:sz w:val="17"/>
              </w:rPr>
              <w:t>18.50</w:t>
            </w:r>
          </w:p>
        </w:tc>
        <w:tc>
          <w:tcPr>
            <w:tcW w:type="dxa" w:w="3402"/>
          </w:tcPr>
          <w:p>
            <w:pPr>
              <w:jc w:val="right"/>
            </w:pPr>
            <w:r/>
            <w:r>
              <w:rPr>
                <w:color w:val="1A1D21"/>
                <w:sz w:val="17"/>
              </w:rPr>
              <w:t>9%</w:t>
            </w:r>
          </w:p>
        </w:tc>
        <w:tc>
          <w:tcPr>
            <w:tcW w:type="dxa" w:w="2948"/>
          </w:tcPr>
          <w:p>
            <w:pPr>
              <w:jc w:val="right"/>
            </w:pPr>
            <w:r/>
            <w:r>
              <w:rPr>
                <w:color w:val="1A1D21"/>
                <w:sz w:val="17"/>
              </w:rPr>
              <w:t>35%</w:t>
            </w:r>
          </w:p>
        </w:tc>
      </w:tr>
      <w:tr>
        <w:trPr>
          <w:cantSplit/>
        </w:trPr>
        <w:tc>
          <w:tcPr>
            <w:tcW w:type="dxa" w:w="2494"/>
          </w:tcPr>
          <w:p>
            <w:r/>
            <w:r>
              <w:rPr>
                <w:color w:val="1A1D21"/>
                <w:sz w:val="17"/>
              </w:rPr>
              <w:t>17.50</w:t>
            </w:r>
          </w:p>
        </w:tc>
        <w:tc>
          <w:tcPr>
            <w:tcW w:type="dxa" w:w="3402"/>
          </w:tcPr>
          <w:p>
            <w:pPr>
              <w:jc w:val="right"/>
            </w:pPr>
            <w:r/>
            <w:r>
              <w:rPr>
                <w:color w:val="1A1D21"/>
                <w:sz w:val="17"/>
              </w:rPr>
              <w:t>20%</w:t>
            </w:r>
          </w:p>
        </w:tc>
        <w:tc>
          <w:tcPr>
            <w:tcW w:type="dxa" w:w="2948"/>
          </w:tcPr>
          <w:p>
            <w:pPr>
              <w:jc w:val="right"/>
            </w:pPr>
            <w:r/>
            <w:r>
              <w:rPr>
                <w:color w:val="1A1D21"/>
                <w:sz w:val="17"/>
              </w:rPr>
              <w:t>51%</w:t>
            </w:r>
          </w:p>
        </w:tc>
      </w:tr>
      <w:tr>
        <w:trPr>
          <w:cantSplit/>
        </w:trPr>
        <w:tc>
          <w:tcPr>
            <w:tcW w:type="dxa" w:w="2494"/>
          </w:tcPr>
          <w:p>
            <w:r/>
            <w:r>
              <w:rPr>
                <w:color w:val="1A1D21"/>
                <w:sz w:val="17"/>
              </w:rPr>
              <w:t>16.50</w:t>
            </w:r>
          </w:p>
        </w:tc>
        <w:tc>
          <w:tcPr>
            <w:tcW w:type="dxa" w:w="3402"/>
          </w:tcPr>
          <w:p>
            <w:pPr>
              <w:jc w:val="right"/>
            </w:pPr>
            <w:r/>
            <w:r>
              <w:rPr>
                <w:color w:val="1A1D21"/>
                <w:sz w:val="17"/>
              </w:rPr>
              <w:t>43%</w:t>
            </w:r>
          </w:p>
        </w:tc>
        <w:tc>
          <w:tcPr>
            <w:tcW w:type="dxa" w:w="2948"/>
          </w:tcPr>
          <w:p>
            <w:pPr>
              <w:jc w:val="right"/>
            </w:pPr>
            <w:r/>
            <w:r>
              <w:rPr>
                <w:color w:val="1A1D21"/>
                <w:sz w:val="17"/>
              </w:rPr>
              <w:t>71%</w:t>
            </w:r>
          </w:p>
        </w:tc>
      </w:tr>
      <w:tr>
        <w:trPr>
          <w:cantSplit/>
        </w:trPr>
        <w:tc>
          <w:tcPr>
            <w:tcW w:type="dxa" w:w="2494"/>
          </w:tcPr>
          <w:p>
            <w:r/>
            <w:r>
              <w:rPr>
                <w:color w:val="1A1D21"/>
                <w:sz w:val="17"/>
              </w:rPr>
              <w:t>15.55</w:t>
            </w:r>
          </w:p>
        </w:tc>
        <w:tc>
          <w:tcPr>
            <w:tcW w:type="dxa" w:w="3402"/>
          </w:tcPr>
          <w:p>
            <w:pPr>
              <w:jc w:val="right"/>
            </w:pPr>
            <w:r/>
            <w:r>
              <w:rPr>
                <w:color w:val="1A1D21"/>
                <w:sz w:val="17"/>
              </w:rPr>
              <w:t>80%</w:t>
            </w:r>
          </w:p>
        </w:tc>
        <w:tc>
          <w:tcPr>
            <w:tcW w:type="dxa" w:w="2948"/>
          </w:tcPr>
          <w:p>
            <w:pPr>
              <w:jc w:val="right"/>
            </w:pPr>
            <w:r/>
            <w:r>
              <w:rPr>
                <w:color w:val="1A1D21"/>
                <w:sz w:val="17"/>
              </w:rPr>
              <w:t>90%</w:t>
            </w:r>
          </w:p>
        </w:tc>
      </w:tr>
    </w:tbl>
    <w:p>
      <w:pPr>
        <w:spacing w:after="200"/>
      </w:pPr>
      <w:r>
        <w:rPr>
          <w:b w:val="0"/>
          <w:i/>
          <w:color w:val="5B6570"/>
          <w:sz w:val="16"/>
        </w:rPr>
        <w:t>The chance that the price trades at or through each level at any point in the window, not the chance it ends there.</w:t>
      </w:r>
    </w:p>
    <w:p>
      <w:pPr>
        <w:spacing w:after="140"/>
      </w:pPr>
      <w:r>
        <w:rPr>
          <w:b w:val="0"/>
          <w:i/>
          <w:color w:val="5B6570"/>
          <w:sz w:val="17"/>
        </w:rPr>
        <w:t>Price data to 2026-08-23, computed 2026-08-24; the trend read uses data to 2026-08-23, computed 2026-08-25.</w:t>
      </w:r>
    </w:p>
    <w:p>
      <w:pPr>
        <w:pStyle w:val="Heading1"/>
      </w:pPr>
      <w:r>
        <w:t>4  Comparison of the lenses</w:t>
      </w:r>
    </w:p>
    <w:p>
      <w:pPr>
        <w:spacing w:after="140"/>
      </w:pPr>
      <w:r>
        <w:rPr>
          <w:b w:val="0"/>
          <w:i w:val="0"/>
          <w:color w:val="1A1D21"/>
          <w:sz w:val="20"/>
        </w:rPr>
        <w:t>The three readings are deliberately independent — none is an input to another — so where they agree, the agreement carries information.</w:t>
      </w:r>
    </w:p>
    <w:tbl>
      <w:tblPr>
        <w:tblStyle w:val="TableGrid"/>
        <w:tblW w:type="auto" w:w="0"/>
        <w:jc w:val="center"/>
        <w:tblLayout w:type="fixed"/>
        <w:tblLook w:firstColumn="1" w:firstRow="1" w:lastColumn="0" w:lastRow="0" w:noHBand="0" w:noVBand="1" w:val="04A0"/>
        <w:tblLayout w:type="fixed"/>
      </w:tblPr>
      <w:tblGrid>
        <w:gridCol w:w="2155"/>
        <w:gridCol w:w="3629"/>
        <w:gridCol w:w="3175"/>
      </w:tblGrid>
      <w:tr>
        <w:trPr>
          <w:tblHeader w:val="true"/>
        </w:trPr>
        <w:tc>
          <w:tcPr>
            <w:tcW w:type="dxa" w:w="2154"/>
          </w:tcPr>
          <w:p>
            <w:r/>
            <w:r>
              <w:rPr>
                <w:b/>
                <w:color w:val="5B6570"/>
                <w:sz w:val="17"/>
              </w:rPr>
              <w:t>Lens</w:t>
            </w:r>
          </w:p>
        </w:tc>
        <w:tc>
          <w:tcPr>
            <w:tcW w:type="dxa" w:w="3628"/>
          </w:tcPr>
          <w:p>
            <w:r/>
            <w:r>
              <w:rPr>
                <w:b/>
                <w:color w:val="5B6570"/>
                <w:sz w:val="17"/>
              </w:rPr>
              <w:t>What it says</w:t>
            </w:r>
          </w:p>
        </w:tc>
        <w:tc>
          <w:tcPr>
            <w:tcW w:type="dxa" w:w="3175"/>
          </w:tcPr>
          <w:p>
            <w:r/>
            <w:r>
              <w:rPr>
                <w:b/>
                <w:color w:val="5B6570"/>
                <w:sz w:val="17"/>
              </w:rPr>
              <w:t>Relative to the EGP 15.20 close</w:t>
            </w:r>
          </w:p>
        </w:tc>
      </w:tr>
      <w:tr>
        <w:trPr>
          <w:cantSplit/>
        </w:trPr>
        <w:tc>
          <w:tcPr>
            <w:tcW w:type="dxa" w:w="2154"/>
          </w:tcPr>
          <w:p>
            <w:r/>
            <w:r>
              <w:rPr>
                <w:color w:val="1A1D21"/>
                <w:sz w:val="17"/>
              </w:rPr>
              <w:t>Fundamental value</w:t>
            </w:r>
          </w:p>
        </w:tc>
        <w:tc>
          <w:tcPr>
            <w:tcW w:type="dxa" w:w="3628"/>
          </w:tcPr>
          <w:p>
            <w:r/>
            <w:r>
              <w:rPr>
                <w:color w:val="1A1D21"/>
                <w:sz w:val="17"/>
              </w:rPr>
              <w:t>EGP 4.29 to EGP 35.14 depending on cash conversion</w:t>
            </w:r>
          </w:p>
        </w:tc>
        <w:tc>
          <w:tcPr>
            <w:tcW w:type="dxa" w:w="3175"/>
          </w:tcPr>
          <w:p>
            <w:r/>
            <w:r>
              <w:rPr>
                <w:color w:val="1A1D21"/>
                <w:sz w:val="17"/>
              </w:rPr>
              <w:t>the close sits inside the range, near its lower half</w:t>
            </w:r>
          </w:p>
        </w:tc>
      </w:tr>
      <w:tr>
        <w:trPr>
          <w:cantSplit/>
        </w:trPr>
        <w:tc>
          <w:tcPr>
            <w:tcW w:type="dxa" w:w="2154"/>
          </w:tcPr>
          <w:p>
            <w:r/>
            <w:r>
              <w:rPr>
                <w:color w:val="1A1D21"/>
                <w:sz w:val="17"/>
              </w:rPr>
              <w:t>Price distribution</w:t>
            </w:r>
          </w:p>
        </w:tc>
        <w:tc>
          <w:tcPr>
            <w:tcW w:type="dxa" w:w="3628"/>
          </w:tcPr>
          <w:p>
            <w:r/>
            <w:r>
              <w:rPr>
                <w:color w:val="1A1D21"/>
                <w:sz w:val="17"/>
              </w:rPr>
              <w:t>three-month middle band EGP 14.61 to 18.27</w:t>
            </w:r>
          </w:p>
        </w:tc>
        <w:tc>
          <w:tcPr>
            <w:tcW w:type="dxa" w:w="3175"/>
          </w:tcPr>
          <w:p>
            <w:r/>
            <w:r>
              <w:rPr>
                <w:color w:val="1A1D21"/>
                <w:sz w:val="17"/>
              </w:rPr>
              <w:t>the distribution is centred slightly above the close</w:t>
            </w:r>
          </w:p>
        </w:tc>
      </w:tr>
      <w:tr>
        <w:trPr>
          <w:cantSplit/>
        </w:trPr>
        <w:tc>
          <w:tcPr>
            <w:tcW w:type="dxa" w:w="2154"/>
          </w:tcPr>
          <w:p>
            <w:r/>
            <w:r>
              <w:rPr>
                <w:color w:val="1A1D21"/>
                <w:sz w:val="17"/>
              </w:rPr>
              <w:t>Trend structure</w:t>
            </w:r>
          </w:p>
        </w:tc>
        <w:tc>
          <w:tcPr>
            <w:tcW w:type="dxa" w:w="3628"/>
          </w:tcPr>
          <w:p>
            <w:r/>
            <w:r>
              <w:rPr>
                <w:color w:val="1A1D21"/>
                <w:sz w:val="17"/>
              </w:rPr>
              <w:t>above a rising 20-, 50- and 200-day average</w:t>
            </w:r>
          </w:p>
        </w:tc>
        <w:tc>
          <w:tcPr>
            <w:tcW w:type="dxa" w:w="3175"/>
          </w:tcPr>
          <w:p>
            <w:r/>
            <w:r>
              <w:rPr>
                <w:color w:val="1A1D21"/>
                <w:sz w:val="17"/>
              </w:rPr>
              <w:t>constructive, with resistance only 1.2 per cent away</w:t>
            </w:r>
          </w:p>
        </w:tc>
      </w:tr>
    </w:tbl>
    <w:p>
      <w:pPr>
        <w:spacing w:after="80"/>
      </w:pPr>
      <w:r>
        <w:rPr>
          <w:b w:val="0"/>
          <w:i w:val="0"/>
          <w:color w:val="1A1D21"/>
          <w:sz w:val="8"/>
        </w:rPr>
      </w:r>
    </w:p>
    <w:p>
      <w:pPr>
        <w:spacing w:after="140"/>
      </w:pPr>
      <w:r>
        <w:rPr>
          <w:b w:val="0"/>
          <w:i w:val="0"/>
          <w:color w:val="1A1D21"/>
          <w:sz w:val="20"/>
        </w:rPr>
        <w:t>They point the same way without being made to. The fundamental range brackets the price, the distribution is mildly positive and the trend is intact. None of that resolves the crux in section 1.7.</w:t>
      </w:r>
    </w:p>
    <w:p>
      <w:pPr>
        <w:pStyle w:val="Heading1"/>
      </w:pPr>
      <w:r>
        <w:t>5  Catalysts to watch</w:t>
      </w:r>
    </w:p>
    <w:p>
      <w:pPr>
        <w:pStyle w:val="ListBullet"/>
        <w:spacing w:after="60"/>
      </w:pPr>
      <w:r>
        <w:rPr>
          <w:color w:val="1A1D21"/>
          <w:sz w:val="20"/>
        </w:rPr>
        <w:t>The half-year 2026 results. None had been published as at 30 August 2026, which is itself notable this late in the year.</w:t>
      </w:r>
    </w:p>
    <w:p>
      <w:pPr>
        <w:pStyle w:val="ListBullet"/>
        <w:spacing w:after="60"/>
      </w:pPr>
      <w:r>
        <w:rPr>
          <w:color w:val="1A1D21"/>
          <w:sz w:val="20"/>
        </w:rPr>
        <w:t>The full-year 2025 results release. The audited statements were published but the accompanying release, which is where units sold, new sales, deliveries and construction spending are disclosed, was not.</w:t>
      </w:r>
    </w:p>
    <w:p>
      <w:pPr>
        <w:pStyle w:val="ListBullet"/>
        <w:spacing w:after="60"/>
      </w:pPr>
      <w:r>
        <w:rPr>
          <w:color w:val="1A1D21"/>
          <w:sz w:val="20"/>
        </w:rPr>
        <w:t>Any disclosure of collection terms — down payment, instalment tenor, post-handover tail. This is the single disclosure that would most narrow the range in this study.</w:t>
      </w:r>
    </w:p>
    <w:p>
      <w:pPr>
        <w:pStyle w:val="ListBullet"/>
        <w:spacing w:after="60"/>
      </w:pPr>
      <w:r>
        <w:rPr>
          <w:color w:val="1A1D21"/>
          <w:sz w:val="20"/>
        </w:rPr>
        <w:t>Progress on the EGP 30 billion securitisation programme. Selling receivables converts the instalment book to cash and is the direct lever on the crux; pricing on any tranche would also fix the cost of debt.</w:t>
      </w:r>
    </w:p>
    <w:p>
      <w:pPr>
        <w:pStyle w:val="ListBullet"/>
        <w:spacing w:after="60"/>
      </w:pPr>
      <w:r>
        <w:rPr>
          <w:color w:val="1A1D21"/>
          <w:sz w:val="20"/>
        </w:rPr>
        <w:t>The Village de La Capitale launch, which contributed EGP 24 billion of the EGP 52 billion of first-quarter 2026 sales. Whether that rate of launch sales repeats materially changes the order book path.</w:t>
      </w:r>
    </w:p>
    <w:p>
      <w:pPr>
        <w:pStyle w:val="ListBullet"/>
        <w:spacing w:after="60"/>
      </w:pPr>
      <w:r>
        <w:rPr>
          <w:color w:val="1A1D21"/>
          <w:sz w:val="20"/>
        </w:rPr>
        <w:t>Egyptian interest rates. The cost of capital here is built on a 23.00% sovereign yield; a sustained fall would raise every figure in section 1.9.</w:t>
      </w:r>
    </w:p>
    <w:p>
      <w:pPr>
        <w:pStyle w:val="Heading1"/>
      </w:pPr>
      <w:r>
        <w:t>6  Reading the probability zones</w:t>
      </w:r>
    </w:p>
    <w:p>
      <w:pPr>
        <w:spacing w:after="140"/>
      </w:pPr>
      <w:r>
        <w:rPr>
          <w:b w:val="0"/>
          <w:i w:val="0"/>
          <w:color w:val="1A1D21"/>
          <w:sz w:val="20"/>
        </w:rPr>
        <w:t>The bands in section 3 describe where the price has tended to go, not where it should go. They are wide because Egyptian equities are genuinely volatile: the middle half of the three-month distribution spans EGP 14.61 to EGP 18.27, a range of about 24 per cent of the current price. A reader who wants a narrower band is asking for a less honest one.</w:t>
      </w:r>
    </w:p>
    <w:p>
      <w:pPr>
        <w:spacing w:after="140"/>
      </w:pPr>
      <w:r>
        <w:rPr>
          <w:b w:val="0"/>
          <w:i w:val="0"/>
          <w:color w:val="1A1D21"/>
          <w:sz w:val="20"/>
        </w:rPr>
        <w:t>The touch ladder answers a different question from the percentile map. A level with a 51 per cent chance of being touched inside three months is not a level with a 51 per cent chance of holding — prices pass through levels far more often than they settle at them.</w:t>
      </w:r>
    </w:p>
    <w:p>
      <w:pPr>
        <w:pStyle w:val="Heading1"/>
      </w:pPr>
      <w:r>
        <w:t>7  Caveats and what would change our mind</w:t>
      </w:r>
    </w:p>
    <w:p>
      <w:pPr>
        <w:spacing w:after="140"/>
      </w:pPr>
      <w:r>
        <w:rPr>
          <w:b/>
          <w:i w:val="0"/>
          <w:color w:val="1A1D21"/>
          <w:sz w:val="20"/>
        </w:rPr>
        <w:t>Five things are not disclosed by the company and are therefore not in this study. Each is named with what would close it.</w:t>
      </w:r>
    </w:p>
    <w:tbl>
      <w:tblPr>
        <w:tblStyle w:val="TableGrid"/>
        <w:tblW w:type="auto" w:w="0"/>
        <w:jc w:val="center"/>
        <w:tblLayout w:type="fixed"/>
        <w:tblLook w:firstColumn="1" w:firstRow="1" w:lastColumn="0" w:lastRow="0" w:noHBand="0" w:noVBand="1" w:val="04A0"/>
        <w:tblLayout w:type="fixed"/>
      </w:tblPr>
      <w:tblGrid>
        <w:gridCol w:w="2041"/>
        <w:gridCol w:w="3969"/>
        <w:gridCol w:w="2948"/>
      </w:tblGrid>
      <w:tr>
        <w:trPr>
          <w:tblHeader w:val="true"/>
        </w:trPr>
        <w:tc>
          <w:tcPr>
            <w:tcW w:type="dxa" w:w="2041"/>
          </w:tcPr>
          <w:p>
            <w:r/>
            <w:r>
              <w:rPr>
                <w:b/>
                <w:color w:val="5B6570"/>
                <w:sz w:val="17"/>
              </w:rPr>
              <w:t>What is missing</w:t>
            </w:r>
          </w:p>
        </w:tc>
        <w:tc>
          <w:tcPr>
            <w:tcW w:type="dxa" w:w="3969"/>
          </w:tcPr>
          <w:p>
            <w:r/>
            <w:r>
              <w:rPr>
                <w:b/>
                <w:color w:val="5B6570"/>
                <w:sz w:val="17"/>
              </w:rPr>
              <w:t>Why it matters</w:t>
            </w:r>
          </w:p>
        </w:tc>
        <w:tc>
          <w:tcPr>
            <w:tcW w:type="dxa" w:w="2948"/>
          </w:tcPr>
          <w:p>
            <w:r/>
            <w:r>
              <w:rPr>
                <w:b/>
                <w:color w:val="5B6570"/>
                <w:sz w:val="17"/>
              </w:rPr>
              <w:t>What would close it</w:t>
            </w:r>
          </w:p>
        </w:tc>
      </w:tr>
      <w:tr>
        <w:trPr>
          <w:cantSplit/>
        </w:trPr>
        <w:tc>
          <w:tcPr>
            <w:tcW w:type="dxa" w:w="2041"/>
          </w:tcPr>
          <w:p>
            <w:r/>
            <w:r>
              <w:rPr>
                <w:color w:val="1A1D21"/>
                <w:sz w:val="17"/>
              </w:rPr>
              <w:t>Collection schedule</w:t>
            </w:r>
          </w:p>
        </w:tc>
        <w:tc>
          <w:tcPr>
            <w:tcW w:type="dxa" w:w="3969"/>
          </w:tcPr>
          <w:p>
            <w:r/>
            <w:r>
              <w:rPr>
                <w:color w:val="1A1D21"/>
                <w:sz w:val="17"/>
              </w:rPr>
              <w:t>Down payment, instalment tenor and post-handover tail are not published. This is the crux; it is measured from outcomes instead of built from terms.</w:t>
            </w:r>
          </w:p>
        </w:tc>
        <w:tc>
          <w:tcPr>
            <w:tcW w:type="dxa" w:w="2948"/>
          </w:tcPr>
          <w:p>
            <w:r/>
            <w:r>
              <w:rPr>
                <w:color w:val="1A1D21"/>
                <w:sz w:val="17"/>
              </w:rPr>
              <w:t>Disclosure of contract terms.</w:t>
            </w:r>
          </w:p>
        </w:tc>
      </w:tr>
      <w:tr>
        <w:trPr>
          <w:cantSplit/>
        </w:trPr>
        <w:tc>
          <w:tcPr>
            <w:tcW w:type="dxa" w:w="2041"/>
          </w:tcPr>
          <w:p>
            <w:r/>
            <w:r>
              <w:rPr>
                <w:color w:val="1A1D21"/>
                <w:sz w:val="17"/>
              </w:rPr>
              <w:t>Project unit economics</w:t>
            </w:r>
          </w:p>
        </w:tc>
        <w:tc>
          <w:tcPr>
            <w:tcW w:type="dxa" w:w="3969"/>
          </w:tcPr>
          <w:p>
            <w:r/>
            <w:r>
              <w:rPr>
                <w:color w:val="1A1D21"/>
                <w:sz w:val="17"/>
              </w:rPr>
              <w:t>No per-project unit mix, unit area, price per square metre or construction cost per square metre is disclosed.</w:t>
            </w:r>
          </w:p>
        </w:tc>
        <w:tc>
          <w:tcPr>
            <w:tcW w:type="dxa" w:w="2948"/>
          </w:tcPr>
          <w:p>
            <w:r/>
            <w:r>
              <w:rPr>
                <w:color w:val="1A1D21"/>
                <w:sz w:val="17"/>
              </w:rPr>
              <w:t>Project-level disclosure or an investor presentation carrying them.</w:t>
            </w:r>
          </w:p>
        </w:tc>
      </w:tr>
      <w:tr>
        <w:trPr>
          <w:cantSplit/>
        </w:trPr>
        <w:tc>
          <w:tcPr>
            <w:tcW w:type="dxa" w:w="2041"/>
          </w:tcPr>
          <w:p>
            <w:r/>
            <w:r>
              <w:rPr>
                <w:color w:val="1A1D21"/>
                <w:sz w:val="17"/>
              </w:rPr>
              <w:t>Cost of debt</w:t>
            </w:r>
          </w:p>
        </w:tc>
        <w:tc>
          <w:tcPr>
            <w:tcW w:type="dxa" w:w="3969"/>
          </w:tcPr>
          <w:p>
            <w:r/>
            <w:r>
              <w:rPr>
                <w:color w:val="1A1D21"/>
                <w:sz w:val="17"/>
              </w:rPr>
              <w:t>The February 2026 securitisation publishes sizes, tenors and ratings but no coupon.</w:t>
            </w:r>
          </w:p>
        </w:tc>
        <w:tc>
          <w:tcPr>
            <w:tcW w:type="dxa" w:w="2948"/>
          </w:tcPr>
          <w:p>
            <w:r/>
            <w:r>
              <w:rPr>
                <w:color w:val="1A1D21"/>
                <w:sz w:val="17"/>
              </w:rPr>
              <w:t>A coupon on any tranche.</w:t>
            </w:r>
          </w:p>
        </w:tc>
      </w:tr>
      <w:tr>
        <w:trPr>
          <w:cantSplit/>
        </w:trPr>
        <w:tc>
          <w:tcPr>
            <w:tcW w:type="dxa" w:w="2041"/>
          </w:tcPr>
          <w:p>
            <w:r/>
            <w:r>
              <w:rPr>
                <w:color w:val="1A1D21"/>
                <w:sz w:val="17"/>
              </w:rPr>
              <w:t>Full-year 2025 operating figures</w:t>
            </w:r>
          </w:p>
        </w:tc>
        <w:tc>
          <w:tcPr>
            <w:tcW w:type="dxa" w:w="3969"/>
          </w:tcPr>
          <w:p>
            <w:r/>
            <w:r>
              <w:rPr>
                <w:color w:val="1A1D21"/>
                <w:sz w:val="17"/>
              </w:rPr>
              <w:t>The audited statements were published; the results release, which carries units and new sales, was not.</w:t>
            </w:r>
          </w:p>
        </w:tc>
        <w:tc>
          <w:tcPr>
            <w:tcW w:type="dxa" w:w="2948"/>
          </w:tcPr>
          <w:p>
            <w:r/>
            <w:r>
              <w:rPr>
                <w:color w:val="1A1D21"/>
                <w:sz w:val="17"/>
              </w:rPr>
              <w:t>The 2025 results release.</w:t>
            </w:r>
          </w:p>
        </w:tc>
      </w:tr>
      <w:tr>
        <w:trPr>
          <w:cantSplit/>
        </w:trPr>
        <w:tc>
          <w:tcPr>
            <w:tcW w:type="dxa" w:w="2041"/>
          </w:tcPr>
          <w:p>
            <w:r/>
            <w:r>
              <w:rPr>
                <w:color w:val="1A1D21"/>
                <w:sz w:val="17"/>
              </w:rPr>
              <w:t>Half-year 2026</w:t>
            </w:r>
          </w:p>
        </w:tc>
        <w:tc>
          <w:tcPr>
            <w:tcW w:type="dxa" w:w="3969"/>
          </w:tcPr>
          <w:p>
            <w:r/>
            <w:r>
              <w:rPr>
                <w:color w:val="1A1D21"/>
                <w:sz w:val="17"/>
              </w:rPr>
              <w:t>Nothing newer than the first quarter of 2026 had been published as at this edition's date.</w:t>
            </w:r>
          </w:p>
        </w:tc>
        <w:tc>
          <w:tcPr>
            <w:tcW w:type="dxa" w:w="2948"/>
          </w:tcPr>
          <w:p>
            <w:r/>
            <w:r>
              <w:rPr>
                <w:color w:val="1A1D21"/>
                <w:sz w:val="17"/>
              </w:rPr>
              <w:t>The half-year filing.</w:t>
            </w:r>
          </w:p>
        </w:tc>
      </w:tr>
    </w:tbl>
    <w:p>
      <w:pPr>
        <w:spacing w:after="80"/>
      </w:pPr>
      <w:r>
        <w:rPr>
          <w:b w:val="0"/>
          <w:i w:val="0"/>
          <w:color w:val="1A1D21"/>
          <w:sz w:val="8"/>
        </w:rPr>
      </w:r>
    </w:p>
    <w:p>
      <w:pPr>
        <w:spacing w:after="140"/>
      </w:pPr>
      <w:r>
        <w:rPr>
          <w:b/>
          <w:i w:val="0"/>
          <w:color w:val="1A1D21"/>
          <w:sz w:val="20"/>
        </w:rPr>
        <w:t>What would change our mind, in order of force:</w:t>
      </w:r>
    </w:p>
    <w:p>
      <w:pPr>
        <w:pStyle w:val="ListBullet"/>
        <w:spacing w:after="60"/>
      </w:pPr>
      <w:r>
        <w:rPr>
          <w:color w:val="1A1D21"/>
          <w:sz w:val="20"/>
        </w:rPr>
        <w:t>Two more years of cash conversion clustering. Three observations spanning 3.9% to 17.9% cannot distinguish a volatile business from a mismeasured one; five could.</w:t>
      </w:r>
    </w:p>
    <w:p>
      <w:pPr>
        <w:pStyle w:val="ListBullet"/>
        <w:spacing w:after="60"/>
      </w:pPr>
      <w:r>
        <w:rPr>
          <w:color w:val="1A1D21"/>
          <w:sz w:val="20"/>
        </w:rPr>
        <w:t>Disclosure of collection terms, which would replace the measured range with a built schedule and narrow the answer directly.</w:t>
      </w:r>
    </w:p>
    <w:p>
      <w:pPr>
        <w:pStyle w:val="ListBullet"/>
        <w:spacing w:after="60"/>
      </w:pPr>
      <w:r>
        <w:rPr>
          <w:color w:val="1A1D21"/>
          <w:sz w:val="20"/>
        </w:rPr>
        <w:t>A sustained fall in Egyptian interest rates, which lifts every cell in the sensitivity table.</w:t>
      </w:r>
    </w:p>
    <w:p>
      <w:pPr>
        <w:pStyle w:val="ListBullet"/>
        <w:spacing w:after="60"/>
      </w:pPr>
      <w:r>
        <w:rPr>
          <w:color w:val="1A1D21"/>
          <w:sz w:val="20"/>
        </w:rPr>
        <w:t>Evidence that the order book converts at the rate the company's delivery history implies rather than more slowly. The order book is now more than seven times revenue, against 5.4 times in 2024 and 3.4 times in 2023; that ratio has risen every year and cannot rise indefinitely.</w:t>
      </w:r>
    </w:p>
    <w:p>
      <w:pPr>
        <w:spacing w:after="140"/>
      </w:pPr>
      <w:r>
        <w:rPr>
          <w:b w:val="0"/>
          <w:i w:val="0"/>
          <w:color w:val="1A1D21"/>
          <w:sz w:val="20"/>
        </w:rPr>
        <w:t>A note on this study's own track record. Tested across ten annual starting points on this company's history from 2011 to 2025, this method forecast revenue tolerably but overstated net profit by about three times, consistently and in 97 per cent of tested cases, and did worse than simply assuming no change. The cause was the mismatched recognition clock corrected in section 1.1. That is why this edition publishes ranges rather than a central figure, and why the reader should treat the upper end of section 1.9 with more suspicion than the lower.</w:t>
      </w:r>
    </w:p>
    <w:p>
      <w:r>
        <w:br w:type="page"/>
      </w:r>
    </w:p>
    <w:p>
      <w:pPr>
        <w:pStyle w:val="Heading1"/>
      </w:pPr>
      <w:r>
        <w:t>Appendix A  Financial statements</w:t>
      </w:r>
    </w:p>
    <w:p>
      <w:pPr>
        <w:pStyle w:val="Heading2"/>
      </w:pPr>
      <w:r>
        <w:t>A.1  Income statement</w:t>
      </w:r>
    </w:p>
    <w:tbl>
      <w:tblPr>
        <w:tblStyle w:val="TableGrid"/>
        <w:tblW w:type="auto" w:w="0"/>
        <w:jc w:val="center"/>
        <w:tblLayout w:type="fixed"/>
        <w:tblLook w:firstColumn="1" w:firstRow="1" w:lastColumn="0" w:lastRow="0" w:noHBand="0" w:noVBand="1" w:val="04A0"/>
        <w:tblLayout w:type="fixed"/>
      </w:tblPr>
      <w:tblGrid>
        <w:gridCol w:w="3515"/>
        <w:gridCol w:w="1871"/>
        <w:gridCol w:w="1871"/>
        <w:gridCol w:w="1871"/>
      </w:tblGrid>
      <w:tr>
        <w:trPr>
          <w:tblHeader w:val="true"/>
        </w:trPr>
        <w:tc>
          <w:tcPr>
            <w:tcW w:type="dxa" w:w="3515"/>
          </w:tcPr>
          <w:p>
            <w:r/>
            <w:r>
              <w:rPr>
                <w:b/>
                <w:color w:val="5B6570"/>
                <w:sz w:val="17"/>
              </w:rPr>
              <w:t>EGP million, as reported</w:t>
            </w:r>
          </w:p>
        </w:tc>
        <w:tc>
          <w:tcPr>
            <w:tcW w:type="dxa" w:w="1871"/>
          </w:tcPr>
          <w:p>
            <w:r/>
            <w:r>
              <w:rPr>
                <w:b/>
                <w:color w:val="5B6570"/>
                <w:sz w:val="17"/>
              </w:rPr>
              <w:t>2023</w:t>
            </w:r>
          </w:p>
        </w:tc>
        <w:tc>
          <w:tcPr>
            <w:tcW w:type="dxa" w:w="1871"/>
          </w:tcPr>
          <w:p>
            <w:r/>
            <w:r>
              <w:rPr>
                <w:b/>
                <w:color w:val="5B6570"/>
                <w:sz w:val="17"/>
              </w:rPr>
              <w:t>2024</w:t>
            </w:r>
          </w:p>
        </w:tc>
        <w:tc>
          <w:tcPr>
            <w:tcW w:type="dxa" w:w="1871"/>
          </w:tcPr>
          <w:p>
            <w:r/>
            <w:r>
              <w:rPr>
                <w:b/>
                <w:color w:val="5B6570"/>
                <w:sz w:val="17"/>
              </w:rPr>
              <w:t>2025</w:t>
            </w:r>
          </w:p>
        </w:tc>
      </w:tr>
      <w:tr>
        <w:trPr>
          <w:cantSplit/>
        </w:trPr>
        <w:tc>
          <w:tcPr>
            <w:tcW w:type="dxa" w:w="3515"/>
          </w:tcPr>
          <w:p>
            <w:r/>
            <w:r>
              <w:rPr>
                <w:color w:val="1A1D21"/>
                <w:sz w:val="17"/>
              </w:rPr>
              <w:t>Revenue</w:t>
            </w:r>
          </w:p>
        </w:tc>
        <w:tc>
          <w:tcPr>
            <w:tcW w:type="dxa" w:w="1871"/>
          </w:tcPr>
          <w:p>
            <w:pPr>
              <w:jc w:val="right"/>
            </w:pPr>
            <w:r/>
            <w:r>
              <w:rPr>
                <w:color w:val="1A1D21"/>
                <w:sz w:val="17"/>
              </w:rPr>
              <w:t>17,462.1</w:t>
            </w:r>
          </w:p>
        </w:tc>
        <w:tc>
          <w:tcPr>
            <w:tcW w:type="dxa" w:w="1871"/>
          </w:tcPr>
          <w:p>
            <w:pPr>
              <w:jc w:val="right"/>
            </w:pPr>
            <w:r/>
            <w:r>
              <w:rPr>
                <w:color w:val="1A1D21"/>
                <w:sz w:val="17"/>
              </w:rPr>
              <w:t>27,167.3</w:t>
            </w:r>
          </w:p>
        </w:tc>
        <w:tc>
          <w:tcPr>
            <w:tcW w:type="dxa" w:w="1871"/>
          </w:tcPr>
          <w:p>
            <w:pPr>
              <w:jc w:val="right"/>
            </w:pPr>
            <w:r/>
            <w:r>
              <w:rPr>
                <w:color w:val="1A1D21"/>
                <w:sz w:val="17"/>
              </w:rPr>
              <w:t>36,169.3</w:t>
            </w:r>
          </w:p>
        </w:tc>
      </w:tr>
      <w:tr>
        <w:trPr>
          <w:cantSplit/>
        </w:trPr>
        <w:tc>
          <w:tcPr>
            <w:tcW w:type="dxa" w:w="3515"/>
          </w:tcPr>
          <w:p>
            <w:r/>
            <w:r>
              <w:rPr>
                <w:color w:val="1A1D21"/>
                <w:sz w:val="17"/>
              </w:rPr>
              <w:t>Cost of revenue</w:t>
            </w:r>
          </w:p>
        </w:tc>
        <w:tc>
          <w:tcPr>
            <w:tcW w:type="dxa" w:w="1871"/>
          </w:tcPr>
          <w:p>
            <w:pPr>
              <w:jc w:val="right"/>
            </w:pPr>
            <w:r/>
            <w:r>
              <w:rPr>
                <w:color w:val="1A1D21"/>
                <w:sz w:val="17"/>
              </w:rPr>
              <w:t>-11,907.2</w:t>
            </w:r>
          </w:p>
        </w:tc>
        <w:tc>
          <w:tcPr>
            <w:tcW w:type="dxa" w:w="1871"/>
          </w:tcPr>
          <w:p>
            <w:pPr>
              <w:jc w:val="right"/>
            </w:pPr>
            <w:r/>
            <w:r>
              <w:rPr>
                <w:color w:val="1A1D21"/>
                <w:sz w:val="17"/>
              </w:rPr>
              <w:t>-17,739.9</w:t>
            </w:r>
          </w:p>
        </w:tc>
        <w:tc>
          <w:tcPr>
            <w:tcW w:type="dxa" w:w="1871"/>
          </w:tcPr>
          <w:p>
            <w:pPr>
              <w:jc w:val="right"/>
            </w:pPr>
            <w:r/>
            <w:r>
              <w:rPr>
                <w:color w:val="1A1D21"/>
                <w:sz w:val="17"/>
              </w:rPr>
              <w:t>-21,118.9</w:t>
            </w:r>
          </w:p>
        </w:tc>
      </w:tr>
      <w:tr>
        <w:trPr>
          <w:cantSplit/>
        </w:trPr>
        <w:tc>
          <w:tcPr>
            <w:tcW w:type="dxa" w:w="3515"/>
          </w:tcPr>
          <w:p>
            <w:r/>
            <w:r>
              <w:rPr>
                <w:color w:val="1A1D21"/>
                <w:sz w:val="17"/>
              </w:rPr>
              <w:t>Cash discount</w:t>
            </w:r>
          </w:p>
        </w:tc>
        <w:tc>
          <w:tcPr>
            <w:tcW w:type="dxa" w:w="1871"/>
          </w:tcPr>
          <w:p>
            <w:pPr>
              <w:jc w:val="right"/>
            </w:pPr>
            <w:r/>
            <w:r>
              <w:rPr>
                <w:color w:val="1A1D21"/>
                <w:sz w:val="17"/>
              </w:rPr>
              <w:t>-47.2</w:t>
            </w:r>
          </w:p>
        </w:tc>
        <w:tc>
          <w:tcPr>
            <w:tcW w:type="dxa" w:w="1871"/>
          </w:tcPr>
          <w:p>
            <w:pPr>
              <w:jc w:val="right"/>
            </w:pPr>
            <w:r/>
            <w:r>
              <w:rPr>
                <w:color w:val="1A1D21"/>
                <w:sz w:val="17"/>
              </w:rPr>
              <w:t>-97.3</w:t>
            </w:r>
          </w:p>
        </w:tc>
        <w:tc>
          <w:tcPr>
            <w:tcW w:type="dxa" w:w="1871"/>
          </w:tcPr>
          <w:p>
            <w:pPr>
              <w:jc w:val="right"/>
            </w:pPr>
            <w:r/>
            <w:r>
              <w:rPr>
                <w:color w:val="1A1D21"/>
                <w:sz w:val="17"/>
              </w:rPr>
              <w:t>-162.8</w:t>
            </w:r>
          </w:p>
        </w:tc>
      </w:tr>
      <w:tr>
        <w:trPr>
          <w:cantSplit/>
        </w:trPr>
        <w:tc>
          <w:tcPr>
            <w:tcW w:type="dxa" w:w="3515"/>
          </w:tcPr>
          <w:p>
            <w:r/>
            <w:r>
              <w:rPr>
                <w:color w:val="1A1D21"/>
                <w:sz w:val="17"/>
              </w:rPr>
              <w:t>Gross profit</w:t>
            </w:r>
          </w:p>
        </w:tc>
        <w:tc>
          <w:tcPr>
            <w:tcW w:type="dxa" w:w="1871"/>
          </w:tcPr>
          <w:p>
            <w:pPr>
              <w:jc w:val="right"/>
            </w:pPr>
            <w:r/>
            <w:r>
              <w:rPr>
                <w:color w:val="1A1D21"/>
                <w:sz w:val="17"/>
              </w:rPr>
              <w:t>5,507.6</w:t>
            </w:r>
          </w:p>
        </w:tc>
        <w:tc>
          <w:tcPr>
            <w:tcW w:type="dxa" w:w="1871"/>
          </w:tcPr>
          <w:p>
            <w:pPr>
              <w:jc w:val="right"/>
            </w:pPr>
            <w:r/>
            <w:r>
              <w:rPr>
                <w:color w:val="1A1D21"/>
                <w:sz w:val="17"/>
              </w:rPr>
              <w:t>9,330.1</w:t>
            </w:r>
          </w:p>
        </w:tc>
        <w:tc>
          <w:tcPr>
            <w:tcW w:type="dxa" w:w="1871"/>
          </w:tcPr>
          <w:p>
            <w:pPr>
              <w:jc w:val="right"/>
            </w:pPr>
            <w:r/>
            <w:r>
              <w:rPr>
                <w:color w:val="1A1D21"/>
                <w:sz w:val="17"/>
              </w:rPr>
              <w:t>14,887.6</w:t>
            </w:r>
          </w:p>
        </w:tc>
      </w:tr>
      <w:tr>
        <w:trPr>
          <w:cantSplit/>
        </w:trPr>
        <w:tc>
          <w:tcPr>
            <w:tcW w:type="dxa" w:w="3515"/>
          </w:tcPr>
          <w:p>
            <w:r/>
            <w:r>
              <w:rPr>
                <w:color w:val="1A1D21"/>
                <w:sz w:val="17"/>
              </w:rPr>
              <w:t>Overheads</w:t>
            </w:r>
          </w:p>
        </w:tc>
        <w:tc>
          <w:tcPr>
            <w:tcW w:type="dxa" w:w="1871"/>
          </w:tcPr>
          <w:p>
            <w:pPr>
              <w:jc w:val="right"/>
            </w:pPr>
            <w:r/>
            <w:r>
              <w:rPr>
                <w:color w:val="1A1D21"/>
                <w:sz w:val="17"/>
              </w:rPr>
              <w:t>-2,060.5</w:t>
            </w:r>
          </w:p>
        </w:tc>
        <w:tc>
          <w:tcPr>
            <w:tcW w:type="dxa" w:w="1871"/>
          </w:tcPr>
          <w:p>
            <w:pPr>
              <w:jc w:val="right"/>
            </w:pPr>
            <w:r/>
            <w:r>
              <w:rPr>
                <w:color w:val="1A1D21"/>
                <w:sz w:val="17"/>
              </w:rPr>
              <w:t>-3,435.8</w:t>
            </w:r>
          </w:p>
        </w:tc>
        <w:tc>
          <w:tcPr>
            <w:tcW w:type="dxa" w:w="1871"/>
          </w:tcPr>
          <w:p>
            <w:pPr>
              <w:jc w:val="right"/>
            </w:pPr>
            <w:r/>
            <w:r>
              <w:rPr>
                <w:color w:val="1A1D21"/>
                <w:sz w:val="17"/>
              </w:rPr>
              <w:t>-6,365.6</w:t>
            </w:r>
          </w:p>
        </w:tc>
      </w:tr>
      <w:tr>
        <w:trPr>
          <w:cantSplit/>
        </w:trPr>
        <w:tc>
          <w:tcPr>
            <w:tcW w:type="dxa" w:w="3515"/>
          </w:tcPr>
          <w:p>
            <w:r/>
            <w:r>
              <w:rPr>
                <w:color w:val="1A1D21"/>
                <w:sz w:val="17"/>
              </w:rPr>
              <w:t>Depreciation and amortisation</w:t>
            </w:r>
          </w:p>
        </w:tc>
        <w:tc>
          <w:tcPr>
            <w:tcW w:type="dxa" w:w="1871"/>
          </w:tcPr>
          <w:p>
            <w:pPr>
              <w:jc w:val="right"/>
            </w:pPr>
            <w:r/>
            <w:r>
              <w:rPr>
                <w:color w:val="1A1D21"/>
                <w:sz w:val="17"/>
              </w:rPr>
              <w:t>-178.6</w:t>
            </w:r>
          </w:p>
        </w:tc>
        <w:tc>
          <w:tcPr>
            <w:tcW w:type="dxa" w:w="1871"/>
          </w:tcPr>
          <w:p>
            <w:pPr>
              <w:jc w:val="right"/>
            </w:pPr>
            <w:r/>
            <w:r>
              <w:rPr>
                <w:color w:val="1A1D21"/>
                <w:sz w:val="17"/>
              </w:rPr>
              <w:t>-239.9</w:t>
            </w:r>
          </w:p>
        </w:tc>
        <w:tc>
          <w:tcPr>
            <w:tcW w:type="dxa" w:w="1871"/>
          </w:tcPr>
          <w:p>
            <w:pPr>
              <w:jc w:val="right"/>
            </w:pPr>
            <w:r/>
            <w:r>
              <w:rPr>
                <w:color w:val="1A1D21"/>
                <w:sz w:val="17"/>
              </w:rPr>
              <w:t>-353.7</w:t>
            </w:r>
          </w:p>
        </w:tc>
      </w:tr>
      <w:tr>
        <w:trPr>
          <w:cantSplit/>
        </w:trPr>
        <w:tc>
          <w:tcPr>
            <w:tcW w:type="dxa" w:w="3515"/>
          </w:tcPr>
          <w:p>
            <w:r/>
            <w:r>
              <w:rPr>
                <w:color w:val="1A1D21"/>
                <w:sz w:val="17"/>
              </w:rPr>
              <w:t>Finance cost</w:t>
            </w:r>
          </w:p>
        </w:tc>
        <w:tc>
          <w:tcPr>
            <w:tcW w:type="dxa" w:w="1871"/>
          </w:tcPr>
          <w:p>
            <w:r/>
            <w:r>
              <w:rPr>
                <w:color w:val="1A1D21"/>
                <w:sz w:val="17"/>
              </w:rPr>
            </w:r>
          </w:p>
        </w:tc>
        <w:tc>
          <w:tcPr>
            <w:tcW w:type="dxa" w:w="1871"/>
          </w:tcPr>
          <w:p>
            <w:pPr>
              <w:jc w:val="right"/>
            </w:pPr>
            <w:r/>
            <w:r>
              <w:rPr>
                <w:color w:val="1A1D21"/>
                <w:sz w:val="17"/>
              </w:rPr>
              <w:t>-2,311.4</w:t>
            </w:r>
          </w:p>
        </w:tc>
        <w:tc>
          <w:tcPr>
            <w:tcW w:type="dxa" w:w="1871"/>
          </w:tcPr>
          <w:p>
            <w:pPr>
              <w:jc w:val="right"/>
            </w:pPr>
            <w:r/>
            <w:r>
              <w:rPr>
                <w:color w:val="1A1D21"/>
                <w:sz w:val="17"/>
              </w:rPr>
              <w:t>-3,347.5</w:t>
            </w:r>
          </w:p>
        </w:tc>
      </w:tr>
      <w:tr>
        <w:trPr>
          <w:cantSplit/>
        </w:trPr>
        <w:tc>
          <w:tcPr>
            <w:tcW w:type="dxa" w:w="3515"/>
          </w:tcPr>
          <w:p>
            <w:r/>
            <w:r>
              <w:rPr>
                <w:color w:val="1A1D21"/>
                <w:sz w:val="17"/>
              </w:rPr>
              <w:t>Profit before tax</w:t>
            </w:r>
          </w:p>
        </w:tc>
        <w:tc>
          <w:tcPr>
            <w:tcW w:type="dxa" w:w="1871"/>
          </w:tcPr>
          <w:p>
            <w:pPr>
              <w:jc w:val="right"/>
            </w:pPr>
            <w:r/>
            <w:r>
              <w:rPr>
                <w:color w:val="1A1D21"/>
                <w:sz w:val="17"/>
              </w:rPr>
              <w:t>2,300.7</w:t>
            </w:r>
          </w:p>
        </w:tc>
        <w:tc>
          <w:tcPr>
            <w:tcW w:type="dxa" w:w="1871"/>
          </w:tcPr>
          <w:p>
            <w:pPr>
              <w:jc w:val="right"/>
            </w:pPr>
            <w:r/>
            <w:r>
              <w:rPr>
                <w:color w:val="1A1D21"/>
                <w:sz w:val="17"/>
              </w:rPr>
              <w:t>4,320.6</w:t>
            </w:r>
          </w:p>
        </w:tc>
        <w:tc>
          <w:tcPr>
            <w:tcW w:type="dxa" w:w="1871"/>
          </w:tcPr>
          <w:p>
            <w:pPr>
              <w:jc w:val="right"/>
            </w:pPr>
            <w:r/>
            <w:r>
              <w:rPr>
                <w:color w:val="1A1D21"/>
                <w:sz w:val="17"/>
              </w:rPr>
              <w:t>6,251.1</w:t>
            </w:r>
          </w:p>
        </w:tc>
      </w:tr>
      <w:tr>
        <w:trPr>
          <w:cantSplit/>
        </w:trPr>
        <w:tc>
          <w:tcPr>
            <w:tcW w:type="dxa" w:w="3515"/>
          </w:tcPr>
          <w:p>
            <w:r/>
            <w:r>
              <w:rPr>
                <w:color w:val="1A1D21"/>
                <w:sz w:val="17"/>
              </w:rPr>
              <w:t>Tax</w:t>
            </w:r>
          </w:p>
        </w:tc>
        <w:tc>
          <w:tcPr>
            <w:tcW w:type="dxa" w:w="1871"/>
          </w:tcPr>
          <w:p>
            <w:pPr>
              <w:jc w:val="right"/>
            </w:pPr>
            <w:r/>
            <w:r>
              <w:rPr>
                <w:color w:val="1A1D21"/>
                <w:sz w:val="17"/>
              </w:rPr>
              <w:t>-567.3</w:t>
            </w:r>
          </w:p>
        </w:tc>
        <w:tc>
          <w:tcPr>
            <w:tcW w:type="dxa" w:w="1871"/>
          </w:tcPr>
          <w:p>
            <w:pPr>
              <w:jc w:val="right"/>
            </w:pPr>
            <w:r/>
            <w:r>
              <w:rPr>
                <w:color w:val="1A1D21"/>
                <w:sz w:val="17"/>
              </w:rPr>
              <w:t>-917.1</w:t>
            </w:r>
          </w:p>
        </w:tc>
        <w:tc>
          <w:tcPr>
            <w:tcW w:type="dxa" w:w="1871"/>
          </w:tcPr>
          <w:p>
            <w:pPr>
              <w:jc w:val="right"/>
            </w:pPr>
            <w:r/>
            <w:r>
              <w:rPr>
                <w:color w:val="1A1D21"/>
                <w:sz w:val="17"/>
              </w:rPr>
              <w:t>-1,827.2</w:t>
            </w:r>
          </w:p>
        </w:tc>
      </w:tr>
      <w:tr>
        <w:trPr>
          <w:cantSplit/>
        </w:trPr>
        <w:tc>
          <w:tcPr>
            <w:tcW w:type="dxa" w:w="3515"/>
          </w:tcPr>
          <w:p>
            <w:r/>
            <w:r>
              <w:rPr>
                <w:color w:val="1A1D21"/>
                <w:sz w:val="17"/>
              </w:rPr>
              <w:t>Profit after tax</w:t>
            </w:r>
          </w:p>
        </w:tc>
        <w:tc>
          <w:tcPr>
            <w:tcW w:type="dxa" w:w="1871"/>
          </w:tcPr>
          <w:p>
            <w:pPr>
              <w:jc w:val="right"/>
            </w:pPr>
            <w:r/>
            <w:r>
              <w:rPr>
                <w:color w:val="1A1D21"/>
                <w:sz w:val="17"/>
              </w:rPr>
              <w:t>1,733.4</w:t>
            </w:r>
          </w:p>
        </w:tc>
        <w:tc>
          <w:tcPr>
            <w:tcW w:type="dxa" w:w="1871"/>
          </w:tcPr>
          <w:p>
            <w:pPr>
              <w:jc w:val="right"/>
            </w:pPr>
            <w:r/>
            <w:r>
              <w:rPr>
                <w:color w:val="1A1D21"/>
                <w:sz w:val="17"/>
              </w:rPr>
              <w:t>3,403.5</w:t>
            </w:r>
          </w:p>
        </w:tc>
        <w:tc>
          <w:tcPr>
            <w:tcW w:type="dxa" w:w="1871"/>
          </w:tcPr>
          <w:p>
            <w:pPr>
              <w:jc w:val="right"/>
            </w:pPr>
            <w:r/>
            <w:r>
              <w:rPr>
                <w:color w:val="1A1D21"/>
                <w:sz w:val="17"/>
              </w:rPr>
              <w:t>4,423.8</w:t>
            </w:r>
          </w:p>
        </w:tc>
      </w:tr>
      <w:tr>
        <w:trPr>
          <w:cantSplit/>
        </w:trPr>
        <w:tc>
          <w:tcPr>
            <w:tcW w:type="dxa" w:w="3515"/>
          </w:tcPr>
          <w:p>
            <w:r/>
            <w:r>
              <w:rPr>
                <w:color w:val="1A1D21"/>
                <w:sz w:val="17"/>
              </w:rPr>
              <w:t>Minority interest</w:t>
            </w:r>
          </w:p>
        </w:tc>
        <w:tc>
          <w:tcPr>
            <w:tcW w:type="dxa" w:w="1871"/>
          </w:tcPr>
          <w:p>
            <w:pPr>
              <w:jc w:val="right"/>
            </w:pPr>
            <w:r/>
            <w:r>
              <w:rPr>
                <w:color w:val="1A1D21"/>
                <w:sz w:val="17"/>
              </w:rPr>
              <w:t>-151.9</w:t>
            </w:r>
          </w:p>
        </w:tc>
        <w:tc>
          <w:tcPr>
            <w:tcW w:type="dxa" w:w="1871"/>
          </w:tcPr>
          <w:p>
            <w:pPr>
              <w:jc w:val="right"/>
            </w:pPr>
            <w:r/>
            <w:r>
              <w:rPr>
                <w:color w:val="1A1D21"/>
                <w:sz w:val="17"/>
              </w:rPr>
              <w:t>-148.5</w:t>
            </w:r>
          </w:p>
        </w:tc>
        <w:tc>
          <w:tcPr>
            <w:tcW w:type="dxa" w:w="1871"/>
          </w:tcPr>
          <w:p>
            <w:pPr>
              <w:jc w:val="right"/>
            </w:pPr>
            <w:r/>
            <w:r>
              <w:rPr>
                <w:color w:val="1A1D21"/>
                <w:sz w:val="17"/>
              </w:rPr>
              <w:t>-207.2</w:t>
            </w:r>
          </w:p>
        </w:tc>
      </w:tr>
      <w:tr>
        <w:trPr>
          <w:cantSplit/>
        </w:trPr>
        <w:tc>
          <w:tcPr>
            <w:tcW w:type="dxa" w:w="3515"/>
          </w:tcPr>
          <w:p>
            <w:r/>
            <w:r>
              <w:rPr>
                <w:color w:val="1A1D21"/>
                <w:sz w:val="17"/>
              </w:rPr>
              <w:t>Profit attributable to shareholders</w:t>
            </w:r>
          </w:p>
        </w:tc>
        <w:tc>
          <w:tcPr>
            <w:tcW w:type="dxa" w:w="1871"/>
          </w:tcPr>
          <w:p>
            <w:pPr>
              <w:jc w:val="right"/>
            </w:pPr>
            <w:r/>
            <w:r>
              <w:rPr>
                <w:color w:val="1A1D21"/>
                <w:sz w:val="17"/>
              </w:rPr>
              <w:t>1,581.5</w:t>
            </w:r>
          </w:p>
        </w:tc>
        <w:tc>
          <w:tcPr>
            <w:tcW w:type="dxa" w:w="1871"/>
          </w:tcPr>
          <w:p>
            <w:pPr>
              <w:jc w:val="right"/>
            </w:pPr>
            <w:r/>
            <w:r>
              <w:rPr>
                <w:color w:val="1A1D21"/>
                <w:sz w:val="17"/>
              </w:rPr>
              <w:t>3,254.9</w:t>
            </w:r>
          </w:p>
        </w:tc>
        <w:tc>
          <w:tcPr>
            <w:tcW w:type="dxa" w:w="1871"/>
          </w:tcPr>
          <w:p>
            <w:pPr>
              <w:jc w:val="right"/>
            </w:pPr>
            <w:r/>
            <w:r>
              <w:rPr>
                <w:color w:val="1A1D21"/>
                <w:sz w:val="17"/>
              </w:rPr>
              <w:t>4,216.7</w:t>
            </w:r>
          </w:p>
        </w:tc>
      </w:tr>
    </w:tbl>
    <w:p>
      <w:pPr>
        <w:spacing w:after="200"/>
      </w:pPr>
      <w:r>
        <w:rPr>
          <w:b w:val="0"/>
          <w:i/>
          <w:color w:val="5B6570"/>
          <w:sz w:val="16"/>
        </w:rPr>
        <w:t>Three years, each as that year's own audited statements reported it. Revenue less cost of revenue less the cash discount foots to reported gross profit in all three years, and profit before tax less tax less minority interest foots to the attributable figure.</w:t>
      </w:r>
    </w:p>
    <w:p>
      <w:pPr>
        <w:spacing w:after="140"/>
      </w:pPr>
      <w:r>
        <w:rPr>
          <w:b w:val="0"/>
          <w:i w:val="0"/>
          <w:color w:val="1A1D21"/>
          <w:sz w:val="20"/>
        </w:rPr>
        <w:t>One presentational difference is worth naming rather than smoothing. Cost of revenue for 2024 is EGP 17,739.9 million as the company reported it that year and EGP 17,837.2 million in the comparative column of the 2025 statements — a difference of EGP 97.3 million, exactly that year's cash discount, which the later presentation folds into cost. The forecast is built on the later basis throughout; the table above shows each year as first reported. Both figures are right on their own basis.</w:t>
      </w:r>
    </w:p>
    <w:tbl>
      <w:tblPr>
        <w:tblStyle w:val="TableGrid"/>
        <w:tblW w:type="auto" w:w="0"/>
        <w:jc w:val="center"/>
        <w:tblLayout w:type="fixed"/>
        <w:tblLook w:firstColumn="1" w:firstRow="1" w:lastColumn="0" w:lastRow="0" w:noHBand="0" w:noVBand="1" w:val="04A0"/>
        <w:tblLayout w:type="fixed"/>
      </w:tblPr>
      <w:tblGrid>
        <w:gridCol w:w="3515"/>
        <w:gridCol w:w="1247"/>
        <w:gridCol w:w="1247"/>
        <w:gridCol w:w="1247"/>
        <w:gridCol w:w="1247"/>
        <w:gridCol w:w="1247"/>
      </w:tblGrid>
      <w:tr>
        <w:trPr>
          <w:tblHeader w:val="true"/>
        </w:trPr>
        <w:tc>
          <w:tcPr>
            <w:tcW w:type="dxa" w:w="3515"/>
          </w:tcPr>
          <w:p>
            <w:r/>
            <w:r>
              <w:rPr>
                <w:b/>
                <w:color w:val="5B6570"/>
                <w:sz w:val="17"/>
              </w:rPr>
              <w:t>Forecast, EGP million</w:t>
            </w:r>
          </w:p>
        </w:tc>
        <w:tc>
          <w:tcPr>
            <w:tcW w:type="dxa" w:w="1247"/>
          </w:tcPr>
          <w:p>
            <w:r/>
            <w:r>
              <w:rPr>
                <w:b/>
                <w:color w:val="5B6570"/>
                <w:sz w:val="17"/>
              </w:rPr>
              <w:t>2026</w:t>
            </w:r>
          </w:p>
        </w:tc>
        <w:tc>
          <w:tcPr>
            <w:tcW w:type="dxa" w:w="1247"/>
          </w:tcPr>
          <w:p>
            <w:r/>
            <w:r>
              <w:rPr>
                <w:b/>
                <w:color w:val="5B6570"/>
                <w:sz w:val="17"/>
              </w:rPr>
              <w:t>2027</w:t>
            </w:r>
          </w:p>
        </w:tc>
        <w:tc>
          <w:tcPr>
            <w:tcW w:type="dxa" w:w="1247"/>
          </w:tcPr>
          <w:p>
            <w:r/>
            <w:r>
              <w:rPr>
                <w:b/>
                <w:color w:val="5B6570"/>
                <w:sz w:val="17"/>
              </w:rPr>
              <w:t>2028</w:t>
            </w:r>
          </w:p>
        </w:tc>
        <w:tc>
          <w:tcPr>
            <w:tcW w:type="dxa" w:w="1247"/>
          </w:tcPr>
          <w:p>
            <w:r/>
            <w:r>
              <w:rPr>
                <w:b/>
                <w:color w:val="5B6570"/>
                <w:sz w:val="17"/>
              </w:rPr>
              <w:t>2029</w:t>
            </w:r>
          </w:p>
        </w:tc>
        <w:tc>
          <w:tcPr>
            <w:tcW w:type="dxa" w:w="1247"/>
          </w:tcPr>
          <w:p>
            <w:r/>
            <w:r>
              <w:rPr>
                <w:b/>
                <w:color w:val="5B6570"/>
                <w:sz w:val="17"/>
              </w:rPr>
              <w:t>2030</w:t>
            </w:r>
          </w:p>
        </w:tc>
      </w:tr>
      <w:tr>
        <w:trPr>
          <w:cantSplit/>
        </w:trPr>
        <w:tc>
          <w:tcPr>
            <w:tcW w:type="dxa" w:w="3515"/>
          </w:tcPr>
          <w:p>
            <w:r/>
            <w:r>
              <w:rPr>
                <w:color w:val="1A1D21"/>
                <w:sz w:val="17"/>
              </w:rPr>
              <w:t>Units delivered</w:t>
            </w:r>
          </w:p>
        </w:tc>
        <w:tc>
          <w:tcPr>
            <w:tcW w:type="dxa" w:w="1247"/>
          </w:tcPr>
          <w:p>
            <w:pPr>
              <w:jc w:val="right"/>
            </w:pPr>
            <w:r/>
            <w:r>
              <w:rPr>
                <w:color w:val="1A1D21"/>
                <w:sz w:val="17"/>
              </w:rPr>
              <w:t>1,886</w:t>
            </w:r>
          </w:p>
        </w:tc>
        <w:tc>
          <w:tcPr>
            <w:tcW w:type="dxa" w:w="1247"/>
          </w:tcPr>
          <w:p>
            <w:pPr>
              <w:jc w:val="right"/>
            </w:pPr>
            <w:r/>
            <w:r>
              <w:rPr>
                <w:color w:val="1A1D21"/>
                <w:sz w:val="17"/>
              </w:rPr>
              <w:t>2,168</w:t>
            </w:r>
          </w:p>
        </w:tc>
        <w:tc>
          <w:tcPr>
            <w:tcW w:type="dxa" w:w="1247"/>
          </w:tcPr>
          <w:p>
            <w:pPr>
              <w:jc w:val="right"/>
            </w:pPr>
            <w:r/>
            <w:r>
              <w:rPr>
                <w:color w:val="1A1D21"/>
                <w:sz w:val="17"/>
              </w:rPr>
              <w:t>2,494</w:t>
            </w:r>
          </w:p>
        </w:tc>
        <w:tc>
          <w:tcPr>
            <w:tcW w:type="dxa" w:w="1247"/>
          </w:tcPr>
          <w:p>
            <w:pPr>
              <w:jc w:val="right"/>
            </w:pPr>
            <w:r/>
            <w:r>
              <w:rPr>
                <w:color w:val="1A1D21"/>
                <w:sz w:val="17"/>
              </w:rPr>
              <w:t>2,868</w:t>
            </w:r>
          </w:p>
        </w:tc>
        <w:tc>
          <w:tcPr>
            <w:tcW w:type="dxa" w:w="1247"/>
          </w:tcPr>
          <w:p>
            <w:pPr>
              <w:jc w:val="right"/>
            </w:pPr>
            <w:r/>
            <w:r>
              <w:rPr>
                <w:color w:val="1A1D21"/>
                <w:sz w:val="17"/>
              </w:rPr>
              <w:t>3,298</w:t>
            </w:r>
          </w:p>
        </w:tc>
      </w:tr>
      <w:tr>
        <w:trPr>
          <w:cantSplit/>
        </w:trPr>
        <w:tc>
          <w:tcPr>
            <w:tcW w:type="dxa" w:w="3515"/>
          </w:tcPr>
          <w:p>
            <w:r/>
            <w:r>
              <w:rPr>
                <w:color w:val="1A1D21"/>
                <w:sz w:val="17"/>
              </w:rPr>
              <w:t>Revenue per delivered unit</w:t>
            </w:r>
          </w:p>
        </w:tc>
        <w:tc>
          <w:tcPr>
            <w:tcW w:type="dxa" w:w="1247"/>
          </w:tcPr>
          <w:p>
            <w:pPr>
              <w:jc w:val="right"/>
            </w:pPr>
            <w:r/>
            <w:r>
              <w:rPr>
                <w:color w:val="1A1D21"/>
                <w:sz w:val="17"/>
              </w:rPr>
              <w:t>21.29</w:t>
            </w:r>
          </w:p>
        </w:tc>
        <w:tc>
          <w:tcPr>
            <w:tcW w:type="dxa" w:w="1247"/>
          </w:tcPr>
          <w:p>
            <w:pPr>
              <w:jc w:val="right"/>
            </w:pPr>
            <w:r/>
            <w:r>
              <w:rPr>
                <w:color w:val="1A1D21"/>
                <w:sz w:val="17"/>
              </w:rPr>
              <w:t>26.66</w:t>
            </w:r>
          </w:p>
        </w:tc>
        <w:tc>
          <w:tcPr>
            <w:tcW w:type="dxa" w:w="1247"/>
          </w:tcPr>
          <w:p>
            <w:pPr>
              <w:jc w:val="right"/>
            </w:pPr>
            <w:r/>
            <w:r>
              <w:rPr>
                <w:color w:val="1A1D21"/>
                <w:sz w:val="17"/>
              </w:rPr>
              <w:t>33.38</w:t>
            </w:r>
          </w:p>
        </w:tc>
        <w:tc>
          <w:tcPr>
            <w:tcW w:type="dxa" w:w="1247"/>
          </w:tcPr>
          <w:p>
            <w:pPr>
              <w:jc w:val="right"/>
            </w:pPr>
            <w:r/>
            <w:r>
              <w:rPr>
                <w:color w:val="1A1D21"/>
                <w:sz w:val="17"/>
              </w:rPr>
              <w:t>41.79</w:t>
            </w:r>
          </w:p>
        </w:tc>
        <w:tc>
          <w:tcPr>
            <w:tcW w:type="dxa" w:w="1247"/>
          </w:tcPr>
          <w:p>
            <w:pPr>
              <w:jc w:val="right"/>
            </w:pPr>
            <w:r/>
            <w:r>
              <w:rPr>
                <w:color w:val="1A1D21"/>
                <w:sz w:val="17"/>
              </w:rPr>
              <w:t>52.32</w:t>
            </w:r>
          </w:p>
        </w:tc>
      </w:tr>
      <w:tr>
        <w:trPr>
          <w:cantSplit/>
        </w:trPr>
        <w:tc>
          <w:tcPr>
            <w:tcW w:type="dxa" w:w="3515"/>
          </w:tcPr>
          <w:p>
            <w:r/>
            <w:r>
              <w:rPr>
                <w:color w:val="1A1D21"/>
                <w:sz w:val="17"/>
              </w:rPr>
              <w:t>Revenue</w:t>
            </w:r>
          </w:p>
        </w:tc>
        <w:tc>
          <w:tcPr>
            <w:tcW w:type="dxa" w:w="1247"/>
          </w:tcPr>
          <w:p>
            <w:pPr>
              <w:jc w:val="right"/>
            </w:pPr>
            <w:r/>
            <w:r>
              <w:rPr>
                <w:color w:val="1A1D21"/>
                <w:sz w:val="17"/>
              </w:rPr>
              <w:t>40,148</w:t>
            </w:r>
          </w:p>
        </w:tc>
        <w:tc>
          <w:tcPr>
            <w:tcW w:type="dxa" w:w="1247"/>
          </w:tcPr>
          <w:p>
            <w:pPr>
              <w:jc w:val="right"/>
            </w:pPr>
            <w:r/>
            <w:r>
              <w:rPr>
                <w:color w:val="1A1D21"/>
                <w:sz w:val="17"/>
              </w:rPr>
              <w:t>57,805</w:t>
            </w:r>
          </w:p>
        </w:tc>
        <w:tc>
          <w:tcPr>
            <w:tcW w:type="dxa" w:w="1247"/>
          </w:tcPr>
          <w:p>
            <w:pPr>
              <w:jc w:val="right"/>
            </w:pPr>
            <w:r/>
            <w:r>
              <w:rPr>
                <w:color w:val="1A1D21"/>
                <w:sz w:val="17"/>
              </w:rPr>
              <w:t>83,228</w:t>
            </w:r>
          </w:p>
        </w:tc>
        <w:tc>
          <w:tcPr>
            <w:tcW w:type="dxa" w:w="1247"/>
          </w:tcPr>
          <w:p>
            <w:pPr>
              <w:jc w:val="right"/>
            </w:pPr>
            <w:r/>
            <w:r>
              <w:rPr>
                <w:color w:val="1A1D21"/>
                <w:sz w:val="17"/>
              </w:rPr>
              <w:t>119,831</w:t>
            </w:r>
          </w:p>
        </w:tc>
        <w:tc>
          <w:tcPr>
            <w:tcW w:type="dxa" w:w="1247"/>
          </w:tcPr>
          <w:p>
            <w:pPr>
              <w:jc w:val="right"/>
            </w:pPr>
            <w:r/>
            <w:r>
              <w:rPr>
                <w:color w:val="1A1D21"/>
                <w:sz w:val="17"/>
              </w:rPr>
              <w:t>172,533</w:t>
            </w:r>
          </w:p>
        </w:tc>
      </w:tr>
      <w:tr>
        <w:trPr>
          <w:cantSplit/>
        </w:trPr>
        <w:tc>
          <w:tcPr>
            <w:tcW w:type="dxa" w:w="3515"/>
          </w:tcPr>
          <w:p>
            <w:r/>
            <w:r>
              <w:rPr>
                <w:color w:val="1A1D21"/>
                <w:sz w:val="17"/>
              </w:rPr>
              <w:t>Cost per delivered unit</w:t>
            </w:r>
          </w:p>
        </w:tc>
        <w:tc>
          <w:tcPr>
            <w:tcW w:type="dxa" w:w="1247"/>
          </w:tcPr>
          <w:p>
            <w:pPr>
              <w:jc w:val="right"/>
            </w:pPr>
            <w:r/>
            <w:r>
              <w:rPr>
                <w:color w:val="1A1D21"/>
                <w:sz w:val="17"/>
              </w:rPr>
              <w:t>13.13</w:t>
            </w:r>
          </w:p>
        </w:tc>
        <w:tc>
          <w:tcPr>
            <w:tcW w:type="dxa" w:w="1247"/>
          </w:tcPr>
          <w:p>
            <w:pPr>
              <w:jc w:val="right"/>
            </w:pPr>
            <w:r/>
            <w:r>
              <w:rPr>
                <w:color w:val="1A1D21"/>
                <w:sz w:val="17"/>
              </w:rPr>
              <w:t>16.44</w:t>
            </w:r>
          </w:p>
        </w:tc>
        <w:tc>
          <w:tcPr>
            <w:tcW w:type="dxa" w:w="1247"/>
          </w:tcPr>
          <w:p>
            <w:pPr>
              <w:jc w:val="right"/>
            </w:pPr>
            <w:r/>
            <w:r>
              <w:rPr>
                <w:color w:val="1A1D21"/>
                <w:sz w:val="17"/>
              </w:rPr>
              <w:t>20.59</w:t>
            </w:r>
          </w:p>
        </w:tc>
        <w:tc>
          <w:tcPr>
            <w:tcW w:type="dxa" w:w="1247"/>
          </w:tcPr>
          <w:p>
            <w:pPr>
              <w:jc w:val="right"/>
            </w:pPr>
            <w:r/>
            <w:r>
              <w:rPr>
                <w:color w:val="1A1D21"/>
                <w:sz w:val="17"/>
              </w:rPr>
              <w:t>25.77</w:t>
            </w:r>
          </w:p>
        </w:tc>
        <w:tc>
          <w:tcPr>
            <w:tcW w:type="dxa" w:w="1247"/>
          </w:tcPr>
          <w:p>
            <w:pPr>
              <w:jc w:val="right"/>
            </w:pPr>
            <w:r/>
            <w:r>
              <w:rPr>
                <w:color w:val="1A1D21"/>
                <w:sz w:val="17"/>
              </w:rPr>
              <w:t>32.27</w:t>
            </w:r>
          </w:p>
        </w:tc>
      </w:tr>
      <w:tr>
        <w:trPr>
          <w:cantSplit/>
        </w:trPr>
        <w:tc>
          <w:tcPr>
            <w:tcW w:type="dxa" w:w="3515"/>
          </w:tcPr>
          <w:p>
            <w:r/>
            <w:r>
              <w:rPr>
                <w:color w:val="1A1D21"/>
                <w:sz w:val="17"/>
              </w:rPr>
              <w:t>Cost of revenue</w:t>
            </w:r>
          </w:p>
        </w:tc>
        <w:tc>
          <w:tcPr>
            <w:tcW w:type="dxa" w:w="1247"/>
          </w:tcPr>
          <w:p>
            <w:pPr>
              <w:jc w:val="right"/>
            </w:pPr>
            <w:r/>
            <w:r>
              <w:rPr>
                <w:color w:val="1A1D21"/>
                <w:sz w:val="17"/>
              </w:rPr>
              <w:t>-24,762</w:t>
            </w:r>
          </w:p>
        </w:tc>
        <w:tc>
          <w:tcPr>
            <w:tcW w:type="dxa" w:w="1247"/>
          </w:tcPr>
          <w:p>
            <w:pPr>
              <w:jc w:val="right"/>
            </w:pPr>
            <w:r/>
            <w:r>
              <w:rPr>
                <w:color w:val="1A1D21"/>
                <w:sz w:val="17"/>
              </w:rPr>
              <w:t>-35,653</w:t>
            </w:r>
          </w:p>
        </w:tc>
        <w:tc>
          <w:tcPr>
            <w:tcW w:type="dxa" w:w="1247"/>
          </w:tcPr>
          <w:p>
            <w:pPr>
              <w:jc w:val="right"/>
            </w:pPr>
            <w:r/>
            <w:r>
              <w:rPr>
                <w:color w:val="1A1D21"/>
                <w:sz w:val="17"/>
              </w:rPr>
              <w:t>-51,333</w:t>
            </w:r>
          </w:p>
        </w:tc>
        <w:tc>
          <w:tcPr>
            <w:tcW w:type="dxa" w:w="1247"/>
          </w:tcPr>
          <w:p>
            <w:pPr>
              <w:jc w:val="right"/>
            </w:pPr>
            <w:r/>
            <w:r>
              <w:rPr>
                <w:color w:val="1A1D21"/>
                <w:sz w:val="17"/>
              </w:rPr>
              <w:t>-73,909</w:t>
            </w:r>
          </w:p>
        </w:tc>
        <w:tc>
          <w:tcPr>
            <w:tcW w:type="dxa" w:w="1247"/>
          </w:tcPr>
          <w:p>
            <w:pPr>
              <w:jc w:val="right"/>
            </w:pPr>
            <w:r/>
            <w:r>
              <w:rPr>
                <w:color w:val="1A1D21"/>
                <w:sz w:val="17"/>
              </w:rPr>
              <w:t>-106,414</w:t>
            </w:r>
          </w:p>
        </w:tc>
      </w:tr>
      <w:tr>
        <w:trPr>
          <w:cantSplit/>
        </w:trPr>
        <w:tc>
          <w:tcPr>
            <w:tcW w:type="dxa" w:w="3515"/>
          </w:tcPr>
          <w:p>
            <w:r/>
            <w:r>
              <w:rPr>
                <w:color w:val="1A1D21"/>
                <w:sz w:val="17"/>
              </w:rPr>
              <w:t>Gross profit</w:t>
            </w:r>
          </w:p>
        </w:tc>
        <w:tc>
          <w:tcPr>
            <w:tcW w:type="dxa" w:w="1247"/>
          </w:tcPr>
          <w:p>
            <w:pPr>
              <w:jc w:val="right"/>
            </w:pPr>
            <w:r/>
            <w:r>
              <w:rPr>
                <w:color w:val="1A1D21"/>
                <w:sz w:val="17"/>
              </w:rPr>
              <w:t>15,386</w:t>
            </w:r>
          </w:p>
        </w:tc>
        <w:tc>
          <w:tcPr>
            <w:tcW w:type="dxa" w:w="1247"/>
          </w:tcPr>
          <w:p>
            <w:pPr>
              <w:jc w:val="right"/>
            </w:pPr>
            <w:r/>
            <w:r>
              <w:rPr>
                <w:color w:val="1A1D21"/>
                <w:sz w:val="17"/>
              </w:rPr>
              <w:t>22,152</w:t>
            </w:r>
          </w:p>
        </w:tc>
        <w:tc>
          <w:tcPr>
            <w:tcW w:type="dxa" w:w="1247"/>
          </w:tcPr>
          <w:p>
            <w:pPr>
              <w:jc w:val="right"/>
            </w:pPr>
            <w:r/>
            <w:r>
              <w:rPr>
                <w:color w:val="1A1D21"/>
                <w:sz w:val="17"/>
              </w:rPr>
              <w:t>31,895</w:t>
            </w:r>
          </w:p>
        </w:tc>
        <w:tc>
          <w:tcPr>
            <w:tcW w:type="dxa" w:w="1247"/>
          </w:tcPr>
          <w:p>
            <w:pPr>
              <w:jc w:val="right"/>
            </w:pPr>
            <w:r/>
            <w:r>
              <w:rPr>
                <w:color w:val="1A1D21"/>
                <w:sz w:val="17"/>
              </w:rPr>
              <w:t>45,922</w:t>
            </w:r>
          </w:p>
        </w:tc>
        <w:tc>
          <w:tcPr>
            <w:tcW w:type="dxa" w:w="1247"/>
          </w:tcPr>
          <w:p>
            <w:pPr>
              <w:jc w:val="right"/>
            </w:pPr>
            <w:r/>
            <w:r>
              <w:rPr>
                <w:color w:val="1A1D21"/>
                <w:sz w:val="17"/>
              </w:rPr>
              <w:t>66,119</w:t>
            </w:r>
          </w:p>
        </w:tc>
      </w:tr>
      <w:tr>
        <w:trPr>
          <w:cantSplit/>
        </w:trPr>
        <w:tc>
          <w:tcPr>
            <w:tcW w:type="dxa" w:w="3515"/>
          </w:tcPr>
          <w:p>
            <w:r/>
            <w:r>
              <w:rPr>
                <w:color w:val="1A1D21"/>
                <w:sz w:val="17"/>
              </w:rPr>
              <w:t>Gross margin</w:t>
            </w:r>
          </w:p>
        </w:tc>
        <w:tc>
          <w:tcPr>
            <w:tcW w:type="dxa" w:w="1247"/>
          </w:tcPr>
          <w:p>
            <w:pPr>
              <w:jc w:val="right"/>
            </w:pPr>
            <w:r/>
            <w:r>
              <w:rPr>
                <w:color w:val="1A1D21"/>
                <w:sz w:val="17"/>
              </w:rPr>
              <w:t>38.3%</w:t>
            </w:r>
          </w:p>
        </w:tc>
        <w:tc>
          <w:tcPr>
            <w:tcW w:type="dxa" w:w="1247"/>
          </w:tcPr>
          <w:p>
            <w:pPr>
              <w:jc w:val="right"/>
            </w:pPr>
            <w:r/>
            <w:r>
              <w:rPr>
                <w:color w:val="1A1D21"/>
                <w:sz w:val="17"/>
              </w:rPr>
              <w:t>38.3%</w:t>
            </w:r>
          </w:p>
        </w:tc>
        <w:tc>
          <w:tcPr>
            <w:tcW w:type="dxa" w:w="1247"/>
          </w:tcPr>
          <w:p>
            <w:pPr>
              <w:jc w:val="right"/>
            </w:pPr>
            <w:r/>
            <w:r>
              <w:rPr>
                <w:color w:val="1A1D21"/>
                <w:sz w:val="17"/>
              </w:rPr>
              <w:t>38.3%</w:t>
            </w:r>
          </w:p>
        </w:tc>
        <w:tc>
          <w:tcPr>
            <w:tcW w:type="dxa" w:w="1247"/>
          </w:tcPr>
          <w:p>
            <w:pPr>
              <w:jc w:val="right"/>
            </w:pPr>
            <w:r/>
            <w:r>
              <w:rPr>
                <w:color w:val="1A1D21"/>
                <w:sz w:val="17"/>
              </w:rPr>
              <w:t>38.3%</w:t>
            </w:r>
          </w:p>
        </w:tc>
        <w:tc>
          <w:tcPr>
            <w:tcW w:type="dxa" w:w="1247"/>
          </w:tcPr>
          <w:p>
            <w:pPr>
              <w:jc w:val="right"/>
            </w:pPr>
            <w:r/>
            <w:r>
              <w:rPr>
                <w:color w:val="1A1D21"/>
                <w:sz w:val="17"/>
              </w:rPr>
              <w:t>38.3%</w:t>
            </w:r>
          </w:p>
        </w:tc>
      </w:tr>
      <w:tr>
        <w:trPr>
          <w:cantSplit/>
        </w:trPr>
        <w:tc>
          <w:tcPr>
            <w:tcW w:type="dxa" w:w="3515"/>
          </w:tcPr>
          <w:p>
            <w:r/>
            <w:r>
              <w:rPr>
                <w:color w:val="1A1D21"/>
                <w:sz w:val="17"/>
              </w:rPr>
              <w:t>Overheads</w:t>
            </w:r>
          </w:p>
        </w:tc>
        <w:tc>
          <w:tcPr>
            <w:tcW w:type="dxa" w:w="1247"/>
          </w:tcPr>
          <w:p>
            <w:pPr>
              <w:jc w:val="right"/>
            </w:pPr>
            <w:r/>
            <w:r>
              <w:rPr>
                <w:color w:val="1A1D21"/>
                <w:sz w:val="17"/>
              </w:rPr>
              <w:t>-7,066</w:t>
            </w:r>
          </w:p>
        </w:tc>
        <w:tc>
          <w:tcPr>
            <w:tcW w:type="dxa" w:w="1247"/>
          </w:tcPr>
          <w:p>
            <w:pPr>
              <w:jc w:val="right"/>
            </w:pPr>
            <w:r/>
            <w:r>
              <w:rPr>
                <w:color w:val="1A1D21"/>
                <w:sz w:val="17"/>
              </w:rPr>
              <w:t>-10,173</w:t>
            </w:r>
          </w:p>
        </w:tc>
        <w:tc>
          <w:tcPr>
            <w:tcW w:type="dxa" w:w="1247"/>
          </w:tcPr>
          <w:p>
            <w:pPr>
              <w:jc w:val="right"/>
            </w:pPr>
            <w:r/>
            <w:r>
              <w:rPr>
                <w:color w:val="1A1D21"/>
                <w:sz w:val="17"/>
              </w:rPr>
              <w:t>-14,648</w:t>
            </w:r>
          </w:p>
        </w:tc>
        <w:tc>
          <w:tcPr>
            <w:tcW w:type="dxa" w:w="1247"/>
          </w:tcPr>
          <w:p>
            <w:pPr>
              <w:jc w:val="right"/>
            </w:pPr>
            <w:r/>
            <w:r>
              <w:rPr>
                <w:color w:val="1A1D21"/>
                <w:sz w:val="17"/>
              </w:rPr>
              <w:t>-21,090</w:t>
            </w:r>
          </w:p>
        </w:tc>
        <w:tc>
          <w:tcPr>
            <w:tcW w:type="dxa" w:w="1247"/>
          </w:tcPr>
          <w:p>
            <w:pPr>
              <w:jc w:val="right"/>
            </w:pPr>
            <w:r/>
            <w:r>
              <w:rPr>
                <w:color w:val="1A1D21"/>
                <w:sz w:val="17"/>
              </w:rPr>
              <w:t>-30,365</w:t>
            </w:r>
          </w:p>
        </w:tc>
      </w:tr>
      <w:tr>
        <w:trPr>
          <w:cantSplit/>
        </w:trPr>
        <w:tc>
          <w:tcPr>
            <w:tcW w:type="dxa" w:w="3515"/>
          </w:tcPr>
          <w:p>
            <w:r/>
            <w:r>
              <w:rPr>
                <w:color w:val="1A1D21"/>
                <w:sz w:val="17"/>
              </w:rPr>
              <w:t>Depreciation and amortisation</w:t>
            </w:r>
          </w:p>
        </w:tc>
        <w:tc>
          <w:tcPr>
            <w:tcW w:type="dxa" w:w="1247"/>
          </w:tcPr>
          <w:p>
            <w:pPr>
              <w:jc w:val="right"/>
            </w:pPr>
            <w:r/>
            <w:r>
              <w:rPr>
                <w:color w:val="1A1D21"/>
                <w:sz w:val="17"/>
              </w:rPr>
              <w:t>-393</w:t>
            </w:r>
          </w:p>
        </w:tc>
        <w:tc>
          <w:tcPr>
            <w:tcW w:type="dxa" w:w="1247"/>
          </w:tcPr>
          <w:p>
            <w:pPr>
              <w:jc w:val="right"/>
            </w:pPr>
            <w:r/>
            <w:r>
              <w:rPr>
                <w:color w:val="1A1D21"/>
                <w:sz w:val="17"/>
              </w:rPr>
              <w:t>-565</w:t>
            </w:r>
          </w:p>
        </w:tc>
        <w:tc>
          <w:tcPr>
            <w:tcW w:type="dxa" w:w="1247"/>
          </w:tcPr>
          <w:p>
            <w:pPr>
              <w:jc w:val="right"/>
            </w:pPr>
            <w:r/>
            <w:r>
              <w:rPr>
                <w:color w:val="1A1D21"/>
                <w:sz w:val="17"/>
              </w:rPr>
              <w:t>-814</w:t>
            </w:r>
          </w:p>
        </w:tc>
        <w:tc>
          <w:tcPr>
            <w:tcW w:type="dxa" w:w="1247"/>
          </w:tcPr>
          <w:p>
            <w:pPr>
              <w:jc w:val="right"/>
            </w:pPr>
            <w:r/>
            <w:r>
              <w:rPr>
                <w:color w:val="1A1D21"/>
                <w:sz w:val="17"/>
              </w:rPr>
              <w:t>-1,172</w:t>
            </w:r>
          </w:p>
        </w:tc>
        <w:tc>
          <w:tcPr>
            <w:tcW w:type="dxa" w:w="1247"/>
          </w:tcPr>
          <w:p>
            <w:pPr>
              <w:jc w:val="right"/>
            </w:pPr>
            <w:r/>
            <w:r>
              <w:rPr>
                <w:color w:val="1A1D21"/>
                <w:sz w:val="17"/>
              </w:rPr>
              <w:t>-1,687</w:t>
            </w:r>
          </w:p>
        </w:tc>
      </w:tr>
      <w:tr>
        <w:trPr>
          <w:cantSplit/>
        </w:trPr>
        <w:tc>
          <w:tcPr>
            <w:tcW w:type="dxa" w:w="3515"/>
          </w:tcPr>
          <w:p>
            <w:r/>
            <w:r>
              <w:rPr>
                <w:color w:val="1A1D21"/>
                <w:sz w:val="17"/>
              </w:rPr>
              <w:t>Operating profit</w:t>
            </w:r>
          </w:p>
        </w:tc>
        <w:tc>
          <w:tcPr>
            <w:tcW w:type="dxa" w:w="1247"/>
          </w:tcPr>
          <w:p>
            <w:pPr>
              <w:jc w:val="right"/>
            </w:pPr>
            <w:r/>
            <w:r>
              <w:rPr>
                <w:color w:val="1A1D21"/>
                <w:sz w:val="17"/>
              </w:rPr>
              <w:t>7,927</w:t>
            </w:r>
          </w:p>
        </w:tc>
        <w:tc>
          <w:tcPr>
            <w:tcW w:type="dxa" w:w="1247"/>
          </w:tcPr>
          <w:p>
            <w:pPr>
              <w:jc w:val="right"/>
            </w:pPr>
            <w:r/>
            <w:r>
              <w:rPr>
                <w:color w:val="1A1D21"/>
                <w:sz w:val="17"/>
              </w:rPr>
              <w:t>11,414</w:t>
            </w:r>
          </w:p>
        </w:tc>
        <w:tc>
          <w:tcPr>
            <w:tcW w:type="dxa" w:w="1247"/>
          </w:tcPr>
          <w:p>
            <w:pPr>
              <w:jc w:val="right"/>
            </w:pPr>
            <w:r/>
            <w:r>
              <w:rPr>
                <w:color w:val="1A1D21"/>
                <w:sz w:val="17"/>
              </w:rPr>
              <w:t>16,433</w:t>
            </w:r>
          </w:p>
        </w:tc>
        <w:tc>
          <w:tcPr>
            <w:tcW w:type="dxa" w:w="1247"/>
          </w:tcPr>
          <w:p>
            <w:pPr>
              <w:jc w:val="right"/>
            </w:pPr>
            <w:r/>
            <w:r>
              <w:rPr>
                <w:color w:val="1A1D21"/>
                <w:sz w:val="17"/>
              </w:rPr>
              <w:t>23,661</w:t>
            </w:r>
          </w:p>
        </w:tc>
        <w:tc>
          <w:tcPr>
            <w:tcW w:type="dxa" w:w="1247"/>
          </w:tcPr>
          <w:p>
            <w:pPr>
              <w:jc w:val="right"/>
            </w:pPr>
            <w:r/>
            <w:r>
              <w:rPr>
                <w:color w:val="1A1D21"/>
                <w:sz w:val="17"/>
              </w:rPr>
              <w:t>34,067</w:t>
            </w:r>
          </w:p>
        </w:tc>
      </w:tr>
      <w:tr>
        <w:trPr>
          <w:cantSplit/>
        </w:trPr>
        <w:tc>
          <w:tcPr>
            <w:tcW w:type="dxa" w:w="3515"/>
          </w:tcPr>
          <w:p>
            <w:r/>
            <w:r>
              <w:rPr>
                <w:color w:val="1A1D21"/>
                <w:sz w:val="17"/>
              </w:rPr>
              <w:t>Finance cost</w:t>
            </w:r>
          </w:p>
        </w:tc>
        <w:tc>
          <w:tcPr>
            <w:tcW w:type="dxa" w:w="1247"/>
          </w:tcPr>
          <w:p>
            <w:pPr>
              <w:jc w:val="right"/>
            </w:pPr>
            <w:r/>
            <w:r>
              <w:rPr>
                <w:color w:val="1A1D21"/>
                <w:sz w:val="17"/>
              </w:rPr>
              <w:t>-3,348</w:t>
            </w:r>
          </w:p>
        </w:tc>
        <w:tc>
          <w:tcPr>
            <w:tcW w:type="dxa" w:w="1247"/>
          </w:tcPr>
          <w:p>
            <w:pPr>
              <w:jc w:val="right"/>
            </w:pPr>
            <w:r/>
            <w:r>
              <w:rPr>
                <w:color w:val="1A1D21"/>
                <w:sz w:val="17"/>
              </w:rPr>
              <w:t>-3,348</w:t>
            </w:r>
          </w:p>
        </w:tc>
        <w:tc>
          <w:tcPr>
            <w:tcW w:type="dxa" w:w="1247"/>
          </w:tcPr>
          <w:p>
            <w:pPr>
              <w:jc w:val="right"/>
            </w:pPr>
            <w:r/>
            <w:r>
              <w:rPr>
                <w:color w:val="1A1D21"/>
                <w:sz w:val="17"/>
              </w:rPr>
              <w:t>-3,348</w:t>
            </w:r>
          </w:p>
        </w:tc>
        <w:tc>
          <w:tcPr>
            <w:tcW w:type="dxa" w:w="1247"/>
          </w:tcPr>
          <w:p>
            <w:pPr>
              <w:jc w:val="right"/>
            </w:pPr>
            <w:r/>
            <w:r>
              <w:rPr>
                <w:color w:val="1A1D21"/>
                <w:sz w:val="17"/>
              </w:rPr>
              <w:t>-3,348</w:t>
            </w:r>
          </w:p>
        </w:tc>
        <w:tc>
          <w:tcPr>
            <w:tcW w:type="dxa" w:w="1247"/>
          </w:tcPr>
          <w:p>
            <w:pPr>
              <w:jc w:val="right"/>
            </w:pPr>
            <w:r/>
            <w:r>
              <w:rPr>
                <w:color w:val="1A1D21"/>
                <w:sz w:val="17"/>
              </w:rPr>
              <w:t>-3,348</w:t>
            </w:r>
          </w:p>
        </w:tc>
      </w:tr>
      <w:tr>
        <w:trPr>
          <w:cantSplit/>
        </w:trPr>
        <w:tc>
          <w:tcPr>
            <w:tcW w:type="dxa" w:w="3515"/>
          </w:tcPr>
          <w:p>
            <w:r/>
            <w:r>
              <w:rPr>
                <w:color w:val="1A1D21"/>
                <w:sz w:val="17"/>
              </w:rPr>
              <w:t>Profit before tax</w:t>
            </w:r>
          </w:p>
        </w:tc>
        <w:tc>
          <w:tcPr>
            <w:tcW w:type="dxa" w:w="1247"/>
          </w:tcPr>
          <w:p>
            <w:pPr>
              <w:jc w:val="right"/>
            </w:pPr>
            <w:r/>
            <w:r>
              <w:rPr>
                <w:color w:val="1A1D21"/>
                <w:sz w:val="17"/>
              </w:rPr>
              <w:t>4,580</w:t>
            </w:r>
          </w:p>
        </w:tc>
        <w:tc>
          <w:tcPr>
            <w:tcW w:type="dxa" w:w="1247"/>
          </w:tcPr>
          <w:p>
            <w:pPr>
              <w:jc w:val="right"/>
            </w:pPr>
            <w:r/>
            <w:r>
              <w:rPr>
                <w:color w:val="1A1D21"/>
                <w:sz w:val="17"/>
              </w:rPr>
              <w:t>8,066</w:t>
            </w:r>
          </w:p>
        </w:tc>
        <w:tc>
          <w:tcPr>
            <w:tcW w:type="dxa" w:w="1247"/>
          </w:tcPr>
          <w:p>
            <w:pPr>
              <w:jc w:val="right"/>
            </w:pPr>
            <w:r/>
            <w:r>
              <w:rPr>
                <w:color w:val="1A1D21"/>
                <w:sz w:val="17"/>
              </w:rPr>
              <w:t>13,086</w:t>
            </w:r>
          </w:p>
        </w:tc>
        <w:tc>
          <w:tcPr>
            <w:tcW w:type="dxa" w:w="1247"/>
          </w:tcPr>
          <w:p>
            <w:pPr>
              <w:jc w:val="right"/>
            </w:pPr>
            <w:r/>
            <w:r>
              <w:rPr>
                <w:color w:val="1A1D21"/>
                <w:sz w:val="17"/>
              </w:rPr>
              <w:t>20,313</w:t>
            </w:r>
          </w:p>
        </w:tc>
        <w:tc>
          <w:tcPr>
            <w:tcW w:type="dxa" w:w="1247"/>
          </w:tcPr>
          <w:p>
            <w:pPr>
              <w:jc w:val="right"/>
            </w:pPr>
            <w:r/>
            <w:r>
              <w:rPr>
                <w:color w:val="1A1D21"/>
                <w:sz w:val="17"/>
              </w:rPr>
              <w:t>30,719</w:t>
            </w:r>
          </w:p>
        </w:tc>
      </w:tr>
      <w:tr>
        <w:trPr>
          <w:cantSplit/>
        </w:trPr>
        <w:tc>
          <w:tcPr>
            <w:tcW w:type="dxa" w:w="3515"/>
          </w:tcPr>
          <w:p>
            <w:r/>
            <w:r>
              <w:rPr>
                <w:color w:val="1A1D21"/>
                <w:sz w:val="17"/>
              </w:rPr>
              <w:t>Tax</w:t>
            </w:r>
          </w:p>
        </w:tc>
        <w:tc>
          <w:tcPr>
            <w:tcW w:type="dxa" w:w="1247"/>
          </w:tcPr>
          <w:p>
            <w:pPr>
              <w:jc w:val="right"/>
            </w:pPr>
            <w:r/>
            <w:r>
              <w:rPr>
                <w:color w:val="1A1D21"/>
                <w:sz w:val="17"/>
              </w:rPr>
              <w:t>-1,030</w:t>
            </w:r>
          </w:p>
        </w:tc>
        <w:tc>
          <w:tcPr>
            <w:tcW w:type="dxa" w:w="1247"/>
          </w:tcPr>
          <w:p>
            <w:pPr>
              <w:jc w:val="right"/>
            </w:pPr>
            <w:r/>
            <w:r>
              <w:rPr>
                <w:color w:val="1A1D21"/>
                <w:sz w:val="17"/>
              </w:rPr>
              <w:t>-1,815</w:t>
            </w:r>
          </w:p>
        </w:tc>
        <w:tc>
          <w:tcPr>
            <w:tcW w:type="dxa" w:w="1247"/>
          </w:tcPr>
          <w:p>
            <w:pPr>
              <w:jc w:val="right"/>
            </w:pPr>
            <w:r/>
            <w:r>
              <w:rPr>
                <w:color w:val="1A1D21"/>
                <w:sz w:val="17"/>
              </w:rPr>
              <w:t>-2,944</w:t>
            </w:r>
          </w:p>
        </w:tc>
        <w:tc>
          <w:tcPr>
            <w:tcW w:type="dxa" w:w="1247"/>
          </w:tcPr>
          <w:p>
            <w:pPr>
              <w:jc w:val="right"/>
            </w:pPr>
            <w:r/>
            <w:r>
              <w:rPr>
                <w:color w:val="1A1D21"/>
                <w:sz w:val="17"/>
              </w:rPr>
              <w:t>-4,570</w:t>
            </w:r>
          </w:p>
        </w:tc>
        <w:tc>
          <w:tcPr>
            <w:tcW w:type="dxa" w:w="1247"/>
          </w:tcPr>
          <w:p>
            <w:pPr>
              <w:jc w:val="right"/>
            </w:pPr>
            <w:r/>
            <w:r>
              <w:rPr>
                <w:color w:val="1A1D21"/>
                <w:sz w:val="17"/>
              </w:rPr>
              <w:t>-6,912</w:t>
            </w:r>
          </w:p>
        </w:tc>
      </w:tr>
      <w:tr>
        <w:trPr>
          <w:cantSplit/>
        </w:trPr>
        <w:tc>
          <w:tcPr>
            <w:tcW w:type="dxa" w:w="3515"/>
          </w:tcPr>
          <w:p>
            <w:r/>
            <w:r>
              <w:rPr>
                <w:color w:val="1A1D21"/>
                <w:sz w:val="17"/>
              </w:rPr>
              <w:t>Net profit</w:t>
            </w:r>
          </w:p>
        </w:tc>
        <w:tc>
          <w:tcPr>
            <w:tcW w:type="dxa" w:w="1247"/>
          </w:tcPr>
          <w:p>
            <w:pPr>
              <w:jc w:val="right"/>
            </w:pPr>
            <w:r/>
            <w:r>
              <w:rPr>
                <w:color w:val="1A1D21"/>
                <w:sz w:val="17"/>
              </w:rPr>
              <w:t>3,549</w:t>
            </w:r>
          </w:p>
        </w:tc>
        <w:tc>
          <w:tcPr>
            <w:tcW w:type="dxa" w:w="1247"/>
          </w:tcPr>
          <w:p>
            <w:pPr>
              <w:jc w:val="right"/>
            </w:pPr>
            <w:r/>
            <w:r>
              <w:rPr>
                <w:color w:val="1A1D21"/>
                <w:sz w:val="17"/>
              </w:rPr>
              <w:t>6,251</w:t>
            </w:r>
          </w:p>
        </w:tc>
        <w:tc>
          <w:tcPr>
            <w:tcW w:type="dxa" w:w="1247"/>
          </w:tcPr>
          <w:p>
            <w:pPr>
              <w:jc w:val="right"/>
            </w:pPr>
            <w:r/>
            <w:r>
              <w:rPr>
                <w:color w:val="1A1D21"/>
                <w:sz w:val="17"/>
              </w:rPr>
              <w:t>10,141</w:t>
            </w:r>
          </w:p>
        </w:tc>
        <w:tc>
          <w:tcPr>
            <w:tcW w:type="dxa" w:w="1247"/>
          </w:tcPr>
          <w:p>
            <w:pPr>
              <w:jc w:val="right"/>
            </w:pPr>
            <w:r/>
            <w:r>
              <w:rPr>
                <w:color w:val="1A1D21"/>
                <w:sz w:val="17"/>
              </w:rPr>
              <w:t>15,743</w:t>
            </w:r>
          </w:p>
        </w:tc>
        <w:tc>
          <w:tcPr>
            <w:tcW w:type="dxa" w:w="1247"/>
          </w:tcPr>
          <w:p>
            <w:pPr>
              <w:jc w:val="right"/>
            </w:pPr>
            <w:r/>
            <w:r>
              <w:rPr>
                <w:color w:val="1A1D21"/>
                <w:sz w:val="17"/>
              </w:rPr>
              <w:t>23,807</w:t>
            </w:r>
          </w:p>
        </w:tc>
      </w:tr>
      <w:tr>
        <w:trPr>
          <w:cantSplit/>
        </w:trPr>
        <w:tc>
          <w:tcPr>
            <w:tcW w:type="dxa" w:w="3515"/>
          </w:tcPr>
          <w:p>
            <w:r/>
            <w:r>
              <w:rPr>
                <w:color w:val="1A1D21"/>
                <w:sz w:val="17"/>
              </w:rPr>
              <w:t>Earnings per share (EGP)</w:t>
            </w:r>
          </w:p>
        </w:tc>
        <w:tc>
          <w:tcPr>
            <w:tcW w:type="dxa" w:w="1247"/>
          </w:tcPr>
          <w:p>
            <w:pPr>
              <w:jc w:val="right"/>
            </w:pPr>
            <w:r/>
            <w:r>
              <w:rPr>
                <w:color w:val="1A1D21"/>
                <w:sz w:val="17"/>
              </w:rPr>
              <w:t>1.24</w:t>
            </w:r>
          </w:p>
        </w:tc>
        <w:tc>
          <w:tcPr>
            <w:tcW w:type="dxa" w:w="1247"/>
          </w:tcPr>
          <w:p>
            <w:pPr>
              <w:jc w:val="right"/>
            </w:pPr>
            <w:r/>
            <w:r>
              <w:rPr>
                <w:color w:val="1A1D21"/>
                <w:sz w:val="17"/>
              </w:rPr>
              <w:t>2.19</w:t>
            </w:r>
          </w:p>
        </w:tc>
        <w:tc>
          <w:tcPr>
            <w:tcW w:type="dxa" w:w="1247"/>
          </w:tcPr>
          <w:p>
            <w:pPr>
              <w:jc w:val="right"/>
            </w:pPr>
            <w:r/>
            <w:r>
              <w:rPr>
                <w:color w:val="1A1D21"/>
                <w:sz w:val="17"/>
              </w:rPr>
              <w:t>3.55</w:t>
            </w:r>
          </w:p>
        </w:tc>
        <w:tc>
          <w:tcPr>
            <w:tcW w:type="dxa" w:w="1247"/>
          </w:tcPr>
          <w:p>
            <w:pPr>
              <w:jc w:val="right"/>
            </w:pPr>
            <w:r/>
            <w:r>
              <w:rPr>
                <w:color w:val="1A1D21"/>
                <w:sz w:val="17"/>
              </w:rPr>
              <w:t>5.50</w:t>
            </w:r>
          </w:p>
        </w:tc>
        <w:tc>
          <w:tcPr>
            <w:tcW w:type="dxa" w:w="1247"/>
          </w:tcPr>
          <w:p>
            <w:pPr>
              <w:jc w:val="right"/>
            </w:pPr>
            <w:r/>
            <w:r>
              <w:rPr>
                <w:color w:val="1A1D21"/>
                <w:sz w:val="17"/>
              </w:rPr>
              <w:t>8.32</w:t>
            </w:r>
          </w:p>
        </w:tc>
      </w:tr>
    </w:tbl>
    <w:p>
      <w:pPr>
        <w:spacing w:after="200"/>
      </w:pPr>
      <w:r>
        <w:rPr>
          <w:b w:val="0"/>
          <w:i/>
          <w:color w:val="5B6570"/>
          <w:sz w:val="16"/>
        </w:rPr>
        <w:t>Five forecast years. Gross margin is what price per unit and cost per unit leave behind, never an input. Years three to five should be read against the range in section 1.9, not as points.</w:t>
      </w:r>
    </w:p>
    <w:p>
      <w:pPr>
        <w:pStyle w:val="Heading2"/>
      </w:pPr>
      <w:r>
        <w:t>A.2  Balance sheet</w:t>
      </w:r>
    </w:p>
    <w:tbl>
      <w:tblPr>
        <w:tblStyle w:val="TableGrid"/>
        <w:tblW w:type="auto" w:w="0"/>
        <w:jc w:val="center"/>
        <w:tblLayout w:type="fixed"/>
        <w:tblLook w:firstColumn="1" w:firstRow="1" w:lastColumn="0" w:lastRow="0" w:noHBand="0" w:noVBand="1" w:val="04A0"/>
        <w:tblLayout w:type="fixed"/>
      </w:tblPr>
      <w:tblGrid>
        <w:gridCol w:w="4196"/>
        <w:gridCol w:w="2495"/>
        <w:gridCol w:w="2495"/>
      </w:tblGrid>
      <w:tr>
        <w:trPr>
          <w:tblHeader w:val="true"/>
        </w:trPr>
        <w:tc>
          <w:tcPr>
            <w:tcW w:type="dxa" w:w="4195"/>
          </w:tcPr>
          <w:p>
            <w:r/>
            <w:r>
              <w:rPr>
                <w:b/>
                <w:color w:val="5B6570"/>
                <w:sz w:val="17"/>
              </w:rPr>
              <w:t>EGP million, as reported</w:t>
            </w:r>
          </w:p>
        </w:tc>
        <w:tc>
          <w:tcPr>
            <w:tcW w:type="dxa" w:w="2494"/>
          </w:tcPr>
          <w:p>
            <w:r/>
            <w:r>
              <w:rPr>
                <w:b/>
                <w:color w:val="5B6570"/>
                <w:sz w:val="17"/>
              </w:rPr>
              <w:t>2025</w:t>
            </w:r>
          </w:p>
        </w:tc>
        <w:tc>
          <w:tcPr>
            <w:tcW w:type="dxa" w:w="2494"/>
          </w:tcPr>
          <w:p>
            <w:r/>
            <w:r>
              <w:rPr>
                <w:b/>
                <w:color w:val="5B6570"/>
                <w:sz w:val="17"/>
              </w:rPr>
              <w:t>2024</w:t>
            </w:r>
          </w:p>
        </w:tc>
      </w:tr>
      <w:tr>
        <w:trPr>
          <w:cantSplit/>
        </w:trPr>
        <w:tc>
          <w:tcPr>
            <w:tcW w:type="dxa" w:w="4195"/>
          </w:tcPr>
          <w:p>
            <w:r/>
            <w:r>
              <w:rPr>
                <w:color w:val="1A1D21"/>
                <w:sz w:val="17"/>
              </w:rPr>
              <w:t>Non-current assets</w:t>
            </w:r>
          </w:p>
        </w:tc>
        <w:tc>
          <w:tcPr>
            <w:tcW w:type="dxa" w:w="2494"/>
          </w:tcPr>
          <w:p>
            <w:pPr>
              <w:jc w:val="right"/>
            </w:pPr>
            <w:r/>
            <w:r>
              <w:rPr>
                <w:color w:val="1A1D21"/>
                <w:sz w:val="17"/>
              </w:rPr>
              <w:t>65,900.2</w:t>
            </w:r>
          </w:p>
        </w:tc>
        <w:tc>
          <w:tcPr>
            <w:tcW w:type="dxa" w:w="2494"/>
          </w:tcPr>
          <w:p>
            <w:pPr>
              <w:jc w:val="right"/>
            </w:pPr>
            <w:r/>
            <w:r>
              <w:rPr>
                <w:color w:val="1A1D21"/>
                <w:sz w:val="17"/>
              </w:rPr>
              <w:t>54,166.4</w:t>
            </w:r>
          </w:p>
        </w:tc>
      </w:tr>
      <w:tr>
        <w:trPr>
          <w:cantSplit/>
        </w:trPr>
        <w:tc>
          <w:tcPr>
            <w:tcW w:type="dxa" w:w="4195"/>
          </w:tcPr>
          <w:p>
            <w:r/>
            <w:r>
              <w:rPr>
                <w:color w:val="1A1D21"/>
                <w:sz w:val="17"/>
              </w:rPr>
              <w:t xml:space="preserve">  of which notes receivable, long term</w:t>
            </w:r>
          </w:p>
        </w:tc>
        <w:tc>
          <w:tcPr>
            <w:tcW w:type="dxa" w:w="2494"/>
          </w:tcPr>
          <w:p>
            <w:pPr>
              <w:jc w:val="right"/>
            </w:pPr>
            <w:r/>
            <w:r>
              <w:rPr>
                <w:color w:val="1A1D21"/>
                <w:sz w:val="17"/>
              </w:rPr>
              <w:t>56,319.8</w:t>
            </w:r>
          </w:p>
        </w:tc>
        <w:tc>
          <w:tcPr>
            <w:tcW w:type="dxa" w:w="2494"/>
          </w:tcPr>
          <w:p>
            <w:pPr>
              <w:jc w:val="right"/>
            </w:pPr>
            <w:r/>
            <w:r>
              <w:rPr>
                <w:color w:val="1A1D21"/>
                <w:sz w:val="17"/>
              </w:rPr>
              <w:t>46,309.1</w:t>
            </w:r>
          </w:p>
        </w:tc>
      </w:tr>
      <w:tr>
        <w:trPr>
          <w:cantSplit/>
        </w:trPr>
        <w:tc>
          <w:tcPr>
            <w:tcW w:type="dxa" w:w="4195"/>
          </w:tcPr>
          <w:p>
            <w:r/>
            <w:r>
              <w:rPr>
                <w:color w:val="1A1D21"/>
                <w:sz w:val="17"/>
              </w:rPr>
              <w:t>Current assets</w:t>
            </w:r>
          </w:p>
        </w:tc>
        <w:tc>
          <w:tcPr>
            <w:tcW w:type="dxa" w:w="2494"/>
          </w:tcPr>
          <w:p>
            <w:pPr>
              <w:jc w:val="right"/>
            </w:pPr>
            <w:r/>
            <w:r>
              <w:rPr>
                <w:color w:val="1A1D21"/>
                <w:sz w:val="17"/>
              </w:rPr>
              <w:t>106,229.6</w:t>
            </w:r>
          </w:p>
        </w:tc>
        <w:tc>
          <w:tcPr>
            <w:tcW w:type="dxa" w:w="2494"/>
          </w:tcPr>
          <w:p>
            <w:pPr>
              <w:jc w:val="right"/>
            </w:pPr>
            <w:r/>
            <w:r>
              <w:rPr>
                <w:color w:val="1A1D21"/>
                <w:sz w:val="17"/>
              </w:rPr>
              <w:t>69,270.9</w:t>
            </w:r>
          </w:p>
        </w:tc>
      </w:tr>
      <w:tr>
        <w:trPr>
          <w:cantSplit/>
        </w:trPr>
        <w:tc>
          <w:tcPr>
            <w:tcW w:type="dxa" w:w="4195"/>
          </w:tcPr>
          <w:p>
            <w:r/>
            <w:r>
              <w:rPr>
                <w:color w:val="1A1D21"/>
                <w:sz w:val="17"/>
              </w:rPr>
              <w:t xml:space="preserve">  of which work in progress</w:t>
            </w:r>
          </w:p>
        </w:tc>
        <w:tc>
          <w:tcPr>
            <w:tcW w:type="dxa" w:w="2494"/>
          </w:tcPr>
          <w:p>
            <w:pPr>
              <w:jc w:val="right"/>
            </w:pPr>
            <w:r/>
            <w:r>
              <w:rPr>
                <w:color w:val="1A1D21"/>
                <w:sz w:val="17"/>
              </w:rPr>
              <w:t>17,570.9</w:t>
            </w:r>
          </w:p>
        </w:tc>
        <w:tc>
          <w:tcPr>
            <w:tcW w:type="dxa" w:w="2494"/>
          </w:tcPr>
          <w:p>
            <w:pPr>
              <w:jc w:val="right"/>
            </w:pPr>
            <w:r/>
            <w:r>
              <w:rPr>
                <w:color w:val="1A1D21"/>
                <w:sz w:val="17"/>
              </w:rPr>
              <w:t>13,209.8</w:t>
            </w:r>
          </w:p>
        </w:tc>
      </w:tr>
      <w:tr>
        <w:trPr>
          <w:cantSplit/>
        </w:trPr>
        <w:tc>
          <w:tcPr>
            <w:tcW w:type="dxa" w:w="4195"/>
          </w:tcPr>
          <w:p>
            <w:r/>
            <w:r>
              <w:rPr>
                <w:color w:val="1A1D21"/>
                <w:sz w:val="17"/>
              </w:rPr>
              <w:t xml:space="preserve">  of which trade receivables</w:t>
            </w:r>
          </w:p>
        </w:tc>
        <w:tc>
          <w:tcPr>
            <w:tcW w:type="dxa" w:w="2494"/>
          </w:tcPr>
          <w:p>
            <w:pPr>
              <w:jc w:val="right"/>
            </w:pPr>
            <w:r/>
            <w:r>
              <w:rPr>
                <w:color w:val="1A1D21"/>
                <w:sz w:val="17"/>
              </w:rPr>
              <w:t>28,118.1</w:t>
            </w:r>
          </w:p>
        </w:tc>
        <w:tc>
          <w:tcPr>
            <w:tcW w:type="dxa" w:w="2494"/>
          </w:tcPr>
          <w:p>
            <w:pPr>
              <w:jc w:val="right"/>
            </w:pPr>
            <w:r/>
            <w:r>
              <w:rPr>
                <w:color w:val="1A1D21"/>
                <w:sz w:val="17"/>
              </w:rPr>
              <w:t>15,561.1</w:t>
            </w:r>
          </w:p>
        </w:tc>
      </w:tr>
      <w:tr>
        <w:trPr>
          <w:cantSplit/>
        </w:trPr>
        <w:tc>
          <w:tcPr>
            <w:tcW w:type="dxa" w:w="4195"/>
          </w:tcPr>
          <w:p>
            <w:r/>
            <w:r>
              <w:rPr>
                <w:color w:val="1A1D21"/>
                <w:sz w:val="17"/>
              </w:rPr>
              <w:t xml:space="preserve">  of which notes receivable, short term</w:t>
            </w:r>
          </w:p>
        </w:tc>
        <w:tc>
          <w:tcPr>
            <w:tcW w:type="dxa" w:w="2494"/>
          </w:tcPr>
          <w:p>
            <w:pPr>
              <w:jc w:val="right"/>
            </w:pPr>
            <w:r/>
            <w:r>
              <w:rPr>
                <w:color w:val="1A1D21"/>
                <w:sz w:val="17"/>
              </w:rPr>
              <w:t>19,073.0</w:t>
            </w:r>
          </w:p>
        </w:tc>
        <w:tc>
          <w:tcPr>
            <w:tcW w:type="dxa" w:w="2494"/>
          </w:tcPr>
          <w:p>
            <w:pPr>
              <w:jc w:val="right"/>
            </w:pPr>
            <w:r/>
            <w:r>
              <w:rPr>
                <w:color w:val="1A1D21"/>
                <w:sz w:val="17"/>
              </w:rPr>
              <w:t>15,148.4</w:t>
            </w:r>
          </w:p>
        </w:tc>
      </w:tr>
      <w:tr>
        <w:trPr>
          <w:cantSplit/>
        </w:trPr>
        <w:tc>
          <w:tcPr>
            <w:tcW w:type="dxa" w:w="4195"/>
          </w:tcPr>
          <w:p>
            <w:r/>
            <w:r>
              <w:rPr>
                <w:color w:val="1A1D21"/>
                <w:sz w:val="17"/>
              </w:rPr>
              <w:t xml:space="preserve">  of which cash</w:t>
            </w:r>
          </w:p>
        </w:tc>
        <w:tc>
          <w:tcPr>
            <w:tcW w:type="dxa" w:w="2494"/>
          </w:tcPr>
          <w:p>
            <w:pPr>
              <w:jc w:val="right"/>
            </w:pPr>
            <w:r/>
            <w:r>
              <w:rPr>
                <w:color w:val="1A1D21"/>
                <w:sz w:val="17"/>
              </w:rPr>
              <w:t>9,419.5</w:t>
            </w:r>
          </w:p>
        </w:tc>
        <w:tc>
          <w:tcPr>
            <w:tcW w:type="dxa" w:w="2494"/>
          </w:tcPr>
          <w:p>
            <w:pPr>
              <w:jc w:val="right"/>
            </w:pPr>
            <w:r/>
            <w:r>
              <w:rPr>
                <w:color w:val="1A1D21"/>
                <w:sz w:val="17"/>
              </w:rPr>
              <w:t>6,372.4</w:t>
            </w:r>
          </w:p>
        </w:tc>
      </w:tr>
      <w:tr>
        <w:trPr>
          <w:cantSplit/>
        </w:trPr>
        <w:tc>
          <w:tcPr>
            <w:tcW w:type="dxa" w:w="4195"/>
          </w:tcPr>
          <w:p>
            <w:r/>
            <w:r>
              <w:rPr>
                <w:color w:val="1A1D21"/>
                <w:sz w:val="17"/>
              </w:rPr>
              <w:t>Total assets</w:t>
            </w:r>
          </w:p>
        </w:tc>
        <w:tc>
          <w:tcPr>
            <w:tcW w:type="dxa" w:w="2494"/>
          </w:tcPr>
          <w:p>
            <w:pPr>
              <w:jc w:val="right"/>
            </w:pPr>
            <w:r/>
            <w:r>
              <w:rPr>
                <w:color w:val="1A1D21"/>
                <w:sz w:val="17"/>
              </w:rPr>
              <w:t>172,129.8</w:t>
            </w:r>
          </w:p>
        </w:tc>
        <w:tc>
          <w:tcPr>
            <w:tcW w:type="dxa" w:w="2494"/>
          </w:tcPr>
          <w:p>
            <w:pPr>
              <w:jc w:val="right"/>
            </w:pPr>
            <w:r/>
            <w:r>
              <w:rPr>
                <w:color w:val="1A1D21"/>
                <w:sz w:val="17"/>
              </w:rPr>
              <w:t>123,437.3</w:t>
            </w:r>
          </w:p>
        </w:tc>
      </w:tr>
      <w:tr>
        <w:trPr>
          <w:cantSplit/>
        </w:trPr>
        <w:tc>
          <w:tcPr>
            <w:tcW w:type="dxa" w:w="4195"/>
          </w:tcPr>
          <w:p>
            <w:r/>
            <w:r>
              <w:rPr>
                <w:color w:val="1A1D21"/>
                <w:sz w:val="17"/>
              </w:rPr>
              <w:t>Current liabilities</w:t>
            </w:r>
          </w:p>
        </w:tc>
        <w:tc>
          <w:tcPr>
            <w:tcW w:type="dxa" w:w="2494"/>
          </w:tcPr>
          <w:p>
            <w:pPr>
              <w:jc w:val="right"/>
            </w:pPr>
            <w:r/>
            <w:r>
              <w:rPr>
                <w:color w:val="1A1D21"/>
                <w:sz w:val="17"/>
              </w:rPr>
              <w:t>105,099.0</w:t>
            </w:r>
          </w:p>
        </w:tc>
        <w:tc>
          <w:tcPr>
            <w:tcW w:type="dxa" w:w="2494"/>
          </w:tcPr>
          <w:p>
            <w:pPr>
              <w:jc w:val="right"/>
            </w:pPr>
            <w:r/>
            <w:r>
              <w:rPr>
                <w:color w:val="1A1D21"/>
                <w:sz w:val="17"/>
              </w:rPr>
              <w:t>74,496.9</w:t>
            </w:r>
          </w:p>
        </w:tc>
      </w:tr>
      <w:tr>
        <w:trPr>
          <w:cantSplit/>
        </w:trPr>
        <w:tc>
          <w:tcPr>
            <w:tcW w:type="dxa" w:w="4195"/>
          </w:tcPr>
          <w:p>
            <w:r/>
            <w:r>
              <w:rPr>
                <w:color w:val="1A1D21"/>
                <w:sz w:val="17"/>
              </w:rPr>
              <w:t xml:space="preserve">  of which advances from customers</w:t>
            </w:r>
          </w:p>
        </w:tc>
        <w:tc>
          <w:tcPr>
            <w:tcW w:type="dxa" w:w="2494"/>
          </w:tcPr>
          <w:p>
            <w:pPr>
              <w:jc w:val="right"/>
            </w:pPr>
            <w:r/>
            <w:r>
              <w:rPr>
                <w:color w:val="1A1D21"/>
                <w:sz w:val="17"/>
              </w:rPr>
              <w:t>69,354.1</w:t>
            </w:r>
          </w:p>
        </w:tc>
        <w:tc>
          <w:tcPr>
            <w:tcW w:type="dxa" w:w="2494"/>
          </w:tcPr>
          <w:p>
            <w:pPr>
              <w:jc w:val="right"/>
            </w:pPr>
            <w:r/>
            <w:r>
              <w:rPr>
                <w:color w:val="1A1D21"/>
                <w:sz w:val="17"/>
              </w:rPr>
              <w:t>47,403.8</w:t>
            </w:r>
          </w:p>
        </w:tc>
      </w:tr>
      <w:tr>
        <w:trPr>
          <w:cantSplit/>
        </w:trPr>
        <w:tc>
          <w:tcPr>
            <w:tcW w:type="dxa" w:w="4195"/>
          </w:tcPr>
          <w:p>
            <w:r/>
            <w:r>
              <w:rPr>
                <w:color w:val="1A1D21"/>
                <w:sz w:val="17"/>
              </w:rPr>
              <w:t xml:space="preserve">  of which suppliers</w:t>
            </w:r>
          </w:p>
        </w:tc>
        <w:tc>
          <w:tcPr>
            <w:tcW w:type="dxa" w:w="2494"/>
          </w:tcPr>
          <w:p>
            <w:pPr>
              <w:jc w:val="right"/>
            </w:pPr>
            <w:r/>
            <w:r>
              <w:rPr>
                <w:color w:val="1A1D21"/>
                <w:sz w:val="17"/>
              </w:rPr>
              <w:t>3,807.0</w:t>
            </w:r>
          </w:p>
        </w:tc>
        <w:tc>
          <w:tcPr>
            <w:tcW w:type="dxa" w:w="2494"/>
          </w:tcPr>
          <w:p>
            <w:pPr>
              <w:jc w:val="right"/>
            </w:pPr>
            <w:r/>
            <w:r>
              <w:rPr>
                <w:color w:val="1A1D21"/>
                <w:sz w:val="17"/>
              </w:rPr>
              <w:t>3,426.7</w:t>
            </w:r>
          </w:p>
        </w:tc>
      </w:tr>
      <w:tr>
        <w:trPr>
          <w:cantSplit/>
        </w:trPr>
        <w:tc>
          <w:tcPr>
            <w:tcW w:type="dxa" w:w="4195"/>
          </w:tcPr>
          <w:p>
            <w:r/>
            <w:r>
              <w:rPr>
                <w:color w:val="1A1D21"/>
                <w:sz w:val="17"/>
              </w:rPr>
              <w:t>Non-current liabilities</w:t>
            </w:r>
          </w:p>
        </w:tc>
        <w:tc>
          <w:tcPr>
            <w:tcW w:type="dxa" w:w="2494"/>
          </w:tcPr>
          <w:p>
            <w:pPr>
              <w:jc w:val="right"/>
            </w:pPr>
            <w:r/>
            <w:r>
              <w:rPr>
                <w:color w:val="1A1D21"/>
                <w:sz w:val="17"/>
              </w:rPr>
              <w:t>48,265.1</w:t>
            </w:r>
          </w:p>
        </w:tc>
        <w:tc>
          <w:tcPr>
            <w:tcW w:type="dxa" w:w="2494"/>
          </w:tcPr>
          <w:p>
            <w:pPr>
              <w:jc w:val="right"/>
            </w:pPr>
            <w:r/>
            <w:r>
              <w:rPr>
                <w:color w:val="1A1D21"/>
                <w:sz w:val="17"/>
              </w:rPr>
              <w:t>34,315.7</w:t>
            </w:r>
          </w:p>
        </w:tc>
      </w:tr>
      <w:tr>
        <w:trPr>
          <w:cantSplit/>
        </w:trPr>
        <w:tc>
          <w:tcPr>
            <w:tcW w:type="dxa" w:w="4195"/>
          </w:tcPr>
          <w:p>
            <w:r/>
            <w:r>
              <w:rPr>
                <w:color w:val="1A1D21"/>
                <w:sz w:val="17"/>
              </w:rPr>
              <w:t>Total liabilities</w:t>
            </w:r>
          </w:p>
        </w:tc>
        <w:tc>
          <w:tcPr>
            <w:tcW w:type="dxa" w:w="2494"/>
          </w:tcPr>
          <w:p>
            <w:pPr>
              <w:jc w:val="right"/>
            </w:pPr>
            <w:r/>
            <w:r>
              <w:rPr>
                <w:color w:val="1A1D21"/>
                <w:sz w:val="17"/>
              </w:rPr>
              <w:t>153,364.1</w:t>
            </w:r>
          </w:p>
        </w:tc>
        <w:tc>
          <w:tcPr>
            <w:tcW w:type="dxa" w:w="2494"/>
          </w:tcPr>
          <w:p>
            <w:pPr>
              <w:jc w:val="right"/>
            </w:pPr>
            <w:r/>
            <w:r>
              <w:rPr>
                <w:color w:val="1A1D21"/>
                <w:sz w:val="17"/>
              </w:rPr>
              <w:t>108,812.6</w:t>
            </w:r>
          </w:p>
        </w:tc>
      </w:tr>
      <w:tr>
        <w:trPr>
          <w:cantSplit/>
        </w:trPr>
        <w:tc>
          <w:tcPr>
            <w:tcW w:type="dxa" w:w="4195"/>
          </w:tcPr>
          <w:p>
            <w:r/>
            <w:r>
              <w:rPr>
                <w:color w:val="1A1D21"/>
                <w:sz w:val="17"/>
              </w:rPr>
              <w:t>Shareholders' funds</w:t>
            </w:r>
          </w:p>
        </w:tc>
        <w:tc>
          <w:tcPr>
            <w:tcW w:type="dxa" w:w="2494"/>
          </w:tcPr>
          <w:p>
            <w:pPr>
              <w:jc w:val="right"/>
            </w:pPr>
            <w:r/>
            <w:r>
              <w:rPr>
                <w:color w:val="1A1D21"/>
                <w:sz w:val="17"/>
              </w:rPr>
              <w:t>18,765.8</w:t>
            </w:r>
          </w:p>
        </w:tc>
        <w:tc>
          <w:tcPr>
            <w:tcW w:type="dxa" w:w="2494"/>
          </w:tcPr>
          <w:p>
            <w:pPr>
              <w:jc w:val="right"/>
            </w:pPr>
            <w:r/>
            <w:r>
              <w:rPr>
                <w:color w:val="1A1D21"/>
                <w:sz w:val="17"/>
              </w:rPr>
              <w:t>14,624.7</w:t>
            </w:r>
          </w:p>
        </w:tc>
      </w:tr>
      <w:tr>
        <w:trPr>
          <w:cantSplit/>
        </w:trPr>
        <w:tc>
          <w:tcPr>
            <w:tcW w:type="dxa" w:w="4195"/>
          </w:tcPr>
          <w:p>
            <w:r/>
            <w:r>
              <w:rPr>
                <w:color w:val="1A1D21"/>
                <w:sz w:val="17"/>
              </w:rPr>
              <w:t>Total equity and liabilities</w:t>
            </w:r>
          </w:p>
        </w:tc>
        <w:tc>
          <w:tcPr>
            <w:tcW w:type="dxa" w:w="2494"/>
          </w:tcPr>
          <w:p>
            <w:pPr>
              <w:jc w:val="right"/>
            </w:pPr>
            <w:r/>
            <w:r>
              <w:rPr>
                <w:color w:val="1A1D21"/>
                <w:sz w:val="17"/>
              </w:rPr>
              <w:t>172,129.8</w:t>
            </w:r>
          </w:p>
        </w:tc>
        <w:tc>
          <w:tcPr>
            <w:tcW w:type="dxa" w:w="2494"/>
          </w:tcPr>
          <w:p>
            <w:pPr>
              <w:jc w:val="right"/>
            </w:pPr>
            <w:r/>
            <w:r>
              <w:rPr>
                <w:color w:val="1A1D21"/>
                <w:sz w:val="17"/>
              </w:rPr>
              <w:t>123,437.3</w:t>
            </w:r>
          </w:p>
        </w:tc>
      </w:tr>
    </w:tbl>
    <w:p>
      <w:pPr>
        <w:spacing w:after="200"/>
      </w:pPr>
      <w:r>
        <w:rPr>
          <w:b w:val="0"/>
          <w:i/>
          <w:color w:val="5B6570"/>
          <w:sz w:val="16"/>
        </w:rPr>
        <w:t>As reported. Total assets equal total liabilities plus shareholders' funds in both years, and each subtotal reconciles to its components.</w:t>
      </w:r>
    </w:p>
    <w:p>
      <w:pPr>
        <w:pStyle w:val="Heading2"/>
      </w:pPr>
      <w:r>
        <w:t>A.3  Forecast balance sheet and cash flow</w:t>
      </w:r>
    </w:p>
    <w:p>
      <w:pPr>
        <w:spacing w:after="140"/>
      </w:pPr>
      <w:r>
        <w:rPr>
          <w:b w:val="0"/>
          <w:i w:val="0"/>
          <w:color w:val="1A1D21"/>
          <w:sz w:val="20"/>
        </w:rPr>
        <w:t>Because the balance sheet and the cash-flow statement disagree about 2025 by EGP 16,938 million, and that difference cannot be split from what has been disclosed, the forecast is published two ways. Neither is averaged into the other. Both rest on the same income statement above; they differ only in what they hold fixed about cash.</w:t>
      </w:r>
    </w:p>
    <w:p>
      <w:pPr>
        <w:pStyle w:val="ListBullet"/>
        <w:spacing w:after="60"/>
      </w:pPr>
      <w:r>
        <w:rPr>
          <w:color w:val="1A1D21"/>
          <w:sz w:val="20"/>
        </w:rPr>
        <w:t>The first holds the collection cycle. Every working-capital line stays at the ratio to revenue it stood at in 2025, the balance sheet is built from those ratios, and operating cash is what is left. It asks what the growth costs to fund if nothing about collection changes.</w:t>
      </w:r>
    </w:p>
    <w:p>
      <w:pPr>
        <w:pStyle w:val="ListBullet"/>
        <w:spacing w:after="60"/>
      </w:pPr>
      <w:r>
        <w:rPr>
          <w:color w:val="1A1D21"/>
          <w:sz w:val="20"/>
        </w:rPr>
        <w:t>The second holds cash conversion. Operating cash is set at the company's own disclosed rate — 4.3, 17.9 and 3.9 per cent of revenue in the three published years, 8.7 per cent on average — and working capital is what is left. It asks what the collection cycle must do for the cash to keep converting as it has.</w:t>
      </w:r>
    </w:p>
    <w:p>
      <w:pPr>
        <w:spacing w:after="140"/>
      </w:pPr>
      <w:r>
        <w:rPr>
          <w:b w:val="0"/>
          <w:i w:val="0"/>
          <w:color w:val="1A1D21"/>
          <w:sz w:val="20"/>
        </w:rPr>
        <w:t>The valuation stands on the second, because that is the reading the company's own cash-flow statements support. The first is printed beside it because the two do not agree, and a single set of figures would hide that they don't.</w:t>
      </w:r>
    </w:p>
    <w:p>
      <w:pPr>
        <w:pStyle w:val="Heading3"/>
      </w:pPr>
      <w:r>
        <w:t>If cash conversion holds — the basis of the valuation</w:t>
      </w:r>
    </w:p>
    <w:tbl>
      <w:tblPr>
        <w:tblStyle w:val="TableGrid"/>
        <w:tblW w:type="auto" w:w="0"/>
        <w:jc w:val="center"/>
        <w:tblLayout w:type="fixed"/>
        <w:tblLook w:firstColumn="1" w:firstRow="1" w:lastColumn="0" w:lastRow="0" w:noHBand="0" w:noVBand="1" w:val="04A0"/>
        <w:tblLayout w:type="fixed"/>
      </w:tblPr>
      <w:tblGrid>
        <w:gridCol w:w="3515"/>
        <w:gridCol w:w="1247"/>
        <w:gridCol w:w="1247"/>
        <w:gridCol w:w="1247"/>
        <w:gridCol w:w="1247"/>
        <w:gridCol w:w="1247"/>
      </w:tblGrid>
      <w:tr>
        <w:trPr>
          <w:tblHeader w:val="true"/>
        </w:trPr>
        <w:tc>
          <w:tcPr>
            <w:tcW w:type="dxa" w:w="3515"/>
          </w:tcPr>
          <w:p>
            <w:r/>
            <w:r>
              <w:rPr>
                <w:b/>
                <w:color w:val="5B6570"/>
                <w:sz w:val="17"/>
              </w:rPr>
              <w:t>Forecast balance sheet, EGP million</w:t>
            </w:r>
          </w:p>
        </w:tc>
        <w:tc>
          <w:tcPr>
            <w:tcW w:type="dxa" w:w="1247"/>
          </w:tcPr>
          <w:p>
            <w:r/>
            <w:r>
              <w:rPr>
                <w:b/>
                <w:color w:val="5B6570"/>
                <w:sz w:val="17"/>
              </w:rPr>
              <w:t>2026</w:t>
            </w:r>
          </w:p>
        </w:tc>
        <w:tc>
          <w:tcPr>
            <w:tcW w:type="dxa" w:w="1247"/>
          </w:tcPr>
          <w:p>
            <w:r/>
            <w:r>
              <w:rPr>
                <w:b/>
                <w:color w:val="5B6570"/>
                <w:sz w:val="17"/>
              </w:rPr>
              <w:t>2027</w:t>
            </w:r>
          </w:p>
        </w:tc>
        <w:tc>
          <w:tcPr>
            <w:tcW w:type="dxa" w:w="1247"/>
          </w:tcPr>
          <w:p>
            <w:r/>
            <w:r>
              <w:rPr>
                <w:b/>
                <w:color w:val="5B6570"/>
                <w:sz w:val="17"/>
              </w:rPr>
              <w:t>2028</w:t>
            </w:r>
          </w:p>
        </w:tc>
        <w:tc>
          <w:tcPr>
            <w:tcW w:type="dxa" w:w="1247"/>
          </w:tcPr>
          <w:p>
            <w:r/>
            <w:r>
              <w:rPr>
                <w:b/>
                <w:color w:val="5B6570"/>
                <w:sz w:val="17"/>
              </w:rPr>
              <w:t>2029</w:t>
            </w:r>
          </w:p>
        </w:tc>
        <w:tc>
          <w:tcPr>
            <w:tcW w:type="dxa" w:w="1247"/>
          </w:tcPr>
          <w:p>
            <w:r/>
            <w:r>
              <w:rPr>
                <w:b/>
                <w:color w:val="5B6570"/>
                <w:sz w:val="17"/>
              </w:rPr>
              <w:t>2030</w:t>
            </w:r>
          </w:p>
        </w:tc>
      </w:tr>
      <w:tr>
        <w:trPr>
          <w:cantSplit/>
        </w:trPr>
        <w:tc>
          <w:tcPr>
            <w:tcW w:type="dxa" w:w="3515"/>
          </w:tcPr>
          <w:p>
            <w:r/>
            <w:r>
              <w:rPr>
                <w:color w:val="1A1D21"/>
                <w:sz w:val="17"/>
              </w:rPr>
              <w:t>Trade and notes receivable</w:t>
            </w:r>
          </w:p>
        </w:tc>
        <w:tc>
          <w:tcPr>
            <w:tcW w:type="dxa" w:w="1247"/>
          </w:tcPr>
          <w:p>
            <w:pPr>
              <w:jc w:val="right"/>
            </w:pPr>
            <w:r/>
            <w:r>
              <w:rPr>
                <w:color w:val="1A1D21"/>
                <w:sz w:val="17"/>
              </w:rPr>
              <w:t>104,248</w:t>
            </w:r>
          </w:p>
        </w:tc>
        <w:tc>
          <w:tcPr>
            <w:tcW w:type="dxa" w:w="1247"/>
          </w:tcPr>
          <w:p>
            <w:pPr>
              <w:jc w:val="right"/>
            </w:pPr>
            <w:r/>
            <w:r>
              <w:rPr>
                <w:color w:val="1A1D21"/>
                <w:sz w:val="17"/>
              </w:rPr>
              <w:t>107,203</w:t>
            </w:r>
          </w:p>
        </w:tc>
        <w:tc>
          <w:tcPr>
            <w:tcW w:type="dxa" w:w="1247"/>
          </w:tcPr>
          <w:p>
            <w:pPr>
              <w:jc w:val="right"/>
            </w:pPr>
            <w:r/>
            <w:r>
              <w:rPr>
                <w:color w:val="1A1D21"/>
                <w:sz w:val="17"/>
              </w:rPr>
              <w:t>113,354</w:t>
            </w:r>
          </w:p>
        </w:tc>
        <w:tc>
          <w:tcPr>
            <w:tcW w:type="dxa" w:w="1247"/>
          </w:tcPr>
          <w:p>
            <w:pPr>
              <w:jc w:val="right"/>
            </w:pPr>
            <w:r/>
            <w:r>
              <w:rPr>
                <w:color w:val="1A1D21"/>
                <w:sz w:val="17"/>
              </w:rPr>
              <w:t>124,104</w:t>
            </w:r>
          </w:p>
        </w:tc>
        <w:tc>
          <w:tcPr>
            <w:tcW w:type="dxa" w:w="1247"/>
          </w:tcPr>
          <w:p>
            <w:pPr>
              <w:jc w:val="right"/>
            </w:pPr>
            <w:r/>
            <w:r>
              <w:rPr>
                <w:color w:val="1A1D21"/>
                <w:sz w:val="17"/>
              </w:rPr>
              <w:t>141,478</w:t>
            </w:r>
          </w:p>
        </w:tc>
      </w:tr>
      <w:tr>
        <w:trPr>
          <w:cantSplit/>
        </w:trPr>
        <w:tc>
          <w:tcPr>
            <w:tcW w:type="dxa" w:w="3515"/>
          </w:tcPr>
          <w:p>
            <w:r/>
            <w:r>
              <w:rPr>
                <w:color w:val="1A1D21"/>
                <w:sz w:val="17"/>
              </w:rPr>
              <w:t>Work in progress</w:t>
            </w:r>
          </w:p>
        </w:tc>
        <w:tc>
          <w:tcPr>
            <w:tcW w:type="dxa" w:w="1247"/>
          </w:tcPr>
          <w:p>
            <w:pPr>
              <w:jc w:val="right"/>
            </w:pPr>
            <w:r/>
            <w:r>
              <w:rPr>
                <w:color w:val="1A1D21"/>
                <w:sz w:val="17"/>
              </w:rPr>
              <w:t>17,696</w:t>
            </w:r>
          </w:p>
        </w:tc>
        <w:tc>
          <w:tcPr>
            <w:tcW w:type="dxa" w:w="1247"/>
          </w:tcPr>
          <w:p>
            <w:pPr>
              <w:jc w:val="right"/>
            </w:pPr>
            <w:r/>
            <w:r>
              <w:rPr>
                <w:color w:val="1A1D21"/>
                <w:sz w:val="17"/>
              </w:rPr>
              <w:t>18,198</w:t>
            </w:r>
          </w:p>
        </w:tc>
        <w:tc>
          <w:tcPr>
            <w:tcW w:type="dxa" w:w="1247"/>
          </w:tcPr>
          <w:p>
            <w:pPr>
              <w:jc w:val="right"/>
            </w:pPr>
            <w:r/>
            <w:r>
              <w:rPr>
                <w:color w:val="1A1D21"/>
                <w:sz w:val="17"/>
              </w:rPr>
              <w:t>19,242</w:t>
            </w:r>
          </w:p>
        </w:tc>
        <w:tc>
          <w:tcPr>
            <w:tcW w:type="dxa" w:w="1247"/>
          </w:tcPr>
          <w:p>
            <w:pPr>
              <w:jc w:val="right"/>
            </w:pPr>
            <w:r/>
            <w:r>
              <w:rPr>
                <w:color w:val="1A1D21"/>
                <w:sz w:val="17"/>
              </w:rPr>
              <w:t>21,067</w:t>
            </w:r>
          </w:p>
        </w:tc>
        <w:tc>
          <w:tcPr>
            <w:tcW w:type="dxa" w:w="1247"/>
          </w:tcPr>
          <w:p>
            <w:pPr>
              <w:jc w:val="right"/>
            </w:pPr>
            <w:r/>
            <w:r>
              <w:rPr>
                <w:color w:val="1A1D21"/>
                <w:sz w:val="17"/>
              </w:rPr>
              <w:t>24,016</w:t>
            </w:r>
          </w:p>
        </w:tc>
      </w:tr>
      <w:tr>
        <w:trPr>
          <w:cantSplit/>
        </w:trPr>
        <w:tc>
          <w:tcPr>
            <w:tcW w:type="dxa" w:w="3515"/>
          </w:tcPr>
          <w:p>
            <w:r/>
            <w:r>
              <w:rPr>
                <w:color w:val="1A1D21"/>
                <w:sz w:val="17"/>
              </w:rPr>
              <w:t>Other receivables and prepayments</w:t>
            </w:r>
          </w:p>
        </w:tc>
        <w:tc>
          <w:tcPr>
            <w:tcW w:type="dxa" w:w="1247"/>
          </w:tcPr>
          <w:p>
            <w:pPr>
              <w:jc w:val="right"/>
            </w:pPr>
            <w:r/>
            <w:r>
              <w:rPr>
                <w:color w:val="1A1D21"/>
                <w:sz w:val="17"/>
              </w:rPr>
              <w:t>13,014</w:t>
            </w:r>
          </w:p>
        </w:tc>
        <w:tc>
          <w:tcPr>
            <w:tcW w:type="dxa" w:w="1247"/>
          </w:tcPr>
          <w:p>
            <w:pPr>
              <w:jc w:val="right"/>
            </w:pPr>
            <w:r/>
            <w:r>
              <w:rPr>
                <w:color w:val="1A1D21"/>
                <w:sz w:val="17"/>
              </w:rPr>
              <w:t>13,383</w:t>
            </w:r>
          </w:p>
        </w:tc>
        <w:tc>
          <w:tcPr>
            <w:tcW w:type="dxa" w:w="1247"/>
          </w:tcPr>
          <w:p>
            <w:pPr>
              <w:jc w:val="right"/>
            </w:pPr>
            <w:r/>
            <w:r>
              <w:rPr>
                <w:color w:val="1A1D21"/>
                <w:sz w:val="17"/>
              </w:rPr>
              <w:t>14,151</w:t>
            </w:r>
          </w:p>
        </w:tc>
        <w:tc>
          <w:tcPr>
            <w:tcW w:type="dxa" w:w="1247"/>
          </w:tcPr>
          <w:p>
            <w:pPr>
              <w:jc w:val="right"/>
            </w:pPr>
            <w:r/>
            <w:r>
              <w:rPr>
                <w:color w:val="1A1D21"/>
                <w:sz w:val="17"/>
              </w:rPr>
              <w:t>15,493</w:t>
            </w:r>
          </w:p>
        </w:tc>
        <w:tc>
          <w:tcPr>
            <w:tcW w:type="dxa" w:w="1247"/>
          </w:tcPr>
          <w:p>
            <w:pPr>
              <w:jc w:val="right"/>
            </w:pPr>
            <w:r/>
            <w:r>
              <w:rPr>
                <w:color w:val="1A1D21"/>
                <w:sz w:val="17"/>
              </w:rPr>
              <w:t>17,662</w:t>
            </w:r>
          </w:p>
        </w:tc>
      </w:tr>
      <w:tr>
        <w:trPr>
          <w:cantSplit/>
        </w:trPr>
        <w:tc>
          <w:tcPr>
            <w:tcW w:type="dxa" w:w="3515"/>
          </w:tcPr>
          <w:p>
            <w:r/>
            <w:r>
              <w:rPr>
                <w:color w:val="1A1D21"/>
                <w:sz w:val="17"/>
              </w:rPr>
              <w:t>Advances to suppliers</w:t>
            </w:r>
          </w:p>
        </w:tc>
        <w:tc>
          <w:tcPr>
            <w:tcW w:type="dxa" w:w="1247"/>
          </w:tcPr>
          <w:p>
            <w:pPr>
              <w:jc w:val="right"/>
            </w:pPr>
            <w:r/>
            <w:r>
              <w:rPr>
                <w:color w:val="1A1D21"/>
                <w:sz w:val="17"/>
              </w:rPr>
              <w:t>9,121</w:t>
            </w:r>
          </w:p>
        </w:tc>
        <w:tc>
          <w:tcPr>
            <w:tcW w:type="dxa" w:w="1247"/>
          </w:tcPr>
          <w:p>
            <w:pPr>
              <w:jc w:val="right"/>
            </w:pPr>
            <w:r/>
            <w:r>
              <w:rPr>
                <w:color w:val="1A1D21"/>
                <w:sz w:val="17"/>
              </w:rPr>
              <w:t>9,379</w:t>
            </w:r>
          </w:p>
        </w:tc>
        <w:tc>
          <w:tcPr>
            <w:tcW w:type="dxa" w:w="1247"/>
          </w:tcPr>
          <w:p>
            <w:pPr>
              <w:jc w:val="right"/>
            </w:pPr>
            <w:r/>
            <w:r>
              <w:rPr>
                <w:color w:val="1A1D21"/>
                <w:sz w:val="17"/>
              </w:rPr>
              <w:t>9,917</w:t>
            </w:r>
          </w:p>
        </w:tc>
        <w:tc>
          <w:tcPr>
            <w:tcW w:type="dxa" w:w="1247"/>
          </w:tcPr>
          <w:p>
            <w:pPr>
              <w:jc w:val="right"/>
            </w:pPr>
            <w:r/>
            <w:r>
              <w:rPr>
                <w:color w:val="1A1D21"/>
                <w:sz w:val="17"/>
              </w:rPr>
              <w:t>10,858</w:t>
            </w:r>
          </w:p>
        </w:tc>
        <w:tc>
          <w:tcPr>
            <w:tcW w:type="dxa" w:w="1247"/>
          </w:tcPr>
          <w:p>
            <w:pPr>
              <w:jc w:val="right"/>
            </w:pPr>
            <w:r/>
            <w:r>
              <w:rPr>
                <w:color w:val="1A1D21"/>
                <w:sz w:val="17"/>
              </w:rPr>
              <w:t>12,378</w:t>
            </w:r>
          </w:p>
        </w:tc>
      </w:tr>
      <w:tr>
        <w:trPr>
          <w:cantSplit/>
        </w:trPr>
        <w:tc>
          <w:tcPr>
            <w:tcW w:type="dxa" w:w="3515"/>
          </w:tcPr>
          <w:p>
            <w:r/>
            <w:r>
              <w:rPr>
                <w:color w:val="1A1D21"/>
                <w:sz w:val="17"/>
              </w:rPr>
              <w:t>Cash and equivalents</w:t>
            </w:r>
          </w:p>
        </w:tc>
        <w:tc>
          <w:tcPr>
            <w:tcW w:type="dxa" w:w="1247"/>
          </w:tcPr>
          <w:p>
            <w:pPr>
              <w:jc w:val="right"/>
            </w:pPr>
            <w:r/>
            <w:r>
              <w:rPr>
                <w:color w:val="1A1D21"/>
                <w:sz w:val="17"/>
              </w:rPr>
              <w:t>12,516</w:t>
            </w:r>
          </w:p>
        </w:tc>
        <w:tc>
          <w:tcPr>
            <w:tcW w:type="dxa" w:w="1247"/>
          </w:tcPr>
          <w:p>
            <w:pPr>
              <w:jc w:val="right"/>
            </w:pPr>
            <w:r/>
            <w:r>
              <w:rPr>
                <w:color w:val="1A1D21"/>
                <w:sz w:val="17"/>
              </w:rPr>
              <w:t>16,975</w:t>
            </w:r>
          </w:p>
        </w:tc>
        <w:tc>
          <w:tcPr>
            <w:tcW w:type="dxa" w:w="1247"/>
          </w:tcPr>
          <w:p>
            <w:pPr>
              <w:jc w:val="right"/>
            </w:pPr>
            <w:r/>
            <w:r>
              <w:rPr>
                <w:color w:val="1A1D21"/>
                <w:sz w:val="17"/>
              </w:rPr>
              <w:t>23,395</w:t>
            </w:r>
          </w:p>
        </w:tc>
        <w:tc>
          <w:tcPr>
            <w:tcW w:type="dxa" w:w="1247"/>
          </w:tcPr>
          <w:p>
            <w:pPr>
              <w:jc w:val="right"/>
            </w:pPr>
            <w:r/>
            <w:r>
              <w:rPr>
                <w:color w:val="1A1D21"/>
                <w:sz w:val="17"/>
              </w:rPr>
              <w:t>32,639</w:t>
            </w:r>
          </w:p>
        </w:tc>
        <w:tc>
          <w:tcPr>
            <w:tcW w:type="dxa" w:w="1247"/>
          </w:tcPr>
          <w:p>
            <w:pPr>
              <w:jc w:val="right"/>
            </w:pPr>
            <w:r/>
            <w:r>
              <w:rPr>
                <w:color w:val="1A1D21"/>
                <w:sz w:val="17"/>
              </w:rPr>
              <w:t>45,947</w:t>
            </w:r>
          </w:p>
        </w:tc>
      </w:tr>
      <w:tr>
        <w:trPr>
          <w:cantSplit/>
        </w:trPr>
        <w:tc>
          <w:tcPr>
            <w:tcW w:type="dxa" w:w="3515"/>
          </w:tcPr>
          <w:p>
            <w:r/>
            <w:r>
              <w:rPr>
                <w:color w:val="1A1D21"/>
                <w:sz w:val="17"/>
              </w:rPr>
              <w:t>Property and equipment</w:t>
            </w:r>
          </w:p>
        </w:tc>
        <w:tc>
          <w:tcPr>
            <w:tcW w:type="dxa" w:w="1247"/>
          </w:tcPr>
          <w:p>
            <w:pPr>
              <w:jc w:val="right"/>
            </w:pPr>
            <w:r/>
            <w:r>
              <w:rPr>
                <w:color w:val="1A1D21"/>
                <w:sz w:val="17"/>
              </w:rPr>
              <w:t>4,531</w:t>
            </w:r>
          </w:p>
        </w:tc>
        <w:tc>
          <w:tcPr>
            <w:tcW w:type="dxa" w:w="1247"/>
          </w:tcPr>
          <w:p>
            <w:pPr>
              <w:jc w:val="right"/>
            </w:pPr>
            <w:r/>
            <w:r>
              <w:rPr>
                <w:color w:val="1A1D21"/>
                <w:sz w:val="17"/>
              </w:rPr>
              <w:t>4,544</w:t>
            </w:r>
          </w:p>
        </w:tc>
        <w:tc>
          <w:tcPr>
            <w:tcW w:type="dxa" w:w="1247"/>
          </w:tcPr>
          <w:p>
            <w:pPr>
              <w:jc w:val="right"/>
            </w:pPr>
            <w:r/>
            <w:r>
              <w:rPr>
                <w:color w:val="1A1D21"/>
                <w:sz w:val="17"/>
              </w:rPr>
              <w:t>4,562</w:t>
            </w:r>
          </w:p>
        </w:tc>
        <w:tc>
          <w:tcPr>
            <w:tcW w:type="dxa" w:w="1247"/>
          </w:tcPr>
          <w:p>
            <w:pPr>
              <w:jc w:val="right"/>
            </w:pPr>
            <w:r/>
            <w:r>
              <w:rPr>
                <w:color w:val="1A1D21"/>
                <w:sz w:val="17"/>
              </w:rPr>
              <w:t>4,589</w:t>
            </w:r>
          </w:p>
        </w:tc>
        <w:tc>
          <w:tcPr>
            <w:tcW w:type="dxa" w:w="1247"/>
          </w:tcPr>
          <w:p>
            <w:pPr>
              <w:jc w:val="right"/>
            </w:pPr>
            <w:r/>
            <w:r>
              <w:rPr>
                <w:color w:val="1A1D21"/>
                <w:sz w:val="17"/>
              </w:rPr>
              <w:t>4,627</w:t>
            </w:r>
          </w:p>
        </w:tc>
      </w:tr>
      <w:tr>
        <w:trPr>
          <w:cantSplit/>
        </w:trPr>
        <w:tc>
          <w:tcPr>
            <w:tcW w:type="dxa" w:w="3515"/>
          </w:tcPr>
          <w:p>
            <w:r/>
            <w:r>
              <w:rPr>
                <w:color w:val="1A1D21"/>
                <w:sz w:val="17"/>
              </w:rPr>
              <w:t>Other assets, held at the 2025 level</w:t>
            </w:r>
          </w:p>
        </w:tc>
        <w:tc>
          <w:tcPr>
            <w:tcW w:type="dxa" w:w="1247"/>
          </w:tcPr>
          <w:p>
            <w:pPr>
              <w:jc w:val="right"/>
            </w:pPr>
            <w:r/>
            <w:r>
              <w:rPr>
                <w:color w:val="1A1D21"/>
                <w:sz w:val="17"/>
              </w:rPr>
              <w:t>15,128</w:t>
            </w:r>
          </w:p>
        </w:tc>
        <w:tc>
          <w:tcPr>
            <w:tcW w:type="dxa" w:w="1247"/>
          </w:tcPr>
          <w:p>
            <w:pPr>
              <w:jc w:val="right"/>
            </w:pPr>
            <w:r/>
            <w:r>
              <w:rPr>
                <w:color w:val="1A1D21"/>
                <w:sz w:val="17"/>
              </w:rPr>
              <w:t>15,128</w:t>
            </w:r>
          </w:p>
        </w:tc>
        <w:tc>
          <w:tcPr>
            <w:tcW w:type="dxa" w:w="1247"/>
          </w:tcPr>
          <w:p>
            <w:pPr>
              <w:jc w:val="right"/>
            </w:pPr>
            <w:r/>
            <w:r>
              <w:rPr>
                <w:color w:val="1A1D21"/>
                <w:sz w:val="17"/>
              </w:rPr>
              <w:t>15,128</w:t>
            </w:r>
          </w:p>
        </w:tc>
        <w:tc>
          <w:tcPr>
            <w:tcW w:type="dxa" w:w="1247"/>
          </w:tcPr>
          <w:p>
            <w:pPr>
              <w:jc w:val="right"/>
            </w:pPr>
            <w:r/>
            <w:r>
              <w:rPr>
                <w:color w:val="1A1D21"/>
                <w:sz w:val="17"/>
              </w:rPr>
              <w:t>15,128</w:t>
            </w:r>
          </w:p>
        </w:tc>
        <w:tc>
          <w:tcPr>
            <w:tcW w:type="dxa" w:w="1247"/>
          </w:tcPr>
          <w:p>
            <w:pPr>
              <w:jc w:val="right"/>
            </w:pPr>
            <w:r/>
            <w:r>
              <w:rPr>
                <w:color w:val="1A1D21"/>
                <w:sz w:val="17"/>
              </w:rPr>
              <w:t>15,128</w:t>
            </w:r>
          </w:p>
        </w:tc>
      </w:tr>
      <w:tr>
        <w:trPr>
          <w:cantSplit/>
        </w:trPr>
        <w:tc>
          <w:tcPr>
            <w:tcW w:type="dxa" w:w="3515"/>
          </w:tcPr>
          <w:p>
            <w:r/>
            <w:r>
              <w:rPr>
                <w:color w:val="1A1D21"/>
                <w:sz w:val="17"/>
              </w:rPr>
              <w:t>Total assets</w:t>
            </w:r>
          </w:p>
        </w:tc>
        <w:tc>
          <w:tcPr>
            <w:tcW w:type="dxa" w:w="1247"/>
          </w:tcPr>
          <w:p>
            <w:pPr>
              <w:jc w:val="right"/>
            </w:pPr>
            <w:r/>
            <w:r>
              <w:rPr>
                <w:color w:val="1A1D21"/>
                <w:sz w:val="17"/>
              </w:rPr>
              <w:t>176,254</w:t>
            </w:r>
          </w:p>
        </w:tc>
        <w:tc>
          <w:tcPr>
            <w:tcW w:type="dxa" w:w="1247"/>
          </w:tcPr>
          <w:p>
            <w:pPr>
              <w:jc w:val="right"/>
            </w:pPr>
            <w:r/>
            <w:r>
              <w:rPr>
                <w:color w:val="1A1D21"/>
                <w:sz w:val="17"/>
              </w:rPr>
              <w:t>184,810</w:t>
            </w:r>
          </w:p>
        </w:tc>
        <w:tc>
          <w:tcPr>
            <w:tcW w:type="dxa" w:w="1247"/>
          </w:tcPr>
          <w:p>
            <w:pPr>
              <w:jc w:val="right"/>
            </w:pPr>
            <w:r/>
            <w:r>
              <w:rPr>
                <w:color w:val="1A1D21"/>
                <w:sz w:val="17"/>
              </w:rPr>
              <w:t>199,749</w:t>
            </w:r>
          </w:p>
        </w:tc>
        <w:tc>
          <w:tcPr>
            <w:tcW w:type="dxa" w:w="1247"/>
          </w:tcPr>
          <w:p>
            <w:pPr>
              <w:jc w:val="right"/>
            </w:pPr>
            <w:r/>
            <w:r>
              <w:rPr>
                <w:color w:val="1A1D21"/>
                <w:sz w:val="17"/>
              </w:rPr>
              <w:t>223,877</w:t>
            </w:r>
          </w:p>
        </w:tc>
        <w:tc>
          <w:tcPr>
            <w:tcW w:type="dxa" w:w="1247"/>
          </w:tcPr>
          <w:p>
            <w:pPr>
              <w:jc w:val="right"/>
            </w:pPr>
            <w:r/>
            <w:r>
              <w:rPr>
                <w:color w:val="1A1D21"/>
                <w:sz w:val="17"/>
              </w:rPr>
              <w:t>261,235</w:t>
            </w:r>
          </w:p>
        </w:tc>
      </w:tr>
      <w:tr>
        <w:trPr>
          <w:cantSplit/>
        </w:trPr>
        <w:tc>
          <w:tcPr>
            <w:tcW w:type="dxa" w:w="3515"/>
          </w:tcPr>
          <w:p>
            <w:r/>
            <w:r>
              <w:rPr>
                <w:color w:val="1A1D21"/>
                <w:sz w:val="17"/>
              </w:rPr>
              <w:t>Customer advances</w:t>
            </w:r>
          </w:p>
        </w:tc>
        <w:tc>
          <w:tcPr>
            <w:tcW w:type="dxa" w:w="1247"/>
          </w:tcPr>
          <w:p>
            <w:pPr>
              <w:jc w:val="right"/>
            </w:pPr>
            <w:r/>
            <w:r>
              <w:rPr>
                <w:color w:val="1A1D21"/>
                <w:sz w:val="17"/>
              </w:rPr>
              <w:t>69,848</w:t>
            </w:r>
          </w:p>
        </w:tc>
        <w:tc>
          <w:tcPr>
            <w:tcW w:type="dxa" w:w="1247"/>
          </w:tcPr>
          <w:p>
            <w:pPr>
              <w:jc w:val="right"/>
            </w:pPr>
            <w:r/>
            <w:r>
              <w:rPr>
                <w:color w:val="1A1D21"/>
                <w:sz w:val="17"/>
              </w:rPr>
              <w:t>71,828</w:t>
            </w:r>
          </w:p>
        </w:tc>
        <w:tc>
          <w:tcPr>
            <w:tcW w:type="dxa" w:w="1247"/>
          </w:tcPr>
          <w:p>
            <w:pPr>
              <w:jc w:val="right"/>
            </w:pPr>
            <w:r/>
            <w:r>
              <w:rPr>
                <w:color w:val="1A1D21"/>
                <w:sz w:val="17"/>
              </w:rPr>
              <w:t>75,949</w:t>
            </w:r>
          </w:p>
        </w:tc>
        <w:tc>
          <w:tcPr>
            <w:tcW w:type="dxa" w:w="1247"/>
          </w:tcPr>
          <w:p>
            <w:pPr>
              <w:jc w:val="right"/>
            </w:pPr>
            <w:r/>
            <w:r>
              <w:rPr>
                <w:color w:val="1A1D21"/>
                <w:sz w:val="17"/>
              </w:rPr>
              <w:t>83,152</w:t>
            </w:r>
          </w:p>
        </w:tc>
        <w:tc>
          <w:tcPr>
            <w:tcW w:type="dxa" w:w="1247"/>
          </w:tcPr>
          <w:p>
            <w:pPr>
              <w:jc w:val="right"/>
            </w:pPr>
            <w:r/>
            <w:r>
              <w:rPr>
                <w:color w:val="1A1D21"/>
                <w:sz w:val="17"/>
              </w:rPr>
              <w:t>94,793</w:t>
            </w:r>
          </w:p>
        </w:tc>
      </w:tr>
      <w:tr>
        <w:trPr>
          <w:cantSplit/>
        </w:trPr>
        <w:tc>
          <w:tcPr>
            <w:tcW w:type="dxa" w:w="3515"/>
          </w:tcPr>
          <w:p>
            <w:r/>
            <w:r>
              <w:rPr>
                <w:color w:val="1A1D21"/>
                <w:sz w:val="17"/>
              </w:rPr>
              <w:t>Suppliers</w:t>
            </w:r>
          </w:p>
        </w:tc>
        <w:tc>
          <w:tcPr>
            <w:tcW w:type="dxa" w:w="1247"/>
          </w:tcPr>
          <w:p>
            <w:pPr>
              <w:jc w:val="right"/>
            </w:pPr>
            <w:r/>
            <w:r>
              <w:rPr>
                <w:color w:val="1A1D21"/>
                <w:sz w:val="17"/>
              </w:rPr>
              <w:t>3,834</w:t>
            </w:r>
          </w:p>
        </w:tc>
        <w:tc>
          <w:tcPr>
            <w:tcW w:type="dxa" w:w="1247"/>
          </w:tcPr>
          <w:p>
            <w:pPr>
              <w:jc w:val="right"/>
            </w:pPr>
            <w:r/>
            <w:r>
              <w:rPr>
                <w:color w:val="1A1D21"/>
                <w:sz w:val="17"/>
              </w:rPr>
              <w:t>3,943</w:t>
            </w:r>
          </w:p>
        </w:tc>
        <w:tc>
          <w:tcPr>
            <w:tcW w:type="dxa" w:w="1247"/>
          </w:tcPr>
          <w:p>
            <w:pPr>
              <w:jc w:val="right"/>
            </w:pPr>
            <w:r/>
            <w:r>
              <w:rPr>
                <w:color w:val="1A1D21"/>
                <w:sz w:val="17"/>
              </w:rPr>
              <w:t>4,169</w:t>
            </w:r>
          </w:p>
        </w:tc>
        <w:tc>
          <w:tcPr>
            <w:tcW w:type="dxa" w:w="1247"/>
          </w:tcPr>
          <w:p>
            <w:pPr>
              <w:jc w:val="right"/>
            </w:pPr>
            <w:r/>
            <w:r>
              <w:rPr>
                <w:color w:val="1A1D21"/>
                <w:sz w:val="17"/>
              </w:rPr>
              <w:t>4,564</w:t>
            </w:r>
          </w:p>
        </w:tc>
        <w:tc>
          <w:tcPr>
            <w:tcW w:type="dxa" w:w="1247"/>
          </w:tcPr>
          <w:p>
            <w:pPr>
              <w:jc w:val="right"/>
            </w:pPr>
            <w:r/>
            <w:r>
              <w:rPr>
                <w:color w:val="1A1D21"/>
                <w:sz w:val="17"/>
              </w:rPr>
              <w:t>5,203</w:t>
            </w:r>
          </w:p>
        </w:tc>
      </w:tr>
      <w:tr>
        <w:trPr>
          <w:cantSplit/>
        </w:trPr>
        <w:tc>
          <w:tcPr>
            <w:tcW w:type="dxa" w:w="3515"/>
          </w:tcPr>
          <w:p>
            <w:r/>
            <w:r>
              <w:rPr>
                <w:color w:val="1A1D21"/>
                <w:sz w:val="17"/>
              </w:rPr>
              <w:t>Other creditors</w:t>
            </w:r>
          </w:p>
        </w:tc>
        <w:tc>
          <w:tcPr>
            <w:tcW w:type="dxa" w:w="1247"/>
          </w:tcPr>
          <w:p>
            <w:pPr>
              <w:jc w:val="right"/>
            </w:pPr>
            <w:r/>
            <w:r>
              <w:rPr>
                <w:color w:val="1A1D21"/>
                <w:sz w:val="17"/>
              </w:rPr>
              <w:t>5,158</w:t>
            </w:r>
          </w:p>
        </w:tc>
        <w:tc>
          <w:tcPr>
            <w:tcW w:type="dxa" w:w="1247"/>
          </w:tcPr>
          <w:p>
            <w:pPr>
              <w:jc w:val="right"/>
            </w:pPr>
            <w:r/>
            <w:r>
              <w:rPr>
                <w:color w:val="1A1D21"/>
                <w:sz w:val="17"/>
              </w:rPr>
              <w:t>5,304</w:t>
            </w:r>
          </w:p>
        </w:tc>
        <w:tc>
          <w:tcPr>
            <w:tcW w:type="dxa" w:w="1247"/>
          </w:tcPr>
          <w:p>
            <w:pPr>
              <w:jc w:val="right"/>
            </w:pPr>
            <w:r/>
            <w:r>
              <w:rPr>
                <w:color w:val="1A1D21"/>
                <w:sz w:val="17"/>
              </w:rPr>
              <w:t>5,609</w:t>
            </w:r>
          </w:p>
        </w:tc>
        <w:tc>
          <w:tcPr>
            <w:tcW w:type="dxa" w:w="1247"/>
          </w:tcPr>
          <w:p>
            <w:pPr>
              <w:jc w:val="right"/>
            </w:pPr>
            <w:r/>
            <w:r>
              <w:rPr>
                <w:color w:val="1A1D21"/>
                <w:sz w:val="17"/>
              </w:rPr>
              <w:t>6,141</w:t>
            </w:r>
          </w:p>
        </w:tc>
        <w:tc>
          <w:tcPr>
            <w:tcW w:type="dxa" w:w="1247"/>
          </w:tcPr>
          <w:p>
            <w:pPr>
              <w:jc w:val="right"/>
            </w:pPr>
            <w:r/>
            <w:r>
              <w:rPr>
                <w:color w:val="1A1D21"/>
                <w:sz w:val="17"/>
              </w:rPr>
              <w:t>7,000</w:t>
            </w:r>
          </w:p>
        </w:tc>
      </w:tr>
      <w:tr>
        <w:trPr>
          <w:cantSplit/>
        </w:trPr>
        <w:tc>
          <w:tcPr>
            <w:tcW w:type="dxa" w:w="3515"/>
          </w:tcPr>
          <w:p>
            <w:r/>
            <w:r>
              <w:rPr>
                <w:color w:val="1A1D21"/>
                <w:sz w:val="17"/>
              </w:rPr>
              <w:t>Cheques under collection</w:t>
            </w:r>
          </w:p>
        </w:tc>
        <w:tc>
          <w:tcPr>
            <w:tcW w:type="dxa" w:w="1247"/>
          </w:tcPr>
          <w:p>
            <w:pPr>
              <w:jc w:val="right"/>
            </w:pPr>
            <w:r/>
            <w:r>
              <w:rPr>
                <w:color w:val="1A1D21"/>
                <w:sz w:val="17"/>
              </w:rPr>
              <w:t>2,471</w:t>
            </w:r>
          </w:p>
        </w:tc>
        <w:tc>
          <w:tcPr>
            <w:tcW w:type="dxa" w:w="1247"/>
          </w:tcPr>
          <w:p>
            <w:pPr>
              <w:jc w:val="right"/>
            </w:pPr>
            <w:r/>
            <w:r>
              <w:rPr>
                <w:color w:val="1A1D21"/>
                <w:sz w:val="17"/>
              </w:rPr>
              <w:t>2,541</w:t>
            </w:r>
          </w:p>
        </w:tc>
        <w:tc>
          <w:tcPr>
            <w:tcW w:type="dxa" w:w="1247"/>
          </w:tcPr>
          <w:p>
            <w:pPr>
              <w:jc w:val="right"/>
            </w:pPr>
            <w:r/>
            <w:r>
              <w:rPr>
                <w:color w:val="1A1D21"/>
                <w:sz w:val="17"/>
              </w:rPr>
              <w:t>2,687</w:t>
            </w:r>
          </w:p>
        </w:tc>
        <w:tc>
          <w:tcPr>
            <w:tcW w:type="dxa" w:w="1247"/>
          </w:tcPr>
          <w:p>
            <w:pPr>
              <w:jc w:val="right"/>
            </w:pPr>
            <w:r/>
            <w:r>
              <w:rPr>
                <w:color w:val="1A1D21"/>
                <w:sz w:val="17"/>
              </w:rPr>
              <w:t>2,942</w:t>
            </w:r>
          </w:p>
        </w:tc>
        <w:tc>
          <w:tcPr>
            <w:tcW w:type="dxa" w:w="1247"/>
          </w:tcPr>
          <w:p>
            <w:pPr>
              <w:jc w:val="right"/>
            </w:pPr>
            <w:r/>
            <w:r>
              <w:rPr>
                <w:color w:val="1A1D21"/>
                <w:sz w:val="17"/>
              </w:rPr>
              <w:t>3,354</w:t>
            </w:r>
          </w:p>
        </w:tc>
      </w:tr>
      <w:tr>
        <w:trPr>
          <w:cantSplit/>
        </w:trPr>
        <w:tc>
          <w:tcPr>
            <w:tcW w:type="dxa" w:w="3515"/>
          </w:tcPr>
          <w:p>
            <w:r/>
            <w:r>
              <w:rPr>
                <w:color w:val="1A1D21"/>
                <w:sz w:val="17"/>
              </w:rPr>
              <w:t>Borrowings</w:t>
            </w:r>
          </w:p>
        </w:tc>
        <w:tc>
          <w:tcPr>
            <w:tcW w:type="dxa" w:w="1247"/>
          </w:tcPr>
          <w:p>
            <w:pPr>
              <w:jc w:val="right"/>
            </w:pPr>
            <w:r/>
            <w:r>
              <w:rPr>
                <w:color w:val="1A1D21"/>
                <w:sz w:val="17"/>
              </w:rPr>
              <w:t>33,553</w:t>
            </w:r>
          </w:p>
        </w:tc>
        <w:tc>
          <w:tcPr>
            <w:tcW w:type="dxa" w:w="1247"/>
          </w:tcPr>
          <w:p>
            <w:pPr>
              <w:jc w:val="right"/>
            </w:pPr>
            <w:r/>
            <w:r>
              <w:rPr>
                <w:color w:val="1A1D21"/>
                <w:sz w:val="17"/>
              </w:rPr>
              <w:t>33,553</w:t>
            </w:r>
          </w:p>
        </w:tc>
        <w:tc>
          <w:tcPr>
            <w:tcW w:type="dxa" w:w="1247"/>
          </w:tcPr>
          <w:p>
            <w:pPr>
              <w:jc w:val="right"/>
            </w:pPr>
            <w:r/>
            <w:r>
              <w:rPr>
                <w:color w:val="1A1D21"/>
                <w:sz w:val="17"/>
              </w:rPr>
              <w:t>33,553</w:t>
            </w:r>
          </w:p>
        </w:tc>
        <w:tc>
          <w:tcPr>
            <w:tcW w:type="dxa" w:w="1247"/>
          </w:tcPr>
          <w:p>
            <w:pPr>
              <w:jc w:val="right"/>
            </w:pPr>
            <w:r/>
            <w:r>
              <w:rPr>
                <w:color w:val="1A1D21"/>
                <w:sz w:val="17"/>
              </w:rPr>
              <w:t>33,553</w:t>
            </w:r>
          </w:p>
        </w:tc>
        <w:tc>
          <w:tcPr>
            <w:tcW w:type="dxa" w:w="1247"/>
          </w:tcPr>
          <w:p>
            <w:pPr>
              <w:jc w:val="right"/>
            </w:pPr>
            <w:r/>
            <w:r>
              <w:rPr>
                <w:color w:val="1A1D21"/>
                <w:sz w:val="17"/>
              </w:rPr>
              <w:t>33,553</w:t>
            </w:r>
          </w:p>
        </w:tc>
      </w:tr>
      <w:tr>
        <w:trPr>
          <w:cantSplit/>
        </w:trPr>
        <w:tc>
          <w:tcPr>
            <w:tcW w:type="dxa" w:w="3515"/>
          </w:tcPr>
          <w:p>
            <w:r/>
            <w:r>
              <w:rPr>
                <w:color w:val="1A1D21"/>
                <w:sz w:val="17"/>
              </w:rPr>
              <w:t>Other liabilities, held at the 2025 level</w:t>
            </w:r>
          </w:p>
        </w:tc>
        <w:tc>
          <w:tcPr>
            <w:tcW w:type="dxa" w:w="1247"/>
          </w:tcPr>
          <w:p>
            <w:pPr>
              <w:jc w:val="right"/>
            </w:pPr>
            <w:r/>
            <w:r>
              <w:rPr>
                <w:color w:val="1A1D21"/>
                <w:sz w:val="17"/>
              </w:rPr>
              <w:t>39,075</w:t>
            </w:r>
          </w:p>
        </w:tc>
        <w:tc>
          <w:tcPr>
            <w:tcW w:type="dxa" w:w="1247"/>
          </w:tcPr>
          <w:p>
            <w:pPr>
              <w:jc w:val="right"/>
            </w:pPr>
            <w:r/>
            <w:r>
              <w:rPr>
                <w:color w:val="1A1D21"/>
                <w:sz w:val="17"/>
              </w:rPr>
              <w:t>39,075</w:t>
            </w:r>
          </w:p>
        </w:tc>
        <w:tc>
          <w:tcPr>
            <w:tcW w:type="dxa" w:w="1247"/>
          </w:tcPr>
          <w:p>
            <w:pPr>
              <w:jc w:val="right"/>
            </w:pPr>
            <w:r/>
            <w:r>
              <w:rPr>
                <w:color w:val="1A1D21"/>
                <w:sz w:val="17"/>
              </w:rPr>
              <w:t>39,075</w:t>
            </w:r>
          </w:p>
        </w:tc>
        <w:tc>
          <w:tcPr>
            <w:tcW w:type="dxa" w:w="1247"/>
          </w:tcPr>
          <w:p>
            <w:pPr>
              <w:jc w:val="right"/>
            </w:pPr>
            <w:r/>
            <w:r>
              <w:rPr>
                <w:color w:val="1A1D21"/>
                <w:sz w:val="17"/>
              </w:rPr>
              <w:t>39,075</w:t>
            </w:r>
          </w:p>
        </w:tc>
        <w:tc>
          <w:tcPr>
            <w:tcW w:type="dxa" w:w="1247"/>
          </w:tcPr>
          <w:p>
            <w:pPr>
              <w:jc w:val="right"/>
            </w:pPr>
            <w:r/>
            <w:r>
              <w:rPr>
                <w:color w:val="1A1D21"/>
                <w:sz w:val="17"/>
              </w:rPr>
              <w:t>39,075</w:t>
            </w:r>
          </w:p>
        </w:tc>
      </w:tr>
      <w:tr>
        <w:trPr>
          <w:cantSplit/>
        </w:trPr>
        <w:tc>
          <w:tcPr>
            <w:tcW w:type="dxa" w:w="3515"/>
          </w:tcPr>
          <w:p>
            <w:r/>
            <w:r>
              <w:rPr>
                <w:color w:val="1A1D21"/>
                <w:sz w:val="17"/>
              </w:rPr>
              <w:t>Total liabilities</w:t>
            </w:r>
          </w:p>
        </w:tc>
        <w:tc>
          <w:tcPr>
            <w:tcW w:type="dxa" w:w="1247"/>
          </w:tcPr>
          <w:p>
            <w:pPr>
              <w:jc w:val="right"/>
            </w:pPr>
            <w:r/>
            <w:r>
              <w:rPr>
                <w:color w:val="1A1D21"/>
                <w:sz w:val="17"/>
              </w:rPr>
              <w:t>153,939</w:t>
            </w:r>
          </w:p>
        </w:tc>
        <w:tc>
          <w:tcPr>
            <w:tcW w:type="dxa" w:w="1247"/>
          </w:tcPr>
          <w:p>
            <w:pPr>
              <w:jc w:val="right"/>
            </w:pPr>
            <w:r/>
            <w:r>
              <w:rPr>
                <w:color w:val="1A1D21"/>
                <w:sz w:val="17"/>
              </w:rPr>
              <w:t>156,244</w:t>
            </w:r>
          </w:p>
        </w:tc>
        <w:tc>
          <w:tcPr>
            <w:tcW w:type="dxa" w:w="1247"/>
          </w:tcPr>
          <w:p>
            <w:pPr>
              <w:jc w:val="right"/>
            </w:pPr>
            <w:r/>
            <w:r>
              <w:rPr>
                <w:color w:val="1A1D21"/>
                <w:sz w:val="17"/>
              </w:rPr>
              <w:t>161,041</w:t>
            </w:r>
          </w:p>
        </w:tc>
        <w:tc>
          <w:tcPr>
            <w:tcW w:type="dxa" w:w="1247"/>
          </w:tcPr>
          <w:p>
            <w:pPr>
              <w:jc w:val="right"/>
            </w:pPr>
            <w:r/>
            <w:r>
              <w:rPr>
                <w:color w:val="1A1D21"/>
                <w:sz w:val="17"/>
              </w:rPr>
              <w:t>169,426</w:t>
            </w:r>
          </w:p>
        </w:tc>
        <w:tc>
          <w:tcPr>
            <w:tcW w:type="dxa" w:w="1247"/>
          </w:tcPr>
          <w:p>
            <w:pPr>
              <w:jc w:val="right"/>
            </w:pPr>
            <w:r/>
            <w:r>
              <w:rPr>
                <w:color w:val="1A1D21"/>
                <w:sz w:val="17"/>
              </w:rPr>
              <w:t>182,978</w:t>
            </w:r>
          </w:p>
        </w:tc>
      </w:tr>
      <w:tr>
        <w:trPr>
          <w:cantSplit/>
        </w:trPr>
        <w:tc>
          <w:tcPr>
            <w:tcW w:type="dxa" w:w="3515"/>
          </w:tcPr>
          <w:p>
            <w:r/>
            <w:r>
              <w:rPr>
                <w:color w:val="1A1D21"/>
                <w:sz w:val="17"/>
              </w:rPr>
              <w:t>Shareholders' funds</w:t>
            </w:r>
          </w:p>
        </w:tc>
        <w:tc>
          <w:tcPr>
            <w:tcW w:type="dxa" w:w="1247"/>
          </w:tcPr>
          <w:p>
            <w:pPr>
              <w:jc w:val="right"/>
            </w:pPr>
            <w:r/>
            <w:r>
              <w:rPr>
                <w:color w:val="1A1D21"/>
                <w:sz w:val="17"/>
              </w:rPr>
              <w:t>22,315</w:t>
            </w:r>
          </w:p>
        </w:tc>
        <w:tc>
          <w:tcPr>
            <w:tcW w:type="dxa" w:w="1247"/>
          </w:tcPr>
          <w:p>
            <w:pPr>
              <w:jc w:val="right"/>
            </w:pPr>
            <w:r/>
            <w:r>
              <w:rPr>
                <w:color w:val="1A1D21"/>
                <w:sz w:val="17"/>
              </w:rPr>
              <w:t>28,566</w:t>
            </w:r>
          </w:p>
        </w:tc>
        <w:tc>
          <w:tcPr>
            <w:tcW w:type="dxa" w:w="1247"/>
          </w:tcPr>
          <w:p>
            <w:pPr>
              <w:jc w:val="right"/>
            </w:pPr>
            <w:r/>
            <w:r>
              <w:rPr>
                <w:color w:val="1A1D21"/>
                <w:sz w:val="17"/>
              </w:rPr>
              <w:t>38,708</w:t>
            </w:r>
          </w:p>
        </w:tc>
        <w:tc>
          <w:tcPr>
            <w:tcW w:type="dxa" w:w="1247"/>
          </w:tcPr>
          <w:p>
            <w:pPr>
              <w:jc w:val="right"/>
            </w:pPr>
            <w:r/>
            <w:r>
              <w:rPr>
                <w:color w:val="1A1D21"/>
                <w:sz w:val="17"/>
              </w:rPr>
              <w:t>54,451</w:t>
            </w:r>
          </w:p>
        </w:tc>
        <w:tc>
          <w:tcPr>
            <w:tcW w:type="dxa" w:w="1247"/>
          </w:tcPr>
          <w:p>
            <w:pPr>
              <w:jc w:val="right"/>
            </w:pPr>
            <w:r/>
            <w:r>
              <w:rPr>
                <w:color w:val="1A1D21"/>
                <w:sz w:val="17"/>
              </w:rPr>
              <w:t>78,258</w:t>
            </w:r>
          </w:p>
        </w:tc>
      </w:tr>
      <w:tr>
        <w:trPr>
          <w:cantSplit/>
        </w:trPr>
        <w:tc>
          <w:tcPr>
            <w:tcW w:type="dxa" w:w="3515"/>
          </w:tcPr>
          <w:p>
            <w:r/>
            <w:r>
              <w:rPr>
                <w:color w:val="1A1D21"/>
                <w:sz w:val="17"/>
              </w:rPr>
              <w:t>Total liabilities and equity</w:t>
            </w:r>
          </w:p>
        </w:tc>
        <w:tc>
          <w:tcPr>
            <w:tcW w:type="dxa" w:w="1247"/>
          </w:tcPr>
          <w:p>
            <w:pPr>
              <w:jc w:val="right"/>
            </w:pPr>
            <w:r/>
            <w:r>
              <w:rPr>
                <w:color w:val="1A1D21"/>
                <w:sz w:val="17"/>
              </w:rPr>
              <w:t>176,254</w:t>
            </w:r>
          </w:p>
        </w:tc>
        <w:tc>
          <w:tcPr>
            <w:tcW w:type="dxa" w:w="1247"/>
          </w:tcPr>
          <w:p>
            <w:pPr>
              <w:jc w:val="right"/>
            </w:pPr>
            <w:r/>
            <w:r>
              <w:rPr>
                <w:color w:val="1A1D21"/>
                <w:sz w:val="17"/>
              </w:rPr>
              <w:t>184,810</w:t>
            </w:r>
          </w:p>
        </w:tc>
        <w:tc>
          <w:tcPr>
            <w:tcW w:type="dxa" w:w="1247"/>
          </w:tcPr>
          <w:p>
            <w:pPr>
              <w:jc w:val="right"/>
            </w:pPr>
            <w:r/>
            <w:r>
              <w:rPr>
                <w:color w:val="1A1D21"/>
                <w:sz w:val="17"/>
              </w:rPr>
              <w:t>199,749</w:t>
            </w:r>
          </w:p>
        </w:tc>
        <w:tc>
          <w:tcPr>
            <w:tcW w:type="dxa" w:w="1247"/>
          </w:tcPr>
          <w:p>
            <w:pPr>
              <w:jc w:val="right"/>
            </w:pPr>
            <w:r/>
            <w:r>
              <w:rPr>
                <w:color w:val="1A1D21"/>
                <w:sz w:val="17"/>
              </w:rPr>
              <w:t>223,877</w:t>
            </w:r>
          </w:p>
        </w:tc>
        <w:tc>
          <w:tcPr>
            <w:tcW w:type="dxa" w:w="1247"/>
          </w:tcPr>
          <w:p>
            <w:pPr>
              <w:jc w:val="right"/>
            </w:pPr>
            <w:r/>
            <w:r>
              <w:rPr>
                <w:color w:val="1A1D21"/>
                <w:sz w:val="17"/>
              </w:rPr>
              <w:t>261,235</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3515"/>
        <w:gridCol w:w="1247"/>
        <w:gridCol w:w="1247"/>
        <w:gridCol w:w="1247"/>
        <w:gridCol w:w="1247"/>
        <w:gridCol w:w="1247"/>
      </w:tblGrid>
      <w:tr>
        <w:trPr>
          <w:tblHeader w:val="true"/>
        </w:trPr>
        <w:tc>
          <w:tcPr>
            <w:tcW w:type="dxa" w:w="3515"/>
          </w:tcPr>
          <w:p>
            <w:r/>
            <w:r>
              <w:rPr>
                <w:b/>
                <w:color w:val="5B6570"/>
                <w:sz w:val="17"/>
              </w:rPr>
              <w:t>Forecast cash flow, EGP million</w:t>
            </w:r>
          </w:p>
        </w:tc>
        <w:tc>
          <w:tcPr>
            <w:tcW w:type="dxa" w:w="1247"/>
          </w:tcPr>
          <w:p>
            <w:r/>
            <w:r>
              <w:rPr>
                <w:b/>
                <w:color w:val="5B6570"/>
                <w:sz w:val="17"/>
              </w:rPr>
              <w:t>2026</w:t>
            </w:r>
          </w:p>
        </w:tc>
        <w:tc>
          <w:tcPr>
            <w:tcW w:type="dxa" w:w="1247"/>
          </w:tcPr>
          <w:p>
            <w:r/>
            <w:r>
              <w:rPr>
                <w:b/>
                <w:color w:val="5B6570"/>
                <w:sz w:val="17"/>
              </w:rPr>
              <w:t>2027</w:t>
            </w:r>
          </w:p>
        </w:tc>
        <w:tc>
          <w:tcPr>
            <w:tcW w:type="dxa" w:w="1247"/>
          </w:tcPr>
          <w:p>
            <w:r/>
            <w:r>
              <w:rPr>
                <w:b/>
                <w:color w:val="5B6570"/>
                <w:sz w:val="17"/>
              </w:rPr>
              <w:t>2028</w:t>
            </w:r>
          </w:p>
        </w:tc>
        <w:tc>
          <w:tcPr>
            <w:tcW w:type="dxa" w:w="1247"/>
          </w:tcPr>
          <w:p>
            <w:r/>
            <w:r>
              <w:rPr>
                <w:b/>
                <w:color w:val="5B6570"/>
                <w:sz w:val="17"/>
              </w:rPr>
              <w:t>2029</w:t>
            </w:r>
          </w:p>
        </w:tc>
        <w:tc>
          <w:tcPr>
            <w:tcW w:type="dxa" w:w="1247"/>
          </w:tcPr>
          <w:p>
            <w:r/>
            <w:r>
              <w:rPr>
                <w:b/>
                <w:color w:val="5B6570"/>
                <w:sz w:val="17"/>
              </w:rPr>
              <w:t>2030</w:t>
            </w:r>
          </w:p>
        </w:tc>
      </w:tr>
      <w:tr>
        <w:trPr>
          <w:cantSplit/>
        </w:trPr>
        <w:tc>
          <w:tcPr>
            <w:tcW w:type="dxa" w:w="3515"/>
          </w:tcPr>
          <w:p>
            <w:r/>
            <w:r>
              <w:rPr>
                <w:color w:val="1A1D21"/>
                <w:sz w:val="17"/>
              </w:rPr>
              <w:t>Net profit</w:t>
            </w:r>
          </w:p>
        </w:tc>
        <w:tc>
          <w:tcPr>
            <w:tcW w:type="dxa" w:w="1247"/>
          </w:tcPr>
          <w:p>
            <w:pPr>
              <w:jc w:val="right"/>
            </w:pPr>
            <w:r/>
            <w:r>
              <w:rPr>
                <w:color w:val="1A1D21"/>
                <w:sz w:val="17"/>
              </w:rPr>
              <w:t>3,549</w:t>
            </w:r>
          </w:p>
        </w:tc>
        <w:tc>
          <w:tcPr>
            <w:tcW w:type="dxa" w:w="1247"/>
          </w:tcPr>
          <w:p>
            <w:pPr>
              <w:jc w:val="right"/>
            </w:pPr>
            <w:r/>
            <w:r>
              <w:rPr>
                <w:color w:val="1A1D21"/>
                <w:sz w:val="17"/>
              </w:rPr>
              <w:t>6,251</w:t>
            </w:r>
          </w:p>
        </w:tc>
        <w:tc>
          <w:tcPr>
            <w:tcW w:type="dxa" w:w="1247"/>
          </w:tcPr>
          <w:p>
            <w:pPr>
              <w:jc w:val="right"/>
            </w:pPr>
            <w:r/>
            <w:r>
              <w:rPr>
                <w:color w:val="1A1D21"/>
                <w:sz w:val="17"/>
              </w:rPr>
              <w:t>10,141</w:t>
            </w:r>
          </w:p>
        </w:tc>
        <w:tc>
          <w:tcPr>
            <w:tcW w:type="dxa" w:w="1247"/>
          </w:tcPr>
          <w:p>
            <w:pPr>
              <w:jc w:val="right"/>
            </w:pPr>
            <w:r/>
            <w:r>
              <w:rPr>
                <w:color w:val="1A1D21"/>
                <w:sz w:val="17"/>
              </w:rPr>
              <w:t>15,743</w:t>
            </w:r>
          </w:p>
        </w:tc>
        <w:tc>
          <w:tcPr>
            <w:tcW w:type="dxa" w:w="1247"/>
          </w:tcPr>
          <w:p>
            <w:pPr>
              <w:jc w:val="right"/>
            </w:pPr>
            <w:r/>
            <w:r>
              <w:rPr>
                <w:color w:val="1A1D21"/>
                <w:sz w:val="17"/>
              </w:rPr>
              <w:t>23,807</w:t>
            </w:r>
          </w:p>
        </w:tc>
      </w:tr>
      <w:tr>
        <w:trPr>
          <w:cantSplit/>
        </w:trPr>
        <w:tc>
          <w:tcPr>
            <w:tcW w:type="dxa" w:w="3515"/>
          </w:tcPr>
          <w:p>
            <w:r/>
            <w:r>
              <w:rPr>
                <w:color w:val="1A1D21"/>
                <w:sz w:val="17"/>
              </w:rPr>
              <w:t>Depreciation and amortisation</w:t>
            </w:r>
          </w:p>
        </w:tc>
        <w:tc>
          <w:tcPr>
            <w:tcW w:type="dxa" w:w="1247"/>
          </w:tcPr>
          <w:p>
            <w:pPr>
              <w:jc w:val="right"/>
            </w:pPr>
            <w:r/>
            <w:r>
              <w:rPr>
                <w:color w:val="1A1D21"/>
                <w:sz w:val="17"/>
              </w:rPr>
              <w:t>393</w:t>
            </w:r>
          </w:p>
        </w:tc>
        <w:tc>
          <w:tcPr>
            <w:tcW w:type="dxa" w:w="1247"/>
          </w:tcPr>
          <w:p>
            <w:pPr>
              <w:jc w:val="right"/>
            </w:pPr>
            <w:r/>
            <w:r>
              <w:rPr>
                <w:color w:val="1A1D21"/>
                <w:sz w:val="17"/>
              </w:rPr>
              <w:t>565</w:t>
            </w:r>
          </w:p>
        </w:tc>
        <w:tc>
          <w:tcPr>
            <w:tcW w:type="dxa" w:w="1247"/>
          </w:tcPr>
          <w:p>
            <w:pPr>
              <w:jc w:val="right"/>
            </w:pPr>
            <w:r/>
            <w:r>
              <w:rPr>
                <w:color w:val="1A1D21"/>
                <w:sz w:val="17"/>
              </w:rPr>
              <w:t>814</w:t>
            </w:r>
          </w:p>
        </w:tc>
        <w:tc>
          <w:tcPr>
            <w:tcW w:type="dxa" w:w="1247"/>
          </w:tcPr>
          <w:p>
            <w:pPr>
              <w:jc w:val="right"/>
            </w:pPr>
            <w:r/>
            <w:r>
              <w:rPr>
                <w:color w:val="1A1D21"/>
                <w:sz w:val="17"/>
              </w:rPr>
              <w:t>1,172</w:t>
            </w:r>
          </w:p>
        </w:tc>
        <w:tc>
          <w:tcPr>
            <w:tcW w:type="dxa" w:w="1247"/>
          </w:tcPr>
          <w:p>
            <w:pPr>
              <w:jc w:val="right"/>
            </w:pPr>
            <w:r/>
            <w:r>
              <w:rPr>
                <w:color w:val="1A1D21"/>
                <w:sz w:val="17"/>
              </w:rPr>
              <w:t>1,687</w:t>
            </w:r>
          </w:p>
        </w:tc>
      </w:tr>
      <w:tr>
        <w:trPr>
          <w:cantSplit/>
        </w:trPr>
        <w:tc>
          <w:tcPr>
            <w:tcW w:type="dxa" w:w="3515"/>
          </w:tcPr>
          <w:p>
            <w:r/>
            <w:r>
              <w:rPr>
                <w:color w:val="1A1D21"/>
                <w:sz w:val="17"/>
              </w:rPr>
              <w:t>Change in working capital, cash effect</w:t>
            </w:r>
          </w:p>
        </w:tc>
        <w:tc>
          <w:tcPr>
            <w:tcW w:type="dxa" w:w="1247"/>
          </w:tcPr>
          <w:p>
            <w:pPr>
              <w:jc w:val="right"/>
            </w:pPr>
            <w:r/>
            <w:r>
              <w:rPr>
                <w:color w:val="1A1D21"/>
                <w:sz w:val="17"/>
              </w:rPr>
              <w:t>-444</w:t>
            </w:r>
          </w:p>
        </w:tc>
        <w:tc>
          <w:tcPr>
            <w:tcW w:type="dxa" w:w="1247"/>
          </w:tcPr>
          <w:p>
            <w:pPr>
              <w:jc w:val="right"/>
            </w:pPr>
            <w:r/>
            <w:r>
              <w:rPr>
                <w:color w:val="1A1D21"/>
                <w:sz w:val="17"/>
              </w:rPr>
              <w:t>-1,780</w:t>
            </w:r>
          </w:p>
        </w:tc>
        <w:tc>
          <w:tcPr>
            <w:tcW w:type="dxa" w:w="1247"/>
          </w:tcPr>
          <w:p>
            <w:pPr>
              <w:jc w:val="right"/>
            </w:pPr>
            <w:r/>
            <w:r>
              <w:rPr>
                <w:color w:val="1A1D21"/>
                <w:sz w:val="17"/>
              </w:rPr>
              <w:t>-3,703</w:t>
            </w:r>
          </w:p>
        </w:tc>
        <w:tc>
          <w:tcPr>
            <w:tcW w:type="dxa" w:w="1247"/>
          </w:tcPr>
          <w:p>
            <w:pPr>
              <w:jc w:val="right"/>
            </w:pPr>
            <w:r/>
            <w:r>
              <w:rPr>
                <w:color w:val="1A1D21"/>
                <w:sz w:val="17"/>
              </w:rPr>
              <w:t>-6,473</w:t>
            </w:r>
          </w:p>
        </w:tc>
        <w:tc>
          <w:tcPr>
            <w:tcW w:type="dxa" w:w="1247"/>
          </w:tcPr>
          <w:p>
            <w:pPr>
              <w:jc w:val="right"/>
            </w:pPr>
            <w:r/>
            <w:r>
              <w:rPr>
                <w:color w:val="1A1D21"/>
                <w:sz w:val="17"/>
              </w:rPr>
              <w:t>-10,461</w:t>
            </w:r>
          </w:p>
        </w:tc>
      </w:tr>
      <w:tr>
        <w:trPr>
          <w:cantSplit/>
        </w:trPr>
        <w:tc>
          <w:tcPr>
            <w:tcW w:type="dxa" w:w="3515"/>
          </w:tcPr>
          <w:p>
            <w:r/>
            <w:r>
              <w:rPr>
                <w:color w:val="1A1D21"/>
                <w:sz w:val="17"/>
              </w:rPr>
              <w:t>Cash from operations</w:t>
            </w:r>
          </w:p>
        </w:tc>
        <w:tc>
          <w:tcPr>
            <w:tcW w:type="dxa" w:w="1247"/>
          </w:tcPr>
          <w:p>
            <w:pPr>
              <w:jc w:val="right"/>
            </w:pPr>
            <w:r/>
            <w:r>
              <w:rPr>
                <w:color w:val="1A1D21"/>
                <w:sz w:val="17"/>
              </w:rPr>
              <w:t>3,498</w:t>
            </w:r>
          </w:p>
        </w:tc>
        <w:tc>
          <w:tcPr>
            <w:tcW w:type="dxa" w:w="1247"/>
          </w:tcPr>
          <w:p>
            <w:pPr>
              <w:jc w:val="right"/>
            </w:pPr>
            <w:r/>
            <w:r>
              <w:rPr>
                <w:color w:val="1A1D21"/>
                <w:sz w:val="17"/>
              </w:rPr>
              <w:t>5,037</w:t>
            </w:r>
          </w:p>
        </w:tc>
        <w:tc>
          <w:tcPr>
            <w:tcW w:type="dxa" w:w="1247"/>
          </w:tcPr>
          <w:p>
            <w:pPr>
              <w:jc w:val="right"/>
            </w:pPr>
            <w:r/>
            <w:r>
              <w:rPr>
                <w:color w:val="1A1D21"/>
                <w:sz w:val="17"/>
              </w:rPr>
              <w:t>7,252</w:t>
            </w:r>
          </w:p>
        </w:tc>
        <w:tc>
          <w:tcPr>
            <w:tcW w:type="dxa" w:w="1247"/>
          </w:tcPr>
          <w:p>
            <w:pPr>
              <w:jc w:val="right"/>
            </w:pPr>
            <w:r/>
            <w:r>
              <w:rPr>
                <w:color w:val="1A1D21"/>
                <w:sz w:val="17"/>
              </w:rPr>
              <w:t>10,442</w:t>
            </w:r>
          </w:p>
        </w:tc>
        <w:tc>
          <w:tcPr>
            <w:tcW w:type="dxa" w:w="1247"/>
          </w:tcPr>
          <w:p>
            <w:pPr>
              <w:jc w:val="right"/>
            </w:pPr>
            <w:r/>
            <w:r>
              <w:rPr>
                <w:color w:val="1A1D21"/>
                <w:sz w:val="17"/>
              </w:rPr>
              <w:t>15,034</w:t>
            </w:r>
          </w:p>
        </w:tc>
      </w:tr>
      <w:tr>
        <w:trPr>
          <w:cantSplit/>
        </w:trPr>
        <w:tc>
          <w:tcPr>
            <w:tcW w:type="dxa" w:w="3515"/>
          </w:tcPr>
          <w:p>
            <w:r/>
            <w:r>
              <w:rPr>
                <w:color w:val="1A1D21"/>
                <w:sz w:val="17"/>
              </w:rPr>
              <w:t xml:space="preserve">  as a share of revenue</w:t>
            </w:r>
          </w:p>
        </w:tc>
        <w:tc>
          <w:tcPr>
            <w:tcW w:type="dxa" w:w="1247"/>
          </w:tcPr>
          <w:p>
            <w:pPr>
              <w:jc w:val="right"/>
            </w:pPr>
            <w:r/>
            <w:r>
              <w:rPr>
                <w:color w:val="1A1D21"/>
                <w:sz w:val="17"/>
              </w:rPr>
              <w:t>8.7%</w:t>
            </w:r>
          </w:p>
        </w:tc>
        <w:tc>
          <w:tcPr>
            <w:tcW w:type="dxa" w:w="1247"/>
          </w:tcPr>
          <w:p>
            <w:pPr>
              <w:jc w:val="right"/>
            </w:pPr>
            <w:r/>
            <w:r>
              <w:rPr>
                <w:color w:val="1A1D21"/>
                <w:sz w:val="17"/>
              </w:rPr>
              <w:t>8.7%</w:t>
            </w:r>
          </w:p>
        </w:tc>
        <w:tc>
          <w:tcPr>
            <w:tcW w:type="dxa" w:w="1247"/>
          </w:tcPr>
          <w:p>
            <w:pPr>
              <w:jc w:val="right"/>
            </w:pPr>
            <w:r/>
            <w:r>
              <w:rPr>
                <w:color w:val="1A1D21"/>
                <w:sz w:val="17"/>
              </w:rPr>
              <w:t>8.7%</w:t>
            </w:r>
          </w:p>
        </w:tc>
        <w:tc>
          <w:tcPr>
            <w:tcW w:type="dxa" w:w="1247"/>
          </w:tcPr>
          <w:p>
            <w:pPr>
              <w:jc w:val="right"/>
            </w:pPr>
            <w:r/>
            <w:r>
              <w:rPr>
                <w:color w:val="1A1D21"/>
                <w:sz w:val="17"/>
              </w:rPr>
              <w:t>8.7%</w:t>
            </w:r>
          </w:p>
        </w:tc>
        <w:tc>
          <w:tcPr>
            <w:tcW w:type="dxa" w:w="1247"/>
          </w:tcPr>
          <w:p>
            <w:pPr>
              <w:jc w:val="right"/>
            </w:pPr>
            <w:r/>
            <w:r>
              <w:rPr>
                <w:color w:val="1A1D21"/>
                <w:sz w:val="17"/>
              </w:rPr>
              <w:t>8.7%</w:t>
            </w:r>
          </w:p>
        </w:tc>
      </w:tr>
      <w:tr>
        <w:trPr>
          <w:cantSplit/>
        </w:trPr>
        <w:tc>
          <w:tcPr>
            <w:tcW w:type="dxa" w:w="3515"/>
          </w:tcPr>
          <w:p>
            <w:r/>
            <w:r>
              <w:rPr>
                <w:color w:val="1A1D21"/>
                <w:sz w:val="17"/>
              </w:rPr>
              <w:t>Capital expenditure</w:t>
            </w:r>
          </w:p>
        </w:tc>
        <w:tc>
          <w:tcPr>
            <w:tcW w:type="dxa" w:w="1247"/>
          </w:tcPr>
          <w:p>
            <w:pPr>
              <w:jc w:val="right"/>
            </w:pPr>
            <w:r/>
            <w:r>
              <w:rPr>
                <w:color w:val="1A1D21"/>
                <w:sz w:val="17"/>
              </w:rPr>
              <w:t>-401</w:t>
            </w:r>
          </w:p>
        </w:tc>
        <w:tc>
          <w:tcPr>
            <w:tcW w:type="dxa" w:w="1247"/>
          </w:tcPr>
          <w:p>
            <w:pPr>
              <w:jc w:val="right"/>
            </w:pPr>
            <w:r/>
            <w:r>
              <w:rPr>
                <w:color w:val="1A1D21"/>
                <w:sz w:val="17"/>
              </w:rPr>
              <w:t>-578</w:t>
            </w:r>
          </w:p>
        </w:tc>
        <w:tc>
          <w:tcPr>
            <w:tcW w:type="dxa" w:w="1247"/>
          </w:tcPr>
          <w:p>
            <w:pPr>
              <w:jc w:val="right"/>
            </w:pPr>
            <w:r/>
            <w:r>
              <w:rPr>
                <w:color w:val="1A1D21"/>
                <w:sz w:val="17"/>
              </w:rPr>
              <w:t>-832</w:t>
            </w:r>
          </w:p>
        </w:tc>
        <w:tc>
          <w:tcPr>
            <w:tcW w:type="dxa" w:w="1247"/>
          </w:tcPr>
          <w:p>
            <w:pPr>
              <w:jc w:val="right"/>
            </w:pPr>
            <w:r/>
            <w:r>
              <w:rPr>
                <w:color w:val="1A1D21"/>
                <w:sz w:val="17"/>
              </w:rPr>
              <w:t>-1,198</w:t>
            </w:r>
          </w:p>
        </w:tc>
        <w:tc>
          <w:tcPr>
            <w:tcW w:type="dxa" w:w="1247"/>
          </w:tcPr>
          <w:p>
            <w:pPr>
              <w:jc w:val="right"/>
            </w:pPr>
            <w:r/>
            <w:r>
              <w:rPr>
                <w:color w:val="1A1D21"/>
                <w:sz w:val="17"/>
              </w:rPr>
              <w:t>-1,725</w:t>
            </w:r>
          </w:p>
        </w:tc>
      </w:tr>
      <w:tr>
        <w:trPr>
          <w:cantSplit/>
        </w:trPr>
        <w:tc>
          <w:tcPr>
            <w:tcW w:type="dxa" w:w="3515"/>
          </w:tcPr>
          <w:p>
            <w:r/>
            <w:r>
              <w:rPr>
                <w:color w:val="1A1D21"/>
                <w:sz w:val="17"/>
              </w:rPr>
              <w:t>New borrowing drawn</w:t>
            </w:r>
          </w:p>
        </w:tc>
        <w:tc>
          <w:tcPr>
            <w:tcW w:type="dxa" w:w="1247"/>
          </w:tcPr>
          <w:p>
            <w:pPr>
              <w:jc w:val="right"/>
            </w:pPr>
            <w:r/>
            <w:r>
              <w:rPr>
                <w:color w:val="1A1D21"/>
                <w:sz w:val="17"/>
              </w:rPr>
              <w:t>0</w:t>
            </w:r>
          </w:p>
        </w:tc>
        <w:tc>
          <w:tcPr>
            <w:tcW w:type="dxa" w:w="1247"/>
          </w:tcPr>
          <w:p>
            <w:pPr>
              <w:jc w:val="right"/>
            </w:pPr>
            <w:r/>
            <w:r>
              <w:rPr>
                <w:color w:val="1A1D21"/>
                <w:sz w:val="17"/>
              </w:rPr>
              <w:t>0</w:t>
            </w:r>
          </w:p>
        </w:tc>
        <w:tc>
          <w:tcPr>
            <w:tcW w:type="dxa" w:w="1247"/>
          </w:tcPr>
          <w:p>
            <w:pPr>
              <w:jc w:val="right"/>
            </w:pPr>
            <w:r/>
            <w:r>
              <w:rPr>
                <w:color w:val="1A1D21"/>
                <w:sz w:val="17"/>
              </w:rPr>
              <w:t>0</w:t>
            </w:r>
          </w:p>
        </w:tc>
        <w:tc>
          <w:tcPr>
            <w:tcW w:type="dxa" w:w="1247"/>
          </w:tcPr>
          <w:p>
            <w:pPr>
              <w:jc w:val="right"/>
            </w:pPr>
            <w:r/>
            <w:r>
              <w:rPr>
                <w:color w:val="1A1D21"/>
                <w:sz w:val="17"/>
              </w:rPr>
              <w:t>0</w:t>
            </w:r>
          </w:p>
        </w:tc>
        <w:tc>
          <w:tcPr>
            <w:tcW w:type="dxa" w:w="1247"/>
          </w:tcPr>
          <w:p>
            <w:pPr>
              <w:jc w:val="right"/>
            </w:pPr>
            <w:r/>
            <w:r>
              <w:rPr>
                <w:color w:val="1A1D21"/>
                <w:sz w:val="17"/>
              </w:rPr>
              <w:t>0</w:t>
            </w:r>
          </w:p>
        </w:tc>
      </w:tr>
      <w:tr>
        <w:trPr>
          <w:cantSplit/>
        </w:trPr>
        <w:tc>
          <w:tcPr>
            <w:tcW w:type="dxa" w:w="3515"/>
          </w:tcPr>
          <w:p>
            <w:r/>
            <w:r>
              <w:rPr>
                <w:color w:val="1A1D21"/>
                <w:sz w:val="17"/>
              </w:rPr>
              <w:t>Closing cash</w:t>
            </w:r>
          </w:p>
        </w:tc>
        <w:tc>
          <w:tcPr>
            <w:tcW w:type="dxa" w:w="1247"/>
          </w:tcPr>
          <w:p>
            <w:pPr>
              <w:jc w:val="right"/>
            </w:pPr>
            <w:r/>
            <w:r>
              <w:rPr>
                <w:color w:val="1A1D21"/>
                <w:sz w:val="17"/>
              </w:rPr>
              <w:t>12,516</w:t>
            </w:r>
          </w:p>
        </w:tc>
        <w:tc>
          <w:tcPr>
            <w:tcW w:type="dxa" w:w="1247"/>
          </w:tcPr>
          <w:p>
            <w:pPr>
              <w:jc w:val="right"/>
            </w:pPr>
            <w:r/>
            <w:r>
              <w:rPr>
                <w:color w:val="1A1D21"/>
                <w:sz w:val="17"/>
              </w:rPr>
              <w:t>16,975</w:t>
            </w:r>
          </w:p>
        </w:tc>
        <w:tc>
          <w:tcPr>
            <w:tcW w:type="dxa" w:w="1247"/>
          </w:tcPr>
          <w:p>
            <w:pPr>
              <w:jc w:val="right"/>
            </w:pPr>
            <w:r/>
            <w:r>
              <w:rPr>
                <w:color w:val="1A1D21"/>
                <w:sz w:val="17"/>
              </w:rPr>
              <w:t>23,395</w:t>
            </w:r>
          </w:p>
        </w:tc>
        <w:tc>
          <w:tcPr>
            <w:tcW w:type="dxa" w:w="1247"/>
          </w:tcPr>
          <w:p>
            <w:pPr>
              <w:jc w:val="right"/>
            </w:pPr>
            <w:r/>
            <w:r>
              <w:rPr>
                <w:color w:val="1A1D21"/>
                <w:sz w:val="17"/>
              </w:rPr>
              <w:t>32,639</w:t>
            </w:r>
          </w:p>
        </w:tc>
        <w:tc>
          <w:tcPr>
            <w:tcW w:type="dxa" w:w="1247"/>
          </w:tcPr>
          <w:p>
            <w:pPr>
              <w:jc w:val="right"/>
            </w:pPr>
            <w:r/>
            <w:r>
              <w:rPr>
                <w:color w:val="1A1D21"/>
                <w:sz w:val="17"/>
              </w:rPr>
              <w:t>45,947</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3515"/>
        <w:gridCol w:w="1247"/>
        <w:gridCol w:w="1247"/>
        <w:gridCol w:w="1247"/>
        <w:gridCol w:w="1247"/>
        <w:gridCol w:w="1247"/>
      </w:tblGrid>
      <w:tr>
        <w:trPr>
          <w:tblHeader w:val="true"/>
        </w:trPr>
        <w:tc>
          <w:tcPr>
            <w:tcW w:type="dxa" w:w="3515"/>
          </w:tcPr>
          <w:p>
            <w:r/>
            <w:r>
              <w:rPr>
                <w:b/>
                <w:color w:val="5B6570"/>
                <w:sz w:val="17"/>
              </w:rPr>
              <w:t>The cycle this implies</w:t>
            </w:r>
          </w:p>
        </w:tc>
        <w:tc>
          <w:tcPr>
            <w:tcW w:type="dxa" w:w="1247"/>
          </w:tcPr>
          <w:p>
            <w:r/>
            <w:r>
              <w:rPr>
                <w:b/>
                <w:color w:val="5B6570"/>
                <w:sz w:val="17"/>
              </w:rPr>
              <w:t>2026</w:t>
            </w:r>
          </w:p>
        </w:tc>
        <w:tc>
          <w:tcPr>
            <w:tcW w:type="dxa" w:w="1247"/>
          </w:tcPr>
          <w:p>
            <w:r/>
            <w:r>
              <w:rPr>
                <w:b/>
                <w:color w:val="5B6570"/>
                <w:sz w:val="17"/>
              </w:rPr>
              <w:t>2027</w:t>
            </w:r>
          </w:p>
        </w:tc>
        <w:tc>
          <w:tcPr>
            <w:tcW w:type="dxa" w:w="1247"/>
          </w:tcPr>
          <w:p>
            <w:r/>
            <w:r>
              <w:rPr>
                <w:b/>
                <w:color w:val="5B6570"/>
                <w:sz w:val="17"/>
              </w:rPr>
              <w:t>2028</w:t>
            </w:r>
          </w:p>
        </w:tc>
        <w:tc>
          <w:tcPr>
            <w:tcW w:type="dxa" w:w="1247"/>
          </w:tcPr>
          <w:p>
            <w:r/>
            <w:r>
              <w:rPr>
                <w:b/>
                <w:color w:val="5B6570"/>
                <w:sz w:val="17"/>
              </w:rPr>
              <w:t>2029</w:t>
            </w:r>
          </w:p>
        </w:tc>
        <w:tc>
          <w:tcPr>
            <w:tcW w:type="dxa" w:w="1247"/>
          </w:tcPr>
          <w:p>
            <w:r/>
            <w:r>
              <w:rPr>
                <w:b/>
                <w:color w:val="5B6570"/>
                <w:sz w:val="17"/>
              </w:rPr>
              <w:t>2030</w:t>
            </w:r>
          </w:p>
        </w:tc>
      </w:tr>
      <w:tr>
        <w:trPr>
          <w:cantSplit/>
        </w:trPr>
        <w:tc>
          <w:tcPr>
            <w:tcW w:type="dxa" w:w="3515"/>
          </w:tcPr>
          <w:p>
            <w:r/>
            <w:r>
              <w:rPr>
                <w:color w:val="1A1D21"/>
                <w:sz w:val="17"/>
              </w:rPr>
              <w:t>Collection period, days</w:t>
            </w:r>
          </w:p>
        </w:tc>
        <w:tc>
          <w:tcPr>
            <w:tcW w:type="dxa" w:w="1247"/>
          </w:tcPr>
          <w:p>
            <w:pPr>
              <w:jc w:val="right"/>
            </w:pPr>
            <w:r/>
            <w:r>
              <w:rPr>
                <w:color w:val="1A1D21"/>
                <w:sz w:val="17"/>
              </w:rPr>
              <w:t>948</w:t>
            </w:r>
          </w:p>
        </w:tc>
        <w:tc>
          <w:tcPr>
            <w:tcW w:type="dxa" w:w="1247"/>
          </w:tcPr>
          <w:p>
            <w:pPr>
              <w:jc w:val="right"/>
            </w:pPr>
            <w:r/>
            <w:r>
              <w:rPr>
                <w:color w:val="1A1D21"/>
                <w:sz w:val="17"/>
              </w:rPr>
              <w:t>677</w:t>
            </w:r>
          </w:p>
        </w:tc>
        <w:tc>
          <w:tcPr>
            <w:tcW w:type="dxa" w:w="1247"/>
          </w:tcPr>
          <w:p>
            <w:pPr>
              <w:jc w:val="right"/>
            </w:pPr>
            <w:r/>
            <w:r>
              <w:rPr>
                <w:color w:val="1A1D21"/>
                <w:sz w:val="17"/>
              </w:rPr>
              <w:t>497</w:t>
            </w:r>
          </w:p>
        </w:tc>
        <w:tc>
          <w:tcPr>
            <w:tcW w:type="dxa" w:w="1247"/>
          </w:tcPr>
          <w:p>
            <w:pPr>
              <w:jc w:val="right"/>
            </w:pPr>
            <w:r/>
            <w:r>
              <w:rPr>
                <w:color w:val="1A1D21"/>
                <w:sz w:val="17"/>
              </w:rPr>
              <w:t>378</w:t>
            </w:r>
          </w:p>
        </w:tc>
        <w:tc>
          <w:tcPr>
            <w:tcW w:type="dxa" w:w="1247"/>
          </w:tcPr>
          <w:p>
            <w:pPr>
              <w:jc w:val="right"/>
            </w:pPr>
            <w:r/>
            <w:r>
              <w:rPr>
                <w:color w:val="1A1D21"/>
                <w:sz w:val="17"/>
              </w:rPr>
              <w:t>299</w:t>
            </w:r>
          </w:p>
        </w:tc>
      </w:tr>
      <w:tr>
        <w:trPr>
          <w:cantSplit/>
        </w:trPr>
        <w:tc>
          <w:tcPr>
            <w:tcW w:type="dxa" w:w="3515"/>
          </w:tcPr>
          <w:p>
            <w:r/>
            <w:r>
              <w:rPr>
                <w:color w:val="1A1D21"/>
                <w:sz w:val="17"/>
              </w:rPr>
              <w:t>Work in progress, days of cost</w:t>
            </w:r>
          </w:p>
        </w:tc>
        <w:tc>
          <w:tcPr>
            <w:tcW w:type="dxa" w:w="1247"/>
          </w:tcPr>
          <w:p>
            <w:pPr>
              <w:jc w:val="right"/>
            </w:pPr>
            <w:r/>
            <w:r>
              <w:rPr>
                <w:color w:val="1A1D21"/>
                <w:sz w:val="17"/>
              </w:rPr>
              <w:t>261</w:t>
            </w:r>
          </w:p>
        </w:tc>
        <w:tc>
          <w:tcPr>
            <w:tcW w:type="dxa" w:w="1247"/>
          </w:tcPr>
          <w:p>
            <w:pPr>
              <w:jc w:val="right"/>
            </w:pPr>
            <w:r/>
            <w:r>
              <w:rPr>
                <w:color w:val="1A1D21"/>
                <w:sz w:val="17"/>
              </w:rPr>
              <w:t>186</w:t>
            </w:r>
          </w:p>
        </w:tc>
        <w:tc>
          <w:tcPr>
            <w:tcW w:type="dxa" w:w="1247"/>
          </w:tcPr>
          <w:p>
            <w:pPr>
              <w:jc w:val="right"/>
            </w:pPr>
            <w:r/>
            <w:r>
              <w:rPr>
                <w:color w:val="1A1D21"/>
                <w:sz w:val="17"/>
              </w:rPr>
              <w:t>137</w:t>
            </w:r>
          </w:p>
        </w:tc>
        <w:tc>
          <w:tcPr>
            <w:tcW w:type="dxa" w:w="1247"/>
          </w:tcPr>
          <w:p>
            <w:pPr>
              <w:jc w:val="right"/>
            </w:pPr>
            <w:r/>
            <w:r>
              <w:rPr>
                <w:color w:val="1A1D21"/>
                <w:sz w:val="17"/>
              </w:rPr>
              <w:t>104</w:t>
            </w:r>
          </w:p>
        </w:tc>
        <w:tc>
          <w:tcPr>
            <w:tcW w:type="dxa" w:w="1247"/>
          </w:tcPr>
          <w:p>
            <w:pPr>
              <w:jc w:val="right"/>
            </w:pPr>
            <w:r/>
            <w:r>
              <w:rPr>
                <w:color w:val="1A1D21"/>
                <w:sz w:val="17"/>
              </w:rPr>
              <w:t>82</w:t>
            </w:r>
          </w:p>
        </w:tc>
      </w:tr>
      <w:tr>
        <w:trPr>
          <w:cantSplit/>
        </w:trPr>
        <w:tc>
          <w:tcPr>
            <w:tcW w:type="dxa" w:w="3515"/>
          </w:tcPr>
          <w:p>
            <w:r/>
            <w:r>
              <w:rPr>
                <w:color w:val="1A1D21"/>
                <w:sz w:val="17"/>
              </w:rPr>
              <w:t>Suppliers, days of cost</w:t>
            </w:r>
          </w:p>
        </w:tc>
        <w:tc>
          <w:tcPr>
            <w:tcW w:type="dxa" w:w="1247"/>
          </w:tcPr>
          <w:p>
            <w:pPr>
              <w:jc w:val="right"/>
            </w:pPr>
            <w:r/>
            <w:r>
              <w:rPr>
                <w:color w:val="1A1D21"/>
                <w:sz w:val="17"/>
              </w:rPr>
              <w:t>57</w:t>
            </w:r>
          </w:p>
        </w:tc>
        <w:tc>
          <w:tcPr>
            <w:tcW w:type="dxa" w:w="1247"/>
          </w:tcPr>
          <w:p>
            <w:pPr>
              <w:jc w:val="right"/>
            </w:pPr>
            <w:r/>
            <w:r>
              <w:rPr>
                <w:color w:val="1A1D21"/>
                <w:sz w:val="17"/>
              </w:rPr>
              <w:t>40</w:t>
            </w:r>
          </w:p>
        </w:tc>
        <w:tc>
          <w:tcPr>
            <w:tcW w:type="dxa" w:w="1247"/>
          </w:tcPr>
          <w:p>
            <w:pPr>
              <w:jc w:val="right"/>
            </w:pPr>
            <w:r/>
            <w:r>
              <w:rPr>
                <w:color w:val="1A1D21"/>
                <w:sz w:val="17"/>
              </w:rPr>
              <w:t>30</w:t>
            </w:r>
          </w:p>
        </w:tc>
        <w:tc>
          <w:tcPr>
            <w:tcW w:type="dxa" w:w="1247"/>
          </w:tcPr>
          <w:p>
            <w:pPr>
              <w:jc w:val="right"/>
            </w:pPr>
            <w:r/>
            <w:r>
              <w:rPr>
                <w:color w:val="1A1D21"/>
                <w:sz w:val="17"/>
              </w:rPr>
              <w:t>23</w:t>
            </w:r>
          </w:p>
        </w:tc>
        <w:tc>
          <w:tcPr>
            <w:tcW w:type="dxa" w:w="1247"/>
          </w:tcPr>
          <w:p>
            <w:pPr>
              <w:jc w:val="right"/>
            </w:pPr>
            <w:r/>
            <w:r>
              <w:rPr>
                <w:color w:val="1A1D21"/>
                <w:sz w:val="17"/>
              </w:rPr>
              <w:t>18</w:t>
            </w:r>
          </w:p>
        </w:tc>
      </w:tr>
      <w:tr>
        <w:trPr>
          <w:cantSplit/>
        </w:trPr>
        <w:tc>
          <w:tcPr>
            <w:tcW w:type="dxa" w:w="3515"/>
          </w:tcPr>
          <w:p>
            <w:r/>
            <w:r>
              <w:rPr>
                <w:color w:val="1A1D21"/>
                <w:sz w:val="17"/>
              </w:rPr>
              <w:t>Customer advances, share of the order book</w:t>
            </w:r>
          </w:p>
        </w:tc>
        <w:tc>
          <w:tcPr>
            <w:tcW w:type="dxa" w:w="1247"/>
          </w:tcPr>
          <w:p>
            <w:pPr>
              <w:jc w:val="right"/>
            </w:pPr>
            <w:r/>
            <w:r>
              <w:rPr>
                <w:color w:val="1A1D21"/>
                <w:sz w:val="17"/>
              </w:rPr>
              <w:t>19.2%</w:t>
            </w:r>
          </w:p>
        </w:tc>
        <w:tc>
          <w:tcPr>
            <w:tcW w:type="dxa" w:w="1247"/>
          </w:tcPr>
          <w:p>
            <w:pPr>
              <w:jc w:val="right"/>
            </w:pPr>
            <w:r/>
            <w:r>
              <w:rPr>
                <w:color w:val="1A1D21"/>
                <w:sz w:val="17"/>
              </w:rPr>
              <w:t>15.0%</w:t>
            </w:r>
          </w:p>
        </w:tc>
        <w:tc>
          <w:tcPr>
            <w:tcW w:type="dxa" w:w="1247"/>
          </w:tcPr>
          <w:p>
            <w:pPr>
              <w:jc w:val="right"/>
            </w:pPr>
            <w:r/>
            <w:r>
              <w:rPr>
                <w:color w:val="1A1D21"/>
                <w:sz w:val="17"/>
              </w:rPr>
              <w:t>12.3%</w:t>
            </w:r>
          </w:p>
        </w:tc>
        <w:tc>
          <w:tcPr>
            <w:tcW w:type="dxa" w:w="1247"/>
          </w:tcPr>
          <w:p>
            <w:pPr>
              <w:jc w:val="right"/>
            </w:pPr>
            <w:r/>
            <w:r>
              <w:rPr>
                <w:color w:val="1A1D21"/>
                <w:sz w:val="17"/>
              </w:rPr>
              <w:t>10.8%</w:t>
            </w:r>
          </w:p>
        </w:tc>
        <w:tc>
          <w:tcPr>
            <w:tcW w:type="dxa" w:w="1247"/>
          </w:tcPr>
          <w:p>
            <w:pPr>
              <w:jc w:val="right"/>
            </w:pPr>
            <w:r/>
            <w:r>
              <w:rPr>
                <w:color w:val="1A1D21"/>
                <w:sz w:val="17"/>
              </w:rPr>
              <w:t>10.1%</w:t>
            </w:r>
          </w:p>
        </w:tc>
      </w:tr>
      <w:tr>
        <w:trPr>
          <w:cantSplit/>
        </w:trPr>
        <w:tc>
          <w:tcPr>
            <w:tcW w:type="dxa" w:w="3515"/>
          </w:tcPr>
          <w:p>
            <w:r/>
            <w:r>
              <w:rPr>
                <w:color w:val="1A1D21"/>
                <w:sz w:val="17"/>
              </w:rPr>
              <w:t>Net working capital</w:t>
            </w:r>
          </w:p>
        </w:tc>
        <w:tc>
          <w:tcPr>
            <w:tcW w:type="dxa" w:w="1247"/>
          </w:tcPr>
          <w:p>
            <w:pPr>
              <w:jc w:val="right"/>
            </w:pPr>
            <w:r/>
            <w:r>
              <w:rPr>
                <w:color w:val="1A1D21"/>
                <w:sz w:val="17"/>
              </w:rPr>
              <w:t>62,767</w:t>
            </w:r>
          </w:p>
        </w:tc>
        <w:tc>
          <w:tcPr>
            <w:tcW w:type="dxa" w:w="1247"/>
          </w:tcPr>
          <w:p>
            <w:pPr>
              <w:jc w:val="right"/>
            </w:pPr>
            <w:r/>
            <w:r>
              <w:rPr>
                <w:color w:val="1A1D21"/>
                <w:sz w:val="17"/>
              </w:rPr>
              <w:t>64,547</w:t>
            </w:r>
          </w:p>
        </w:tc>
        <w:tc>
          <w:tcPr>
            <w:tcW w:type="dxa" w:w="1247"/>
          </w:tcPr>
          <w:p>
            <w:pPr>
              <w:jc w:val="right"/>
            </w:pPr>
            <w:r/>
            <w:r>
              <w:rPr>
                <w:color w:val="1A1D21"/>
                <w:sz w:val="17"/>
              </w:rPr>
              <w:t>68,250</w:t>
            </w:r>
          </w:p>
        </w:tc>
        <w:tc>
          <w:tcPr>
            <w:tcW w:type="dxa" w:w="1247"/>
          </w:tcPr>
          <w:p>
            <w:pPr>
              <w:jc w:val="right"/>
            </w:pPr>
            <w:r/>
            <w:r>
              <w:rPr>
                <w:color w:val="1A1D21"/>
                <w:sz w:val="17"/>
              </w:rPr>
              <w:t>74,723</w:t>
            </w:r>
          </w:p>
        </w:tc>
        <w:tc>
          <w:tcPr>
            <w:tcW w:type="dxa" w:w="1247"/>
          </w:tcPr>
          <w:p>
            <w:pPr>
              <w:jc w:val="right"/>
            </w:pPr>
            <w:r/>
            <w:r>
              <w:rPr>
                <w:color w:val="1A1D21"/>
                <w:sz w:val="17"/>
              </w:rPr>
              <w:t>85,183</w:t>
            </w:r>
          </w:p>
        </w:tc>
      </w:tr>
      <w:tr>
        <w:trPr>
          <w:cantSplit/>
        </w:trPr>
        <w:tc>
          <w:tcPr>
            <w:tcW w:type="dxa" w:w="3515"/>
          </w:tcPr>
          <w:p>
            <w:r/>
            <w:r>
              <w:rPr>
                <w:color w:val="1A1D21"/>
                <w:sz w:val="17"/>
              </w:rPr>
              <w:t xml:space="preserve">  as a multiple of revenue</w:t>
            </w:r>
          </w:p>
        </w:tc>
        <w:tc>
          <w:tcPr>
            <w:tcW w:type="dxa" w:w="1247"/>
          </w:tcPr>
          <w:p>
            <w:pPr>
              <w:jc w:val="right"/>
            </w:pPr>
            <w:r/>
            <w:r>
              <w:rPr>
                <w:color w:val="1A1D21"/>
                <w:sz w:val="17"/>
              </w:rPr>
              <w:t>1.56</w:t>
            </w:r>
          </w:p>
        </w:tc>
        <w:tc>
          <w:tcPr>
            <w:tcW w:type="dxa" w:w="1247"/>
          </w:tcPr>
          <w:p>
            <w:pPr>
              <w:jc w:val="right"/>
            </w:pPr>
            <w:r/>
            <w:r>
              <w:rPr>
                <w:color w:val="1A1D21"/>
                <w:sz w:val="17"/>
              </w:rPr>
              <w:t>1.12</w:t>
            </w:r>
          </w:p>
        </w:tc>
        <w:tc>
          <w:tcPr>
            <w:tcW w:type="dxa" w:w="1247"/>
          </w:tcPr>
          <w:p>
            <w:pPr>
              <w:jc w:val="right"/>
            </w:pPr>
            <w:r/>
            <w:r>
              <w:rPr>
                <w:color w:val="1A1D21"/>
                <w:sz w:val="17"/>
              </w:rPr>
              <w:t>0.82</w:t>
            </w:r>
          </w:p>
        </w:tc>
        <w:tc>
          <w:tcPr>
            <w:tcW w:type="dxa" w:w="1247"/>
          </w:tcPr>
          <w:p>
            <w:pPr>
              <w:jc w:val="right"/>
            </w:pPr>
            <w:r/>
            <w:r>
              <w:rPr>
                <w:color w:val="1A1D21"/>
                <w:sz w:val="17"/>
              </w:rPr>
              <w:t>0.62</w:t>
            </w:r>
          </w:p>
        </w:tc>
        <w:tc>
          <w:tcPr>
            <w:tcW w:type="dxa" w:w="1247"/>
          </w:tcPr>
          <w:p>
            <w:pPr>
              <w:jc w:val="right"/>
            </w:pPr>
            <w:r/>
            <w:r>
              <w:rPr>
                <w:color w:val="1A1D21"/>
                <w:sz w:val="17"/>
              </w:rPr>
              <w:t>0.49</w:t>
            </w:r>
          </w:p>
        </w:tc>
      </w:tr>
    </w:tbl>
    <w:p>
      <w:pPr>
        <w:spacing w:after="200"/>
      </w:pPr>
      <w:r>
        <w:rPr>
          <w:b w:val="0"/>
          <w:i/>
          <w:color w:val="5B6570"/>
          <w:sz w:val="16"/>
        </w:rPr>
        <w:t>The collection period falls from 948 days to 299 over five years. That is what this reading requires, and it is a large improvement to take on trust — which is exactly why the other reading is printed too.</w:t>
      </w:r>
    </w:p>
    <w:tbl>
      <w:tblPr>
        <w:tblStyle w:val="TableGrid"/>
        <w:tblW w:type="auto" w:w="0"/>
        <w:jc w:val="center"/>
        <w:tblLayout w:type="fixed"/>
        <w:tblLook w:firstColumn="1" w:firstRow="1" w:lastColumn="0" w:lastRow="0" w:noHBand="0" w:noVBand="1" w:val="04A0"/>
        <w:tblLayout w:type="fixed"/>
      </w:tblPr>
      <w:tblGrid>
        <w:gridCol w:w="3515"/>
        <w:gridCol w:w="1247"/>
        <w:gridCol w:w="1247"/>
        <w:gridCol w:w="1247"/>
        <w:gridCol w:w="1247"/>
        <w:gridCol w:w="1247"/>
      </w:tblGrid>
      <w:tr>
        <w:trPr>
          <w:tblHeader w:val="true"/>
        </w:trPr>
        <w:tc>
          <w:tcPr>
            <w:tcW w:type="dxa" w:w="3515"/>
          </w:tcPr>
          <w:p>
            <w:r/>
            <w:r>
              <w:rPr>
                <w:b/>
                <w:color w:val="5B6570"/>
                <w:sz w:val="17"/>
              </w:rPr>
              <w:t>Free cash flow to the firm, EGP million</w:t>
            </w:r>
          </w:p>
        </w:tc>
        <w:tc>
          <w:tcPr>
            <w:tcW w:type="dxa" w:w="1247"/>
          </w:tcPr>
          <w:p>
            <w:r/>
            <w:r>
              <w:rPr>
                <w:b/>
                <w:color w:val="5B6570"/>
                <w:sz w:val="17"/>
              </w:rPr>
              <w:t>2026</w:t>
            </w:r>
          </w:p>
        </w:tc>
        <w:tc>
          <w:tcPr>
            <w:tcW w:type="dxa" w:w="1247"/>
          </w:tcPr>
          <w:p>
            <w:r/>
            <w:r>
              <w:rPr>
                <w:b/>
                <w:color w:val="5B6570"/>
                <w:sz w:val="17"/>
              </w:rPr>
              <w:t>2027</w:t>
            </w:r>
          </w:p>
        </w:tc>
        <w:tc>
          <w:tcPr>
            <w:tcW w:type="dxa" w:w="1247"/>
          </w:tcPr>
          <w:p>
            <w:r/>
            <w:r>
              <w:rPr>
                <w:b/>
                <w:color w:val="5B6570"/>
                <w:sz w:val="17"/>
              </w:rPr>
              <w:t>2028</w:t>
            </w:r>
          </w:p>
        </w:tc>
        <w:tc>
          <w:tcPr>
            <w:tcW w:type="dxa" w:w="1247"/>
          </w:tcPr>
          <w:p>
            <w:r/>
            <w:r>
              <w:rPr>
                <w:b/>
                <w:color w:val="5B6570"/>
                <w:sz w:val="17"/>
              </w:rPr>
              <w:t>2029</w:t>
            </w:r>
          </w:p>
        </w:tc>
        <w:tc>
          <w:tcPr>
            <w:tcW w:type="dxa" w:w="1247"/>
          </w:tcPr>
          <w:p>
            <w:r/>
            <w:r>
              <w:rPr>
                <w:b/>
                <w:color w:val="5B6570"/>
                <w:sz w:val="17"/>
              </w:rPr>
              <w:t>2030</w:t>
            </w:r>
          </w:p>
        </w:tc>
      </w:tr>
      <w:tr>
        <w:trPr>
          <w:cantSplit/>
        </w:trPr>
        <w:tc>
          <w:tcPr>
            <w:tcW w:type="dxa" w:w="3515"/>
          </w:tcPr>
          <w:p>
            <w:r/>
            <w:r>
              <w:rPr>
                <w:color w:val="1A1D21"/>
                <w:sz w:val="17"/>
              </w:rPr>
              <w:t>Cash from operations</w:t>
            </w:r>
          </w:p>
        </w:tc>
        <w:tc>
          <w:tcPr>
            <w:tcW w:type="dxa" w:w="1247"/>
          </w:tcPr>
          <w:p>
            <w:pPr>
              <w:jc w:val="right"/>
            </w:pPr>
            <w:r/>
            <w:r>
              <w:rPr>
                <w:color w:val="1A1D21"/>
                <w:sz w:val="17"/>
              </w:rPr>
              <w:t>3,498</w:t>
            </w:r>
          </w:p>
        </w:tc>
        <w:tc>
          <w:tcPr>
            <w:tcW w:type="dxa" w:w="1247"/>
          </w:tcPr>
          <w:p>
            <w:pPr>
              <w:jc w:val="right"/>
            </w:pPr>
            <w:r/>
            <w:r>
              <w:rPr>
                <w:color w:val="1A1D21"/>
                <w:sz w:val="17"/>
              </w:rPr>
              <w:t>5,037</w:t>
            </w:r>
          </w:p>
        </w:tc>
        <w:tc>
          <w:tcPr>
            <w:tcW w:type="dxa" w:w="1247"/>
          </w:tcPr>
          <w:p>
            <w:pPr>
              <w:jc w:val="right"/>
            </w:pPr>
            <w:r/>
            <w:r>
              <w:rPr>
                <w:color w:val="1A1D21"/>
                <w:sz w:val="17"/>
              </w:rPr>
              <w:t>7,252</w:t>
            </w:r>
          </w:p>
        </w:tc>
        <w:tc>
          <w:tcPr>
            <w:tcW w:type="dxa" w:w="1247"/>
          </w:tcPr>
          <w:p>
            <w:pPr>
              <w:jc w:val="right"/>
            </w:pPr>
            <w:r/>
            <w:r>
              <w:rPr>
                <w:color w:val="1A1D21"/>
                <w:sz w:val="17"/>
              </w:rPr>
              <w:t>10,442</w:t>
            </w:r>
          </w:p>
        </w:tc>
        <w:tc>
          <w:tcPr>
            <w:tcW w:type="dxa" w:w="1247"/>
          </w:tcPr>
          <w:p>
            <w:pPr>
              <w:jc w:val="right"/>
            </w:pPr>
            <w:r/>
            <w:r>
              <w:rPr>
                <w:color w:val="1A1D21"/>
                <w:sz w:val="17"/>
              </w:rPr>
              <w:t>15,034</w:t>
            </w:r>
          </w:p>
        </w:tc>
      </w:tr>
      <w:tr>
        <w:trPr>
          <w:cantSplit/>
        </w:trPr>
        <w:tc>
          <w:tcPr>
            <w:tcW w:type="dxa" w:w="3515"/>
          </w:tcPr>
          <w:p>
            <w:r/>
            <w:r>
              <w:rPr>
                <w:color w:val="1A1D21"/>
                <w:sz w:val="17"/>
              </w:rPr>
              <w:t>plus finance cost, after tax</w:t>
            </w:r>
          </w:p>
        </w:tc>
        <w:tc>
          <w:tcPr>
            <w:tcW w:type="dxa" w:w="1247"/>
          </w:tcPr>
          <w:p>
            <w:pPr>
              <w:jc w:val="right"/>
            </w:pPr>
            <w:r/>
            <w:r>
              <w:rPr>
                <w:color w:val="1A1D21"/>
                <w:sz w:val="17"/>
              </w:rPr>
              <w:t>2,594</w:t>
            </w:r>
          </w:p>
        </w:tc>
        <w:tc>
          <w:tcPr>
            <w:tcW w:type="dxa" w:w="1247"/>
          </w:tcPr>
          <w:p>
            <w:pPr>
              <w:jc w:val="right"/>
            </w:pPr>
            <w:r/>
            <w:r>
              <w:rPr>
                <w:color w:val="1A1D21"/>
                <w:sz w:val="17"/>
              </w:rPr>
              <w:t>2,594</w:t>
            </w:r>
          </w:p>
        </w:tc>
        <w:tc>
          <w:tcPr>
            <w:tcW w:type="dxa" w:w="1247"/>
          </w:tcPr>
          <w:p>
            <w:pPr>
              <w:jc w:val="right"/>
            </w:pPr>
            <w:r/>
            <w:r>
              <w:rPr>
                <w:color w:val="1A1D21"/>
                <w:sz w:val="17"/>
              </w:rPr>
              <w:t>2,594</w:t>
            </w:r>
          </w:p>
        </w:tc>
        <w:tc>
          <w:tcPr>
            <w:tcW w:type="dxa" w:w="1247"/>
          </w:tcPr>
          <w:p>
            <w:pPr>
              <w:jc w:val="right"/>
            </w:pPr>
            <w:r/>
            <w:r>
              <w:rPr>
                <w:color w:val="1A1D21"/>
                <w:sz w:val="17"/>
              </w:rPr>
              <w:t>2,594</w:t>
            </w:r>
          </w:p>
        </w:tc>
        <w:tc>
          <w:tcPr>
            <w:tcW w:type="dxa" w:w="1247"/>
          </w:tcPr>
          <w:p>
            <w:pPr>
              <w:jc w:val="right"/>
            </w:pPr>
            <w:r/>
            <w:r>
              <w:rPr>
                <w:color w:val="1A1D21"/>
                <w:sz w:val="17"/>
              </w:rPr>
              <w:t>2,594</w:t>
            </w:r>
          </w:p>
        </w:tc>
      </w:tr>
      <w:tr>
        <w:trPr>
          <w:cantSplit/>
        </w:trPr>
        <w:tc>
          <w:tcPr>
            <w:tcW w:type="dxa" w:w="3515"/>
          </w:tcPr>
          <w:p>
            <w:r/>
            <w:r>
              <w:rPr>
                <w:color w:val="1A1D21"/>
                <w:sz w:val="17"/>
              </w:rPr>
              <w:t>less capital expenditure</w:t>
            </w:r>
          </w:p>
        </w:tc>
        <w:tc>
          <w:tcPr>
            <w:tcW w:type="dxa" w:w="1247"/>
          </w:tcPr>
          <w:p>
            <w:pPr>
              <w:jc w:val="right"/>
            </w:pPr>
            <w:r/>
            <w:r>
              <w:rPr>
                <w:color w:val="1A1D21"/>
                <w:sz w:val="17"/>
              </w:rPr>
              <w:t>-401</w:t>
            </w:r>
          </w:p>
        </w:tc>
        <w:tc>
          <w:tcPr>
            <w:tcW w:type="dxa" w:w="1247"/>
          </w:tcPr>
          <w:p>
            <w:pPr>
              <w:jc w:val="right"/>
            </w:pPr>
            <w:r/>
            <w:r>
              <w:rPr>
                <w:color w:val="1A1D21"/>
                <w:sz w:val="17"/>
              </w:rPr>
              <w:t>-578</w:t>
            </w:r>
          </w:p>
        </w:tc>
        <w:tc>
          <w:tcPr>
            <w:tcW w:type="dxa" w:w="1247"/>
          </w:tcPr>
          <w:p>
            <w:pPr>
              <w:jc w:val="right"/>
            </w:pPr>
            <w:r/>
            <w:r>
              <w:rPr>
                <w:color w:val="1A1D21"/>
                <w:sz w:val="17"/>
              </w:rPr>
              <w:t>-832</w:t>
            </w:r>
          </w:p>
        </w:tc>
        <w:tc>
          <w:tcPr>
            <w:tcW w:type="dxa" w:w="1247"/>
          </w:tcPr>
          <w:p>
            <w:pPr>
              <w:jc w:val="right"/>
            </w:pPr>
            <w:r/>
            <w:r>
              <w:rPr>
                <w:color w:val="1A1D21"/>
                <w:sz w:val="17"/>
              </w:rPr>
              <w:t>-1,198</w:t>
            </w:r>
          </w:p>
        </w:tc>
        <w:tc>
          <w:tcPr>
            <w:tcW w:type="dxa" w:w="1247"/>
          </w:tcPr>
          <w:p>
            <w:pPr>
              <w:jc w:val="right"/>
            </w:pPr>
            <w:r/>
            <w:r>
              <w:rPr>
                <w:color w:val="1A1D21"/>
                <w:sz w:val="17"/>
              </w:rPr>
              <w:t>-1,725</w:t>
            </w:r>
          </w:p>
        </w:tc>
      </w:tr>
      <w:tr>
        <w:trPr>
          <w:cantSplit/>
        </w:trPr>
        <w:tc>
          <w:tcPr>
            <w:tcW w:type="dxa" w:w="3515"/>
          </w:tcPr>
          <w:p>
            <w:r/>
            <w:r>
              <w:rPr>
                <w:color w:val="1A1D21"/>
                <w:sz w:val="17"/>
              </w:rPr>
              <w:t>Free cash flow to the firm</w:t>
            </w:r>
          </w:p>
        </w:tc>
        <w:tc>
          <w:tcPr>
            <w:tcW w:type="dxa" w:w="1247"/>
          </w:tcPr>
          <w:p>
            <w:pPr>
              <w:jc w:val="right"/>
            </w:pPr>
            <w:r/>
            <w:r>
              <w:rPr>
                <w:color w:val="1A1D21"/>
                <w:sz w:val="17"/>
              </w:rPr>
              <w:t>5,691</w:t>
            </w:r>
          </w:p>
        </w:tc>
        <w:tc>
          <w:tcPr>
            <w:tcW w:type="dxa" w:w="1247"/>
          </w:tcPr>
          <w:p>
            <w:pPr>
              <w:jc w:val="right"/>
            </w:pPr>
            <w:r/>
            <w:r>
              <w:rPr>
                <w:color w:val="1A1D21"/>
                <w:sz w:val="17"/>
              </w:rPr>
              <w:t>7,053</w:t>
            </w:r>
          </w:p>
        </w:tc>
        <w:tc>
          <w:tcPr>
            <w:tcW w:type="dxa" w:w="1247"/>
          </w:tcPr>
          <w:p>
            <w:pPr>
              <w:jc w:val="right"/>
            </w:pPr>
            <w:r/>
            <w:r>
              <w:rPr>
                <w:color w:val="1A1D21"/>
                <w:sz w:val="17"/>
              </w:rPr>
              <w:t>9,014</w:t>
            </w:r>
          </w:p>
        </w:tc>
        <w:tc>
          <w:tcPr>
            <w:tcW w:type="dxa" w:w="1247"/>
          </w:tcPr>
          <w:p>
            <w:pPr>
              <w:jc w:val="right"/>
            </w:pPr>
            <w:r/>
            <w:r>
              <w:rPr>
                <w:color w:val="1A1D21"/>
                <w:sz w:val="17"/>
              </w:rPr>
              <w:t>11,838</w:t>
            </w:r>
          </w:p>
        </w:tc>
        <w:tc>
          <w:tcPr>
            <w:tcW w:type="dxa" w:w="1247"/>
          </w:tcPr>
          <w:p>
            <w:pPr>
              <w:jc w:val="right"/>
            </w:pPr>
            <w:r/>
            <w:r>
              <w:rPr>
                <w:color w:val="1A1D21"/>
                <w:sz w:val="17"/>
              </w:rPr>
              <w:t>15,903</w:t>
            </w:r>
          </w:p>
        </w:tc>
      </w:tr>
      <w:tr>
        <w:trPr>
          <w:cantSplit/>
        </w:trPr>
        <w:tc>
          <w:tcPr>
            <w:tcW w:type="dxa" w:w="3515"/>
          </w:tcPr>
          <w:p>
            <w:r/>
            <w:r>
              <w:rPr>
                <w:color w:val="1A1D21"/>
                <w:sz w:val="17"/>
              </w:rPr>
              <w:t>Present value at 26.25 per cent</w:t>
            </w:r>
          </w:p>
        </w:tc>
        <w:tc>
          <w:tcPr>
            <w:tcW w:type="dxa" w:w="1247"/>
          </w:tcPr>
          <w:p>
            <w:pPr>
              <w:jc w:val="right"/>
            </w:pPr>
            <w:r/>
            <w:r>
              <w:rPr>
                <w:color w:val="1A1D21"/>
                <w:sz w:val="17"/>
              </w:rPr>
              <w:t>4,508</w:t>
            </w:r>
          </w:p>
        </w:tc>
        <w:tc>
          <w:tcPr>
            <w:tcW w:type="dxa" w:w="1247"/>
          </w:tcPr>
          <w:p>
            <w:pPr>
              <w:jc w:val="right"/>
            </w:pPr>
            <w:r/>
            <w:r>
              <w:rPr>
                <w:color w:val="1A1D21"/>
                <w:sz w:val="17"/>
              </w:rPr>
              <w:t>4,425</w:t>
            </w:r>
          </w:p>
        </w:tc>
        <w:tc>
          <w:tcPr>
            <w:tcW w:type="dxa" w:w="1247"/>
          </w:tcPr>
          <w:p>
            <w:pPr>
              <w:jc w:val="right"/>
            </w:pPr>
            <w:r/>
            <w:r>
              <w:rPr>
                <w:color w:val="1A1D21"/>
                <w:sz w:val="17"/>
              </w:rPr>
              <w:t>4,480</w:t>
            </w:r>
          </w:p>
        </w:tc>
        <w:tc>
          <w:tcPr>
            <w:tcW w:type="dxa" w:w="1247"/>
          </w:tcPr>
          <w:p>
            <w:pPr>
              <w:jc w:val="right"/>
            </w:pPr>
            <w:r/>
            <w:r>
              <w:rPr>
                <w:color w:val="1A1D21"/>
                <w:sz w:val="17"/>
              </w:rPr>
              <w:t>4,660</w:t>
            </w:r>
          </w:p>
        </w:tc>
        <w:tc>
          <w:tcPr>
            <w:tcW w:type="dxa" w:w="1247"/>
          </w:tcPr>
          <w:p>
            <w:pPr>
              <w:jc w:val="right"/>
            </w:pPr>
            <w:r/>
            <w:r>
              <w:rPr>
                <w:color w:val="1A1D21"/>
                <w:sz w:val="17"/>
              </w:rPr>
              <w:t>4,958</w:t>
            </w:r>
          </w:p>
        </w:tc>
      </w:tr>
    </w:tbl>
    <w:p>
      <w:pPr>
        <w:spacing w:after="200"/>
      </w:pPr>
      <w:r>
        <w:rPr>
          <w:b w:val="0"/>
          <w:i/>
          <w:color w:val="5B6570"/>
          <w:sz w:val="16"/>
        </w:rPr>
        <w:t>These are the figures discounted in section 1.1, shown again here beside the statements they come out of.</w:t>
      </w:r>
    </w:p>
    <w:p>
      <w:pPr>
        <w:pStyle w:val="Heading3"/>
      </w:pPr>
      <w:r>
        <w:t>If the collection cycle holds</w:t>
      </w:r>
    </w:p>
    <w:tbl>
      <w:tblPr>
        <w:tblStyle w:val="TableGrid"/>
        <w:tblW w:type="auto" w:w="0"/>
        <w:jc w:val="center"/>
        <w:tblLayout w:type="fixed"/>
        <w:tblLook w:firstColumn="1" w:firstRow="1" w:lastColumn="0" w:lastRow="0" w:noHBand="0" w:noVBand="1" w:val="04A0"/>
        <w:tblLayout w:type="fixed"/>
      </w:tblPr>
      <w:tblGrid>
        <w:gridCol w:w="3515"/>
        <w:gridCol w:w="1247"/>
        <w:gridCol w:w="1247"/>
        <w:gridCol w:w="1247"/>
        <w:gridCol w:w="1247"/>
        <w:gridCol w:w="1247"/>
      </w:tblGrid>
      <w:tr>
        <w:trPr>
          <w:tblHeader w:val="true"/>
        </w:trPr>
        <w:tc>
          <w:tcPr>
            <w:tcW w:type="dxa" w:w="3515"/>
          </w:tcPr>
          <w:p>
            <w:r/>
            <w:r>
              <w:rPr>
                <w:b/>
                <w:color w:val="5B6570"/>
                <w:sz w:val="17"/>
              </w:rPr>
              <w:t>Forecast balance sheet, EGP million</w:t>
            </w:r>
          </w:p>
        </w:tc>
        <w:tc>
          <w:tcPr>
            <w:tcW w:type="dxa" w:w="1247"/>
          </w:tcPr>
          <w:p>
            <w:r/>
            <w:r>
              <w:rPr>
                <w:b/>
                <w:color w:val="5B6570"/>
                <w:sz w:val="17"/>
              </w:rPr>
              <w:t>2026</w:t>
            </w:r>
          </w:p>
        </w:tc>
        <w:tc>
          <w:tcPr>
            <w:tcW w:type="dxa" w:w="1247"/>
          </w:tcPr>
          <w:p>
            <w:r/>
            <w:r>
              <w:rPr>
                <w:b/>
                <w:color w:val="5B6570"/>
                <w:sz w:val="17"/>
              </w:rPr>
              <w:t>2027</w:t>
            </w:r>
          </w:p>
        </w:tc>
        <w:tc>
          <w:tcPr>
            <w:tcW w:type="dxa" w:w="1247"/>
          </w:tcPr>
          <w:p>
            <w:r/>
            <w:r>
              <w:rPr>
                <w:b/>
                <w:color w:val="5B6570"/>
                <w:sz w:val="17"/>
              </w:rPr>
              <w:t>2028</w:t>
            </w:r>
          </w:p>
        </w:tc>
        <w:tc>
          <w:tcPr>
            <w:tcW w:type="dxa" w:w="1247"/>
          </w:tcPr>
          <w:p>
            <w:r/>
            <w:r>
              <w:rPr>
                <w:b/>
                <w:color w:val="5B6570"/>
                <w:sz w:val="17"/>
              </w:rPr>
              <w:t>2029</w:t>
            </w:r>
          </w:p>
        </w:tc>
        <w:tc>
          <w:tcPr>
            <w:tcW w:type="dxa" w:w="1247"/>
          </w:tcPr>
          <w:p>
            <w:r/>
            <w:r>
              <w:rPr>
                <w:b/>
                <w:color w:val="5B6570"/>
                <w:sz w:val="17"/>
              </w:rPr>
              <w:t>2030</w:t>
            </w:r>
          </w:p>
        </w:tc>
      </w:tr>
      <w:tr>
        <w:trPr>
          <w:cantSplit/>
        </w:trPr>
        <w:tc>
          <w:tcPr>
            <w:tcW w:type="dxa" w:w="3515"/>
          </w:tcPr>
          <w:p>
            <w:r/>
            <w:r>
              <w:rPr>
                <w:color w:val="1A1D21"/>
                <w:sz w:val="17"/>
              </w:rPr>
              <w:t>Trade and notes receivable</w:t>
            </w:r>
          </w:p>
        </w:tc>
        <w:tc>
          <w:tcPr>
            <w:tcW w:type="dxa" w:w="1247"/>
          </w:tcPr>
          <w:p>
            <w:pPr>
              <w:jc w:val="right"/>
            </w:pPr>
            <w:r/>
            <w:r>
              <w:rPr>
                <w:color w:val="1A1D21"/>
                <w:sz w:val="17"/>
              </w:rPr>
              <w:t>114,897</w:t>
            </w:r>
          </w:p>
        </w:tc>
        <w:tc>
          <w:tcPr>
            <w:tcW w:type="dxa" w:w="1247"/>
          </w:tcPr>
          <w:p>
            <w:pPr>
              <w:jc w:val="right"/>
            </w:pPr>
            <w:r/>
            <w:r>
              <w:rPr>
                <w:color w:val="1A1D21"/>
                <w:sz w:val="17"/>
              </w:rPr>
              <w:t>165,429</w:t>
            </w:r>
          </w:p>
        </w:tc>
        <w:tc>
          <w:tcPr>
            <w:tcW w:type="dxa" w:w="1247"/>
          </w:tcPr>
          <w:p>
            <w:pPr>
              <w:jc w:val="right"/>
            </w:pPr>
            <w:r/>
            <w:r>
              <w:rPr>
                <w:color w:val="1A1D21"/>
                <w:sz w:val="17"/>
              </w:rPr>
              <w:t>238,184</w:t>
            </w:r>
          </w:p>
        </w:tc>
        <w:tc>
          <w:tcPr>
            <w:tcW w:type="dxa" w:w="1247"/>
          </w:tcPr>
          <w:p>
            <w:pPr>
              <w:jc w:val="right"/>
            </w:pPr>
            <w:r/>
            <w:r>
              <w:rPr>
                <w:color w:val="1A1D21"/>
                <w:sz w:val="17"/>
              </w:rPr>
              <w:t>342,938</w:t>
            </w:r>
          </w:p>
        </w:tc>
        <w:tc>
          <w:tcPr>
            <w:tcW w:type="dxa" w:w="1247"/>
          </w:tcPr>
          <w:p>
            <w:pPr>
              <w:jc w:val="right"/>
            </w:pPr>
            <w:r/>
            <w:r>
              <w:rPr>
                <w:color w:val="1A1D21"/>
                <w:sz w:val="17"/>
              </w:rPr>
              <w:t>493,762</w:t>
            </w:r>
          </w:p>
        </w:tc>
      </w:tr>
      <w:tr>
        <w:trPr>
          <w:cantSplit/>
        </w:trPr>
        <w:tc>
          <w:tcPr>
            <w:tcW w:type="dxa" w:w="3515"/>
          </w:tcPr>
          <w:p>
            <w:r/>
            <w:r>
              <w:rPr>
                <w:color w:val="1A1D21"/>
                <w:sz w:val="17"/>
              </w:rPr>
              <w:t>Work in progress</w:t>
            </w:r>
          </w:p>
        </w:tc>
        <w:tc>
          <w:tcPr>
            <w:tcW w:type="dxa" w:w="1247"/>
          </w:tcPr>
          <w:p>
            <w:pPr>
              <w:jc w:val="right"/>
            </w:pPr>
            <w:r/>
            <w:r>
              <w:rPr>
                <w:color w:val="1A1D21"/>
                <w:sz w:val="17"/>
              </w:rPr>
              <w:t>19,504</w:t>
            </w:r>
          </w:p>
        </w:tc>
        <w:tc>
          <w:tcPr>
            <w:tcW w:type="dxa" w:w="1247"/>
          </w:tcPr>
          <w:p>
            <w:pPr>
              <w:jc w:val="right"/>
            </w:pPr>
            <w:r/>
            <w:r>
              <w:rPr>
                <w:color w:val="1A1D21"/>
                <w:sz w:val="17"/>
              </w:rPr>
              <w:t>28,081</w:t>
            </w:r>
          </w:p>
        </w:tc>
        <w:tc>
          <w:tcPr>
            <w:tcW w:type="dxa" w:w="1247"/>
          </w:tcPr>
          <w:p>
            <w:pPr>
              <w:jc w:val="right"/>
            </w:pPr>
            <w:r/>
            <w:r>
              <w:rPr>
                <w:color w:val="1A1D21"/>
                <w:sz w:val="17"/>
              </w:rPr>
              <w:t>40,432</w:t>
            </w:r>
          </w:p>
        </w:tc>
        <w:tc>
          <w:tcPr>
            <w:tcW w:type="dxa" w:w="1247"/>
          </w:tcPr>
          <w:p>
            <w:pPr>
              <w:jc w:val="right"/>
            </w:pPr>
            <w:r/>
            <w:r>
              <w:rPr>
                <w:color w:val="1A1D21"/>
                <w:sz w:val="17"/>
              </w:rPr>
              <w:t>58,213</w:t>
            </w:r>
          </w:p>
        </w:tc>
        <w:tc>
          <w:tcPr>
            <w:tcW w:type="dxa" w:w="1247"/>
          </w:tcPr>
          <w:p>
            <w:pPr>
              <w:jc w:val="right"/>
            </w:pPr>
            <w:r/>
            <w:r>
              <w:rPr>
                <w:color w:val="1A1D21"/>
                <w:sz w:val="17"/>
              </w:rPr>
              <w:t>83,816</w:t>
            </w:r>
          </w:p>
        </w:tc>
      </w:tr>
      <w:tr>
        <w:trPr>
          <w:cantSplit/>
        </w:trPr>
        <w:tc>
          <w:tcPr>
            <w:tcW w:type="dxa" w:w="3515"/>
          </w:tcPr>
          <w:p>
            <w:r/>
            <w:r>
              <w:rPr>
                <w:color w:val="1A1D21"/>
                <w:sz w:val="17"/>
              </w:rPr>
              <w:t>Other receivables and prepayments</w:t>
            </w:r>
          </w:p>
        </w:tc>
        <w:tc>
          <w:tcPr>
            <w:tcW w:type="dxa" w:w="1247"/>
          </w:tcPr>
          <w:p>
            <w:pPr>
              <w:jc w:val="right"/>
            </w:pPr>
            <w:r/>
            <w:r>
              <w:rPr>
                <w:color w:val="1A1D21"/>
                <w:sz w:val="17"/>
              </w:rPr>
              <w:t>14,343</w:t>
            </w:r>
          </w:p>
        </w:tc>
        <w:tc>
          <w:tcPr>
            <w:tcW w:type="dxa" w:w="1247"/>
          </w:tcPr>
          <w:p>
            <w:pPr>
              <w:jc w:val="right"/>
            </w:pPr>
            <w:r/>
            <w:r>
              <w:rPr>
                <w:color w:val="1A1D21"/>
                <w:sz w:val="17"/>
              </w:rPr>
              <w:t>20,652</w:t>
            </w:r>
          </w:p>
        </w:tc>
        <w:tc>
          <w:tcPr>
            <w:tcW w:type="dxa" w:w="1247"/>
          </w:tcPr>
          <w:p>
            <w:pPr>
              <w:jc w:val="right"/>
            </w:pPr>
            <w:r/>
            <w:r>
              <w:rPr>
                <w:color w:val="1A1D21"/>
                <w:sz w:val="17"/>
              </w:rPr>
              <w:t>29,734</w:t>
            </w:r>
          </w:p>
        </w:tc>
        <w:tc>
          <w:tcPr>
            <w:tcW w:type="dxa" w:w="1247"/>
          </w:tcPr>
          <w:p>
            <w:pPr>
              <w:jc w:val="right"/>
            </w:pPr>
            <w:r/>
            <w:r>
              <w:rPr>
                <w:color w:val="1A1D21"/>
                <w:sz w:val="17"/>
              </w:rPr>
              <w:t>42,811</w:t>
            </w:r>
          </w:p>
        </w:tc>
        <w:tc>
          <w:tcPr>
            <w:tcW w:type="dxa" w:w="1247"/>
          </w:tcPr>
          <w:p>
            <w:pPr>
              <w:jc w:val="right"/>
            </w:pPr>
            <w:r/>
            <w:r>
              <w:rPr>
                <w:color w:val="1A1D21"/>
                <w:sz w:val="17"/>
              </w:rPr>
              <w:t>61,640</w:t>
            </w:r>
          </w:p>
        </w:tc>
      </w:tr>
      <w:tr>
        <w:trPr>
          <w:cantSplit/>
        </w:trPr>
        <w:tc>
          <w:tcPr>
            <w:tcW w:type="dxa" w:w="3515"/>
          </w:tcPr>
          <w:p>
            <w:r/>
            <w:r>
              <w:rPr>
                <w:color w:val="1A1D21"/>
                <w:sz w:val="17"/>
              </w:rPr>
              <w:t>Advances to suppliers</w:t>
            </w:r>
          </w:p>
        </w:tc>
        <w:tc>
          <w:tcPr>
            <w:tcW w:type="dxa" w:w="1247"/>
          </w:tcPr>
          <w:p>
            <w:pPr>
              <w:jc w:val="right"/>
            </w:pPr>
            <w:r/>
            <w:r>
              <w:rPr>
                <w:color w:val="1A1D21"/>
                <w:sz w:val="17"/>
              </w:rPr>
              <w:t>10,052</w:t>
            </w:r>
          </w:p>
        </w:tc>
        <w:tc>
          <w:tcPr>
            <w:tcW w:type="dxa" w:w="1247"/>
          </w:tcPr>
          <w:p>
            <w:pPr>
              <w:jc w:val="right"/>
            </w:pPr>
            <w:r/>
            <w:r>
              <w:rPr>
                <w:color w:val="1A1D21"/>
                <w:sz w:val="17"/>
              </w:rPr>
              <w:t>14,473</w:t>
            </w:r>
          </w:p>
        </w:tc>
        <w:tc>
          <w:tcPr>
            <w:tcW w:type="dxa" w:w="1247"/>
          </w:tcPr>
          <w:p>
            <w:pPr>
              <w:jc w:val="right"/>
            </w:pPr>
            <w:r/>
            <w:r>
              <w:rPr>
                <w:color w:val="1A1D21"/>
                <w:sz w:val="17"/>
              </w:rPr>
              <w:t>20,839</w:t>
            </w:r>
          </w:p>
        </w:tc>
        <w:tc>
          <w:tcPr>
            <w:tcW w:type="dxa" w:w="1247"/>
          </w:tcPr>
          <w:p>
            <w:pPr>
              <w:jc w:val="right"/>
            </w:pPr>
            <w:r/>
            <w:r>
              <w:rPr>
                <w:color w:val="1A1D21"/>
                <w:sz w:val="17"/>
              </w:rPr>
              <w:t>30,004</w:t>
            </w:r>
          </w:p>
        </w:tc>
        <w:tc>
          <w:tcPr>
            <w:tcW w:type="dxa" w:w="1247"/>
          </w:tcPr>
          <w:p>
            <w:pPr>
              <w:jc w:val="right"/>
            </w:pPr>
            <w:r/>
            <w:r>
              <w:rPr>
                <w:color w:val="1A1D21"/>
                <w:sz w:val="17"/>
              </w:rPr>
              <w:t>43,199</w:t>
            </w:r>
          </w:p>
        </w:tc>
      </w:tr>
      <w:tr>
        <w:trPr>
          <w:cantSplit/>
        </w:trPr>
        <w:tc>
          <w:tcPr>
            <w:tcW w:type="dxa" w:w="3515"/>
          </w:tcPr>
          <w:p>
            <w:r/>
            <w:r>
              <w:rPr>
                <w:color w:val="1A1D21"/>
                <w:sz w:val="17"/>
              </w:rPr>
              <w:t>Cash and equivalents</w:t>
            </w:r>
          </w:p>
        </w:tc>
        <w:tc>
          <w:tcPr>
            <w:tcW w:type="dxa" w:w="1247"/>
          </w:tcPr>
          <w:p>
            <w:pPr>
              <w:jc w:val="right"/>
            </w:pPr>
            <w:r/>
            <w:r>
              <w:rPr>
                <w:color w:val="1A1D21"/>
                <w:sz w:val="17"/>
              </w:rPr>
              <w:t>6,104</w:t>
            </w:r>
          </w:p>
        </w:tc>
        <w:tc>
          <w:tcPr>
            <w:tcW w:type="dxa" w:w="1247"/>
          </w:tcPr>
          <w:p>
            <w:pPr>
              <w:jc w:val="right"/>
            </w:pPr>
            <w:r/>
            <w:r>
              <w:rPr>
                <w:color w:val="1A1D21"/>
                <w:sz w:val="17"/>
              </w:rPr>
              <w:t>2,355</w:t>
            </w:r>
          </w:p>
        </w:tc>
        <w:tc>
          <w:tcPr>
            <w:tcW w:type="dxa" w:w="1247"/>
          </w:tcPr>
          <w:p>
            <w:pPr>
              <w:jc w:val="right"/>
            </w:pPr>
            <w:r/>
            <w:r>
              <w:rPr>
                <w:color w:val="1A1D21"/>
                <w:sz w:val="17"/>
              </w:rPr>
              <w:t>2,355</w:t>
            </w:r>
          </w:p>
        </w:tc>
        <w:tc>
          <w:tcPr>
            <w:tcW w:type="dxa" w:w="1247"/>
          </w:tcPr>
          <w:p>
            <w:pPr>
              <w:jc w:val="right"/>
            </w:pPr>
            <w:r/>
            <w:r>
              <w:rPr>
                <w:color w:val="1A1D21"/>
                <w:sz w:val="17"/>
              </w:rPr>
              <w:t>2,355</w:t>
            </w:r>
          </w:p>
        </w:tc>
        <w:tc>
          <w:tcPr>
            <w:tcW w:type="dxa" w:w="1247"/>
          </w:tcPr>
          <w:p>
            <w:pPr>
              <w:jc w:val="right"/>
            </w:pPr>
            <w:r/>
            <w:r>
              <w:rPr>
                <w:color w:val="1A1D21"/>
                <w:sz w:val="17"/>
              </w:rPr>
              <w:t>2,355</w:t>
            </w:r>
          </w:p>
        </w:tc>
      </w:tr>
      <w:tr>
        <w:trPr>
          <w:cantSplit/>
        </w:trPr>
        <w:tc>
          <w:tcPr>
            <w:tcW w:type="dxa" w:w="3515"/>
          </w:tcPr>
          <w:p>
            <w:r/>
            <w:r>
              <w:rPr>
                <w:color w:val="1A1D21"/>
                <w:sz w:val="17"/>
              </w:rPr>
              <w:t>Property and equipment</w:t>
            </w:r>
          </w:p>
        </w:tc>
        <w:tc>
          <w:tcPr>
            <w:tcW w:type="dxa" w:w="1247"/>
          </w:tcPr>
          <w:p>
            <w:pPr>
              <w:jc w:val="right"/>
            </w:pPr>
            <w:r/>
            <w:r>
              <w:rPr>
                <w:color w:val="1A1D21"/>
                <w:sz w:val="17"/>
              </w:rPr>
              <w:t>4,531</w:t>
            </w:r>
          </w:p>
        </w:tc>
        <w:tc>
          <w:tcPr>
            <w:tcW w:type="dxa" w:w="1247"/>
          </w:tcPr>
          <w:p>
            <w:pPr>
              <w:jc w:val="right"/>
            </w:pPr>
            <w:r/>
            <w:r>
              <w:rPr>
                <w:color w:val="1A1D21"/>
                <w:sz w:val="17"/>
              </w:rPr>
              <w:t>4,544</w:t>
            </w:r>
          </w:p>
        </w:tc>
        <w:tc>
          <w:tcPr>
            <w:tcW w:type="dxa" w:w="1247"/>
          </w:tcPr>
          <w:p>
            <w:pPr>
              <w:jc w:val="right"/>
            </w:pPr>
            <w:r/>
            <w:r>
              <w:rPr>
                <w:color w:val="1A1D21"/>
                <w:sz w:val="17"/>
              </w:rPr>
              <w:t>4,562</w:t>
            </w:r>
          </w:p>
        </w:tc>
        <w:tc>
          <w:tcPr>
            <w:tcW w:type="dxa" w:w="1247"/>
          </w:tcPr>
          <w:p>
            <w:pPr>
              <w:jc w:val="right"/>
            </w:pPr>
            <w:r/>
            <w:r>
              <w:rPr>
                <w:color w:val="1A1D21"/>
                <w:sz w:val="17"/>
              </w:rPr>
              <w:t>4,589</w:t>
            </w:r>
          </w:p>
        </w:tc>
        <w:tc>
          <w:tcPr>
            <w:tcW w:type="dxa" w:w="1247"/>
          </w:tcPr>
          <w:p>
            <w:pPr>
              <w:jc w:val="right"/>
            </w:pPr>
            <w:r/>
            <w:r>
              <w:rPr>
                <w:color w:val="1A1D21"/>
                <w:sz w:val="17"/>
              </w:rPr>
              <w:t>4,627</w:t>
            </w:r>
          </w:p>
        </w:tc>
      </w:tr>
      <w:tr>
        <w:trPr>
          <w:cantSplit/>
        </w:trPr>
        <w:tc>
          <w:tcPr>
            <w:tcW w:type="dxa" w:w="3515"/>
          </w:tcPr>
          <w:p>
            <w:r/>
            <w:r>
              <w:rPr>
                <w:color w:val="1A1D21"/>
                <w:sz w:val="17"/>
              </w:rPr>
              <w:t>Other assets, held at the 2025 level</w:t>
            </w:r>
          </w:p>
        </w:tc>
        <w:tc>
          <w:tcPr>
            <w:tcW w:type="dxa" w:w="1247"/>
          </w:tcPr>
          <w:p>
            <w:pPr>
              <w:jc w:val="right"/>
            </w:pPr>
            <w:r/>
            <w:r>
              <w:rPr>
                <w:color w:val="1A1D21"/>
                <w:sz w:val="17"/>
              </w:rPr>
              <w:t>15,128</w:t>
            </w:r>
          </w:p>
        </w:tc>
        <w:tc>
          <w:tcPr>
            <w:tcW w:type="dxa" w:w="1247"/>
          </w:tcPr>
          <w:p>
            <w:pPr>
              <w:jc w:val="right"/>
            </w:pPr>
            <w:r/>
            <w:r>
              <w:rPr>
                <w:color w:val="1A1D21"/>
                <w:sz w:val="17"/>
              </w:rPr>
              <w:t>15,128</w:t>
            </w:r>
          </w:p>
        </w:tc>
        <w:tc>
          <w:tcPr>
            <w:tcW w:type="dxa" w:w="1247"/>
          </w:tcPr>
          <w:p>
            <w:pPr>
              <w:jc w:val="right"/>
            </w:pPr>
            <w:r/>
            <w:r>
              <w:rPr>
                <w:color w:val="1A1D21"/>
                <w:sz w:val="17"/>
              </w:rPr>
              <w:t>15,128</w:t>
            </w:r>
          </w:p>
        </w:tc>
        <w:tc>
          <w:tcPr>
            <w:tcW w:type="dxa" w:w="1247"/>
          </w:tcPr>
          <w:p>
            <w:pPr>
              <w:jc w:val="right"/>
            </w:pPr>
            <w:r/>
            <w:r>
              <w:rPr>
                <w:color w:val="1A1D21"/>
                <w:sz w:val="17"/>
              </w:rPr>
              <w:t>15,128</w:t>
            </w:r>
          </w:p>
        </w:tc>
        <w:tc>
          <w:tcPr>
            <w:tcW w:type="dxa" w:w="1247"/>
          </w:tcPr>
          <w:p>
            <w:pPr>
              <w:jc w:val="right"/>
            </w:pPr>
            <w:r/>
            <w:r>
              <w:rPr>
                <w:color w:val="1A1D21"/>
                <w:sz w:val="17"/>
              </w:rPr>
              <w:t>15,128</w:t>
            </w:r>
          </w:p>
        </w:tc>
      </w:tr>
      <w:tr>
        <w:trPr>
          <w:cantSplit/>
        </w:trPr>
        <w:tc>
          <w:tcPr>
            <w:tcW w:type="dxa" w:w="3515"/>
          </w:tcPr>
          <w:p>
            <w:r/>
            <w:r>
              <w:rPr>
                <w:color w:val="1A1D21"/>
                <w:sz w:val="17"/>
              </w:rPr>
              <w:t>Total assets</w:t>
            </w:r>
          </w:p>
        </w:tc>
        <w:tc>
          <w:tcPr>
            <w:tcW w:type="dxa" w:w="1247"/>
          </w:tcPr>
          <w:p>
            <w:pPr>
              <w:jc w:val="right"/>
            </w:pPr>
            <w:r/>
            <w:r>
              <w:rPr>
                <w:color w:val="1A1D21"/>
                <w:sz w:val="17"/>
              </w:rPr>
              <w:t>184,560</w:t>
            </w:r>
          </w:p>
        </w:tc>
        <w:tc>
          <w:tcPr>
            <w:tcW w:type="dxa" w:w="1247"/>
          </w:tcPr>
          <w:p>
            <w:pPr>
              <w:jc w:val="right"/>
            </w:pPr>
            <w:r/>
            <w:r>
              <w:rPr>
                <w:color w:val="1A1D21"/>
                <w:sz w:val="17"/>
              </w:rPr>
              <w:t>250,662</w:t>
            </w:r>
          </w:p>
        </w:tc>
        <w:tc>
          <w:tcPr>
            <w:tcW w:type="dxa" w:w="1247"/>
          </w:tcPr>
          <w:p>
            <w:pPr>
              <w:jc w:val="right"/>
            </w:pPr>
            <w:r/>
            <w:r>
              <w:rPr>
                <w:color w:val="1A1D21"/>
                <w:sz w:val="17"/>
              </w:rPr>
              <w:t>351,234</w:t>
            </w:r>
          </w:p>
        </w:tc>
        <w:tc>
          <w:tcPr>
            <w:tcW w:type="dxa" w:w="1247"/>
          </w:tcPr>
          <w:p>
            <w:pPr>
              <w:jc w:val="right"/>
            </w:pPr>
            <w:r/>
            <w:r>
              <w:rPr>
                <w:color w:val="1A1D21"/>
                <w:sz w:val="17"/>
              </w:rPr>
              <w:t>496,038</w:t>
            </w:r>
          </w:p>
        </w:tc>
        <w:tc>
          <w:tcPr>
            <w:tcW w:type="dxa" w:w="1247"/>
          </w:tcPr>
          <w:p>
            <w:pPr>
              <w:jc w:val="right"/>
            </w:pPr>
            <w:r/>
            <w:r>
              <w:rPr>
                <w:color w:val="1A1D21"/>
                <w:sz w:val="17"/>
              </w:rPr>
              <w:t>704,527</w:t>
            </w:r>
          </w:p>
        </w:tc>
      </w:tr>
      <w:tr>
        <w:trPr>
          <w:cantSplit/>
        </w:trPr>
        <w:tc>
          <w:tcPr>
            <w:tcW w:type="dxa" w:w="3515"/>
          </w:tcPr>
          <w:p>
            <w:r/>
            <w:r>
              <w:rPr>
                <w:color w:val="1A1D21"/>
                <w:sz w:val="17"/>
              </w:rPr>
              <w:t>Customer advances</w:t>
            </w:r>
          </w:p>
        </w:tc>
        <w:tc>
          <w:tcPr>
            <w:tcW w:type="dxa" w:w="1247"/>
          </w:tcPr>
          <w:p>
            <w:pPr>
              <w:jc w:val="right"/>
            </w:pPr>
            <w:r/>
            <w:r>
              <w:rPr>
                <w:color w:val="1A1D21"/>
                <w:sz w:val="17"/>
              </w:rPr>
              <w:t>76,983</w:t>
            </w:r>
          </w:p>
        </w:tc>
        <w:tc>
          <w:tcPr>
            <w:tcW w:type="dxa" w:w="1247"/>
          </w:tcPr>
          <w:p>
            <w:pPr>
              <w:jc w:val="right"/>
            </w:pPr>
            <w:r/>
            <w:r>
              <w:rPr>
                <w:color w:val="1A1D21"/>
                <w:sz w:val="17"/>
              </w:rPr>
              <w:t>110,840</w:t>
            </w:r>
          </w:p>
        </w:tc>
        <w:tc>
          <w:tcPr>
            <w:tcW w:type="dxa" w:w="1247"/>
          </w:tcPr>
          <w:p>
            <w:pPr>
              <w:jc w:val="right"/>
            </w:pPr>
            <w:r/>
            <w:r>
              <w:rPr>
                <w:color w:val="1A1D21"/>
                <w:sz w:val="17"/>
              </w:rPr>
              <w:t>159,588</w:t>
            </w:r>
          </w:p>
        </w:tc>
        <w:tc>
          <w:tcPr>
            <w:tcW w:type="dxa" w:w="1247"/>
          </w:tcPr>
          <w:p>
            <w:pPr>
              <w:jc w:val="right"/>
            </w:pPr>
            <w:r/>
            <w:r>
              <w:rPr>
                <w:color w:val="1A1D21"/>
                <w:sz w:val="17"/>
              </w:rPr>
              <w:t>229,774</w:t>
            </w:r>
          </w:p>
        </w:tc>
        <w:tc>
          <w:tcPr>
            <w:tcW w:type="dxa" w:w="1247"/>
          </w:tcPr>
          <w:p>
            <w:pPr>
              <w:jc w:val="right"/>
            </w:pPr>
            <w:r/>
            <w:r>
              <w:rPr>
                <w:color w:val="1A1D21"/>
                <w:sz w:val="17"/>
              </w:rPr>
              <w:t>330,829</w:t>
            </w:r>
          </w:p>
        </w:tc>
      </w:tr>
      <w:tr>
        <w:trPr>
          <w:cantSplit/>
        </w:trPr>
        <w:tc>
          <w:tcPr>
            <w:tcW w:type="dxa" w:w="3515"/>
          </w:tcPr>
          <w:p>
            <w:r/>
            <w:r>
              <w:rPr>
                <w:color w:val="1A1D21"/>
                <w:sz w:val="17"/>
              </w:rPr>
              <w:t>Suppliers</w:t>
            </w:r>
          </w:p>
        </w:tc>
        <w:tc>
          <w:tcPr>
            <w:tcW w:type="dxa" w:w="1247"/>
          </w:tcPr>
          <w:p>
            <w:pPr>
              <w:jc w:val="right"/>
            </w:pPr>
            <w:r/>
            <w:r>
              <w:rPr>
                <w:color w:val="1A1D21"/>
                <w:sz w:val="17"/>
              </w:rPr>
              <w:t>4,226</w:t>
            </w:r>
          </w:p>
        </w:tc>
        <w:tc>
          <w:tcPr>
            <w:tcW w:type="dxa" w:w="1247"/>
          </w:tcPr>
          <w:p>
            <w:pPr>
              <w:jc w:val="right"/>
            </w:pPr>
            <w:r/>
            <w:r>
              <w:rPr>
                <w:color w:val="1A1D21"/>
                <w:sz w:val="17"/>
              </w:rPr>
              <w:t>6,084</w:t>
            </w:r>
          </w:p>
        </w:tc>
        <w:tc>
          <w:tcPr>
            <w:tcW w:type="dxa" w:w="1247"/>
          </w:tcPr>
          <w:p>
            <w:pPr>
              <w:jc w:val="right"/>
            </w:pPr>
            <w:r/>
            <w:r>
              <w:rPr>
                <w:color w:val="1A1D21"/>
                <w:sz w:val="17"/>
              </w:rPr>
              <w:t>8,760</w:t>
            </w:r>
          </w:p>
        </w:tc>
        <w:tc>
          <w:tcPr>
            <w:tcW w:type="dxa" w:w="1247"/>
          </w:tcPr>
          <w:p>
            <w:pPr>
              <w:jc w:val="right"/>
            </w:pPr>
            <w:r/>
            <w:r>
              <w:rPr>
                <w:color w:val="1A1D21"/>
                <w:sz w:val="17"/>
              </w:rPr>
              <w:t>12,613</w:t>
            </w:r>
          </w:p>
        </w:tc>
        <w:tc>
          <w:tcPr>
            <w:tcW w:type="dxa" w:w="1247"/>
          </w:tcPr>
          <w:p>
            <w:pPr>
              <w:jc w:val="right"/>
            </w:pPr>
            <w:r/>
            <w:r>
              <w:rPr>
                <w:color w:val="1A1D21"/>
                <w:sz w:val="17"/>
              </w:rPr>
              <w:t>18,160</w:t>
            </w:r>
          </w:p>
        </w:tc>
      </w:tr>
      <w:tr>
        <w:trPr>
          <w:cantSplit/>
        </w:trPr>
        <w:tc>
          <w:tcPr>
            <w:tcW w:type="dxa" w:w="3515"/>
          </w:tcPr>
          <w:p>
            <w:r/>
            <w:r>
              <w:rPr>
                <w:color w:val="1A1D21"/>
                <w:sz w:val="17"/>
              </w:rPr>
              <w:t>Other creditors</w:t>
            </w:r>
          </w:p>
        </w:tc>
        <w:tc>
          <w:tcPr>
            <w:tcW w:type="dxa" w:w="1247"/>
          </w:tcPr>
          <w:p>
            <w:pPr>
              <w:jc w:val="right"/>
            </w:pPr>
            <w:r/>
            <w:r>
              <w:rPr>
                <w:color w:val="1A1D21"/>
                <w:sz w:val="17"/>
              </w:rPr>
              <w:t>5,685</w:t>
            </w:r>
          </w:p>
        </w:tc>
        <w:tc>
          <w:tcPr>
            <w:tcW w:type="dxa" w:w="1247"/>
          </w:tcPr>
          <w:p>
            <w:pPr>
              <w:jc w:val="right"/>
            </w:pPr>
            <w:r/>
            <w:r>
              <w:rPr>
                <w:color w:val="1A1D21"/>
                <w:sz w:val="17"/>
              </w:rPr>
              <w:t>8,185</w:t>
            </w:r>
          </w:p>
        </w:tc>
        <w:tc>
          <w:tcPr>
            <w:tcW w:type="dxa" w:w="1247"/>
          </w:tcPr>
          <w:p>
            <w:pPr>
              <w:jc w:val="right"/>
            </w:pPr>
            <w:r/>
            <w:r>
              <w:rPr>
                <w:color w:val="1A1D21"/>
                <w:sz w:val="17"/>
              </w:rPr>
              <w:t>11,785</w:t>
            </w:r>
          </w:p>
        </w:tc>
        <w:tc>
          <w:tcPr>
            <w:tcW w:type="dxa" w:w="1247"/>
          </w:tcPr>
          <w:p>
            <w:pPr>
              <w:jc w:val="right"/>
            </w:pPr>
            <w:r/>
            <w:r>
              <w:rPr>
                <w:color w:val="1A1D21"/>
                <w:sz w:val="17"/>
              </w:rPr>
              <w:t>16,969</w:t>
            </w:r>
          </w:p>
        </w:tc>
        <w:tc>
          <w:tcPr>
            <w:tcW w:type="dxa" w:w="1247"/>
          </w:tcPr>
          <w:p>
            <w:pPr>
              <w:jc w:val="right"/>
            </w:pPr>
            <w:r/>
            <w:r>
              <w:rPr>
                <w:color w:val="1A1D21"/>
                <w:sz w:val="17"/>
              </w:rPr>
              <w:t>24,431</w:t>
            </w:r>
          </w:p>
        </w:tc>
      </w:tr>
      <w:tr>
        <w:trPr>
          <w:cantSplit/>
        </w:trPr>
        <w:tc>
          <w:tcPr>
            <w:tcW w:type="dxa" w:w="3515"/>
          </w:tcPr>
          <w:p>
            <w:r/>
            <w:r>
              <w:rPr>
                <w:color w:val="1A1D21"/>
                <w:sz w:val="17"/>
              </w:rPr>
              <w:t>Cheques under collection</w:t>
            </w:r>
          </w:p>
        </w:tc>
        <w:tc>
          <w:tcPr>
            <w:tcW w:type="dxa" w:w="1247"/>
          </w:tcPr>
          <w:p>
            <w:pPr>
              <w:jc w:val="right"/>
            </w:pPr>
            <w:r/>
            <w:r>
              <w:rPr>
                <w:color w:val="1A1D21"/>
                <w:sz w:val="17"/>
              </w:rPr>
              <w:t>2,724</w:t>
            </w:r>
          </w:p>
        </w:tc>
        <w:tc>
          <w:tcPr>
            <w:tcW w:type="dxa" w:w="1247"/>
          </w:tcPr>
          <w:p>
            <w:pPr>
              <w:jc w:val="right"/>
            </w:pPr>
            <w:r/>
            <w:r>
              <w:rPr>
                <w:color w:val="1A1D21"/>
                <w:sz w:val="17"/>
              </w:rPr>
              <w:t>3,921</w:t>
            </w:r>
          </w:p>
        </w:tc>
        <w:tc>
          <w:tcPr>
            <w:tcW w:type="dxa" w:w="1247"/>
          </w:tcPr>
          <w:p>
            <w:pPr>
              <w:jc w:val="right"/>
            </w:pPr>
            <w:r/>
            <w:r>
              <w:rPr>
                <w:color w:val="1A1D21"/>
                <w:sz w:val="17"/>
              </w:rPr>
              <w:t>5,646</w:t>
            </w:r>
          </w:p>
        </w:tc>
        <w:tc>
          <w:tcPr>
            <w:tcW w:type="dxa" w:w="1247"/>
          </w:tcPr>
          <w:p>
            <w:pPr>
              <w:jc w:val="right"/>
            </w:pPr>
            <w:r/>
            <w:r>
              <w:rPr>
                <w:color w:val="1A1D21"/>
                <w:sz w:val="17"/>
              </w:rPr>
              <w:t>8,129</w:t>
            </w:r>
          </w:p>
        </w:tc>
        <w:tc>
          <w:tcPr>
            <w:tcW w:type="dxa" w:w="1247"/>
          </w:tcPr>
          <w:p>
            <w:pPr>
              <w:jc w:val="right"/>
            </w:pPr>
            <w:r/>
            <w:r>
              <w:rPr>
                <w:color w:val="1A1D21"/>
                <w:sz w:val="17"/>
              </w:rPr>
              <w:t>11,705</w:t>
            </w:r>
          </w:p>
        </w:tc>
      </w:tr>
      <w:tr>
        <w:trPr>
          <w:cantSplit/>
        </w:trPr>
        <w:tc>
          <w:tcPr>
            <w:tcW w:type="dxa" w:w="3515"/>
          </w:tcPr>
          <w:p>
            <w:r/>
            <w:r>
              <w:rPr>
                <w:color w:val="1A1D21"/>
                <w:sz w:val="17"/>
              </w:rPr>
              <w:t>Borrowings</w:t>
            </w:r>
          </w:p>
        </w:tc>
        <w:tc>
          <w:tcPr>
            <w:tcW w:type="dxa" w:w="1247"/>
          </w:tcPr>
          <w:p>
            <w:pPr>
              <w:jc w:val="right"/>
            </w:pPr>
            <w:r/>
            <w:r>
              <w:rPr>
                <w:color w:val="1A1D21"/>
                <w:sz w:val="17"/>
              </w:rPr>
              <w:t>33,553</w:t>
            </w:r>
          </w:p>
        </w:tc>
        <w:tc>
          <w:tcPr>
            <w:tcW w:type="dxa" w:w="1247"/>
          </w:tcPr>
          <w:p>
            <w:pPr>
              <w:jc w:val="right"/>
            </w:pPr>
            <w:r/>
            <w:r>
              <w:rPr>
                <w:color w:val="1A1D21"/>
                <w:sz w:val="17"/>
              </w:rPr>
              <w:t>53,990</w:t>
            </w:r>
          </w:p>
        </w:tc>
        <w:tc>
          <w:tcPr>
            <w:tcW w:type="dxa" w:w="1247"/>
          </w:tcPr>
          <w:p>
            <w:pPr>
              <w:jc w:val="right"/>
            </w:pPr>
            <w:r/>
            <w:r>
              <w:rPr>
                <w:color w:val="1A1D21"/>
                <w:sz w:val="17"/>
              </w:rPr>
              <w:t>87,673</w:t>
            </w:r>
          </w:p>
        </w:tc>
        <w:tc>
          <w:tcPr>
            <w:tcW w:type="dxa" w:w="1247"/>
          </w:tcPr>
          <w:p>
            <w:pPr>
              <w:jc w:val="right"/>
            </w:pPr>
            <w:r/>
            <w:r>
              <w:rPr>
                <w:color w:val="1A1D21"/>
                <w:sz w:val="17"/>
              </w:rPr>
              <w:t>135,028</w:t>
            </w:r>
          </w:p>
        </w:tc>
        <w:tc>
          <w:tcPr>
            <w:tcW w:type="dxa" w:w="1247"/>
          </w:tcPr>
          <w:p>
            <w:pPr>
              <w:jc w:val="right"/>
            </w:pPr>
            <w:r/>
            <w:r>
              <w:rPr>
                <w:color w:val="1A1D21"/>
                <w:sz w:val="17"/>
              </w:rPr>
              <w:t>202,069</w:t>
            </w:r>
          </w:p>
        </w:tc>
      </w:tr>
      <w:tr>
        <w:trPr>
          <w:cantSplit/>
        </w:trPr>
        <w:tc>
          <w:tcPr>
            <w:tcW w:type="dxa" w:w="3515"/>
          </w:tcPr>
          <w:p>
            <w:r/>
            <w:r>
              <w:rPr>
                <w:color w:val="1A1D21"/>
                <w:sz w:val="17"/>
              </w:rPr>
              <w:t>Other liabilities, held at the 2025 level</w:t>
            </w:r>
          </w:p>
        </w:tc>
        <w:tc>
          <w:tcPr>
            <w:tcW w:type="dxa" w:w="1247"/>
          </w:tcPr>
          <w:p>
            <w:pPr>
              <w:jc w:val="right"/>
            </w:pPr>
            <w:r/>
            <w:r>
              <w:rPr>
                <w:color w:val="1A1D21"/>
                <w:sz w:val="17"/>
              </w:rPr>
              <w:t>39,075</w:t>
            </w:r>
          </w:p>
        </w:tc>
        <w:tc>
          <w:tcPr>
            <w:tcW w:type="dxa" w:w="1247"/>
          </w:tcPr>
          <w:p>
            <w:pPr>
              <w:jc w:val="right"/>
            </w:pPr>
            <w:r/>
            <w:r>
              <w:rPr>
                <w:color w:val="1A1D21"/>
                <w:sz w:val="17"/>
              </w:rPr>
              <w:t>39,075</w:t>
            </w:r>
          </w:p>
        </w:tc>
        <w:tc>
          <w:tcPr>
            <w:tcW w:type="dxa" w:w="1247"/>
          </w:tcPr>
          <w:p>
            <w:pPr>
              <w:jc w:val="right"/>
            </w:pPr>
            <w:r/>
            <w:r>
              <w:rPr>
                <w:color w:val="1A1D21"/>
                <w:sz w:val="17"/>
              </w:rPr>
              <w:t>39,075</w:t>
            </w:r>
          </w:p>
        </w:tc>
        <w:tc>
          <w:tcPr>
            <w:tcW w:type="dxa" w:w="1247"/>
          </w:tcPr>
          <w:p>
            <w:pPr>
              <w:jc w:val="right"/>
            </w:pPr>
            <w:r/>
            <w:r>
              <w:rPr>
                <w:color w:val="1A1D21"/>
                <w:sz w:val="17"/>
              </w:rPr>
              <w:t>39,075</w:t>
            </w:r>
          </w:p>
        </w:tc>
        <w:tc>
          <w:tcPr>
            <w:tcW w:type="dxa" w:w="1247"/>
          </w:tcPr>
          <w:p>
            <w:pPr>
              <w:jc w:val="right"/>
            </w:pPr>
            <w:r/>
            <w:r>
              <w:rPr>
                <w:color w:val="1A1D21"/>
                <w:sz w:val="17"/>
              </w:rPr>
              <w:t>39,075</w:t>
            </w:r>
          </w:p>
        </w:tc>
      </w:tr>
      <w:tr>
        <w:trPr>
          <w:cantSplit/>
        </w:trPr>
        <w:tc>
          <w:tcPr>
            <w:tcW w:type="dxa" w:w="3515"/>
          </w:tcPr>
          <w:p>
            <w:r/>
            <w:r>
              <w:rPr>
                <w:color w:val="1A1D21"/>
                <w:sz w:val="17"/>
              </w:rPr>
              <w:t>Total liabilities</w:t>
            </w:r>
          </w:p>
        </w:tc>
        <w:tc>
          <w:tcPr>
            <w:tcW w:type="dxa" w:w="1247"/>
          </w:tcPr>
          <w:p>
            <w:pPr>
              <w:jc w:val="right"/>
            </w:pPr>
            <w:r/>
            <w:r>
              <w:rPr>
                <w:color w:val="1A1D21"/>
                <w:sz w:val="17"/>
              </w:rPr>
              <w:t>162,245</w:t>
            </w:r>
          </w:p>
        </w:tc>
        <w:tc>
          <w:tcPr>
            <w:tcW w:type="dxa" w:w="1247"/>
          </w:tcPr>
          <w:p>
            <w:pPr>
              <w:jc w:val="right"/>
            </w:pPr>
            <w:r/>
            <w:r>
              <w:rPr>
                <w:color w:val="1A1D21"/>
                <w:sz w:val="17"/>
              </w:rPr>
              <w:t>222,096</w:t>
            </w:r>
          </w:p>
        </w:tc>
        <w:tc>
          <w:tcPr>
            <w:tcW w:type="dxa" w:w="1247"/>
          </w:tcPr>
          <w:p>
            <w:pPr>
              <w:jc w:val="right"/>
            </w:pPr>
            <w:r/>
            <w:r>
              <w:rPr>
                <w:color w:val="1A1D21"/>
                <w:sz w:val="17"/>
              </w:rPr>
              <w:t>312,527</w:t>
            </w:r>
          </w:p>
        </w:tc>
        <w:tc>
          <w:tcPr>
            <w:tcW w:type="dxa" w:w="1247"/>
          </w:tcPr>
          <w:p>
            <w:pPr>
              <w:jc w:val="right"/>
            </w:pPr>
            <w:r/>
            <w:r>
              <w:rPr>
                <w:color w:val="1A1D21"/>
                <w:sz w:val="17"/>
              </w:rPr>
              <w:t>441,588</w:t>
            </w:r>
          </w:p>
        </w:tc>
        <w:tc>
          <w:tcPr>
            <w:tcW w:type="dxa" w:w="1247"/>
          </w:tcPr>
          <w:p>
            <w:pPr>
              <w:jc w:val="right"/>
            </w:pPr>
            <w:r/>
            <w:r>
              <w:rPr>
                <w:color w:val="1A1D21"/>
                <w:sz w:val="17"/>
              </w:rPr>
              <w:t>626,269</w:t>
            </w:r>
          </w:p>
        </w:tc>
      </w:tr>
      <w:tr>
        <w:trPr>
          <w:cantSplit/>
        </w:trPr>
        <w:tc>
          <w:tcPr>
            <w:tcW w:type="dxa" w:w="3515"/>
          </w:tcPr>
          <w:p>
            <w:r/>
            <w:r>
              <w:rPr>
                <w:color w:val="1A1D21"/>
                <w:sz w:val="17"/>
              </w:rPr>
              <w:t>Shareholders' funds</w:t>
            </w:r>
          </w:p>
        </w:tc>
        <w:tc>
          <w:tcPr>
            <w:tcW w:type="dxa" w:w="1247"/>
          </w:tcPr>
          <w:p>
            <w:pPr>
              <w:jc w:val="right"/>
            </w:pPr>
            <w:r/>
            <w:r>
              <w:rPr>
                <w:color w:val="1A1D21"/>
                <w:sz w:val="17"/>
              </w:rPr>
              <w:t>22,315</w:t>
            </w:r>
          </w:p>
        </w:tc>
        <w:tc>
          <w:tcPr>
            <w:tcW w:type="dxa" w:w="1247"/>
          </w:tcPr>
          <w:p>
            <w:pPr>
              <w:jc w:val="right"/>
            </w:pPr>
            <w:r/>
            <w:r>
              <w:rPr>
                <w:color w:val="1A1D21"/>
                <w:sz w:val="17"/>
              </w:rPr>
              <w:t>28,566</w:t>
            </w:r>
          </w:p>
        </w:tc>
        <w:tc>
          <w:tcPr>
            <w:tcW w:type="dxa" w:w="1247"/>
          </w:tcPr>
          <w:p>
            <w:pPr>
              <w:jc w:val="right"/>
            </w:pPr>
            <w:r/>
            <w:r>
              <w:rPr>
                <w:color w:val="1A1D21"/>
                <w:sz w:val="17"/>
              </w:rPr>
              <w:t>38,708</w:t>
            </w:r>
          </w:p>
        </w:tc>
        <w:tc>
          <w:tcPr>
            <w:tcW w:type="dxa" w:w="1247"/>
          </w:tcPr>
          <w:p>
            <w:pPr>
              <w:jc w:val="right"/>
            </w:pPr>
            <w:r/>
            <w:r>
              <w:rPr>
                <w:color w:val="1A1D21"/>
                <w:sz w:val="17"/>
              </w:rPr>
              <w:t>54,451</w:t>
            </w:r>
          </w:p>
        </w:tc>
        <w:tc>
          <w:tcPr>
            <w:tcW w:type="dxa" w:w="1247"/>
          </w:tcPr>
          <w:p>
            <w:pPr>
              <w:jc w:val="right"/>
            </w:pPr>
            <w:r/>
            <w:r>
              <w:rPr>
                <w:color w:val="1A1D21"/>
                <w:sz w:val="17"/>
              </w:rPr>
              <w:t>78,258</w:t>
            </w:r>
          </w:p>
        </w:tc>
      </w:tr>
      <w:tr>
        <w:trPr>
          <w:cantSplit/>
        </w:trPr>
        <w:tc>
          <w:tcPr>
            <w:tcW w:type="dxa" w:w="3515"/>
          </w:tcPr>
          <w:p>
            <w:r/>
            <w:r>
              <w:rPr>
                <w:color w:val="1A1D21"/>
                <w:sz w:val="17"/>
              </w:rPr>
              <w:t>Total liabilities and equity</w:t>
            </w:r>
          </w:p>
        </w:tc>
        <w:tc>
          <w:tcPr>
            <w:tcW w:type="dxa" w:w="1247"/>
          </w:tcPr>
          <w:p>
            <w:pPr>
              <w:jc w:val="right"/>
            </w:pPr>
            <w:r/>
            <w:r>
              <w:rPr>
                <w:color w:val="1A1D21"/>
                <w:sz w:val="17"/>
              </w:rPr>
              <w:t>184,560</w:t>
            </w:r>
          </w:p>
        </w:tc>
        <w:tc>
          <w:tcPr>
            <w:tcW w:type="dxa" w:w="1247"/>
          </w:tcPr>
          <w:p>
            <w:pPr>
              <w:jc w:val="right"/>
            </w:pPr>
            <w:r/>
            <w:r>
              <w:rPr>
                <w:color w:val="1A1D21"/>
                <w:sz w:val="17"/>
              </w:rPr>
              <w:t>250,662</w:t>
            </w:r>
          </w:p>
        </w:tc>
        <w:tc>
          <w:tcPr>
            <w:tcW w:type="dxa" w:w="1247"/>
          </w:tcPr>
          <w:p>
            <w:pPr>
              <w:jc w:val="right"/>
            </w:pPr>
            <w:r/>
            <w:r>
              <w:rPr>
                <w:color w:val="1A1D21"/>
                <w:sz w:val="17"/>
              </w:rPr>
              <w:t>351,234</w:t>
            </w:r>
          </w:p>
        </w:tc>
        <w:tc>
          <w:tcPr>
            <w:tcW w:type="dxa" w:w="1247"/>
          </w:tcPr>
          <w:p>
            <w:pPr>
              <w:jc w:val="right"/>
            </w:pPr>
            <w:r/>
            <w:r>
              <w:rPr>
                <w:color w:val="1A1D21"/>
                <w:sz w:val="17"/>
              </w:rPr>
              <w:t>496,038</w:t>
            </w:r>
          </w:p>
        </w:tc>
        <w:tc>
          <w:tcPr>
            <w:tcW w:type="dxa" w:w="1247"/>
          </w:tcPr>
          <w:p>
            <w:pPr>
              <w:jc w:val="right"/>
            </w:pPr>
            <w:r/>
            <w:r>
              <w:rPr>
                <w:color w:val="1A1D21"/>
                <w:sz w:val="17"/>
              </w:rPr>
              <w:t>704,527</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3515"/>
        <w:gridCol w:w="1247"/>
        <w:gridCol w:w="1247"/>
        <w:gridCol w:w="1247"/>
        <w:gridCol w:w="1247"/>
        <w:gridCol w:w="1247"/>
      </w:tblGrid>
      <w:tr>
        <w:trPr>
          <w:tblHeader w:val="true"/>
        </w:trPr>
        <w:tc>
          <w:tcPr>
            <w:tcW w:type="dxa" w:w="3515"/>
          </w:tcPr>
          <w:p>
            <w:r/>
            <w:r>
              <w:rPr>
                <w:b/>
                <w:color w:val="5B6570"/>
                <w:sz w:val="17"/>
              </w:rPr>
              <w:t>Forecast cash flow, EGP million</w:t>
            </w:r>
          </w:p>
        </w:tc>
        <w:tc>
          <w:tcPr>
            <w:tcW w:type="dxa" w:w="1247"/>
          </w:tcPr>
          <w:p>
            <w:r/>
            <w:r>
              <w:rPr>
                <w:b/>
                <w:color w:val="5B6570"/>
                <w:sz w:val="17"/>
              </w:rPr>
              <w:t>2026</w:t>
            </w:r>
          </w:p>
        </w:tc>
        <w:tc>
          <w:tcPr>
            <w:tcW w:type="dxa" w:w="1247"/>
          </w:tcPr>
          <w:p>
            <w:r/>
            <w:r>
              <w:rPr>
                <w:b/>
                <w:color w:val="5B6570"/>
                <w:sz w:val="17"/>
              </w:rPr>
              <w:t>2027</w:t>
            </w:r>
          </w:p>
        </w:tc>
        <w:tc>
          <w:tcPr>
            <w:tcW w:type="dxa" w:w="1247"/>
          </w:tcPr>
          <w:p>
            <w:r/>
            <w:r>
              <w:rPr>
                <w:b/>
                <w:color w:val="5B6570"/>
                <w:sz w:val="17"/>
              </w:rPr>
              <w:t>2028</w:t>
            </w:r>
          </w:p>
        </w:tc>
        <w:tc>
          <w:tcPr>
            <w:tcW w:type="dxa" w:w="1247"/>
          </w:tcPr>
          <w:p>
            <w:r/>
            <w:r>
              <w:rPr>
                <w:b/>
                <w:color w:val="5B6570"/>
                <w:sz w:val="17"/>
              </w:rPr>
              <w:t>2029</w:t>
            </w:r>
          </w:p>
        </w:tc>
        <w:tc>
          <w:tcPr>
            <w:tcW w:type="dxa" w:w="1247"/>
          </w:tcPr>
          <w:p>
            <w:r/>
            <w:r>
              <w:rPr>
                <w:b/>
                <w:color w:val="5B6570"/>
                <w:sz w:val="17"/>
              </w:rPr>
              <w:t>2030</w:t>
            </w:r>
          </w:p>
        </w:tc>
      </w:tr>
      <w:tr>
        <w:trPr>
          <w:cantSplit/>
        </w:trPr>
        <w:tc>
          <w:tcPr>
            <w:tcW w:type="dxa" w:w="3515"/>
          </w:tcPr>
          <w:p>
            <w:r/>
            <w:r>
              <w:rPr>
                <w:color w:val="1A1D21"/>
                <w:sz w:val="17"/>
              </w:rPr>
              <w:t>Net profit</w:t>
            </w:r>
          </w:p>
        </w:tc>
        <w:tc>
          <w:tcPr>
            <w:tcW w:type="dxa" w:w="1247"/>
          </w:tcPr>
          <w:p>
            <w:pPr>
              <w:jc w:val="right"/>
            </w:pPr>
            <w:r/>
            <w:r>
              <w:rPr>
                <w:color w:val="1A1D21"/>
                <w:sz w:val="17"/>
              </w:rPr>
              <w:t>3,549</w:t>
            </w:r>
          </w:p>
        </w:tc>
        <w:tc>
          <w:tcPr>
            <w:tcW w:type="dxa" w:w="1247"/>
          </w:tcPr>
          <w:p>
            <w:pPr>
              <w:jc w:val="right"/>
            </w:pPr>
            <w:r/>
            <w:r>
              <w:rPr>
                <w:color w:val="1A1D21"/>
                <w:sz w:val="17"/>
              </w:rPr>
              <w:t>6,251</w:t>
            </w:r>
          </w:p>
        </w:tc>
        <w:tc>
          <w:tcPr>
            <w:tcW w:type="dxa" w:w="1247"/>
          </w:tcPr>
          <w:p>
            <w:pPr>
              <w:jc w:val="right"/>
            </w:pPr>
            <w:r/>
            <w:r>
              <w:rPr>
                <w:color w:val="1A1D21"/>
                <w:sz w:val="17"/>
              </w:rPr>
              <w:t>10,141</w:t>
            </w:r>
          </w:p>
        </w:tc>
        <w:tc>
          <w:tcPr>
            <w:tcW w:type="dxa" w:w="1247"/>
          </w:tcPr>
          <w:p>
            <w:pPr>
              <w:jc w:val="right"/>
            </w:pPr>
            <w:r/>
            <w:r>
              <w:rPr>
                <w:color w:val="1A1D21"/>
                <w:sz w:val="17"/>
              </w:rPr>
              <w:t>15,743</w:t>
            </w:r>
          </w:p>
        </w:tc>
        <w:tc>
          <w:tcPr>
            <w:tcW w:type="dxa" w:w="1247"/>
          </w:tcPr>
          <w:p>
            <w:pPr>
              <w:jc w:val="right"/>
            </w:pPr>
            <w:r/>
            <w:r>
              <w:rPr>
                <w:color w:val="1A1D21"/>
                <w:sz w:val="17"/>
              </w:rPr>
              <w:t>23,807</w:t>
            </w:r>
          </w:p>
        </w:tc>
      </w:tr>
      <w:tr>
        <w:trPr>
          <w:cantSplit/>
        </w:trPr>
        <w:tc>
          <w:tcPr>
            <w:tcW w:type="dxa" w:w="3515"/>
          </w:tcPr>
          <w:p>
            <w:r/>
            <w:r>
              <w:rPr>
                <w:color w:val="1A1D21"/>
                <w:sz w:val="17"/>
              </w:rPr>
              <w:t>Depreciation and amortisation</w:t>
            </w:r>
          </w:p>
        </w:tc>
        <w:tc>
          <w:tcPr>
            <w:tcW w:type="dxa" w:w="1247"/>
          </w:tcPr>
          <w:p>
            <w:pPr>
              <w:jc w:val="right"/>
            </w:pPr>
            <w:r/>
            <w:r>
              <w:rPr>
                <w:color w:val="1A1D21"/>
                <w:sz w:val="17"/>
              </w:rPr>
              <w:t>393</w:t>
            </w:r>
          </w:p>
        </w:tc>
        <w:tc>
          <w:tcPr>
            <w:tcW w:type="dxa" w:w="1247"/>
          </w:tcPr>
          <w:p>
            <w:pPr>
              <w:jc w:val="right"/>
            </w:pPr>
            <w:r/>
            <w:r>
              <w:rPr>
                <w:color w:val="1A1D21"/>
                <w:sz w:val="17"/>
              </w:rPr>
              <w:t>565</w:t>
            </w:r>
          </w:p>
        </w:tc>
        <w:tc>
          <w:tcPr>
            <w:tcW w:type="dxa" w:w="1247"/>
          </w:tcPr>
          <w:p>
            <w:pPr>
              <w:jc w:val="right"/>
            </w:pPr>
            <w:r/>
            <w:r>
              <w:rPr>
                <w:color w:val="1A1D21"/>
                <w:sz w:val="17"/>
              </w:rPr>
              <w:t>814</w:t>
            </w:r>
          </w:p>
        </w:tc>
        <w:tc>
          <w:tcPr>
            <w:tcW w:type="dxa" w:w="1247"/>
          </w:tcPr>
          <w:p>
            <w:pPr>
              <w:jc w:val="right"/>
            </w:pPr>
            <w:r/>
            <w:r>
              <w:rPr>
                <w:color w:val="1A1D21"/>
                <w:sz w:val="17"/>
              </w:rPr>
              <w:t>1,172</w:t>
            </w:r>
          </w:p>
        </w:tc>
        <w:tc>
          <w:tcPr>
            <w:tcW w:type="dxa" w:w="1247"/>
          </w:tcPr>
          <w:p>
            <w:pPr>
              <w:jc w:val="right"/>
            </w:pPr>
            <w:r/>
            <w:r>
              <w:rPr>
                <w:color w:val="1A1D21"/>
                <w:sz w:val="17"/>
              </w:rPr>
              <w:t>1,687</w:t>
            </w:r>
          </w:p>
        </w:tc>
      </w:tr>
      <w:tr>
        <w:trPr>
          <w:cantSplit/>
        </w:trPr>
        <w:tc>
          <w:tcPr>
            <w:tcW w:type="dxa" w:w="3515"/>
          </w:tcPr>
          <w:p>
            <w:r/>
            <w:r>
              <w:rPr>
                <w:color w:val="1A1D21"/>
                <w:sz w:val="17"/>
              </w:rPr>
              <w:t>Change in working capital, cash effect</w:t>
            </w:r>
          </w:p>
        </w:tc>
        <w:tc>
          <w:tcPr>
            <w:tcW w:type="dxa" w:w="1247"/>
          </w:tcPr>
          <w:p>
            <w:pPr>
              <w:jc w:val="right"/>
            </w:pPr>
            <w:r/>
            <w:r>
              <w:rPr>
                <w:color w:val="1A1D21"/>
                <w:sz w:val="17"/>
              </w:rPr>
              <w:t>-6,856</w:t>
            </w:r>
          </w:p>
        </w:tc>
        <w:tc>
          <w:tcPr>
            <w:tcW w:type="dxa" w:w="1247"/>
          </w:tcPr>
          <w:p>
            <w:pPr>
              <w:jc w:val="right"/>
            </w:pPr>
            <w:r/>
            <w:r>
              <w:rPr>
                <w:color w:val="1A1D21"/>
                <w:sz w:val="17"/>
              </w:rPr>
              <w:t>-30,425</w:t>
            </w:r>
          </w:p>
        </w:tc>
        <w:tc>
          <w:tcPr>
            <w:tcW w:type="dxa" w:w="1247"/>
          </w:tcPr>
          <w:p>
            <w:pPr>
              <w:jc w:val="right"/>
            </w:pPr>
            <w:r/>
            <w:r>
              <w:rPr>
                <w:color w:val="1A1D21"/>
                <w:sz w:val="17"/>
              </w:rPr>
              <w:t>-43,806</w:t>
            </w:r>
          </w:p>
        </w:tc>
        <w:tc>
          <w:tcPr>
            <w:tcW w:type="dxa" w:w="1247"/>
          </w:tcPr>
          <w:p>
            <w:pPr>
              <w:jc w:val="right"/>
            </w:pPr>
            <w:r/>
            <w:r>
              <w:rPr>
                <w:color w:val="1A1D21"/>
                <w:sz w:val="17"/>
              </w:rPr>
              <w:t>-63,072</w:t>
            </w:r>
          </w:p>
        </w:tc>
        <w:tc>
          <w:tcPr>
            <w:tcW w:type="dxa" w:w="1247"/>
          </w:tcPr>
          <w:p>
            <w:pPr>
              <w:jc w:val="right"/>
            </w:pPr>
            <w:r/>
            <w:r>
              <w:rPr>
                <w:color w:val="1A1D21"/>
                <w:sz w:val="17"/>
              </w:rPr>
              <w:t>-90,811</w:t>
            </w:r>
          </w:p>
        </w:tc>
      </w:tr>
      <w:tr>
        <w:trPr>
          <w:cantSplit/>
        </w:trPr>
        <w:tc>
          <w:tcPr>
            <w:tcW w:type="dxa" w:w="3515"/>
          </w:tcPr>
          <w:p>
            <w:r/>
            <w:r>
              <w:rPr>
                <w:color w:val="1A1D21"/>
                <w:sz w:val="17"/>
              </w:rPr>
              <w:t>Cash from operations</w:t>
            </w:r>
          </w:p>
        </w:tc>
        <w:tc>
          <w:tcPr>
            <w:tcW w:type="dxa" w:w="1247"/>
          </w:tcPr>
          <w:p>
            <w:pPr>
              <w:jc w:val="right"/>
            </w:pPr>
            <w:r/>
            <w:r>
              <w:rPr>
                <w:color w:val="1A1D21"/>
                <w:sz w:val="17"/>
              </w:rPr>
              <w:t>-2,914</w:t>
            </w:r>
          </w:p>
        </w:tc>
        <w:tc>
          <w:tcPr>
            <w:tcW w:type="dxa" w:w="1247"/>
          </w:tcPr>
          <w:p>
            <w:pPr>
              <w:jc w:val="right"/>
            </w:pPr>
            <w:r/>
            <w:r>
              <w:rPr>
                <w:color w:val="1A1D21"/>
                <w:sz w:val="17"/>
              </w:rPr>
              <w:t>-23,608</w:t>
            </w:r>
          </w:p>
        </w:tc>
        <w:tc>
          <w:tcPr>
            <w:tcW w:type="dxa" w:w="1247"/>
          </w:tcPr>
          <w:p>
            <w:pPr>
              <w:jc w:val="right"/>
            </w:pPr>
            <w:r/>
            <w:r>
              <w:rPr>
                <w:color w:val="1A1D21"/>
                <w:sz w:val="17"/>
              </w:rPr>
              <w:t>-32,850</w:t>
            </w:r>
          </w:p>
        </w:tc>
        <w:tc>
          <w:tcPr>
            <w:tcW w:type="dxa" w:w="1247"/>
          </w:tcPr>
          <w:p>
            <w:pPr>
              <w:jc w:val="right"/>
            </w:pPr>
            <w:r/>
            <w:r>
              <w:rPr>
                <w:color w:val="1A1D21"/>
                <w:sz w:val="17"/>
              </w:rPr>
              <w:t>-46,157</w:t>
            </w:r>
          </w:p>
        </w:tc>
        <w:tc>
          <w:tcPr>
            <w:tcW w:type="dxa" w:w="1247"/>
          </w:tcPr>
          <w:p>
            <w:pPr>
              <w:jc w:val="right"/>
            </w:pPr>
            <w:r/>
            <w:r>
              <w:rPr>
                <w:color w:val="1A1D21"/>
                <w:sz w:val="17"/>
              </w:rPr>
              <w:t>-65,316</w:t>
            </w:r>
          </w:p>
        </w:tc>
      </w:tr>
      <w:tr>
        <w:trPr>
          <w:cantSplit/>
        </w:trPr>
        <w:tc>
          <w:tcPr>
            <w:tcW w:type="dxa" w:w="3515"/>
          </w:tcPr>
          <w:p>
            <w:r/>
            <w:r>
              <w:rPr>
                <w:color w:val="1A1D21"/>
                <w:sz w:val="17"/>
              </w:rPr>
              <w:t xml:space="preserve">  as a share of revenue</w:t>
            </w:r>
          </w:p>
        </w:tc>
        <w:tc>
          <w:tcPr>
            <w:tcW w:type="dxa" w:w="1247"/>
          </w:tcPr>
          <w:p>
            <w:pPr>
              <w:jc w:val="right"/>
            </w:pPr>
            <w:r/>
            <w:r>
              <w:rPr>
                <w:color w:val="1A1D21"/>
                <w:sz w:val="17"/>
              </w:rPr>
              <w:t>-7.3%</w:t>
            </w:r>
          </w:p>
        </w:tc>
        <w:tc>
          <w:tcPr>
            <w:tcW w:type="dxa" w:w="1247"/>
          </w:tcPr>
          <w:p>
            <w:pPr>
              <w:jc w:val="right"/>
            </w:pPr>
            <w:r/>
            <w:r>
              <w:rPr>
                <w:color w:val="1A1D21"/>
                <w:sz w:val="17"/>
              </w:rPr>
              <w:t>-40.8%</w:t>
            </w:r>
          </w:p>
        </w:tc>
        <w:tc>
          <w:tcPr>
            <w:tcW w:type="dxa" w:w="1247"/>
          </w:tcPr>
          <w:p>
            <w:pPr>
              <w:jc w:val="right"/>
            </w:pPr>
            <w:r/>
            <w:r>
              <w:rPr>
                <w:color w:val="1A1D21"/>
                <w:sz w:val="17"/>
              </w:rPr>
              <w:t>-39.5%</w:t>
            </w:r>
          </w:p>
        </w:tc>
        <w:tc>
          <w:tcPr>
            <w:tcW w:type="dxa" w:w="1247"/>
          </w:tcPr>
          <w:p>
            <w:pPr>
              <w:jc w:val="right"/>
            </w:pPr>
            <w:r/>
            <w:r>
              <w:rPr>
                <w:color w:val="1A1D21"/>
                <w:sz w:val="17"/>
              </w:rPr>
              <w:t>-38.5%</w:t>
            </w:r>
          </w:p>
        </w:tc>
        <w:tc>
          <w:tcPr>
            <w:tcW w:type="dxa" w:w="1247"/>
          </w:tcPr>
          <w:p>
            <w:pPr>
              <w:jc w:val="right"/>
            </w:pPr>
            <w:r/>
            <w:r>
              <w:rPr>
                <w:color w:val="1A1D21"/>
                <w:sz w:val="17"/>
              </w:rPr>
              <w:t>-37.9%</w:t>
            </w:r>
          </w:p>
        </w:tc>
      </w:tr>
      <w:tr>
        <w:trPr>
          <w:cantSplit/>
        </w:trPr>
        <w:tc>
          <w:tcPr>
            <w:tcW w:type="dxa" w:w="3515"/>
          </w:tcPr>
          <w:p>
            <w:r/>
            <w:r>
              <w:rPr>
                <w:color w:val="1A1D21"/>
                <w:sz w:val="17"/>
              </w:rPr>
              <w:t>Capital expenditure</w:t>
            </w:r>
          </w:p>
        </w:tc>
        <w:tc>
          <w:tcPr>
            <w:tcW w:type="dxa" w:w="1247"/>
          </w:tcPr>
          <w:p>
            <w:pPr>
              <w:jc w:val="right"/>
            </w:pPr>
            <w:r/>
            <w:r>
              <w:rPr>
                <w:color w:val="1A1D21"/>
                <w:sz w:val="17"/>
              </w:rPr>
              <w:t>-401</w:t>
            </w:r>
          </w:p>
        </w:tc>
        <w:tc>
          <w:tcPr>
            <w:tcW w:type="dxa" w:w="1247"/>
          </w:tcPr>
          <w:p>
            <w:pPr>
              <w:jc w:val="right"/>
            </w:pPr>
            <w:r/>
            <w:r>
              <w:rPr>
                <w:color w:val="1A1D21"/>
                <w:sz w:val="17"/>
              </w:rPr>
              <w:t>-578</w:t>
            </w:r>
          </w:p>
        </w:tc>
        <w:tc>
          <w:tcPr>
            <w:tcW w:type="dxa" w:w="1247"/>
          </w:tcPr>
          <w:p>
            <w:pPr>
              <w:jc w:val="right"/>
            </w:pPr>
            <w:r/>
            <w:r>
              <w:rPr>
                <w:color w:val="1A1D21"/>
                <w:sz w:val="17"/>
              </w:rPr>
              <w:t>-832</w:t>
            </w:r>
          </w:p>
        </w:tc>
        <w:tc>
          <w:tcPr>
            <w:tcW w:type="dxa" w:w="1247"/>
          </w:tcPr>
          <w:p>
            <w:pPr>
              <w:jc w:val="right"/>
            </w:pPr>
            <w:r/>
            <w:r>
              <w:rPr>
                <w:color w:val="1A1D21"/>
                <w:sz w:val="17"/>
              </w:rPr>
              <w:t>-1,198</w:t>
            </w:r>
          </w:p>
        </w:tc>
        <w:tc>
          <w:tcPr>
            <w:tcW w:type="dxa" w:w="1247"/>
          </w:tcPr>
          <w:p>
            <w:pPr>
              <w:jc w:val="right"/>
            </w:pPr>
            <w:r/>
            <w:r>
              <w:rPr>
                <w:color w:val="1A1D21"/>
                <w:sz w:val="17"/>
              </w:rPr>
              <w:t>-1,725</w:t>
            </w:r>
          </w:p>
        </w:tc>
      </w:tr>
      <w:tr>
        <w:trPr>
          <w:cantSplit/>
        </w:trPr>
        <w:tc>
          <w:tcPr>
            <w:tcW w:type="dxa" w:w="3515"/>
          </w:tcPr>
          <w:p>
            <w:r/>
            <w:r>
              <w:rPr>
                <w:color w:val="1A1D21"/>
                <w:sz w:val="17"/>
              </w:rPr>
              <w:t>New borrowing drawn</w:t>
            </w:r>
          </w:p>
        </w:tc>
        <w:tc>
          <w:tcPr>
            <w:tcW w:type="dxa" w:w="1247"/>
          </w:tcPr>
          <w:p>
            <w:pPr>
              <w:jc w:val="right"/>
            </w:pPr>
            <w:r/>
            <w:r>
              <w:rPr>
                <w:color w:val="1A1D21"/>
                <w:sz w:val="17"/>
              </w:rPr>
              <w:t>0</w:t>
            </w:r>
          </w:p>
        </w:tc>
        <w:tc>
          <w:tcPr>
            <w:tcW w:type="dxa" w:w="1247"/>
          </w:tcPr>
          <w:p>
            <w:pPr>
              <w:jc w:val="right"/>
            </w:pPr>
            <w:r/>
            <w:r>
              <w:rPr>
                <w:color w:val="1A1D21"/>
                <w:sz w:val="17"/>
              </w:rPr>
              <w:t>20,437</w:t>
            </w:r>
          </w:p>
        </w:tc>
        <w:tc>
          <w:tcPr>
            <w:tcW w:type="dxa" w:w="1247"/>
          </w:tcPr>
          <w:p>
            <w:pPr>
              <w:jc w:val="right"/>
            </w:pPr>
            <w:r/>
            <w:r>
              <w:rPr>
                <w:color w:val="1A1D21"/>
                <w:sz w:val="17"/>
              </w:rPr>
              <w:t>33,683</w:t>
            </w:r>
          </w:p>
        </w:tc>
        <w:tc>
          <w:tcPr>
            <w:tcW w:type="dxa" w:w="1247"/>
          </w:tcPr>
          <w:p>
            <w:pPr>
              <w:jc w:val="right"/>
            </w:pPr>
            <w:r/>
            <w:r>
              <w:rPr>
                <w:color w:val="1A1D21"/>
                <w:sz w:val="17"/>
              </w:rPr>
              <w:t>47,355</w:t>
            </w:r>
          </w:p>
        </w:tc>
        <w:tc>
          <w:tcPr>
            <w:tcW w:type="dxa" w:w="1247"/>
          </w:tcPr>
          <w:p>
            <w:pPr>
              <w:jc w:val="right"/>
            </w:pPr>
            <w:r/>
            <w:r>
              <w:rPr>
                <w:color w:val="1A1D21"/>
                <w:sz w:val="17"/>
              </w:rPr>
              <w:t>67,041</w:t>
            </w:r>
          </w:p>
        </w:tc>
      </w:tr>
      <w:tr>
        <w:trPr>
          <w:cantSplit/>
        </w:trPr>
        <w:tc>
          <w:tcPr>
            <w:tcW w:type="dxa" w:w="3515"/>
          </w:tcPr>
          <w:p>
            <w:r/>
            <w:r>
              <w:rPr>
                <w:color w:val="1A1D21"/>
                <w:sz w:val="17"/>
              </w:rPr>
              <w:t>Closing cash</w:t>
            </w:r>
          </w:p>
        </w:tc>
        <w:tc>
          <w:tcPr>
            <w:tcW w:type="dxa" w:w="1247"/>
          </w:tcPr>
          <w:p>
            <w:pPr>
              <w:jc w:val="right"/>
            </w:pPr>
            <w:r/>
            <w:r>
              <w:rPr>
                <w:color w:val="1A1D21"/>
                <w:sz w:val="17"/>
              </w:rPr>
              <w:t>6,104</w:t>
            </w:r>
          </w:p>
        </w:tc>
        <w:tc>
          <w:tcPr>
            <w:tcW w:type="dxa" w:w="1247"/>
          </w:tcPr>
          <w:p>
            <w:pPr>
              <w:jc w:val="right"/>
            </w:pPr>
            <w:r/>
            <w:r>
              <w:rPr>
                <w:color w:val="1A1D21"/>
                <w:sz w:val="17"/>
              </w:rPr>
              <w:t>2,355</w:t>
            </w:r>
          </w:p>
        </w:tc>
        <w:tc>
          <w:tcPr>
            <w:tcW w:type="dxa" w:w="1247"/>
          </w:tcPr>
          <w:p>
            <w:pPr>
              <w:jc w:val="right"/>
            </w:pPr>
            <w:r/>
            <w:r>
              <w:rPr>
                <w:color w:val="1A1D21"/>
                <w:sz w:val="17"/>
              </w:rPr>
              <w:t>2,355</w:t>
            </w:r>
          </w:p>
        </w:tc>
        <w:tc>
          <w:tcPr>
            <w:tcW w:type="dxa" w:w="1247"/>
          </w:tcPr>
          <w:p>
            <w:pPr>
              <w:jc w:val="right"/>
            </w:pPr>
            <w:r/>
            <w:r>
              <w:rPr>
                <w:color w:val="1A1D21"/>
                <w:sz w:val="17"/>
              </w:rPr>
              <w:t>2,355</w:t>
            </w:r>
          </w:p>
        </w:tc>
        <w:tc>
          <w:tcPr>
            <w:tcW w:type="dxa" w:w="1247"/>
          </w:tcPr>
          <w:p>
            <w:pPr>
              <w:jc w:val="right"/>
            </w:pPr>
            <w:r/>
            <w:r>
              <w:rPr>
                <w:color w:val="1A1D21"/>
                <w:sz w:val="17"/>
              </w:rPr>
              <w:t>2,355</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3515"/>
        <w:gridCol w:w="1247"/>
        <w:gridCol w:w="1247"/>
        <w:gridCol w:w="1247"/>
        <w:gridCol w:w="1247"/>
        <w:gridCol w:w="1247"/>
      </w:tblGrid>
      <w:tr>
        <w:trPr>
          <w:tblHeader w:val="true"/>
        </w:trPr>
        <w:tc>
          <w:tcPr>
            <w:tcW w:type="dxa" w:w="3515"/>
          </w:tcPr>
          <w:p>
            <w:r/>
            <w:r>
              <w:rPr>
                <w:b/>
                <w:color w:val="5B6570"/>
                <w:sz w:val="17"/>
              </w:rPr>
              <w:t>The cycle this implies</w:t>
            </w:r>
          </w:p>
        </w:tc>
        <w:tc>
          <w:tcPr>
            <w:tcW w:type="dxa" w:w="1247"/>
          </w:tcPr>
          <w:p>
            <w:r/>
            <w:r>
              <w:rPr>
                <w:b/>
                <w:color w:val="5B6570"/>
                <w:sz w:val="17"/>
              </w:rPr>
              <w:t>2026</w:t>
            </w:r>
          </w:p>
        </w:tc>
        <w:tc>
          <w:tcPr>
            <w:tcW w:type="dxa" w:w="1247"/>
          </w:tcPr>
          <w:p>
            <w:r/>
            <w:r>
              <w:rPr>
                <w:b/>
                <w:color w:val="5B6570"/>
                <w:sz w:val="17"/>
              </w:rPr>
              <w:t>2027</w:t>
            </w:r>
          </w:p>
        </w:tc>
        <w:tc>
          <w:tcPr>
            <w:tcW w:type="dxa" w:w="1247"/>
          </w:tcPr>
          <w:p>
            <w:r/>
            <w:r>
              <w:rPr>
                <w:b/>
                <w:color w:val="5B6570"/>
                <w:sz w:val="17"/>
              </w:rPr>
              <w:t>2028</w:t>
            </w:r>
          </w:p>
        </w:tc>
        <w:tc>
          <w:tcPr>
            <w:tcW w:type="dxa" w:w="1247"/>
          </w:tcPr>
          <w:p>
            <w:r/>
            <w:r>
              <w:rPr>
                <w:b/>
                <w:color w:val="5B6570"/>
                <w:sz w:val="17"/>
              </w:rPr>
              <w:t>2029</w:t>
            </w:r>
          </w:p>
        </w:tc>
        <w:tc>
          <w:tcPr>
            <w:tcW w:type="dxa" w:w="1247"/>
          </w:tcPr>
          <w:p>
            <w:r/>
            <w:r>
              <w:rPr>
                <w:b/>
                <w:color w:val="5B6570"/>
                <w:sz w:val="17"/>
              </w:rPr>
              <w:t>2030</w:t>
            </w:r>
          </w:p>
        </w:tc>
      </w:tr>
      <w:tr>
        <w:trPr>
          <w:cantSplit/>
        </w:trPr>
        <w:tc>
          <w:tcPr>
            <w:tcW w:type="dxa" w:w="3515"/>
          </w:tcPr>
          <w:p>
            <w:r/>
            <w:r>
              <w:rPr>
                <w:color w:val="1A1D21"/>
                <w:sz w:val="17"/>
              </w:rPr>
              <w:t>Collection period, days</w:t>
            </w:r>
          </w:p>
        </w:tc>
        <w:tc>
          <w:tcPr>
            <w:tcW w:type="dxa" w:w="1247"/>
          </w:tcPr>
          <w:p>
            <w:pPr>
              <w:jc w:val="right"/>
            </w:pPr>
            <w:r/>
            <w:r>
              <w:rPr>
                <w:color w:val="1A1D21"/>
                <w:sz w:val="17"/>
              </w:rPr>
              <w:t>1045</w:t>
            </w:r>
          </w:p>
        </w:tc>
        <w:tc>
          <w:tcPr>
            <w:tcW w:type="dxa" w:w="1247"/>
          </w:tcPr>
          <w:p>
            <w:pPr>
              <w:jc w:val="right"/>
            </w:pPr>
            <w:r/>
            <w:r>
              <w:rPr>
                <w:color w:val="1A1D21"/>
                <w:sz w:val="17"/>
              </w:rPr>
              <w:t>1045</w:t>
            </w:r>
          </w:p>
        </w:tc>
        <w:tc>
          <w:tcPr>
            <w:tcW w:type="dxa" w:w="1247"/>
          </w:tcPr>
          <w:p>
            <w:pPr>
              <w:jc w:val="right"/>
            </w:pPr>
            <w:r/>
            <w:r>
              <w:rPr>
                <w:color w:val="1A1D21"/>
                <w:sz w:val="17"/>
              </w:rPr>
              <w:t>1045</w:t>
            </w:r>
          </w:p>
        </w:tc>
        <w:tc>
          <w:tcPr>
            <w:tcW w:type="dxa" w:w="1247"/>
          </w:tcPr>
          <w:p>
            <w:pPr>
              <w:jc w:val="right"/>
            </w:pPr>
            <w:r/>
            <w:r>
              <w:rPr>
                <w:color w:val="1A1D21"/>
                <w:sz w:val="17"/>
              </w:rPr>
              <w:t>1045</w:t>
            </w:r>
          </w:p>
        </w:tc>
        <w:tc>
          <w:tcPr>
            <w:tcW w:type="dxa" w:w="1247"/>
          </w:tcPr>
          <w:p>
            <w:pPr>
              <w:jc w:val="right"/>
            </w:pPr>
            <w:r/>
            <w:r>
              <w:rPr>
                <w:color w:val="1A1D21"/>
                <w:sz w:val="17"/>
              </w:rPr>
              <w:t>1045</w:t>
            </w:r>
          </w:p>
        </w:tc>
      </w:tr>
      <w:tr>
        <w:trPr>
          <w:cantSplit/>
        </w:trPr>
        <w:tc>
          <w:tcPr>
            <w:tcW w:type="dxa" w:w="3515"/>
          </w:tcPr>
          <w:p>
            <w:r/>
            <w:r>
              <w:rPr>
                <w:color w:val="1A1D21"/>
                <w:sz w:val="17"/>
              </w:rPr>
              <w:t>Work in progress, days of cost</w:t>
            </w:r>
          </w:p>
        </w:tc>
        <w:tc>
          <w:tcPr>
            <w:tcW w:type="dxa" w:w="1247"/>
          </w:tcPr>
          <w:p>
            <w:pPr>
              <w:jc w:val="right"/>
            </w:pPr>
            <w:r/>
            <w:r>
              <w:rPr>
                <w:color w:val="1A1D21"/>
                <w:sz w:val="17"/>
              </w:rPr>
              <w:t>287</w:t>
            </w:r>
          </w:p>
        </w:tc>
        <w:tc>
          <w:tcPr>
            <w:tcW w:type="dxa" w:w="1247"/>
          </w:tcPr>
          <w:p>
            <w:pPr>
              <w:jc w:val="right"/>
            </w:pPr>
            <w:r/>
            <w:r>
              <w:rPr>
                <w:color w:val="1A1D21"/>
                <w:sz w:val="17"/>
              </w:rPr>
              <w:t>287</w:t>
            </w:r>
          </w:p>
        </w:tc>
        <w:tc>
          <w:tcPr>
            <w:tcW w:type="dxa" w:w="1247"/>
          </w:tcPr>
          <w:p>
            <w:pPr>
              <w:jc w:val="right"/>
            </w:pPr>
            <w:r/>
            <w:r>
              <w:rPr>
                <w:color w:val="1A1D21"/>
                <w:sz w:val="17"/>
              </w:rPr>
              <w:t>287</w:t>
            </w:r>
          </w:p>
        </w:tc>
        <w:tc>
          <w:tcPr>
            <w:tcW w:type="dxa" w:w="1247"/>
          </w:tcPr>
          <w:p>
            <w:pPr>
              <w:jc w:val="right"/>
            </w:pPr>
            <w:r/>
            <w:r>
              <w:rPr>
                <w:color w:val="1A1D21"/>
                <w:sz w:val="17"/>
              </w:rPr>
              <w:t>287</w:t>
            </w:r>
          </w:p>
        </w:tc>
        <w:tc>
          <w:tcPr>
            <w:tcW w:type="dxa" w:w="1247"/>
          </w:tcPr>
          <w:p>
            <w:pPr>
              <w:jc w:val="right"/>
            </w:pPr>
            <w:r/>
            <w:r>
              <w:rPr>
                <w:color w:val="1A1D21"/>
                <w:sz w:val="17"/>
              </w:rPr>
              <w:t>287</w:t>
            </w:r>
          </w:p>
        </w:tc>
      </w:tr>
      <w:tr>
        <w:trPr>
          <w:cantSplit/>
        </w:trPr>
        <w:tc>
          <w:tcPr>
            <w:tcW w:type="dxa" w:w="3515"/>
          </w:tcPr>
          <w:p>
            <w:r/>
            <w:r>
              <w:rPr>
                <w:color w:val="1A1D21"/>
                <w:sz w:val="17"/>
              </w:rPr>
              <w:t>Suppliers, days of cost</w:t>
            </w:r>
          </w:p>
        </w:tc>
        <w:tc>
          <w:tcPr>
            <w:tcW w:type="dxa" w:w="1247"/>
          </w:tcPr>
          <w:p>
            <w:pPr>
              <w:jc w:val="right"/>
            </w:pPr>
            <w:r/>
            <w:r>
              <w:rPr>
                <w:color w:val="1A1D21"/>
                <w:sz w:val="17"/>
              </w:rPr>
              <w:t>62</w:t>
            </w:r>
          </w:p>
        </w:tc>
        <w:tc>
          <w:tcPr>
            <w:tcW w:type="dxa" w:w="1247"/>
          </w:tcPr>
          <w:p>
            <w:pPr>
              <w:jc w:val="right"/>
            </w:pPr>
            <w:r/>
            <w:r>
              <w:rPr>
                <w:color w:val="1A1D21"/>
                <w:sz w:val="17"/>
              </w:rPr>
              <w:t>62</w:t>
            </w:r>
          </w:p>
        </w:tc>
        <w:tc>
          <w:tcPr>
            <w:tcW w:type="dxa" w:w="1247"/>
          </w:tcPr>
          <w:p>
            <w:pPr>
              <w:jc w:val="right"/>
            </w:pPr>
            <w:r/>
            <w:r>
              <w:rPr>
                <w:color w:val="1A1D21"/>
                <w:sz w:val="17"/>
              </w:rPr>
              <w:t>62</w:t>
            </w:r>
          </w:p>
        </w:tc>
        <w:tc>
          <w:tcPr>
            <w:tcW w:type="dxa" w:w="1247"/>
          </w:tcPr>
          <w:p>
            <w:pPr>
              <w:jc w:val="right"/>
            </w:pPr>
            <w:r/>
            <w:r>
              <w:rPr>
                <w:color w:val="1A1D21"/>
                <w:sz w:val="17"/>
              </w:rPr>
              <w:t>62</w:t>
            </w:r>
          </w:p>
        </w:tc>
        <w:tc>
          <w:tcPr>
            <w:tcW w:type="dxa" w:w="1247"/>
          </w:tcPr>
          <w:p>
            <w:pPr>
              <w:jc w:val="right"/>
            </w:pPr>
            <w:r/>
            <w:r>
              <w:rPr>
                <w:color w:val="1A1D21"/>
                <w:sz w:val="17"/>
              </w:rPr>
              <w:t>62</w:t>
            </w:r>
          </w:p>
        </w:tc>
      </w:tr>
      <w:tr>
        <w:trPr>
          <w:cantSplit/>
        </w:trPr>
        <w:tc>
          <w:tcPr>
            <w:tcW w:type="dxa" w:w="3515"/>
          </w:tcPr>
          <w:p>
            <w:r/>
            <w:r>
              <w:rPr>
                <w:color w:val="1A1D21"/>
                <w:sz w:val="17"/>
              </w:rPr>
              <w:t>Customer advances, share of the order book</w:t>
            </w:r>
          </w:p>
        </w:tc>
        <w:tc>
          <w:tcPr>
            <w:tcW w:type="dxa" w:w="1247"/>
          </w:tcPr>
          <w:p>
            <w:pPr>
              <w:jc w:val="right"/>
            </w:pPr>
            <w:r/>
            <w:r>
              <w:rPr>
                <w:color w:val="1A1D21"/>
                <w:sz w:val="17"/>
              </w:rPr>
              <w:t>21.2%</w:t>
            </w:r>
          </w:p>
        </w:tc>
        <w:tc>
          <w:tcPr>
            <w:tcW w:type="dxa" w:w="1247"/>
          </w:tcPr>
          <w:p>
            <w:pPr>
              <w:jc w:val="right"/>
            </w:pPr>
            <w:r/>
            <w:r>
              <w:rPr>
                <w:color w:val="1A1D21"/>
                <w:sz w:val="17"/>
              </w:rPr>
              <w:t>23.1%</w:t>
            </w:r>
          </w:p>
        </w:tc>
        <w:tc>
          <w:tcPr>
            <w:tcW w:type="dxa" w:w="1247"/>
          </w:tcPr>
          <w:p>
            <w:pPr>
              <w:jc w:val="right"/>
            </w:pPr>
            <w:r/>
            <w:r>
              <w:rPr>
                <w:color w:val="1A1D21"/>
                <w:sz w:val="17"/>
              </w:rPr>
              <w:t>25.9%</w:t>
            </w:r>
          </w:p>
        </w:tc>
        <w:tc>
          <w:tcPr>
            <w:tcW w:type="dxa" w:w="1247"/>
          </w:tcPr>
          <w:p>
            <w:pPr>
              <w:jc w:val="right"/>
            </w:pPr>
            <w:r/>
            <w:r>
              <w:rPr>
                <w:color w:val="1A1D21"/>
                <w:sz w:val="17"/>
              </w:rPr>
              <w:t>29.8%</w:t>
            </w:r>
          </w:p>
        </w:tc>
        <w:tc>
          <w:tcPr>
            <w:tcW w:type="dxa" w:w="1247"/>
          </w:tcPr>
          <w:p>
            <w:pPr>
              <w:jc w:val="right"/>
            </w:pPr>
            <w:r/>
            <w:r>
              <w:rPr>
                <w:color w:val="1A1D21"/>
                <w:sz w:val="17"/>
              </w:rPr>
              <w:t>35.1%</w:t>
            </w:r>
          </w:p>
        </w:tc>
      </w:tr>
      <w:tr>
        <w:trPr>
          <w:cantSplit/>
        </w:trPr>
        <w:tc>
          <w:tcPr>
            <w:tcW w:type="dxa" w:w="3515"/>
          </w:tcPr>
          <w:p>
            <w:r/>
            <w:r>
              <w:rPr>
                <w:color w:val="1A1D21"/>
                <w:sz w:val="17"/>
              </w:rPr>
              <w:t>Net working capital</w:t>
            </w:r>
          </w:p>
        </w:tc>
        <w:tc>
          <w:tcPr>
            <w:tcW w:type="dxa" w:w="1247"/>
          </w:tcPr>
          <w:p>
            <w:pPr>
              <w:jc w:val="right"/>
            </w:pPr>
            <w:r/>
            <w:r>
              <w:rPr>
                <w:color w:val="1A1D21"/>
                <w:sz w:val="17"/>
              </w:rPr>
              <w:t>69,179</w:t>
            </w:r>
          </w:p>
        </w:tc>
        <w:tc>
          <w:tcPr>
            <w:tcW w:type="dxa" w:w="1247"/>
          </w:tcPr>
          <w:p>
            <w:pPr>
              <w:jc w:val="right"/>
            </w:pPr>
            <w:r/>
            <w:r>
              <w:rPr>
                <w:color w:val="1A1D21"/>
                <w:sz w:val="17"/>
              </w:rPr>
              <w:t>99,604</w:t>
            </w:r>
          </w:p>
        </w:tc>
        <w:tc>
          <w:tcPr>
            <w:tcW w:type="dxa" w:w="1247"/>
          </w:tcPr>
          <w:p>
            <w:pPr>
              <w:jc w:val="right"/>
            </w:pPr>
            <w:r/>
            <w:r>
              <w:rPr>
                <w:color w:val="1A1D21"/>
                <w:sz w:val="17"/>
              </w:rPr>
              <w:t>143,410</w:t>
            </w:r>
          </w:p>
        </w:tc>
        <w:tc>
          <w:tcPr>
            <w:tcW w:type="dxa" w:w="1247"/>
          </w:tcPr>
          <w:p>
            <w:pPr>
              <w:jc w:val="right"/>
            </w:pPr>
            <w:r/>
            <w:r>
              <w:rPr>
                <w:color w:val="1A1D21"/>
                <w:sz w:val="17"/>
              </w:rPr>
              <w:t>206,482</w:t>
            </w:r>
          </w:p>
        </w:tc>
        <w:tc>
          <w:tcPr>
            <w:tcW w:type="dxa" w:w="1247"/>
          </w:tcPr>
          <w:p>
            <w:pPr>
              <w:jc w:val="right"/>
            </w:pPr>
            <w:r/>
            <w:r>
              <w:rPr>
                <w:color w:val="1A1D21"/>
                <w:sz w:val="17"/>
              </w:rPr>
              <w:t>297,292</w:t>
            </w:r>
          </w:p>
        </w:tc>
      </w:tr>
      <w:tr>
        <w:trPr>
          <w:cantSplit/>
        </w:trPr>
        <w:tc>
          <w:tcPr>
            <w:tcW w:type="dxa" w:w="3515"/>
          </w:tcPr>
          <w:p>
            <w:r/>
            <w:r>
              <w:rPr>
                <w:color w:val="1A1D21"/>
                <w:sz w:val="17"/>
              </w:rPr>
              <w:t xml:space="preserve">  as a multiple of revenue</w:t>
            </w:r>
          </w:p>
        </w:tc>
        <w:tc>
          <w:tcPr>
            <w:tcW w:type="dxa" w:w="1247"/>
          </w:tcPr>
          <w:p>
            <w:pPr>
              <w:jc w:val="right"/>
            </w:pPr>
            <w:r/>
            <w:r>
              <w:rPr>
                <w:color w:val="1A1D21"/>
                <w:sz w:val="17"/>
              </w:rPr>
              <w:t>1.72</w:t>
            </w:r>
          </w:p>
        </w:tc>
        <w:tc>
          <w:tcPr>
            <w:tcW w:type="dxa" w:w="1247"/>
          </w:tcPr>
          <w:p>
            <w:pPr>
              <w:jc w:val="right"/>
            </w:pPr>
            <w:r/>
            <w:r>
              <w:rPr>
                <w:color w:val="1A1D21"/>
                <w:sz w:val="17"/>
              </w:rPr>
              <w:t>1.72</w:t>
            </w:r>
          </w:p>
        </w:tc>
        <w:tc>
          <w:tcPr>
            <w:tcW w:type="dxa" w:w="1247"/>
          </w:tcPr>
          <w:p>
            <w:pPr>
              <w:jc w:val="right"/>
            </w:pPr>
            <w:r/>
            <w:r>
              <w:rPr>
                <w:color w:val="1A1D21"/>
                <w:sz w:val="17"/>
              </w:rPr>
              <w:t>1.72</w:t>
            </w:r>
          </w:p>
        </w:tc>
        <w:tc>
          <w:tcPr>
            <w:tcW w:type="dxa" w:w="1247"/>
          </w:tcPr>
          <w:p>
            <w:pPr>
              <w:jc w:val="right"/>
            </w:pPr>
            <w:r/>
            <w:r>
              <w:rPr>
                <w:color w:val="1A1D21"/>
                <w:sz w:val="17"/>
              </w:rPr>
              <w:t>1.72</w:t>
            </w:r>
          </w:p>
        </w:tc>
        <w:tc>
          <w:tcPr>
            <w:tcW w:type="dxa" w:w="1247"/>
          </w:tcPr>
          <w:p>
            <w:pPr>
              <w:jc w:val="right"/>
            </w:pPr>
            <w:r/>
            <w:r>
              <w:rPr>
                <w:color w:val="1A1D21"/>
                <w:sz w:val="17"/>
              </w:rPr>
              <w:t>1.72</w:t>
            </w:r>
          </w:p>
        </w:tc>
      </w:tr>
    </w:tbl>
    <w:p>
      <w:pPr>
        <w:spacing w:after="200"/>
      </w:pPr>
      <w:r>
        <w:rPr>
          <w:b w:val="0"/>
          <w:i/>
          <w:color w:val="5B6570"/>
          <w:sz w:val="16"/>
        </w:rPr>
        <w:t>Every ratio is held where 2025 left it, by construction. The customer-advance share rises only because the order book grows more slowly than revenue on this path.</w:t>
      </w:r>
    </w:p>
    <w:p>
      <w:pPr>
        <w:spacing w:after="140"/>
      </w:pPr>
      <w:r>
        <w:rPr>
          <w:b w:val="0"/>
          <w:i w:val="0"/>
          <w:color w:val="1A1D21"/>
          <w:sz w:val="20"/>
        </w:rPr>
        <w:t>This reading does not produce a value per share, and the reason is worth stating plainly rather than burying. Free cash flow is negative in every one of the five years and reaches minus EGP 64,447 million in 2030. A terminal value taken on a negative flow returns a large negative number that looks like a valuation and is not one: it asserts the company burns cash for ever at a compounding rate, which is not a forecast anybody made. So none is taken. What this reading measures instead is the funding the growth would need.</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If the cycle holds, what the growth costs</w:t>
            </w:r>
          </w:p>
        </w:tc>
        <w:tc>
          <w:tcPr>
            <w:tcW w:type="dxa" w:w="3175"/>
          </w:tcPr>
          <w:p>
            <w:r/>
            <w:r>
              <w:rPr>
                <w:b/>
                <w:color w:val="5B6570"/>
                <w:sz w:val="17"/>
              </w:rPr>
              <w:t>EGP mn</w:t>
            </w:r>
          </w:p>
        </w:tc>
      </w:tr>
      <w:tr>
        <w:trPr>
          <w:cantSplit/>
        </w:trPr>
        <w:tc>
          <w:tcPr>
            <w:tcW w:type="dxa" w:w="6009"/>
          </w:tcPr>
          <w:p>
            <w:r/>
            <w:r>
              <w:rPr>
                <w:color w:val="1A1D21"/>
                <w:sz w:val="17"/>
              </w:rPr>
              <w:t>Present value of the five forecast years</w:t>
            </w:r>
          </w:p>
        </w:tc>
        <w:tc>
          <w:tcPr>
            <w:tcW w:type="dxa" w:w="3175"/>
          </w:tcPr>
          <w:p>
            <w:pPr>
              <w:jc w:val="right"/>
            </w:pPr>
            <w:r/>
            <w:r>
              <w:rPr>
                <w:color w:val="1A1D21"/>
                <w:sz w:val="17"/>
              </w:rPr>
              <w:t>-67,279</w:t>
            </w:r>
          </w:p>
        </w:tc>
      </w:tr>
      <w:tr>
        <w:trPr>
          <w:cantSplit/>
        </w:trPr>
        <w:tc>
          <w:tcPr>
            <w:tcW w:type="dxa" w:w="6009"/>
          </w:tcPr>
          <w:p>
            <w:r/>
            <w:r>
              <w:rPr>
                <w:color w:val="1A1D21"/>
                <w:sz w:val="17"/>
              </w:rPr>
              <w:t>New borrowing required by 2030</w:t>
            </w:r>
          </w:p>
        </w:tc>
        <w:tc>
          <w:tcPr>
            <w:tcW w:type="dxa" w:w="3175"/>
          </w:tcPr>
          <w:p>
            <w:pPr>
              <w:jc w:val="right"/>
            </w:pPr>
            <w:r/>
            <w:r>
              <w:rPr>
                <w:color w:val="1A1D21"/>
                <w:sz w:val="17"/>
              </w:rPr>
              <w:t>168,517</w:t>
            </w:r>
          </w:p>
        </w:tc>
      </w:tr>
      <w:tr>
        <w:trPr>
          <w:cantSplit/>
        </w:trPr>
        <w:tc>
          <w:tcPr>
            <w:tcW w:type="dxa" w:w="6009"/>
          </w:tcPr>
          <w:p>
            <w:r/>
            <w:r>
              <w:rPr>
                <w:color w:val="1A1D21"/>
                <w:sz w:val="17"/>
              </w:rPr>
              <w:t>Its annual interest by 2030, at 25.50 per cent</w:t>
            </w:r>
          </w:p>
        </w:tc>
        <w:tc>
          <w:tcPr>
            <w:tcW w:type="dxa" w:w="3175"/>
          </w:tcPr>
          <w:p>
            <w:pPr>
              <w:jc w:val="right"/>
            </w:pPr>
            <w:r/>
            <w:r>
              <w:rPr>
                <w:color w:val="1A1D21"/>
                <w:sz w:val="17"/>
              </w:rPr>
              <w:t>42,972</w:t>
            </w:r>
          </w:p>
        </w:tc>
      </w:tr>
      <w:tr>
        <w:trPr>
          <w:cantSplit/>
        </w:trPr>
        <w:tc>
          <w:tcPr>
            <w:tcW w:type="dxa" w:w="6009"/>
          </w:tcPr>
          <w:p>
            <w:r/>
            <w:r>
              <w:rPr>
                <w:color w:val="1A1D21"/>
                <w:sz w:val="17"/>
              </w:rPr>
              <w:t>That interest as a share of 2030 operating profit</w:t>
            </w:r>
          </w:p>
        </w:tc>
        <w:tc>
          <w:tcPr>
            <w:tcW w:type="dxa" w:w="3175"/>
          </w:tcPr>
          <w:p>
            <w:pPr>
              <w:jc w:val="right"/>
            </w:pPr>
            <w:r/>
            <w:r>
              <w:rPr>
                <w:color w:val="1A1D21"/>
                <w:sz w:val="17"/>
              </w:rPr>
              <w:t>126%</w:t>
            </w:r>
          </w:p>
        </w:tc>
      </w:tr>
    </w:tbl>
    <w:p>
      <w:pPr>
        <w:spacing w:after="200"/>
      </w:pPr>
      <w:r>
        <w:rPr>
          <w:b w:val="0"/>
          <w:i/>
          <w:color w:val="5B6570"/>
          <w:sz w:val="16"/>
        </w:rPr>
        <w:t>The interest on that borrowing is not in the profit forecast above, and by 2030 it would exceed operating profit outright. The collection cycle and this growth path cannot both hold — which is the finding, not a defect in the arithmetic.</w:t>
      </w:r>
    </w:p>
    <w:p>
      <w:r>
        <w:br w:type="page"/>
      </w:r>
    </w:p>
    <w:p>
      <w:pPr>
        <w:pStyle w:val="Heading1"/>
      </w:pPr>
      <w:r>
        <w:t>Appendix B  Peer frame, risk register and research register</w:t>
      </w:r>
    </w:p>
    <w:p>
      <w:pPr>
        <w:pStyle w:val="Heading2"/>
      </w:pPr>
      <w:r>
        <w:t>B.1  The Egyptian listed developers</w:t>
      </w:r>
    </w:p>
    <w:tbl>
      <w:tblPr>
        <w:tblStyle w:val="TableGrid"/>
        <w:tblW w:type="auto" w:w="0"/>
        <w:jc w:val="center"/>
        <w:tblLayout w:type="fixed"/>
        <w:tblLook w:firstColumn="1" w:firstRow="1" w:lastColumn="0" w:lastRow="0" w:noHBand="0" w:noVBand="1" w:val="04A0"/>
        <w:tblLayout w:type="fixed"/>
      </w:tblPr>
      <w:tblGrid>
        <w:gridCol w:w="964"/>
        <w:gridCol w:w="2495"/>
        <w:gridCol w:w="1134"/>
        <w:gridCol w:w="1247"/>
        <w:gridCol w:w="1134"/>
        <w:gridCol w:w="1134"/>
        <w:gridCol w:w="1134"/>
      </w:tblGrid>
      <w:tr>
        <w:trPr>
          <w:tblHeader w:val="true"/>
        </w:trPr>
        <w:tc>
          <w:tcPr>
            <w:tcW w:type="dxa" w:w="964"/>
          </w:tcPr>
          <w:p>
            <w:r/>
            <w:r>
              <w:rPr>
                <w:b/>
                <w:color w:val="5B6570"/>
                <w:sz w:val="17"/>
              </w:rPr>
              <w:t>Code</w:t>
            </w:r>
          </w:p>
        </w:tc>
        <w:tc>
          <w:tcPr>
            <w:tcW w:type="dxa" w:w="2494"/>
          </w:tcPr>
          <w:p>
            <w:r/>
            <w:r>
              <w:rPr>
                <w:b/>
                <w:color w:val="5B6570"/>
                <w:sz w:val="17"/>
              </w:rPr>
              <w:t>Company</w:t>
            </w:r>
          </w:p>
        </w:tc>
        <w:tc>
          <w:tcPr>
            <w:tcW w:type="dxa" w:w="1134"/>
          </w:tcPr>
          <w:p>
            <w:r/>
            <w:r>
              <w:rPr>
                <w:b/>
                <w:color w:val="5B6570"/>
                <w:sz w:val="17"/>
              </w:rPr>
              <w:t>Beta</w:t>
            </w:r>
          </w:p>
        </w:tc>
        <w:tc>
          <w:tcPr>
            <w:tcW w:type="dxa" w:w="1247"/>
          </w:tcPr>
          <w:p>
            <w:r/>
            <w:r>
              <w:rPr>
                <w:b/>
                <w:color w:val="5B6570"/>
                <w:sz w:val="17"/>
              </w:rPr>
              <w:t>R-squared</w:t>
            </w:r>
          </w:p>
        </w:tc>
        <w:tc>
          <w:tcPr>
            <w:tcW w:type="dxa" w:w="1134"/>
          </w:tcPr>
          <w:p>
            <w:r/>
            <w:r>
              <w:rPr>
                <w:b/>
                <w:color w:val="5B6570"/>
                <w:sz w:val="17"/>
              </w:rPr>
              <w:t>Std error</w:t>
            </w:r>
          </w:p>
        </w:tc>
        <w:tc>
          <w:tcPr>
            <w:tcW w:type="dxa" w:w="1134"/>
          </w:tcPr>
          <w:p>
            <w:r/>
            <w:r>
              <w:rPr>
                <w:b/>
                <w:color w:val="5B6570"/>
                <w:sz w:val="17"/>
              </w:rPr>
              <w:t>Volatility</w:t>
            </w:r>
          </w:p>
        </w:tc>
        <w:tc>
          <w:tcPr>
            <w:tcW w:type="dxa" w:w="1134"/>
          </w:tcPr>
          <w:p>
            <w:r/>
            <w:r>
              <w:rPr>
                <w:b/>
                <w:color w:val="5B6570"/>
                <w:sz w:val="17"/>
              </w:rPr>
              <w:t>Worst fall</w:t>
            </w:r>
          </w:p>
        </w:tc>
      </w:tr>
      <w:tr>
        <w:trPr>
          <w:cantSplit/>
        </w:trPr>
        <w:tc>
          <w:tcPr>
            <w:tcW w:type="dxa" w:w="964"/>
          </w:tcPr>
          <w:p>
            <w:r/>
            <w:r>
              <w:rPr>
                <w:color w:val="1A1D21"/>
                <w:sz w:val="17"/>
              </w:rPr>
              <w:t>TMGH</w:t>
            </w:r>
          </w:p>
        </w:tc>
        <w:tc>
          <w:tcPr>
            <w:tcW w:type="dxa" w:w="2494"/>
          </w:tcPr>
          <w:p>
            <w:r/>
            <w:r>
              <w:rPr>
                <w:color w:val="1A1D21"/>
                <w:sz w:val="17"/>
              </w:rPr>
              <w:t>Talaat Moustafa Group Holding</w:t>
            </w:r>
          </w:p>
        </w:tc>
        <w:tc>
          <w:tcPr>
            <w:tcW w:type="dxa" w:w="1134"/>
          </w:tcPr>
          <w:p>
            <w:pPr>
              <w:jc w:val="right"/>
            </w:pPr>
            <w:r/>
            <w:r>
              <w:rPr>
                <w:color w:val="1A1D21"/>
                <w:sz w:val="17"/>
              </w:rPr>
              <w:t>1.4718</w:t>
            </w:r>
          </w:p>
        </w:tc>
        <w:tc>
          <w:tcPr>
            <w:tcW w:type="dxa" w:w="1247"/>
          </w:tcPr>
          <w:p>
            <w:pPr>
              <w:jc w:val="right"/>
            </w:pPr>
            <w:r/>
            <w:r>
              <w:rPr>
                <w:color w:val="1A1D21"/>
                <w:sz w:val="17"/>
              </w:rPr>
              <w:t>32.6%</w:t>
            </w:r>
          </w:p>
        </w:tc>
        <w:tc>
          <w:tcPr>
            <w:tcW w:type="dxa" w:w="1134"/>
          </w:tcPr>
          <w:p>
            <w:pPr>
              <w:jc w:val="right"/>
            </w:pPr>
            <w:r/>
            <w:r>
              <w:rPr>
                <w:color w:val="1A1D21"/>
                <w:sz w:val="17"/>
              </w:rPr>
              <w:t>0.185</w:t>
            </w:r>
          </w:p>
        </w:tc>
        <w:tc>
          <w:tcPr>
            <w:tcW w:type="dxa" w:w="1134"/>
          </w:tcPr>
          <w:p>
            <w:pPr>
              <w:jc w:val="right"/>
            </w:pPr>
            <w:r/>
            <w:r>
              <w:rPr>
                <w:color w:val="1A1D21"/>
                <w:sz w:val="17"/>
              </w:rPr>
              <w:t>43.9%</w:t>
            </w:r>
          </w:p>
        </w:tc>
        <w:tc>
          <w:tcPr>
            <w:tcW w:type="dxa" w:w="1134"/>
          </w:tcPr>
          <w:p>
            <w:pPr>
              <w:jc w:val="right"/>
            </w:pPr>
            <w:r/>
            <w:r>
              <w:rPr>
                <w:color w:val="1A1D21"/>
                <w:sz w:val="17"/>
              </w:rPr>
              <w:t>-44.2%</w:t>
            </w:r>
          </w:p>
        </w:tc>
      </w:tr>
      <w:tr>
        <w:trPr>
          <w:cantSplit/>
        </w:trPr>
        <w:tc>
          <w:tcPr>
            <w:tcW w:type="dxa" w:w="964"/>
          </w:tcPr>
          <w:p>
            <w:r/>
            <w:r>
              <w:rPr>
                <w:color w:val="1A1D21"/>
                <w:sz w:val="17"/>
              </w:rPr>
              <w:t>PHDC</w:t>
            </w:r>
          </w:p>
        </w:tc>
        <w:tc>
          <w:tcPr>
            <w:tcW w:type="dxa" w:w="2494"/>
          </w:tcPr>
          <w:p>
            <w:r/>
            <w:r>
              <w:rPr>
                <w:color w:val="1A1D21"/>
                <w:sz w:val="17"/>
              </w:rPr>
              <w:t>Palm Hills Developments</w:t>
            </w:r>
          </w:p>
        </w:tc>
        <w:tc>
          <w:tcPr>
            <w:tcW w:type="dxa" w:w="1134"/>
          </w:tcPr>
          <w:p>
            <w:pPr>
              <w:jc w:val="right"/>
            </w:pPr>
            <w:r/>
            <w:r>
              <w:rPr>
                <w:color w:val="1A1D21"/>
                <w:sz w:val="17"/>
              </w:rPr>
              <w:t>1.0493</w:t>
            </w:r>
          </w:p>
        </w:tc>
        <w:tc>
          <w:tcPr>
            <w:tcW w:type="dxa" w:w="1247"/>
          </w:tcPr>
          <w:p>
            <w:pPr>
              <w:jc w:val="right"/>
            </w:pPr>
            <w:r/>
            <w:r>
              <w:rPr>
                <w:color w:val="1A1D21"/>
                <w:sz w:val="17"/>
              </w:rPr>
              <w:t>29.9%</w:t>
            </w:r>
          </w:p>
        </w:tc>
        <w:tc>
          <w:tcPr>
            <w:tcW w:type="dxa" w:w="1134"/>
          </w:tcPr>
          <w:p>
            <w:pPr>
              <w:jc w:val="right"/>
            </w:pPr>
            <w:r/>
            <w:r>
              <w:rPr>
                <w:color w:val="1A1D21"/>
                <w:sz w:val="17"/>
              </w:rPr>
              <w:t>0.182</w:t>
            </w:r>
          </w:p>
        </w:tc>
        <w:tc>
          <w:tcPr>
            <w:tcW w:type="dxa" w:w="1134"/>
          </w:tcPr>
          <w:p>
            <w:pPr>
              <w:jc w:val="right"/>
            </w:pPr>
            <w:r/>
            <w:r>
              <w:rPr>
                <w:color w:val="1A1D21"/>
                <w:sz w:val="17"/>
              </w:rPr>
              <w:t>43.9%</w:t>
            </w:r>
          </w:p>
        </w:tc>
        <w:tc>
          <w:tcPr>
            <w:tcW w:type="dxa" w:w="1134"/>
          </w:tcPr>
          <w:p>
            <w:pPr>
              <w:jc w:val="right"/>
            </w:pPr>
            <w:r/>
            <w:r>
              <w:rPr>
                <w:color w:val="1A1D21"/>
                <w:sz w:val="17"/>
              </w:rPr>
              <w:t>-48.7%</w:t>
            </w:r>
          </w:p>
        </w:tc>
      </w:tr>
      <w:tr>
        <w:trPr>
          <w:cantSplit/>
        </w:trPr>
        <w:tc>
          <w:tcPr>
            <w:tcW w:type="dxa" w:w="964"/>
          </w:tcPr>
          <w:p>
            <w:r/>
            <w:r>
              <w:rPr>
                <w:color w:val="1A1D21"/>
                <w:sz w:val="17"/>
              </w:rPr>
              <w:t>ORHD</w:t>
            </w:r>
          </w:p>
        </w:tc>
        <w:tc>
          <w:tcPr>
            <w:tcW w:type="dxa" w:w="2494"/>
          </w:tcPr>
          <w:p>
            <w:r/>
            <w:r>
              <w:rPr>
                <w:color w:val="1A1D21"/>
                <w:sz w:val="17"/>
              </w:rPr>
              <w:t>Orascom Development Egypt</w:t>
            </w:r>
          </w:p>
        </w:tc>
        <w:tc>
          <w:tcPr>
            <w:tcW w:type="dxa" w:w="1134"/>
          </w:tcPr>
          <w:p>
            <w:pPr>
              <w:jc w:val="right"/>
            </w:pPr>
            <w:r/>
            <w:r>
              <w:rPr>
                <w:color w:val="1A1D21"/>
                <w:sz w:val="17"/>
              </w:rPr>
              <w:t>0.8837</w:t>
            </w:r>
          </w:p>
        </w:tc>
        <w:tc>
          <w:tcPr>
            <w:tcW w:type="dxa" w:w="1247"/>
          </w:tcPr>
          <w:p>
            <w:pPr>
              <w:jc w:val="right"/>
            </w:pPr>
            <w:r/>
            <w:r>
              <w:rPr>
                <w:color w:val="1A1D21"/>
                <w:sz w:val="17"/>
              </w:rPr>
              <w:t>32.1%</w:t>
            </w:r>
          </w:p>
        </w:tc>
        <w:tc>
          <w:tcPr>
            <w:tcW w:type="dxa" w:w="1134"/>
          </w:tcPr>
          <w:p>
            <w:pPr>
              <w:jc w:val="right"/>
            </w:pPr>
            <w:r/>
            <w:r>
              <w:rPr>
                <w:color w:val="1A1D21"/>
                <w:sz w:val="17"/>
              </w:rPr>
              <w:t>0.173</w:t>
            </w:r>
          </w:p>
        </w:tc>
        <w:tc>
          <w:tcPr>
            <w:tcW w:type="dxa" w:w="1134"/>
          </w:tcPr>
          <w:p>
            <w:pPr>
              <w:jc w:val="right"/>
            </w:pPr>
            <w:r/>
            <w:r>
              <w:rPr>
                <w:color w:val="1A1D21"/>
                <w:sz w:val="17"/>
              </w:rPr>
              <w:t>46.4%</w:t>
            </w:r>
          </w:p>
        </w:tc>
        <w:tc>
          <w:tcPr>
            <w:tcW w:type="dxa" w:w="1134"/>
          </w:tcPr>
          <w:p>
            <w:pPr>
              <w:jc w:val="right"/>
            </w:pPr>
            <w:r/>
            <w:r>
              <w:rPr>
                <w:color w:val="1A1D21"/>
                <w:sz w:val="17"/>
              </w:rPr>
              <w:t>-42.9%</w:t>
            </w:r>
          </w:p>
        </w:tc>
      </w:tr>
      <w:tr>
        <w:trPr>
          <w:cantSplit/>
        </w:trPr>
        <w:tc>
          <w:tcPr>
            <w:tcW w:type="dxa" w:w="964"/>
          </w:tcPr>
          <w:p>
            <w:r/>
            <w:r>
              <w:rPr>
                <w:color w:val="1A1D21"/>
                <w:sz w:val="17"/>
              </w:rPr>
              <w:t>HELI</w:t>
            </w:r>
          </w:p>
        </w:tc>
        <w:tc>
          <w:tcPr>
            <w:tcW w:type="dxa" w:w="2494"/>
          </w:tcPr>
          <w:p>
            <w:r/>
            <w:r>
              <w:rPr>
                <w:color w:val="1A1D21"/>
                <w:sz w:val="17"/>
              </w:rPr>
              <w:t>Heliopolis Housing and Develop</w:t>
            </w:r>
          </w:p>
        </w:tc>
        <w:tc>
          <w:tcPr>
            <w:tcW w:type="dxa" w:w="1134"/>
          </w:tcPr>
          <w:p>
            <w:pPr>
              <w:jc w:val="right"/>
            </w:pPr>
            <w:r/>
            <w:r>
              <w:rPr>
                <w:color w:val="1A1D21"/>
                <w:sz w:val="17"/>
              </w:rPr>
              <w:t>0.7653</w:t>
            </w:r>
          </w:p>
        </w:tc>
        <w:tc>
          <w:tcPr>
            <w:tcW w:type="dxa" w:w="1247"/>
          </w:tcPr>
          <w:p>
            <w:pPr>
              <w:jc w:val="right"/>
            </w:pPr>
            <w:r/>
            <w:r>
              <w:rPr>
                <w:color w:val="1A1D21"/>
                <w:sz w:val="17"/>
              </w:rPr>
              <w:t>28.8%</w:t>
            </w:r>
          </w:p>
        </w:tc>
        <w:tc>
          <w:tcPr>
            <w:tcW w:type="dxa" w:w="1134"/>
          </w:tcPr>
          <w:p>
            <w:pPr>
              <w:jc w:val="right"/>
            </w:pPr>
            <w:r/>
            <w:r>
              <w:rPr>
                <w:color w:val="1A1D21"/>
                <w:sz w:val="17"/>
              </w:rPr>
              <w:t>0.181</w:t>
            </w:r>
          </w:p>
        </w:tc>
        <w:tc>
          <w:tcPr>
            <w:tcW w:type="dxa" w:w="1134"/>
          </w:tcPr>
          <w:p>
            <w:pPr>
              <w:jc w:val="right"/>
            </w:pPr>
            <w:r/>
            <w:r>
              <w:rPr>
                <w:color w:val="1A1D21"/>
                <w:sz w:val="17"/>
              </w:rPr>
              <w:t>44.4%</w:t>
            </w:r>
          </w:p>
        </w:tc>
        <w:tc>
          <w:tcPr>
            <w:tcW w:type="dxa" w:w="1134"/>
          </w:tcPr>
          <w:p>
            <w:pPr>
              <w:jc w:val="right"/>
            </w:pPr>
            <w:r/>
            <w:r>
              <w:rPr>
                <w:color w:val="1A1D21"/>
                <w:sz w:val="17"/>
              </w:rPr>
              <w:t>-39.6%</w:t>
            </w:r>
          </w:p>
        </w:tc>
      </w:tr>
      <w:tr>
        <w:trPr>
          <w:cantSplit/>
        </w:trPr>
        <w:tc>
          <w:tcPr>
            <w:tcW w:type="dxa" w:w="964"/>
          </w:tcPr>
          <w:p>
            <w:r/>
            <w:r>
              <w:rPr>
                <w:color w:val="1A1D21"/>
                <w:sz w:val="17"/>
              </w:rPr>
              <w:t>EMFD</w:t>
            </w:r>
          </w:p>
        </w:tc>
        <w:tc>
          <w:tcPr>
            <w:tcW w:type="dxa" w:w="2494"/>
          </w:tcPr>
          <w:p>
            <w:r/>
            <w:r>
              <w:rPr>
                <w:color w:val="1A1D21"/>
                <w:sz w:val="17"/>
              </w:rPr>
              <w:t>Emaar Misr for Development</w:t>
            </w:r>
          </w:p>
        </w:tc>
        <w:tc>
          <w:tcPr>
            <w:tcW w:type="dxa" w:w="1134"/>
          </w:tcPr>
          <w:p>
            <w:pPr>
              <w:jc w:val="right"/>
            </w:pPr>
            <w:r/>
            <w:r>
              <w:rPr>
                <w:color w:val="1A1D21"/>
                <w:sz w:val="17"/>
              </w:rPr>
              <w:t>0.7388</w:t>
            </w:r>
          </w:p>
        </w:tc>
        <w:tc>
          <w:tcPr>
            <w:tcW w:type="dxa" w:w="1247"/>
          </w:tcPr>
          <w:p>
            <w:pPr>
              <w:jc w:val="right"/>
            </w:pPr>
            <w:r/>
            <w:r>
              <w:rPr>
                <w:color w:val="1A1D21"/>
                <w:sz w:val="17"/>
              </w:rPr>
              <w:t>24.4%</w:t>
            </w:r>
          </w:p>
        </w:tc>
        <w:tc>
          <w:tcPr>
            <w:tcW w:type="dxa" w:w="1134"/>
          </w:tcPr>
          <w:p>
            <w:pPr>
              <w:jc w:val="right"/>
            </w:pPr>
            <w:r/>
            <w:r>
              <w:rPr>
                <w:color w:val="1A1D21"/>
                <w:sz w:val="17"/>
              </w:rPr>
              <w:t>0.169</w:t>
            </w:r>
          </w:p>
        </w:tc>
        <w:tc>
          <w:tcPr>
            <w:tcW w:type="dxa" w:w="1134"/>
          </w:tcPr>
          <w:p>
            <w:pPr>
              <w:jc w:val="right"/>
            </w:pPr>
            <w:r/>
            <w:r>
              <w:rPr>
                <w:color w:val="1A1D21"/>
                <w:sz w:val="17"/>
              </w:rPr>
              <w:t>41.1%</w:t>
            </w:r>
          </w:p>
        </w:tc>
        <w:tc>
          <w:tcPr>
            <w:tcW w:type="dxa" w:w="1134"/>
          </w:tcPr>
          <w:p>
            <w:pPr>
              <w:jc w:val="right"/>
            </w:pPr>
            <w:r/>
            <w:r>
              <w:rPr>
                <w:color w:val="1A1D21"/>
                <w:sz w:val="17"/>
              </w:rPr>
              <w:t>-47.1%</w:t>
            </w:r>
          </w:p>
        </w:tc>
      </w:tr>
      <w:tr>
        <w:trPr>
          <w:cantSplit/>
        </w:trPr>
        <w:tc>
          <w:tcPr>
            <w:tcW w:type="dxa" w:w="964"/>
          </w:tcPr>
          <w:p>
            <w:r/>
            <w:r>
              <w:rPr>
                <w:color w:val="1A1D21"/>
                <w:sz w:val="17"/>
              </w:rPr>
              <w:t>PRDC</w:t>
            </w:r>
          </w:p>
        </w:tc>
        <w:tc>
          <w:tcPr>
            <w:tcW w:type="dxa" w:w="2494"/>
          </w:tcPr>
          <w:p>
            <w:r/>
            <w:r>
              <w:rPr>
                <w:color w:val="1A1D21"/>
                <w:sz w:val="17"/>
              </w:rPr>
              <w:t xml:space="preserve">Pioneers Properties for Urban </w:t>
            </w:r>
          </w:p>
        </w:tc>
        <w:tc>
          <w:tcPr>
            <w:tcW w:type="dxa" w:w="1134"/>
          </w:tcPr>
          <w:p>
            <w:pPr>
              <w:jc w:val="right"/>
            </w:pPr>
            <w:r/>
            <w:r>
              <w:rPr>
                <w:color w:val="1A1D21"/>
                <w:sz w:val="17"/>
              </w:rPr>
              <w:t>0.7067</w:t>
            </w:r>
          </w:p>
        </w:tc>
        <w:tc>
          <w:tcPr>
            <w:tcW w:type="dxa" w:w="1247"/>
          </w:tcPr>
          <w:p>
            <w:pPr>
              <w:jc w:val="right"/>
            </w:pPr>
            <w:r/>
            <w:r>
              <w:rPr>
                <w:color w:val="1A1D21"/>
                <w:sz w:val="17"/>
              </w:rPr>
              <w:t>25.8%</w:t>
            </w:r>
          </w:p>
        </w:tc>
        <w:tc>
          <w:tcPr>
            <w:tcW w:type="dxa" w:w="1134"/>
          </w:tcPr>
          <w:p>
            <w:pPr>
              <w:jc w:val="right"/>
            </w:pPr>
            <w:r/>
            <w:r>
              <w:rPr>
                <w:color w:val="1A1D21"/>
                <w:sz w:val="17"/>
              </w:rPr>
              <w:t>0.186</w:t>
            </w:r>
          </w:p>
        </w:tc>
        <w:tc>
          <w:tcPr>
            <w:tcW w:type="dxa" w:w="1134"/>
          </w:tcPr>
          <w:p>
            <w:pPr>
              <w:jc w:val="right"/>
            </w:pPr>
            <w:r/>
            <w:r>
              <w:rPr>
                <w:color w:val="1A1D21"/>
                <w:sz w:val="17"/>
              </w:rPr>
              <w:t>42.2%</w:t>
            </w:r>
          </w:p>
        </w:tc>
        <w:tc>
          <w:tcPr>
            <w:tcW w:type="dxa" w:w="1134"/>
          </w:tcPr>
          <w:p>
            <w:pPr>
              <w:jc w:val="right"/>
            </w:pPr>
            <w:r/>
            <w:r>
              <w:rPr>
                <w:color w:val="1A1D21"/>
                <w:sz w:val="17"/>
              </w:rPr>
              <w:t>-52.0%</w:t>
            </w:r>
          </w:p>
        </w:tc>
      </w:tr>
      <w:tr>
        <w:trPr>
          <w:cantSplit/>
        </w:trPr>
        <w:tc>
          <w:tcPr>
            <w:tcW w:type="dxa" w:w="964"/>
          </w:tcPr>
          <w:p>
            <w:r/>
            <w:r>
              <w:rPr>
                <w:color w:val="1A1D21"/>
                <w:sz w:val="17"/>
              </w:rPr>
              <w:t>OCDI</w:t>
            </w:r>
          </w:p>
        </w:tc>
        <w:tc>
          <w:tcPr>
            <w:tcW w:type="dxa" w:w="2494"/>
          </w:tcPr>
          <w:p>
            <w:r/>
            <w:r>
              <w:rPr>
                <w:color w:val="1A1D21"/>
                <w:sz w:val="17"/>
              </w:rPr>
              <w:t>Sixth of October Development &amp;</w:t>
            </w:r>
          </w:p>
        </w:tc>
        <w:tc>
          <w:tcPr>
            <w:tcW w:type="dxa" w:w="1134"/>
          </w:tcPr>
          <w:p>
            <w:pPr>
              <w:jc w:val="right"/>
            </w:pPr>
            <w:r/>
            <w:r>
              <w:rPr>
                <w:color w:val="1A1D21"/>
                <w:sz w:val="17"/>
              </w:rPr>
              <w:t>0.4938</w:t>
            </w:r>
          </w:p>
        </w:tc>
        <w:tc>
          <w:tcPr>
            <w:tcW w:type="dxa" w:w="1247"/>
          </w:tcPr>
          <w:p>
            <w:pPr>
              <w:jc w:val="right"/>
            </w:pPr>
            <w:r/>
            <w:r>
              <w:rPr>
                <w:color w:val="1A1D21"/>
                <w:sz w:val="17"/>
              </w:rPr>
              <w:t>10.3%</w:t>
            </w:r>
          </w:p>
        </w:tc>
        <w:tc>
          <w:tcPr>
            <w:tcW w:type="dxa" w:w="1134"/>
          </w:tcPr>
          <w:p>
            <w:pPr>
              <w:jc w:val="right"/>
            </w:pPr>
            <w:r/>
            <w:r>
              <w:rPr>
                <w:color w:val="1A1D21"/>
                <w:sz w:val="17"/>
              </w:rPr>
              <w:t>0.224</w:t>
            </w:r>
          </w:p>
        </w:tc>
        <w:tc>
          <w:tcPr>
            <w:tcW w:type="dxa" w:w="1134"/>
          </w:tcPr>
          <w:p>
            <w:pPr>
              <w:jc w:val="right"/>
            </w:pPr>
            <w:r/>
            <w:r>
              <w:rPr>
                <w:color w:val="1A1D21"/>
                <w:sz w:val="17"/>
              </w:rPr>
              <w:t>47.1%</w:t>
            </w:r>
          </w:p>
        </w:tc>
        <w:tc>
          <w:tcPr>
            <w:tcW w:type="dxa" w:w="1134"/>
          </w:tcPr>
          <w:p>
            <w:pPr>
              <w:jc w:val="right"/>
            </w:pPr>
            <w:r/>
            <w:r>
              <w:rPr>
                <w:color w:val="1A1D21"/>
                <w:sz w:val="17"/>
              </w:rPr>
              <w:t>-46.6%</w:t>
            </w:r>
          </w:p>
        </w:tc>
      </w:tr>
    </w:tbl>
    <w:p>
      <w:pPr>
        <w:spacing w:after="200"/>
      </w:pPr>
      <w:r>
        <w:rPr>
          <w:b w:val="0"/>
          <w:i/>
          <w:color w:val="5B6570"/>
          <w:sz w:val="16"/>
        </w:rPr>
        <w:t>Every measure computed on the same five-year window, through the same cleaning, against the same index. Volatility is annualised from weekly returns; worst fall is the deepest peak-to-trough decline over five years.</w:t>
      </w:r>
    </w:p>
    <w:p>
      <w:pPr>
        <w:jc w:val="center"/>
      </w:pPr>
      <w:r>
        <w:drawing>
          <wp:inline xmlns:a="http://schemas.openxmlformats.org/drawingml/2006/main" xmlns:pic="http://schemas.openxmlformats.org/drawingml/2006/picture">
            <wp:extent cx="5832000" cy="2468495"/>
            <wp:docPr id="4" name="Picture 4"/>
            <wp:cNvGraphicFramePr>
              <a:graphicFrameLocks noChangeAspect="1"/>
            </wp:cNvGraphicFramePr>
            <a:graphic>
              <a:graphicData uri="http://schemas.openxmlformats.org/drawingml/2006/picture">
                <pic:pic>
                  <pic:nvPicPr>
                    <pic:cNvPr id="0" name="fig4_peers.png"/>
                    <pic:cNvPicPr/>
                  </pic:nvPicPr>
                  <pic:blipFill>
                    <a:blip r:embed="rId12"/>
                    <a:stretch>
                      <a:fillRect/>
                    </a:stretch>
                  </pic:blipFill>
                  <pic:spPr>
                    <a:xfrm>
                      <a:off x="0" y="0"/>
                      <a:ext cx="5832000" cy="2468495"/>
                    </a:xfrm>
                    <a:prstGeom prst="rect"/>
                  </pic:spPr>
                </pic:pic>
              </a:graphicData>
            </a:graphic>
          </wp:inline>
        </w:drawing>
      </w:r>
    </w:p>
    <w:p>
      <w:pPr>
        <w:spacing w:after="240"/>
        <w:jc w:val="center"/>
      </w:pPr>
      <w:r>
        <w:rPr>
          <w:b w:val="0"/>
          <w:i/>
          <w:color w:val="5B6570"/>
          <w:sz w:val="16"/>
        </w:rPr>
        <w:t>Figure 4 — the same betas with their standard errors. Palm Hills sits mid-sector: more market-sensitive than most of its peers, materially less so than the largest.</w:t>
      </w:r>
    </w:p>
    <w:p>
      <w:pPr>
        <w:spacing w:after="140"/>
      </w:pPr>
      <w:r>
        <w:rPr>
          <w:b w:val="0"/>
          <w:i w:val="0"/>
          <w:color w:val="1A1D21"/>
          <w:sz w:val="20"/>
        </w:rPr>
        <w:t>Earnings and book multiples for the peer group are not published in this study. No peer discloses financial statements this study can obtain on a consistent basis, and a multiple built from inconsistent inputs would carry more authority than it deserves. What is measured here is measured the same way for every name.</w:t>
      </w:r>
    </w:p>
    <w:p>
      <w:pPr>
        <w:pStyle w:val="Heading2"/>
      </w:pPr>
      <w:r>
        <w:t>B.2  Risk register</w:t>
      </w:r>
    </w:p>
    <w:tbl>
      <w:tblPr>
        <w:tblStyle w:val="TableGrid"/>
        <w:tblW w:type="auto" w:w="0"/>
        <w:jc w:val="center"/>
        <w:tblLayout w:type="fixed"/>
        <w:tblLook w:firstColumn="1" w:firstRow="1" w:lastColumn="0" w:lastRow="0" w:noHBand="0" w:noVBand="1" w:val="04A0"/>
        <w:tblLayout w:type="fixed"/>
      </w:tblPr>
      <w:tblGrid>
        <w:gridCol w:w="2608"/>
        <w:gridCol w:w="3175"/>
        <w:gridCol w:w="3402"/>
      </w:tblGrid>
      <w:tr>
        <w:trPr>
          <w:tblHeader w:val="true"/>
        </w:trPr>
        <w:tc>
          <w:tcPr>
            <w:tcW w:type="dxa" w:w="2608"/>
          </w:tcPr>
          <w:p>
            <w:r/>
            <w:r>
              <w:rPr>
                <w:b/>
                <w:color w:val="5B6570"/>
                <w:sz w:val="17"/>
              </w:rPr>
              <w:t>Risk</w:t>
            </w:r>
          </w:p>
        </w:tc>
        <w:tc>
          <w:tcPr>
            <w:tcW w:type="dxa" w:w="3175"/>
          </w:tcPr>
          <w:p>
            <w:r/>
            <w:r>
              <w:rPr>
                <w:b/>
                <w:color w:val="5B6570"/>
                <w:sz w:val="17"/>
              </w:rPr>
              <w:t>How it would show up</w:t>
            </w:r>
          </w:p>
        </w:tc>
        <w:tc>
          <w:tcPr>
            <w:tcW w:type="dxa" w:w="3402"/>
          </w:tcPr>
          <w:p>
            <w:r/>
            <w:r>
              <w:rPr>
                <w:b/>
                <w:color w:val="5B6570"/>
                <w:sz w:val="17"/>
              </w:rPr>
              <w:t>Where it is priced</w:t>
            </w:r>
          </w:p>
        </w:tc>
      </w:tr>
      <w:tr>
        <w:trPr>
          <w:cantSplit/>
        </w:trPr>
        <w:tc>
          <w:tcPr>
            <w:tcW w:type="dxa" w:w="2608"/>
          </w:tcPr>
          <w:p>
            <w:r/>
            <w:r>
              <w:rPr>
                <w:color w:val="1A1D21"/>
                <w:sz w:val="17"/>
              </w:rPr>
              <w:t>Cash conversion stays at the 2023 and 2025 rate</w:t>
            </w:r>
          </w:p>
        </w:tc>
        <w:tc>
          <w:tcPr>
            <w:tcW w:type="dxa" w:w="3175"/>
          </w:tcPr>
          <w:p>
            <w:r/>
            <w:r>
              <w:rPr>
                <w:color w:val="1A1D21"/>
                <w:sz w:val="17"/>
              </w:rPr>
              <w:t>operating cash near 3.9% of revenue</w:t>
            </w:r>
          </w:p>
        </w:tc>
        <w:tc>
          <w:tcPr>
            <w:tcW w:type="dxa" w:w="3402"/>
          </w:tcPr>
          <w:p>
            <w:r/>
            <w:r>
              <w:rPr>
                <w:color w:val="1A1D21"/>
                <w:sz w:val="17"/>
              </w:rPr>
              <w:t>bottom row of the table in section 1.9</w:t>
            </w:r>
          </w:p>
        </w:tc>
      </w:tr>
      <w:tr>
        <w:trPr>
          <w:cantSplit/>
        </w:trPr>
        <w:tc>
          <w:tcPr>
            <w:tcW w:type="dxa" w:w="2608"/>
          </w:tcPr>
          <w:p>
            <w:r/>
            <w:r>
              <w:rPr>
                <w:color w:val="1A1D21"/>
                <w:sz w:val="17"/>
              </w:rPr>
              <w:t>Egyptian rates stay high or rise</w:t>
            </w:r>
          </w:p>
        </w:tc>
        <w:tc>
          <w:tcPr>
            <w:tcW w:type="dxa" w:w="3175"/>
          </w:tcPr>
          <w:p>
            <w:r/>
            <w:r>
              <w:rPr>
                <w:color w:val="1A1D21"/>
                <w:sz w:val="17"/>
              </w:rPr>
              <w:t>cost of capital above 26.25%</w:t>
            </w:r>
          </w:p>
        </w:tc>
        <w:tc>
          <w:tcPr>
            <w:tcW w:type="dxa" w:w="3402"/>
          </w:tcPr>
          <w:p>
            <w:r/>
            <w:r>
              <w:rPr>
                <w:color w:val="1A1D21"/>
                <w:sz w:val="17"/>
              </w:rPr>
              <w:t>right-hand columns of the same table</w:t>
            </w:r>
          </w:p>
        </w:tc>
      </w:tr>
      <w:tr>
        <w:trPr>
          <w:cantSplit/>
        </w:trPr>
        <w:tc>
          <w:tcPr>
            <w:tcW w:type="dxa" w:w="2608"/>
          </w:tcPr>
          <w:p>
            <w:r/>
            <w:r>
              <w:rPr>
                <w:color w:val="1A1D21"/>
                <w:sz w:val="17"/>
              </w:rPr>
              <w:t>Order book converts more slowly than delivery history implies</w:t>
            </w:r>
          </w:p>
        </w:tc>
        <w:tc>
          <w:tcPr>
            <w:tcW w:type="dxa" w:w="3175"/>
          </w:tcPr>
          <w:p>
            <w:r/>
            <w:r>
              <w:rPr>
                <w:color w:val="1A1D21"/>
                <w:sz w:val="17"/>
              </w:rPr>
              <w:t>the order book keeps rising as a multiple of revenue</w:t>
            </w:r>
          </w:p>
        </w:tc>
        <w:tc>
          <w:tcPr>
            <w:tcW w:type="dxa" w:w="3402"/>
          </w:tcPr>
          <w:p>
            <w:r/>
            <w:r>
              <w:rPr>
                <w:color w:val="1A1D21"/>
                <w:sz w:val="17"/>
              </w:rPr>
              <w:t>section 7, fourth bullet</w:t>
            </w:r>
          </w:p>
        </w:tc>
      </w:tr>
      <w:tr>
        <w:trPr>
          <w:cantSplit/>
        </w:trPr>
        <w:tc>
          <w:tcPr>
            <w:tcW w:type="dxa" w:w="2608"/>
          </w:tcPr>
          <w:p>
            <w:r/>
            <w:r>
              <w:rPr>
                <w:color w:val="1A1D21"/>
                <w:sz w:val="17"/>
              </w:rPr>
              <w:t>Currency devaluation</w:t>
            </w:r>
          </w:p>
        </w:tc>
        <w:tc>
          <w:tcPr>
            <w:tcW w:type="dxa" w:w="3175"/>
          </w:tcPr>
          <w:p>
            <w:r/>
            <w:r>
              <w:rPr>
                <w:color w:val="1A1D21"/>
                <w:sz w:val="17"/>
              </w:rPr>
              <w:t>nominal figures rise, real value does not</w:t>
            </w:r>
          </w:p>
        </w:tc>
        <w:tc>
          <w:tcPr>
            <w:tcW w:type="dxa" w:w="3402"/>
          </w:tcPr>
          <w:p>
            <w:r/>
            <w:r>
              <w:rPr>
                <w:color w:val="1A1D21"/>
                <w:sz w:val="17"/>
              </w:rPr>
              <w:t>the whole study is in nominal pounds; a devaluation moves the denominator too</w:t>
            </w:r>
          </w:p>
        </w:tc>
      </w:tr>
      <w:tr>
        <w:trPr>
          <w:cantSplit/>
        </w:trPr>
        <w:tc>
          <w:tcPr>
            <w:tcW w:type="dxa" w:w="2608"/>
          </w:tcPr>
          <w:p>
            <w:r/>
            <w:r>
              <w:rPr>
                <w:color w:val="1A1D21"/>
                <w:sz w:val="17"/>
              </w:rPr>
              <w:t>Cost of debt above the assumed spread</w:t>
            </w:r>
          </w:p>
        </w:tc>
        <w:tc>
          <w:tcPr>
            <w:tcW w:type="dxa" w:w="3175"/>
          </w:tcPr>
          <w:p>
            <w:r/>
            <w:r>
              <w:rPr>
                <w:color w:val="1A1D21"/>
                <w:sz w:val="17"/>
              </w:rPr>
              <w:t>finance cost above the modelled level</w:t>
            </w:r>
          </w:p>
        </w:tc>
        <w:tc>
          <w:tcPr>
            <w:tcW w:type="dxa" w:w="3402"/>
          </w:tcPr>
          <w:p>
            <w:r/>
            <w:r>
              <w:rPr>
                <w:color w:val="1A1D21"/>
                <w:sz w:val="17"/>
              </w:rPr>
              <w:t>section 1.8; the spread is the one unsourced input</w:t>
            </w:r>
          </w:p>
        </w:tc>
      </w:tr>
    </w:tbl>
    <w:p>
      <w:pPr>
        <w:spacing w:after="80"/>
      </w:pPr>
      <w:r>
        <w:rPr>
          <w:b w:val="0"/>
          <w:i w:val="0"/>
          <w:color w:val="1A1D21"/>
          <w:sz w:val="8"/>
        </w:rPr>
      </w:r>
    </w:p>
    <w:p>
      <w:pPr>
        <w:pStyle w:val="Heading2"/>
      </w:pPr>
      <w:r>
        <w:t>B.3  Research register</w:t>
      </w:r>
    </w:p>
    <w:p>
      <w:pPr>
        <w:spacing w:after="140"/>
      </w:pPr>
      <w:r>
        <w:rPr>
          <w:b w:val="0"/>
          <w:i w:val="0"/>
          <w:color w:val="1A1D21"/>
          <w:sz w:val="20"/>
        </w:rPr>
        <w:t>This study is built on 70 sourced inputs. Every reported historical comes from the company's own audited statements or its own results releases. The only third-party inputs are the exogenous macroeconomic series and the market price. A full register, with the value, source, date and provenance of each input, is published in the accompanying bibliography.</w:t>
      </w:r>
    </w:p>
    <w:p>
      <w:r>
        <w:br w:type="page"/>
      </w:r>
    </w:p>
    <w:p>
      <w:pPr>
        <w:pStyle w:val="Heading1"/>
      </w:pPr>
      <w:r>
        <w:t>Appendix C  Expert panel</w:t>
      </w:r>
    </w:p>
    <w:p>
      <w:pPr>
        <w:spacing w:after="140"/>
      </w:pPr>
      <w:r>
        <w:rPr>
          <w:b w:val="0"/>
          <w:i/>
          <w:color w:val="5B6570"/>
          <w:sz w:val="20"/>
        </w:rPr>
        <w:t>Three readings of the same company by three different methods. The experts are identified by method, not by name.</w:t>
      </w:r>
    </w:p>
    <w:p>
      <w:pPr>
        <w:pStyle w:val="Heading2"/>
      </w:pPr>
      <w:r>
        <w:t>C.1  Expert 1 — the discounted cash-flow analyst</w:t>
      </w:r>
    </w:p>
    <w:p>
      <w:pPr>
        <w:spacing w:after="140"/>
      </w:pPr>
      <w:r>
        <w:rPr>
          <w:b w:val="0"/>
          <w:i w:val="0"/>
          <w:color w:val="1A1D21"/>
          <w:sz w:val="20"/>
        </w:rPr>
        <w:t>Worldview: a company is worth the cash it will hand its owners, discounted at what that cash costs. When it works: businesses with stable conversion of profit to cash. When it fails: businesses where that conversion is the unknown — which is exactly this one.</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w:t>
            </w:r>
          </w:p>
        </w:tc>
        <w:tc>
          <w:tcPr>
            <w:tcW w:type="dxa" w:w="2835"/>
          </w:tcPr>
          <w:p>
            <w:r/>
            <w:r>
              <w:rPr>
                <w:b/>
                <w:color w:val="5B6570"/>
                <w:sz w:val="17"/>
              </w:rPr>
              <w:t>EGP mn</w:t>
            </w:r>
          </w:p>
        </w:tc>
      </w:tr>
      <w:tr>
        <w:trPr>
          <w:cantSplit/>
        </w:trPr>
        <w:tc>
          <w:tcPr>
            <w:tcW w:type="dxa" w:w="5102"/>
          </w:tcPr>
          <w:p>
            <w:r/>
            <w:r>
              <w:rPr>
                <w:color w:val="1A1D21"/>
                <w:sz w:val="17"/>
              </w:rPr>
              <w:t>Present value of ten explicit years</w:t>
            </w:r>
          </w:p>
        </w:tc>
        <w:tc>
          <w:tcPr>
            <w:tcW w:type="dxa" w:w="2835"/>
          </w:tcPr>
          <w:p>
            <w:pPr>
              <w:jc w:val="right"/>
            </w:pPr>
            <w:r/>
            <w:r>
              <w:rPr>
                <w:color w:val="1A1D21"/>
                <w:sz w:val="17"/>
              </w:rPr>
              <w:t>23,030</w:t>
            </w:r>
          </w:p>
        </w:tc>
      </w:tr>
      <w:tr>
        <w:trPr>
          <w:cantSplit/>
        </w:trPr>
        <w:tc>
          <w:tcPr>
            <w:tcW w:type="dxa" w:w="5102"/>
          </w:tcPr>
          <w:p>
            <w:r/>
            <w:r>
              <w:rPr>
                <w:color w:val="1A1D21"/>
                <w:sz w:val="17"/>
              </w:rPr>
              <w:t>Present value beyond year ten</w:t>
            </w:r>
          </w:p>
        </w:tc>
        <w:tc>
          <w:tcPr>
            <w:tcW w:type="dxa" w:w="2835"/>
          </w:tcPr>
          <w:p>
            <w:pPr>
              <w:jc w:val="right"/>
            </w:pPr>
            <w:r/>
            <w:r>
              <w:rPr>
                <w:color w:val="1A1D21"/>
                <w:sz w:val="17"/>
              </w:rPr>
              <w:t>38,969</w:t>
            </w:r>
          </w:p>
        </w:tc>
      </w:tr>
      <w:tr>
        <w:trPr>
          <w:cantSplit/>
        </w:trPr>
        <w:tc>
          <w:tcPr>
            <w:tcW w:type="dxa" w:w="5102"/>
          </w:tcPr>
          <w:p>
            <w:r/>
            <w:r>
              <w:rPr>
                <w:color w:val="1A1D21"/>
                <w:sz w:val="17"/>
              </w:rPr>
              <w:t>Enterprise value</w:t>
            </w:r>
          </w:p>
        </w:tc>
        <w:tc>
          <w:tcPr>
            <w:tcW w:type="dxa" w:w="2835"/>
          </w:tcPr>
          <w:p>
            <w:pPr>
              <w:jc w:val="right"/>
            </w:pPr>
            <w:r/>
            <w:r>
              <w:rPr>
                <w:color w:val="1A1D21"/>
                <w:sz w:val="17"/>
              </w:rPr>
              <w:t>61,999</w:t>
            </w:r>
          </w:p>
        </w:tc>
      </w:tr>
      <w:tr>
        <w:trPr>
          <w:cantSplit/>
        </w:trPr>
        <w:tc>
          <w:tcPr>
            <w:tcW w:type="dxa" w:w="5102"/>
          </w:tcPr>
          <w:p>
            <w:r/>
            <w:r>
              <w:rPr>
                <w:color w:val="1A1D21"/>
                <w:sz w:val="17"/>
              </w:rPr>
              <w:t>less net debt</w:t>
            </w:r>
          </w:p>
        </w:tc>
        <w:tc>
          <w:tcPr>
            <w:tcW w:type="dxa" w:w="2835"/>
          </w:tcPr>
          <w:p>
            <w:pPr>
              <w:jc w:val="right"/>
            </w:pPr>
            <w:r/>
            <w:r>
              <w:rPr>
                <w:color w:val="1A1D21"/>
                <w:sz w:val="17"/>
              </w:rPr>
              <w:t>(24,133)</w:t>
            </w:r>
          </w:p>
        </w:tc>
      </w:tr>
      <w:tr>
        <w:trPr>
          <w:cantSplit/>
        </w:trPr>
        <w:tc>
          <w:tcPr>
            <w:tcW w:type="dxa" w:w="5102"/>
          </w:tcPr>
          <w:p>
            <w:r/>
            <w:r>
              <w:rPr>
                <w:color w:val="1A1D21"/>
                <w:sz w:val="17"/>
              </w:rPr>
              <w:t>plus associates and investment property</w:t>
            </w:r>
          </w:p>
        </w:tc>
        <w:tc>
          <w:tcPr>
            <w:tcW w:type="dxa" w:w="2835"/>
          </w:tcPr>
          <w:p>
            <w:pPr>
              <w:jc w:val="right"/>
            </w:pPr>
            <w:r/>
            <w:r>
              <w:rPr>
                <w:color w:val="1A1D21"/>
                <w:sz w:val="17"/>
              </w:rPr>
              <w:t>4,644</w:t>
            </w:r>
          </w:p>
        </w:tc>
      </w:tr>
      <w:tr>
        <w:trPr>
          <w:cantSplit/>
        </w:trPr>
        <w:tc>
          <w:tcPr>
            <w:tcW w:type="dxa" w:w="5102"/>
          </w:tcPr>
          <w:p>
            <w:r/>
            <w:r>
              <w:rPr>
                <w:color w:val="1A1D21"/>
                <w:sz w:val="17"/>
              </w:rPr>
              <w:t>Equity</w:t>
            </w:r>
          </w:p>
        </w:tc>
        <w:tc>
          <w:tcPr>
            <w:tcW w:type="dxa" w:w="2835"/>
          </w:tcPr>
          <w:p>
            <w:pPr>
              <w:jc w:val="right"/>
            </w:pPr>
            <w:r/>
            <w:r>
              <w:rPr>
                <w:color w:val="1A1D21"/>
                <w:sz w:val="17"/>
              </w:rPr>
              <w:t>42,510</w:t>
            </w:r>
          </w:p>
        </w:tc>
      </w:tr>
      <w:tr>
        <w:trPr>
          <w:cantSplit/>
        </w:trPr>
        <w:tc>
          <w:tcPr>
            <w:tcW w:type="dxa" w:w="5102"/>
          </w:tcPr>
          <w:p>
            <w:r/>
            <w:r>
              <w:rPr>
                <w:color w:val="1A1D21"/>
                <w:sz w:val="17"/>
              </w:rPr>
              <w:t>Per share (EGP)</w:t>
            </w:r>
          </w:p>
        </w:tc>
        <w:tc>
          <w:tcPr>
            <w:tcW w:type="dxa" w:w="2835"/>
          </w:tcPr>
          <w:p>
            <w:pPr>
              <w:jc w:val="right"/>
            </w:pPr>
            <w:r/>
            <w:r>
              <w:rPr>
                <w:color w:val="1A1D21"/>
                <w:sz w:val="17"/>
              </w:rPr>
              <w:t>14.86</w:t>
            </w:r>
          </w:p>
        </w:tc>
      </w:tr>
    </w:tbl>
    <w:p>
      <w:pPr>
        <w:spacing w:after="80"/>
      </w:pPr>
      <w:r>
        <w:rPr>
          <w:b w:val="0"/>
          <w:i w:val="0"/>
          <w:color w:val="1A1D21"/>
          <w:sz w:val="8"/>
        </w:rPr>
      </w:r>
    </w:p>
    <w:p>
      <w:pPr>
        <w:spacing w:after="140"/>
      </w:pPr>
      <w:r>
        <w:rPr>
          <w:b w:val="0"/>
          <w:i w:val="0"/>
          <w:color w:val="1A1D21"/>
          <w:sz w:val="20"/>
        </w:rPr>
        <w:t>Named sensitivity: a move in cash conversion from 3.9% to 17.9% takes the answer from EGP 4.29 to EGP 35.14. Falsifier stated in advance: if the 2026 and 2027 cash-flow statements show conversion inside two percentage points of 8.7%, this reading is right and the range should collapse toward its centre; if they straddle the full observed spread again, the method should be abandoned for this company.</w:t>
      </w:r>
    </w:p>
    <w:p>
      <w:pPr>
        <w:pStyle w:val="Heading2"/>
      </w:pPr>
      <w:r>
        <w:t>C.2  Expert 2 — the asset-based analyst</w:t>
      </w:r>
    </w:p>
    <w:p>
      <w:pPr>
        <w:spacing w:after="140"/>
      </w:pPr>
      <w:r>
        <w:rPr>
          <w:b w:val="0"/>
          <w:i w:val="0"/>
          <w:color w:val="1A1D21"/>
          <w:sz w:val="20"/>
        </w:rPr>
        <w:t>Worldview: a developer is a pile of land, work in progress and receivables, less what it owes. Earnings are an accident of timing. When it works: asset-heavy businesses in distress or in wind-down. When it fails: going concerns whose value is in execution.</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w:t>
            </w:r>
          </w:p>
        </w:tc>
        <w:tc>
          <w:tcPr>
            <w:tcW w:type="dxa" w:w="2835"/>
          </w:tcPr>
          <w:p>
            <w:r/>
            <w:r>
              <w:rPr>
                <w:b/>
                <w:color w:val="5B6570"/>
                <w:sz w:val="17"/>
              </w:rPr>
              <w:t>EGP mn</w:t>
            </w:r>
          </w:p>
        </w:tc>
      </w:tr>
      <w:tr>
        <w:trPr>
          <w:cantSplit/>
        </w:trPr>
        <w:tc>
          <w:tcPr>
            <w:tcW w:type="dxa" w:w="5102"/>
          </w:tcPr>
          <w:p>
            <w:r/>
            <w:r>
              <w:rPr>
                <w:color w:val="1A1D21"/>
                <w:sz w:val="17"/>
              </w:rPr>
              <w:t>Work in progress</w:t>
            </w:r>
          </w:p>
        </w:tc>
        <w:tc>
          <w:tcPr>
            <w:tcW w:type="dxa" w:w="2835"/>
          </w:tcPr>
          <w:p>
            <w:pPr>
              <w:jc w:val="right"/>
            </w:pPr>
            <w:r/>
            <w:r>
              <w:rPr>
                <w:color w:val="1A1D21"/>
                <w:sz w:val="17"/>
              </w:rPr>
              <w:t>17,571</w:t>
            </w:r>
          </w:p>
        </w:tc>
      </w:tr>
      <w:tr>
        <w:trPr>
          <w:cantSplit/>
        </w:trPr>
        <w:tc>
          <w:tcPr>
            <w:tcW w:type="dxa" w:w="5102"/>
          </w:tcPr>
          <w:p>
            <w:r/>
            <w:r>
              <w:rPr>
                <w:color w:val="1A1D21"/>
                <w:sz w:val="17"/>
              </w:rPr>
              <w:t>Receivables, trade and instalment</w:t>
            </w:r>
          </w:p>
        </w:tc>
        <w:tc>
          <w:tcPr>
            <w:tcW w:type="dxa" w:w="2835"/>
          </w:tcPr>
          <w:p>
            <w:pPr>
              <w:jc w:val="right"/>
            </w:pPr>
            <w:r/>
            <w:r>
              <w:rPr>
                <w:color w:val="1A1D21"/>
                <w:sz w:val="17"/>
              </w:rPr>
              <w:t>103,511</w:t>
            </w:r>
          </w:p>
        </w:tc>
      </w:tr>
      <w:tr>
        <w:trPr>
          <w:cantSplit/>
        </w:trPr>
        <w:tc>
          <w:tcPr>
            <w:tcW w:type="dxa" w:w="5102"/>
          </w:tcPr>
          <w:p>
            <w:r/>
            <w:r>
              <w:rPr>
                <w:color w:val="1A1D21"/>
                <w:sz w:val="17"/>
              </w:rPr>
              <w:t>Cash</w:t>
            </w:r>
          </w:p>
        </w:tc>
        <w:tc>
          <w:tcPr>
            <w:tcW w:type="dxa" w:w="2835"/>
          </w:tcPr>
          <w:p>
            <w:pPr>
              <w:jc w:val="right"/>
            </w:pPr>
            <w:r/>
            <w:r>
              <w:rPr>
                <w:color w:val="1A1D21"/>
                <w:sz w:val="17"/>
              </w:rPr>
              <w:t>9,420</w:t>
            </w:r>
          </w:p>
        </w:tc>
      </w:tr>
      <w:tr>
        <w:trPr>
          <w:cantSplit/>
        </w:trPr>
        <w:tc>
          <w:tcPr>
            <w:tcW w:type="dxa" w:w="5102"/>
          </w:tcPr>
          <w:p>
            <w:r/>
            <w:r>
              <w:rPr>
                <w:color w:val="1A1D21"/>
                <w:sz w:val="17"/>
              </w:rPr>
              <w:t>Investments and investment property</w:t>
            </w:r>
          </w:p>
        </w:tc>
        <w:tc>
          <w:tcPr>
            <w:tcW w:type="dxa" w:w="2835"/>
          </w:tcPr>
          <w:p>
            <w:pPr>
              <w:jc w:val="right"/>
            </w:pPr>
            <w:r/>
            <w:r>
              <w:rPr>
                <w:color w:val="1A1D21"/>
                <w:sz w:val="17"/>
              </w:rPr>
              <w:t>4,644</w:t>
            </w:r>
          </w:p>
        </w:tc>
      </w:tr>
      <w:tr>
        <w:trPr>
          <w:cantSplit/>
        </w:trPr>
        <w:tc>
          <w:tcPr>
            <w:tcW w:type="dxa" w:w="5102"/>
          </w:tcPr>
          <w:p>
            <w:r/>
            <w:r>
              <w:rPr>
                <w:color w:val="1A1D21"/>
                <w:sz w:val="17"/>
              </w:rPr>
              <w:t>less advances from customers</w:t>
            </w:r>
          </w:p>
        </w:tc>
        <w:tc>
          <w:tcPr>
            <w:tcW w:type="dxa" w:w="2835"/>
          </w:tcPr>
          <w:p>
            <w:pPr>
              <w:jc w:val="right"/>
            </w:pPr>
            <w:r/>
            <w:r>
              <w:rPr>
                <w:color w:val="1A1D21"/>
                <w:sz w:val="17"/>
              </w:rPr>
              <w:t>(69,354)</w:t>
            </w:r>
          </w:p>
        </w:tc>
      </w:tr>
      <w:tr>
        <w:trPr>
          <w:cantSplit/>
        </w:trPr>
        <w:tc>
          <w:tcPr>
            <w:tcW w:type="dxa" w:w="5102"/>
          </w:tcPr>
          <w:p>
            <w:r/>
            <w:r>
              <w:rPr>
                <w:color w:val="1A1D21"/>
                <w:sz w:val="17"/>
              </w:rPr>
              <w:t>less gross borrowings</w:t>
            </w:r>
          </w:p>
        </w:tc>
        <w:tc>
          <w:tcPr>
            <w:tcW w:type="dxa" w:w="2835"/>
          </w:tcPr>
          <w:p>
            <w:pPr>
              <w:jc w:val="right"/>
            </w:pPr>
            <w:r/>
            <w:r>
              <w:rPr>
                <w:color w:val="1A1D21"/>
                <w:sz w:val="17"/>
              </w:rPr>
              <w:t>(33,552.7)</w:t>
            </w:r>
          </w:p>
        </w:tc>
      </w:tr>
      <w:tr>
        <w:trPr>
          <w:cantSplit/>
        </w:trPr>
        <w:tc>
          <w:tcPr>
            <w:tcW w:type="dxa" w:w="5102"/>
          </w:tcPr>
          <w:p>
            <w:r/>
            <w:r>
              <w:rPr>
                <w:color w:val="1A1D21"/>
                <w:sz w:val="17"/>
              </w:rPr>
              <w:t>less other liabilities, balancing</w:t>
            </w:r>
          </w:p>
        </w:tc>
        <w:tc>
          <w:tcPr>
            <w:tcW w:type="dxa" w:w="2835"/>
          </w:tcPr>
          <w:p>
            <w:pPr>
              <w:jc w:val="right"/>
            </w:pPr>
            <w:r/>
            <w:r>
              <w:rPr>
                <w:color w:val="1A1D21"/>
                <w:sz w:val="17"/>
              </w:rPr>
              <w:t>(50,457.3)</w:t>
            </w:r>
          </w:p>
        </w:tc>
      </w:tr>
      <w:tr>
        <w:trPr>
          <w:cantSplit/>
        </w:trPr>
        <w:tc>
          <w:tcPr>
            <w:tcW w:type="dxa" w:w="5102"/>
          </w:tcPr>
          <w:p>
            <w:r/>
            <w:r>
              <w:rPr>
                <w:color w:val="1A1D21"/>
                <w:sz w:val="17"/>
              </w:rPr>
              <w:t>Shareholders' funds as reported</w:t>
            </w:r>
          </w:p>
        </w:tc>
        <w:tc>
          <w:tcPr>
            <w:tcW w:type="dxa" w:w="2835"/>
          </w:tcPr>
          <w:p>
            <w:pPr>
              <w:jc w:val="right"/>
            </w:pPr>
            <w:r/>
            <w:r>
              <w:rPr>
                <w:color w:val="1A1D21"/>
                <w:sz w:val="17"/>
              </w:rPr>
              <w:t>18,766</w:t>
            </w:r>
          </w:p>
        </w:tc>
      </w:tr>
      <w:tr>
        <w:trPr>
          <w:cantSplit/>
        </w:trPr>
        <w:tc>
          <w:tcPr>
            <w:tcW w:type="dxa" w:w="5102"/>
          </w:tcPr>
          <w:p>
            <w:r/>
            <w:r>
              <w:rPr>
                <w:color w:val="1A1D21"/>
                <w:sz w:val="17"/>
              </w:rPr>
              <w:t>Per share (EGP)</w:t>
            </w:r>
          </w:p>
        </w:tc>
        <w:tc>
          <w:tcPr>
            <w:tcW w:type="dxa" w:w="2835"/>
          </w:tcPr>
          <w:p>
            <w:pPr>
              <w:jc w:val="right"/>
            </w:pPr>
            <w:r/>
            <w:r>
              <w:rPr>
                <w:color w:val="1A1D21"/>
                <w:sz w:val="17"/>
              </w:rPr>
              <w:t>6.56</w:t>
            </w:r>
          </w:p>
        </w:tc>
      </w:tr>
    </w:tbl>
    <w:p>
      <w:pPr>
        <w:spacing w:after="80"/>
      </w:pPr>
      <w:r>
        <w:rPr>
          <w:b w:val="0"/>
          <w:i w:val="0"/>
          <w:color w:val="1A1D21"/>
          <w:sz w:val="8"/>
        </w:rPr>
      </w:r>
    </w:p>
    <w:p>
      <w:pPr>
        <w:spacing w:after="140"/>
      </w:pPr>
      <w:r>
        <w:rPr>
          <w:b w:val="0"/>
          <w:i w:val="0"/>
          <w:color w:val="1A1D21"/>
          <w:sz w:val="20"/>
        </w:rPr>
        <w:t>Named sensitivity: the instalment receivable book is carried at face value less unwinding discount. A 10 per cent write-down of that book would remove roughly EGP 10,106 million, about EGP 3.53 a share. Falsifier: evidence of material cancellations or receivable impairment would confirm this reading and invalidate the cash-flow one.</w:t>
      </w:r>
    </w:p>
    <w:p>
      <w:pPr>
        <w:pStyle w:val="Heading2"/>
      </w:pPr>
      <w:r>
        <w:t>C.3  Expert 3 — the market-implied analyst</w:t>
      </w:r>
    </w:p>
    <w:p>
      <w:pPr>
        <w:spacing w:after="140"/>
      </w:pPr>
      <w:r>
        <w:rPr>
          <w:b w:val="0"/>
          <w:i w:val="0"/>
          <w:color w:val="1A1D21"/>
          <w:sz w:val="20"/>
        </w:rPr>
        <w:t>Worldview: do not value the company; ask what the price already assumes, then judge whether that assumption is reasonable. When it works: where a single variable dominates. When it fails: where the market is wrong about many things at once.</w:t>
      </w:r>
    </w:p>
    <w:p>
      <w:pPr>
        <w:spacing w:after="140"/>
      </w:pPr>
      <w:r>
        <w:rPr>
          <w:b w:val="0"/>
          <w:i w:val="0"/>
          <w:color w:val="1A1D21"/>
          <w:sz w:val="20"/>
        </w:rPr>
        <w:t>Working: holding the cost of capital at 26.25% and every other input at the audited 2025 base, the closing price of EGP 15.20 implies cash conversion of 8.9%. The company achieved 4.3% in 2023, 17.9% in 2024 and 3.9% in 2025. Named sensitivity: at a 25.24% cost of capital the implied rate would be lower still. Falsifier: if 2026 conversion prints above 8.9%, the price was too low.</w:t>
      </w:r>
    </w:p>
    <w:p>
      <w:pPr>
        <w:pStyle w:val="Heading2"/>
      </w:pPr>
      <w:r>
        <w:t>C.4  Cross-examination</w:t>
      </w:r>
    </w:p>
    <w:p>
      <w:pPr>
        <w:pStyle w:val="ListBullet"/>
        <w:spacing w:after="60"/>
      </w:pPr>
      <w:r>
        <w:rPr>
          <w:color w:val="1A1D21"/>
          <w:sz w:val="20"/>
        </w:rPr>
        <w:t>Expert 2 to Expert 1: your terminal value is 63% of your answer, so you are mostly valuing years you cannot see. CONCEDED — it is why no single figure is published.</w:t>
      </w:r>
    </w:p>
    <w:p>
      <w:pPr>
        <w:pStyle w:val="ListBullet"/>
        <w:spacing w:after="60"/>
      </w:pPr>
      <w:r>
        <w:rPr>
          <w:color w:val="1A1D21"/>
          <w:sz w:val="20"/>
        </w:rPr>
        <w:t>Expert 1 to Expert 2: book value ignores that the company sells at roughly 41.2% gross margin, so its inventory is worth more than cost. CONCEDED — book is a floor, not a value.</w:t>
      </w:r>
    </w:p>
    <w:p>
      <w:pPr>
        <w:pStyle w:val="ListBullet"/>
        <w:spacing w:after="60"/>
      </w:pPr>
      <w:r>
        <w:rPr>
          <w:color w:val="1A1D21"/>
          <w:sz w:val="20"/>
        </w:rPr>
        <w:t>Expert 3 to both: you disagree by a factor of four and the market sits between you, so neither of you is adding information. REJECTED — the range is the information; a false point estimate would not be.</w:t>
      </w:r>
    </w:p>
    <w:p>
      <w:pPr>
        <w:pStyle w:val="ListBullet"/>
        <w:spacing w:after="60"/>
      </w:pPr>
      <w:r>
        <w:rPr>
          <w:color w:val="1A1D21"/>
          <w:sz w:val="20"/>
        </w:rPr>
        <w:t>Expert 2 to Expert 3: the price also reflects Egyptian equity risk appetite, not just this company's conversion rate. CONCEDED — the implied figure is a single-variable solve and is labelled as one.</w:t>
      </w:r>
    </w:p>
    <w:p>
      <w:pPr>
        <w:pStyle w:val="Heading2"/>
      </w:pPr>
      <w:r>
        <w:t>C.5  The three in one room</w:t>
      </w:r>
    </w:p>
    <w:p>
      <w:pPr>
        <w:spacing w:after="140"/>
      </w:pPr>
      <w:r>
        <w:rPr>
          <w:b w:val="0"/>
          <w:i w:val="0"/>
          <w:color w:val="1A1D21"/>
          <w:sz w:val="20"/>
        </w:rPr>
        <w:t>They agree on the facts and disagree on one number. All three accept the audited 2025 base, the 26.25% cost of capital and the order book. Expert 1 needs a conversion rate to produce an answer; Expert 2 refuses to forecast one and prices the assets instead; Expert 3 asks what rate is already in the price. The room's joint position is that Palm Hills is worth between EGP 4.29 and EGP 35.14, that the price of EGP 15.20 sits in the lower half of that range, and that the width is a property of the disclosure rather than of the analysis.</w:t>
      </w:r>
    </w:p>
    <w:p>
      <w:pPr>
        <w:pStyle w:val="Heading2"/>
      </w:pPr>
      <w:r>
        <w:t>C.6  Reading the divergence</w:t>
      </w:r>
    </w:p>
    <w:tbl>
      <w:tblPr>
        <w:tblStyle w:val="TableGrid"/>
        <w:tblW w:type="auto" w:w="0"/>
        <w:jc w:val="center"/>
        <w:tblLayout w:type="fixed"/>
        <w:tblLook w:firstColumn="1" w:firstRow="1" w:lastColumn="0" w:lastRow="0" w:noHBand="0" w:noVBand="1" w:val="04A0"/>
        <w:tblLayout w:type="fixed"/>
      </w:tblPr>
      <w:tblGrid>
        <w:gridCol w:w="1928"/>
        <w:gridCol w:w="1928"/>
        <w:gridCol w:w="1701"/>
        <w:gridCol w:w="1814"/>
        <w:gridCol w:w="1928"/>
      </w:tblGrid>
      <w:tr>
        <w:trPr>
          <w:tblHeader w:val="true"/>
        </w:trPr>
        <w:tc>
          <w:tcPr>
            <w:tcW w:type="dxa" w:w="1928"/>
          </w:tcPr>
          <w:p>
            <w:r/>
            <w:r>
              <w:rPr>
                <w:b/>
                <w:color w:val="5B6570"/>
                <w:sz w:val="17"/>
              </w:rPr>
              <w:t>Assumption</w:t>
            </w:r>
          </w:p>
        </w:tc>
        <w:tc>
          <w:tcPr>
            <w:tcW w:type="dxa" w:w="1928"/>
          </w:tcPr>
          <w:p>
            <w:r/>
            <w:r>
              <w:rPr>
                <w:b/>
                <w:color w:val="5B6570"/>
                <w:sz w:val="17"/>
              </w:rPr>
              <w:t>Expert 1</w:t>
            </w:r>
          </w:p>
        </w:tc>
        <w:tc>
          <w:tcPr>
            <w:tcW w:type="dxa" w:w="1701"/>
          </w:tcPr>
          <w:p>
            <w:r/>
            <w:r>
              <w:rPr>
                <w:b/>
                <w:color w:val="5B6570"/>
                <w:sz w:val="17"/>
              </w:rPr>
              <w:t>Expert 2</w:t>
            </w:r>
          </w:p>
        </w:tc>
        <w:tc>
          <w:tcPr>
            <w:tcW w:type="dxa" w:w="1814"/>
          </w:tcPr>
          <w:p>
            <w:r/>
            <w:r>
              <w:rPr>
                <w:b/>
                <w:color w:val="5B6570"/>
                <w:sz w:val="17"/>
              </w:rPr>
              <w:t>Expert 3</w:t>
            </w:r>
          </w:p>
        </w:tc>
        <w:tc>
          <w:tcPr>
            <w:tcW w:type="dxa" w:w="1928"/>
          </w:tcPr>
          <w:p>
            <w:r/>
            <w:r>
              <w:rPr>
                <w:b/>
                <w:color w:val="5B6570"/>
                <w:sz w:val="17"/>
              </w:rPr>
              <w:t>Drives the gap?</w:t>
            </w:r>
          </w:p>
        </w:tc>
      </w:tr>
      <w:tr>
        <w:trPr>
          <w:cantSplit/>
        </w:trPr>
        <w:tc>
          <w:tcPr>
            <w:tcW w:type="dxa" w:w="1928"/>
          </w:tcPr>
          <w:p>
            <w:r/>
            <w:r>
              <w:rPr>
                <w:color w:val="1A1D21"/>
                <w:sz w:val="17"/>
              </w:rPr>
              <w:t>Cash conversion</w:t>
            </w:r>
          </w:p>
        </w:tc>
        <w:tc>
          <w:tcPr>
            <w:tcW w:type="dxa" w:w="1928"/>
          </w:tcPr>
          <w:p>
            <w:r/>
            <w:r>
              <w:rPr>
                <w:color w:val="1A1D21"/>
                <w:sz w:val="17"/>
              </w:rPr>
              <w:t>3.9% to 17.9%</w:t>
            </w:r>
          </w:p>
        </w:tc>
        <w:tc>
          <w:tcPr>
            <w:tcW w:type="dxa" w:w="1701"/>
          </w:tcPr>
          <w:p>
            <w:r/>
            <w:r>
              <w:rPr>
                <w:color w:val="1A1D21"/>
                <w:sz w:val="17"/>
              </w:rPr>
              <w:t>not forecast</w:t>
            </w:r>
          </w:p>
        </w:tc>
        <w:tc>
          <w:tcPr>
            <w:tcW w:type="dxa" w:w="1814"/>
          </w:tcPr>
          <w:p>
            <w:r/>
            <w:r>
              <w:rPr>
                <w:color w:val="1A1D21"/>
                <w:sz w:val="17"/>
              </w:rPr>
              <w:t>8.9% implied</w:t>
            </w:r>
          </w:p>
        </w:tc>
        <w:tc>
          <w:tcPr>
            <w:tcW w:type="dxa" w:w="1928"/>
          </w:tcPr>
          <w:p>
            <w:r/>
            <w:r>
              <w:rPr>
                <w:color w:val="1A1D21"/>
                <w:sz w:val="17"/>
              </w:rPr>
              <w:t>YES — this is the whole gap</w:t>
            </w:r>
          </w:p>
        </w:tc>
      </w:tr>
      <w:tr>
        <w:trPr>
          <w:cantSplit/>
        </w:trPr>
        <w:tc>
          <w:tcPr>
            <w:tcW w:type="dxa" w:w="1928"/>
          </w:tcPr>
          <w:p>
            <w:r/>
            <w:r>
              <w:rPr>
                <w:color w:val="1A1D21"/>
                <w:sz w:val="17"/>
              </w:rPr>
              <w:t>Cost of capital</w:t>
            </w:r>
          </w:p>
        </w:tc>
        <w:tc>
          <w:tcPr>
            <w:tcW w:type="dxa" w:w="1928"/>
          </w:tcPr>
          <w:p>
            <w:pPr>
              <w:jc w:val="right"/>
            </w:pPr>
            <w:r/>
            <w:r>
              <w:rPr>
                <w:color w:val="1A1D21"/>
                <w:sz w:val="17"/>
              </w:rPr>
              <w:t>26.25%</w:t>
            </w:r>
          </w:p>
        </w:tc>
        <w:tc>
          <w:tcPr>
            <w:tcW w:type="dxa" w:w="1701"/>
          </w:tcPr>
          <w:p>
            <w:r/>
            <w:r>
              <w:rPr>
                <w:color w:val="1A1D21"/>
                <w:sz w:val="17"/>
              </w:rPr>
              <w:t>not used</w:t>
            </w:r>
          </w:p>
        </w:tc>
        <w:tc>
          <w:tcPr>
            <w:tcW w:type="dxa" w:w="1814"/>
          </w:tcPr>
          <w:p>
            <w:pPr>
              <w:jc w:val="right"/>
            </w:pPr>
            <w:r/>
            <w:r>
              <w:rPr>
                <w:color w:val="1A1D21"/>
                <w:sz w:val="17"/>
              </w:rPr>
              <w:t>26.25%</w:t>
            </w:r>
          </w:p>
        </w:tc>
        <w:tc>
          <w:tcPr>
            <w:tcW w:type="dxa" w:w="1928"/>
          </w:tcPr>
          <w:p>
            <w:r/>
            <w:r>
              <w:rPr>
                <w:color w:val="1A1D21"/>
                <w:sz w:val="17"/>
              </w:rPr>
              <w:t>no — shared</w:t>
            </w:r>
          </w:p>
        </w:tc>
      </w:tr>
      <w:tr>
        <w:trPr>
          <w:cantSplit/>
        </w:trPr>
        <w:tc>
          <w:tcPr>
            <w:tcW w:type="dxa" w:w="1928"/>
          </w:tcPr>
          <w:p>
            <w:r/>
            <w:r>
              <w:rPr>
                <w:color w:val="1A1D21"/>
                <w:sz w:val="17"/>
              </w:rPr>
              <w:t>Receivable book</w:t>
            </w:r>
          </w:p>
        </w:tc>
        <w:tc>
          <w:tcPr>
            <w:tcW w:type="dxa" w:w="1928"/>
          </w:tcPr>
          <w:p>
            <w:r/>
            <w:r>
              <w:rPr>
                <w:color w:val="1A1D21"/>
                <w:sz w:val="17"/>
              </w:rPr>
              <w:t>collected on schedule</w:t>
            </w:r>
          </w:p>
        </w:tc>
        <w:tc>
          <w:tcPr>
            <w:tcW w:type="dxa" w:w="1701"/>
          </w:tcPr>
          <w:p>
            <w:r/>
            <w:r>
              <w:rPr>
                <w:color w:val="1A1D21"/>
                <w:sz w:val="17"/>
              </w:rPr>
              <w:t>at carrying value</w:t>
            </w:r>
          </w:p>
        </w:tc>
        <w:tc>
          <w:tcPr>
            <w:tcW w:type="dxa" w:w="1814"/>
          </w:tcPr>
          <w:p>
            <w:r/>
            <w:r>
              <w:rPr>
                <w:color w:val="1A1D21"/>
                <w:sz w:val="17"/>
              </w:rPr>
              <w:t>as the market judges</w:t>
            </w:r>
          </w:p>
        </w:tc>
        <w:tc>
          <w:tcPr>
            <w:tcW w:type="dxa" w:w="1928"/>
          </w:tcPr>
          <w:p>
            <w:r/>
            <w:r>
              <w:rPr>
                <w:color w:val="1A1D21"/>
                <w:sz w:val="17"/>
              </w:rPr>
              <w:t>partly</w:t>
            </w:r>
          </w:p>
        </w:tc>
      </w:tr>
      <w:tr>
        <w:trPr>
          <w:cantSplit/>
        </w:trPr>
        <w:tc>
          <w:tcPr>
            <w:tcW w:type="dxa" w:w="1928"/>
          </w:tcPr>
          <w:p>
            <w:r/>
            <w:r>
              <w:rPr>
                <w:color w:val="1A1D21"/>
                <w:sz w:val="17"/>
              </w:rPr>
              <w:t>Terminal value</w:t>
            </w:r>
          </w:p>
        </w:tc>
        <w:tc>
          <w:tcPr>
            <w:tcW w:type="dxa" w:w="1928"/>
          </w:tcPr>
          <w:p>
            <w:r/>
            <w:r>
              <w:rPr>
                <w:color w:val="1A1D21"/>
                <w:sz w:val="17"/>
              </w:rPr>
              <w:t>63% of the answer</w:t>
            </w:r>
          </w:p>
        </w:tc>
        <w:tc>
          <w:tcPr>
            <w:tcW w:type="dxa" w:w="1701"/>
          </w:tcPr>
          <w:p>
            <w:r/>
            <w:r>
              <w:rPr>
                <w:color w:val="1A1D21"/>
                <w:sz w:val="17"/>
              </w:rPr>
              <w:t>none</w:t>
            </w:r>
          </w:p>
        </w:tc>
        <w:tc>
          <w:tcPr>
            <w:tcW w:type="dxa" w:w="1814"/>
          </w:tcPr>
          <w:p>
            <w:r/>
            <w:r>
              <w:rPr>
                <w:color w:val="1A1D21"/>
                <w:sz w:val="17"/>
              </w:rPr>
              <w:t>none</w:t>
            </w:r>
          </w:p>
        </w:tc>
        <w:tc>
          <w:tcPr>
            <w:tcW w:type="dxa" w:w="1928"/>
          </w:tcPr>
          <w:p>
            <w:r/>
            <w:r>
              <w:rPr>
                <w:color w:val="1A1D21"/>
                <w:sz w:val="17"/>
              </w:rPr>
              <w:t>yes for Expert 1 alone</w:t>
            </w:r>
          </w:p>
        </w:tc>
      </w:tr>
    </w:tbl>
    <w:p>
      <w:pPr>
        <w:spacing w:after="200"/>
      </w:pPr>
      <w:r>
        <w:rPr>
          <w:b w:val="0"/>
          <w:i/>
          <w:color w:val="5B6570"/>
          <w:sz w:val="16"/>
        </w:rPr>
        <w:t>One assumption explains almost all of the divergence, which is the clearest evidence that section 1.7 has identified the right crux.</w:t>
      </w:r>
    </w:p>
    <w:p>
      <w:r>
        <w:br w:type="page"/>
      </w:r>
    </w:p>
    <w:p>
      <w:pPr>
        <w:pStyle w:val="Heading1"/>
      </w:pPr>
      <w:r>
        <w:t>About this series</w:t>
      </w:r>
    </w:p>
    <w:p>
      <w:pPr>
        <w:spacing w:after="140"/>
      </w:pPr>
      <w:r>
        <w:rPr>
          <w:b w:val="0"/>
          <w:i w:val="0"/>
          <w:color w:val="1A1D21"/>
          <w:sz w:val="20"/>
        </w:rPr>
        <w:t>These studies value a company from its own disclosures, publish the reasoning alongside the answer, and record what the method has historically got right and wrong on that company. They carry no rating and no price target. Where a company does not disclose something the valuation needs, the study says so and prices the consequence rather than filling the gap.</w:t>
      </w:r>
    </w:p>
    <w:p>
      <w:pPr>
        <w:pStyle w:val="Heading1"/>
      </w:pPr>
      <w:r>
        <w:t>Disclosure and disclaimer</w:t>
      </w:r>
    </w:p>
    <w:p>
      <w:pPr>
        <w:spacing w:after="140"/>
      </w:pPr>
      <w:r>
        <w:rPr>
          <w:b w:val="0"/>
          <w:i w:val="0"/>
          <w:color w:val="5B6570"/>
          <w:sz w:val="17"/>
        </w:rPr>
        <w:t>This document is for information and education. It is not investment advice, not a recommendation, and not an offer or solicitation to buy or sell any security. It contains no rating and no price target. Figures are drawn from the company's published financial statements and results releases and from the named third-party sources; they may contain errors and are not warranted. Valuations are estimates that depend on assumptions stated in the text, and small changes in those assumptions produce large changes in the result, as section 1.9 shows directly. Past price behaviour does not predict future returns. Readers must reach their own conclusions and should take professional advice before acting. Edition of 30 August 2026; information set ends at the company's first-quarter 2026 results.</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