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594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559</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10</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14</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3</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170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29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8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3,883 daily sessions from 2 Jan 2011 to 24 Jul 2026, checked session by session against the exchange's own trading calendar before use. This is the capitalisation-weighted index of the exchange the share is listed on, which is the market measurement the method calls for. Regressed on it, the stock's weekly returns give a slope of 1.085.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161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594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559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9,355/day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owned-fleet time-charter equivalent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2.72x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time-charter-equivalent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a presentational driver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10.75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21.25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108.4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10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Running-cost escalation applied to crew, technical management, insurance and repairs — a domestic services and wage escalator, not a commodity index, because these are the physical drivers of the line</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average rate, against the rate achieved in the first quarter of 2026, in setting the second half of 2026. A half-and-half blend is a deliberate step down from a first half running far above it</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r>
        <w:trPr>
          <w:cantSplit w:val="true"/>
        </w:trPr>
        <w:tc>
          <w:tcPr>
            <w:tcW w:type="dxa" w:w="2088"/>
          </w:tcPr>
          <w:p>
            <w:pPr>
              <w:spacing w:after="20" w:before="0" w:line="240" w:lineRule="auto"/>
            </w:pPr>
            <w:r>
              <w:rPr>
                <w:color w:val="1C3A36"/>
                <w:sz w:val="14"/>
              </w:rPr>
              <w:t>lens weight dcf</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relative</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normalized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r>
        <w:trPr>
          <w:cantSplit w:val="true"/>
        </w:trPr>
        <w:tc>
          <w:tcPr>
            <w:tcW w:type="dxa" w:w="2088"/>
          </w:tcPr>
          <w:p>
            <w:pPr>
              <w:spacing w:after="20" w:before="0" w:line="240" w:lineRule="auto"/>
            </w:pPr>
            <w:r>
              <w:rPr>
                <w:color w:val="1C3A36"/>
                <w:sz w:val="14"/>
              </w:rPr>
              <w:t>lens weight book</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on how much weight each lens carries — see the judgements table</w:t>
            </w:r>
          </w:p>
        </w:tc>
      </w:tr>
    </w:tbl>
    <w:p>
      <w:pPr>
        <w:spacing w:after="40"/>
      </w:pPr>
    </w:p>
    <w:p>
      <w:pPr>
        <w:spacing w:after="60" w:before="180"/>
      </w:pPr>
      <w:r>
        <w:rPr>
          <w:b/>
          <w:i w:val="0"/>
          <w:color w:val="1C3A36"/>
          <w:sz w:val="22"/>
        </w:rPr>
        <w:t>Country layer — 14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3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Long-run nominal anchor for a dollar-pegged economy: a 2% inflation objective plus a 1.25% long-run real policy rate, the same construction the terminal growth rate rests on</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1.085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stock's own returns on the FTSE ADX General Index — the published index of the exchange the share is listed on — over the full listed history to the index's last available session</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0.199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dimson</w:t>
            </w:r>
          </w:p>
        </w:tc>
        <w:tc>
          <w:tcPr>
            <w:tcW w:type="dxa" w:w="1238"/>
          </w:tcPr>
          <w:p>
            <w:pPr>
              <w:spacing w:after="20" w:before="0" w:line="240" w:lineRule="auto"/>
              <w:jc w:val="right"/>
            </w:pPr>
            <w:r>
              <w:rPr>
                <w:color w:val="1C3A36"/>
                <w:sz w:val="14"/>
              </w:rPr>
              <w:t>1.164</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Lead-lag sum beta from the same series, one lead and two lags — the correction for co-movement a share books late because it does not trade every session</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0.705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same regression run against an equal-weight composite of the exchange's own listed names instead of the published index.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0.758</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1.412</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5.69 a share, rates settling 30% above that gives AED 6.97.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Weekly returns over the full listed history give a slope of 1.085 (161 paired observations, R-squared 0.158, standard error 0.199) and a cost of equity of 9.34%. The same returns over the same window, measured against an equal-weight composite of that exchange's own names instead, give 0.705, a cost of equity of 7.49% and a central figure of AED 7.68 against the published AED 6.60.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listed record is only 3.18 years,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1.412 in the low case and 0.758 in the high case. A higher slope discounts harder, so the upper bound is what belongs in the low case. On the cash-flow lens those give AED 3.48 and AED 9.00 a share against a base of AED 5.69.</w:t>
            </w:r>
          </w:p>
        </w:tc>
        <w:tc>
          <w:tcPr>
            <w:tcW w:type="dxa" w:w="4262"/>
          </w:tcPr>
          <w:p>
            <w:pPr>
              <w:spacing w:after="20" w:before="0" w:line="240" w:lineRule="auto"/>
            </w:pPr>
            <w:r>
              <w:rPr>
                <w:color w:val="1C3A36"/>
                <w:sz w:val="15"/>
              </w:rPr>
              <w:t>A tighter interval, which only more observations give. The standard error is 0.199 on a slope of 1.085, so the two bounds are 60% of the estimate apart and the cases inherit that width honestly. Round betas chosen by hand would look tidier and would be telling the reader less. The lead-lag variant of the same regression, at 1.164,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6.64 a share against the published AED 6.60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Deducted in full — USD 1,978.6m — in the bridge from enterprise to equity value, and charged as debt-like in the cash-flow lens, although the company classifies them as equity because their coupons are payable solely at its discretion. Their coupons never touch the income statement, so earnings available to ordinary holders are struck after them.</w:t>
            </w:r>
          </w:p>
        </w:tc>
        <w:tc>
          <w:tcPr>
            <w:tcW w:type="dxa" w:w="4262"/>
          </w:tcPr>
          <w:p>
            <w:pPr>
              <w:spacing w:after="20" w:before="0" w:line="240" w:lineRule="auto"/>
            </w:pPr>
            <w:r>
              <w:rPr>
                <w:color w:val="1C3A36"/>
                <w:sz w:val="15"/>
              </w:rPr>
              <w:t>They rank ahead of the ordinary shares whichever way they are classified, which is why they are deducted. Treating them as equity instead would add about AED 0.98 a share. A redemption, or a coupon actually deferred, would resolve the question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78%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5.82%,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9,355/day,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15.3%,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108.4,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0.907 against 0.705. The difference of 0.203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0.705 over the same window (R-squared 0.172, standard error 0.122, 163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1.085 on the same returns over the same window (R-squared 0.158, standard error 0.199, 161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704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721.3m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