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1.085,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5.69 a share; on the composite, AED 8.40. The first is adopted. Both are computed in full, both appear side by side in every table that matters, and they are never averaged into a single number.</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53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Very large crude carriers earned an average of USD 52,466 a day across FY2025; the company reported USD 145,000 a day in the first quarter of 2026 and indicated USD 260,000 for the second. The long-range classes moved the same way. The first quarter as a whole showed revenue of USD 1,083 million (-8% year on year, because low-margin chartered-in trading fell away), earnings before interest, tax, depreciation and amortisation of USD 368 million (+7%) and attributable profit of USD 203 million (+12%).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four lenses centre at AED 6.60 against a market price of 6.16 — 7% above the market price. The cash-flow lens on its own lands at AED 5.69, 8% below the market price. The honest conclusion is that this share is close to fairly priced on the evidence assembled here, not materially cheap.</w:t>
      </w:r>
    </w:p>
    <w:p>
      <w:pPr>
        <w:spacing w:after="200" w:before="0"/>
      </w:pPr>
      <w:r>
        <w:rPr>
          <w:b w:val="0"/>
          <w:i w:val="0"/>
          <w:color w:val="1C3A36"/>
          <w:sz w:val="21"/>
        </w:rPr>
        <w:t>The reason that conclusion is stronger than it looks rests on the discount rate. Measured against the published index of its own exchange, this share's beta is 1.085 — it moves with the market, near enough one for one, on 161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8.40. That construction is published beside the adopted one throughout, because a gap of AED 2.71 a share that turns on how an index is weighted is something a reader is entitled to see rather than a detail to bury. What remains genuinely open is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9.0% to 8.2% on the share's own beta of 1.085 against the published index of its own exchange, terminal growth 2%; 78% of enterprise value comes from the terminal value</w:t>
            </w:r>
          </w:p>
        </w:tc>
        <w:tc>
          <w:tcPr>
            <w:tcW w:type="dxa" w:w="1526"/>
          </w:tcPr>
          <w:p>
            <w:pPr>
              <w:spacing w:after="20"/>
              <w:jc w:val="right"/>
            </w:pPr>
            <w:r>
              <w:rPr>
                <w:color w:val="1C3A36"/>
                <w:sz w:val="16"/>
              </w:rPr>
              <w:t>3.48 – 9.00</w:t>
            </w:r>
          </w:p>
        </w:tc>
        <w:tc>
          <w:tcPr>
            <w:tcW w:type="dxa" w:w="1181"/>
          </w:tcPr>
          <w:p>
            <w:pPr>
              <w:spacing w:after="20"/>
              <w:jc w:val="right"/>
            </w:pPr>
            <w:r>
              <w:rPr>
                <w:color w:val="1C3A36"/>
                <w:sz w:val="16"/>
              </w:rPr>
              <w:t>5.69</w:t>
            </w:r>
          </w:p>
        </w:tc>
        <w:tc>
          <w:tcPr>
            <w:tcW w:type="dxa" w:w="1210"/>
          </w:tcPr>
          <w:p>
            <w:pPr>
              <w:spacing w:after="20"/>
              <w:jc w:val="right"/>
            </w:pPr>
            <w:r>
              <w:rPr>
                <w:color w:val="1C3A36"/>
                <w:sz w:val="16"/>
              </w:rPr>
              <w:t>-8%</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w:t>
            </w:r>
          </w:p>
        </w:tc>
        <w:tc>
          <w:tcPr>
            <w:tcW w:type="dxa" w:w="1526"/>
          </w:tcPr>
          <w:p>
            <w:pPr>
              <w:spacing w:after="20"/>
              <w:jc w:val="right"/>
            </w:pPr>
            <w:r>
              <w:rPr>
                <w:color w:val="1C3A36"/>
                <w:sz w:val="16"/>
              </w:rPr>
              <w:t>6.64 – 10.09</w:t>
            </w:r>
          </w:p>
        </w:tc>
        <w:tc>
          <w:tcPr>
            <w:tcW w:type="dxa" w:w="1181"/>
          </w:tcPr>
          <w:p>
            <w:pPr>
              <w:spacing w:after="20"/>
              <w:jc w:val="right"/>
            </w:pPr>
            <w:r>
              <w:rPr>
                <w:color w:val="1C3A36"/>
                <w:sz w:val="16"/>
              </w:rPr>
              <w:t>8.07</w:t>
            </w:r>
          </w:p>
        </w:tc>
        <w:tc>
          <w:tcPr>
            <w:tcW w:type="dxa" w:w="1210"/>
          </w:tcPr>
          <w:p>
            <w:pPr>
              <w:spacing w:after="20"/>
              <w:jc w:val="right"/>
            </w:pPr>
            <w:r>
              <w:rPr>
                <w:color w:val="1C3A36"/>
                <w:sz w:val="16"/>
              </w:rPr>
              <w:t>+31%</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1,948 million before interest, tax, depreciation and amortisation — at the same blended multiples</w:t>
            </w:r>
          </w:p>
        </w:tc>
        <w:tc>
          <w:tcPr>
            <w:tcW w:type="dxa" w:w="1526"/>
          </w:tcPr>
          <w:p>
            <w:pPr>
              <w:spacing w:after="20"/>
              <w:jc w:val="right"/>
            </w:pPr>
            <w:r>
              <w:rPr>
                <w:color w:val="1C3A36"/>
                <w:sz w:val="16"/>
              </w:rPr>
              <w:t>7.02 – 10.63</w:t>
            </w:r>
          </w:p>
        </w:tc>
        <w:tc>
          <w:tcPr>
            <w:tcW w:type="dxa" w:w="1181"/>
          </w:tcPr>
          <w:p>
            <w:pPr>
              <w:spacing w:after="20"/>
              <w:jc w:val="right"/>
            </w:pPr>
            <w:r>
              <w:rPr>
                <w:color w:val="1C3A36"/>
                <w:sz w:val="16"/>
              </w:rPr>
              <w:t>7.69</w:t>
            </w:r>
          </w:p>
        </w:tc>
        <w:tc>
          <w:tcPr>
            <w:tcW w:type="dxa" w:w="1210"/>
          </w:tcPr>
          <w:p>
            <w:pPr>
              <w:spacing w:after="20"/>
              <w:jc w:val="right"/>
            </w:pPr>
            <w:r>
              <w:rPr>
                <w:color w:val="1C3A36"/>
                <w:sz w:val="16"/>
              </w:rPr>
              <w:t>+25%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a justified 2.03× book value on AED 2.52 of book a share at a sustainable return on equity of 16.9%</w:t>
            </w:r>
          </w:p>
        </w:tc>
        <w:tc>
          <w:tcPr>
            <w:tcW w:type="dxa" w:w="1526"/>
          </w:tcPr>
          <w:p>
            <w:pPr>
              <w:spacing w:after="20"/>
              <w:jc w:val="right"/>
            </w:pPr>
            <w:r>
              <w:rPr>
                <w:color w:val="1C3A36"/>
                <w:sz w:val="16"/>
              </w:rPr>
              <w:t>3.49 – 7.64</w:t>
            </w:r>
          </w:p>
        </w:tc>
        <w:tc>
          <w:tcPr>
            <w:tcW w:type="dxa" w:w="1181"/>
          </w:tcPr>
          <w:p>
            <w:pPr>
              <w:spacing w:after="20"/>
              <w:jc w:val="right"/>
            </w:pPr>
            <w:r>
              <w:rPr>
                <w:color w:val="1C3A36"/>
                <w:sz w:val="16"/>
              </w:rPr>
              <w:t>5.11</w:t>
            </w:r>
          </w:p>
        </w:tc>
        <w:tc>
          <w:tcPr>
            <w:tcW w:type="dxa" w:w="1210"/>
          </w:tcPr>
          <w:p>
            <w:pPr>
              <w:spacing w:after="20"/>
              <w:jc w:val="right"/>
            </w:pPr>
            <w:r>
              <w:rPr>
                <w:color w:val="1C3A36"/>
                <w:sz w:val="16"/>
              </w:rPr>
              <w:t>-17%</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beta measured against the published index of its own exchange</w:t>
            </w:r>
          </w:p>
        </w:tc>
        <w:tc>
          <w:tcPr>
            <w:tcW w:type="dxa" w:w="1526"/>
            <w:shd w:val="clear" w:color="auto" w:fill="F6F1E6"/>
          </w:tcPr>
          <w:p>
            <w:pPr>
              <w:spacing w:after="20"/>
              <w:jc w:val="right"/>
            </w:pPr>
            <w:r>
              <w:rPr>
                <w:b/>
                <w:color w:val="1C3A36"/>
                <w:sz w:val="16"/>
              </w:rPr>
              <w:t>4.98 – 9.39</w:t>
            </w:r>
          </w:p>
        </w:tc>
        <w:tc>
          <w:tcPr>
            <w:tcW w:type="dxa" w:w="1181"/>
            <w:shd w:val="clear" w:color="auto" w:fill="F6F1E6"/>
          </w:tcPr>
          <w:p>
            <w:pPr>
              <w:spacing w:after="20"/>
              <w:jc w:val="right"/>
            </w:pPr>
            <w:r>
              <w:rPr>
                <w:b/>
                <w:color w:val="1C3A36"/>
                <w:sz w:val="16"/>
              </w:rPr>
              <w:t>6.60</w:t>
            </w:r>
          </w:p>
        </w:tc>
        <w:tc>
          <w:tcPr>
            <w:tcW w:type="dxa" w:w="1210"/>
            <w:shd w:val="clear" w:color="auto" w:fill="F6F1E6"/>
          </w:tcPr>
          <w:p>
            <w:pPr>
              <w:spacing w:after="20"/>
              <w:jc w:val="right"/>
            </w:pPr>
            <w:r>
              <w:rPr>
                <w:b/>
                <w:color w:val="1C3A36"/>
                <w:sz w:val="16"/>
              </w:rPr>
              <w:t>+7%</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1.085, cost of capital gliding 7.3% to 6.5%, and 84% of enterprise value from the terminal value. The published index is the yardstick this study adopts; the composite is shown because the gap turns on index weighting rather than on the company (section 1.8). The weighted central on this construction is AED 7.68</w:t>
            </w:r>
          </w:p>
        </w:tc>
        <w:tc>
          <w:tcPr>
            <w:tcW w:type="dxa" w:w="1526"/>
          </w:tcPr>
          <w:p>
            <w:pPr>
              <w:spacing w:after="20"/>
              <w:jc w:val="right"/>
            </w:pPr>
            <w:r>
              <w:rPr>
                <w:color w:val="1C3A36"/>
                <w:sz w:val="16"/>
              </w:rPr>
              <w:t>—</w:t>
            </w:r>
          </w:p>
        </w:tc>
        <w:tc>
          <w:tcPr>
            <w:tcW w:type="dxa" w:w="1181"/>
          </w:tcPr>
          <w:p>
            <w:pPr>
              <w:spacing w:after="20"/>
              <w:jc w:val="right"/>
            </w:pPr>
            <w:r>
              <w:rPr>
                <w:color w:val="1C3A36"/>
                <w:sz w:val="16"/>
              </w:rPr>
              <w:t>8.40</w:t>
            </w:r>
          </w:p>
        </w:tc>
        <w:tc>
          <w:tcPr>
            <w:tcW w:type="dxa" w:w="1210"/>
          </w:tcPr>
          <w:p>
            <w:pPr>
              <w:spacing w:after="20"/>
              <w:jc w:val="right"/>
            </w:pPr>
            <w:r>
              <w:rPr>
                <w:color w:val="1C3A36"/>
                <w:sz w:val="16"/>
              </w:rPr>
              <w:t>+36%</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6.97</w:t>
            </w:r>
          </w:p>
        </w:tc>
        <w:tc>
          <w:tcPr>
            <w:tcW w:type="dxa" w:w="1210"/>
          </w:tcPr>
          <w:p>
            <w:pPr>
              <w:spacing w:after="20"/>
              <w:jc w:val="right"/>
            </w:pPr>
            <w:r>
              <w:rPr>
                <w:color w:val="1C3A36"/>
                <w:sz w:val="16"/>
              </w:rPr>
              <w:t>+13%</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1,181 million, instead of their carrying value of USD 1,979 million (section 1.1)</w:t>
            </w:r>
          </w:p>
        </w:tc>
        <w:tc>
          <w:tcPr>
            <w:tcW w:type="dxa" w:w="1526"/>
          </w:tcPr>
          <w:p>
            <w:pPr>
              <w:spacing w:after="20"/>
              <w:jc w:val="right"/>
            </w:pPr>
            <w:r>
              <w:rPr>
                <w:color w:val="1C3A36"/>
                <w:sz w:val="16"/>
              </w:rPr>
              <w:t>—</w:t>
            </w:r>
          </w:p>
        </w:tc>
        <w:tc>
          <w:tcPr>
            <w:tcW w:type="dxa" w:w="1181"/>
          </w:tcPr>
          <w:p>
            <w:pPr>
              <w:spacing w:after="20"/>
              <w:jc w:val="right"/>
            </w:pPr>
            <w:r>
              <w:rPr>
                <w:color w:val="1C3A36"/>
                <w:sz w:val="16"/>
              </w:rPr>
              <w:t>6.09</w:t>
            </w:r>
          </w:p>
        </w:tc>
        <w:tc>
          <w:tcPr>
            <w:tcW w:type="dxa" w:w="1210"/>
          </w:tcPr>
          <w:p>
            <w:pPr>
              <w:spacing w:after="20"/>
              <w:jc w:val="right"/>
            </w:pPr>
            <w:r>
              <w:rPr>
                <w:color w:val="1C3A36"/>
                <w:sz w:val="16"/>
              </w:rPr>
              <w:t>-1%</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weighted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within the cash-flow lens the two bounds are set by the two ends of the beta's own 90% confidence interval, 1.412 at the bear end and 0.758 at the bull end, so the published span is the span the estimate itself supports rather than a pair of round numbers chosen by hand. The index reading is the largest of the three alternatives: AED 2.71 a share separates the two constructions on the cash-flow lens and AED 1.08 on the weighted central, and both are carried at full size through section 1.1, section 1.8, the comparison in section 4 and the expert panel. Terminal value is 78%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53 owned tankers across five size classes, of which 45 trade at spot rates and 8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0.23× the 2026E earnings this study forecasts, against the company's own stated medium-term target range of 2.0× to 2.5×</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vessel by vessel at the rate each size class earns, the gas carriers on contracted vessel-years at the day rate implied by their own revenue, and the remaining units on what they actually earned in the first quarter of 2026, annualised and grown. Section 1.6 sets the build out unit by unit.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4,589</w:t>
            </w:r>
          </w:p>
        </w:tc>
        <w:tc>
          <w:tcPr>
            <w:tcW w:type="dxa" w:w="1382"/>
          </w:tcPr>
          <w:p>
            <w:pPr>
              <w:spacing w:after="20"/>
              <w:jc w:val="right"/>
            </w:pPr>
            <w:r>
              <w:rPr>
                <w:color w:val="1C3A36"/>
                <w:sz w:val="16"/>
              </w:rPr>
              <w:t>4,725</w:t>
            </w:r>
          </w:p>
        </w:tc>
        <w:tc>
          <w:tcPr>
            <w:tcW w:type="dxa" w:w="1382"/>
          </w:tcPr>
          <w:p>
            <w:pPr>
              <w:spacing w:after="20"/>
              <w:jc w:val="right"/>
            </w:pPr>
            <w:r>
              <w:rPr>
                <w:color w:val="1C3A36"/>
                <w:sz w:val="16"/>
              </w:rPr>
              <w:t>4,942</w:t>
            </w:r>
          </w:p>
        </w:tc>
        <w:tc>
          <w:tcPr>
            <w:tcW w:type="dxa" w:w="1382"/>
          </w:tcPr>
          <w:p>
            <w:pPr>
              <w:spacing w:after="20"/>
              <w:jc w:val="right"/>
            </w:pPr>
            <w:r>
              <w:rPr>
                <w:color w:val="1C3A36"/>
                <w:sz w:val="16"/>
              </w:rPr>
              <w:t>4,966</w:t>
            </w:r>
          </w:p>
        </w:tc>
        <w:tc>
          <w:tcPr>
            <w:tcW w:type="dxa" w:w="1382"/>
          </w:tcPr>
          <w:p>
            <w:pPr>
              <w:spacing w:after="20"/>
              <w:jc w:val="right"/>
            </w:pPr>
            <w:r>
              <w:rPr>
                <w:color w:val="1C3A36"/>
                <w:sz w:val="16"/>
              </w:rPr>
              <w:t>4,906</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(2,729)</w:t>
            </w:r>
          </w:p>
        </w:tc>
        <w:tc>
          <w:tcPr>
            <w:tcW w:type="dxa" w:w="1382"/>
          </w:tcPr>
          <w:p>
            <w:pPr>
              <w:spacing w:after="20"/>
              <w:jc w:val="right"/>
            </w:pPr>
            <w:r>
              <w:rPr>
                <w:color w:val="1C3A36"/>
                <w:sz w:val="16"/>
              </w:rPr>
              <w:t>(2,802)</w:t>
            </w:r>
          </w:p>
        </w:tc>
        <w:tc>
          <w:tcPr>
            <w:tcW w:type="dxa" w:w="1382"/>
          </w:tcPr>
          <w:p>
            <w:pPr>
              <w:spacing w:after="20"/>
              <w:jc w:val="right"/>
            </w:pPr>
            <w:r>
              <w:rPr>
                <w:color w:val="1C3A36"/>
                <w:sz w:val="16"/>
              </w:rPr>
              <w:t>(2,909)</w:t>
            </w:r>
          </w:p>
        </w:tc>
        <w:tc>
          <w:tcPr>
            <w:tcW w:type="dxa" w:w="1382"/>
          </w:tcPr>
          <w:p>
            <w:pPr>
              <w:spacing w:after="20"/>
              <w:jc w:val="right"/>
            </w:pPr>
            <w:r>
              <w:rPr>
                <w:color w:val="1C3A36"/>
                <w:sz w:val="16"/>
              </w:rPr>
              <w:t>(2,960)</w:t>
            </w:r>
          </w:p>
        </w:tc>
        <w:tc>
          <w:tcPr>
            <w:tcW w:type="dxa" w:w="1382"/>
          </w:tcPr>
          <w:p>
            <w:pPr>
              <w:spacing w:after="20"/>
              <w:jc w:val="right"/>
            </w:pPr>
            <w:r>
              <w:rPr>
                <w:color w:val="1C3A36"/>
                <w:sz w:val="16"/>
              </w:rPr>
              <w:t>(2,986)</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1,860</w:t>
            </w:r>
          </w:p>
        </w:tc>
        <w:tc>
          <w:tcPr>
            <w:tcW w:type="dxa" w:w="1382"/>
          </w:tcPr>
          <w:p>
            <w:pPr>
              <w:spacing w:after="20"/>
              <w:jc w:val="right"/>
            </w:pPr>
            <w:r>
              <w:rPr>
                <w:color w:val="1C3A36"/>
                <w:sz w:val="16"/>
              </w:rPr>
              <w:t>1,923</w:t>
            </w:r>
          </w:p>
        </w:tc>
        <w:tc>
          <w:tcPr>
            <w:tcW w:type="dxa" w:w="1382"/>
          </w:tcPr>
          <w:p>
            <w:pPr>
              <w:spacing w:after="20"/>
              <w:jc w:val="right"/>
            </w:pPr>
            <w:r>
              <w:rPr>
                <w:color w:val="1C3A36"/>
                <w:sz w:val="16"/>
              </w:rPr>
              <w:t>2,033</w:t>
            </w:r>
          </w:p>
        </w:tc>
        <w:tc>
          <w:tcPr>
            <w:tcW w:type="dxa" w:w="1382"/>
          </w:tcPr>
          <w:p>
            <w:pPr>
              <w:spacing w:after="20"/>
              <w:jc w:val="right"/>
            </w:pPr>
            <w:r>
              <w:rPr>
                <w:color w:val="1C3A36"/>
                <w:sz w:val="16"/>
              </w:rPr>
              <w:t>2,007</w:t>
            </w:r>
          </w:p>
        </w:tc>
        <w:tc>
          <w:tcPr>
            <w:tcW w:type="dxa" w:w="1382"/>
          </w:tcPr>
          <w:p>
            <w:pPr>
              <w:spacing w:after="20"/>
              <w:jc w:val="right"/>
            </w:pPr>
            <w:r>
              <w:rPr>
                <w:color w:val="1C3A36"/>
                <w:sz w:val="16"/>
              </w:rPr>
              <w:t>1,919</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40.5%</w:t>
            </w:r>
          </w:p>
        </w:tc>
        <w:tc>
          <w:tcPr>
            <w:tcW w:type="dxa" w:w="1382"/>
          </w:tcPr>
          <w:p>
            <w:pPr>
              <w:spacing w:after="20"/>
              <w:jc w:val="right"/>
            </w:pPr>
            <w:r>
              <w:rPr>
                <w:color w:val="1C3A36"/>
                <w:sz w:val="16"/>
              </w:rPr>
              <w:t>40.7%</w:t>
            </w:r>
          </w:p>
        </w:tc>
        <w:tc>
          <w:tcPr>
            <w:tcW w:type="dxa" w:w="1382"/>
          </w:tcPr>
          <w:p>
            <w:pPr>
              <w:spacing w:after="20"/>
              <w:jc w:val="right"/>
            </w:pPr>
            <w:r>
              <w:rPr>
                <w:color w:val="1C3A36"/>
                <w:sz w:val="16"/>
              </w:rPr>
              <w:t>41.1%</w:t>
            </w:r>
          </w:p>
        </w:tc>
        <w:tc>
          <w:tcPr>
            <w:tcW w:type="dxa" w:w="1382"/>
          </w:tcPr>
          <w:p>
            <w:pPr>
              <w:spacing w:after="20"/>
              <w:jc w:val="right"/>
            </w:pPr>
            <w:r>
              <w:rPr>
                <w:color w:val="1C3A36"/>
                <w:sz w:val="16"/>
              </w:rPr>
              <w:t>40.4%</w:t>
            </w:r>
          </w:p>
        </w:tc>
        <w:tc>
          <w:tcPr>
            <w:tcW w:type="dxa" w:w="1382"/>
          </w:tcPr>
          <w:p>
            <w:pPr>
              <w:spacing w:after="20"/>
              <w:jc w:val="right"/>
            </w:pPr>
            <w:r>
              <w:rPr>
                <w:color w:val="1C3A36"/>
                <w:sz w:val="16"/>
              </w:rPr>
              <w:t>39.1%</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1,321</w:t>
            </w:r>
          </w:p>
        </w:tc>
        <w:tc>
          <w:tcPr>
            <w:tcW w:type="dxa" w:w="1382"/>
          </w:tcPr>
          <w:p>
            <w:pPr>
              <w:spacing w:after="20"/>
              <w:jc w:val="right"/>
            </w:pPr>
            <w:r>
              <w:rPr>
                <w:color w:val="1C3A36"/>
                <w:sz w:val="16"/>
              </w:rPr>
              <w:t>1,332</w:t>
            </w:r>
          </w:p>
        </w:tc>
        <w:tc>
          <w:tcPr>
            <w:tcW w:type="dxa" w:w="1382"/>
          </w:tcPr>
          <w:p>
            <w:pPr>
              <w:spacing w:after="20"/>
              <w:jc w:val="right"/>
            </w:pPr>
            <w:r>
              <w:rPr>
                <w:color w:val="1C3A36"/>
                <w:sz w:val="16"/>
              </w:rPr>
              <w:t>1,397</w:t>
            </w:r>
          </w:p>
        </w:tc>
        <w:tc>
          <w:tcPr>
            <w:tcW w:type="dxa" w:w="1382"/>
          </w:tcPr>
          <w:p>
            <w:pPr>
              <w:spacing w:after="20"/>
              <w:jc w:val="right"/>
            </w:pPr>
            <w:r>
              <w:rPr>
                <w:color w:val="1C3A36"/>
                <w:sz w:val="16"/>
              </w:rPr>
              <w:t>1,343</w:t>
            </w:r>
          </w:p>
        </w:tc>
        <w:tc>
          <w:tcPr>
            <w:tcW w:type="dxa" w:w="1382"/>
          </w:tcPr>
          <w:p>
            <w:pPr>
              <w:spacing w:after="20"/>
              <w:jc w:val="right"/>
            </w:pPr>
            <w:r>
              <w:rPr>
                <w:color w:val="1C3A36"/>
                <w:sz w:val="16"/>
              </w:rPr>
              <w:t>1,246</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3.8%</w:t>
            </w:r>
          </w:p>
        </w:tc>
        <w:tc>
          <w:tcPr>
            <w:tcW w:type="dxa" w:w="1382"/>
          </w:tcPr>
          <w:p>
            <w:pPr>
              <w:spacing w:after="20"/>
              <w:jc w:val="right"/>
            </w:pPr>
            <w:r>
              <w:rPr>
                <w:color w:val="1C3A36"/>
                <w:sz w:val="16"/>
              </w:rPr>
              <w:t>4.1%</w:t>
            </w:r>
          </w:p>
        </w:tc>
        <w:tc>
          <w:tcPr>
            <w:tcW w:type="dxa" w:w="1382"/>
          </w:tcPr>
          <w:p>
            <w:pPr>
              <w:spacing w:after="20"/>
              <w:jc w:val="right"/>
            </w:pPr>
            <w:r>
              <w:rPr>
                <w:color w:val="1C3A36"/>
                <w:sz w:val="16"/>
              </w:rPr>
              <w:t>4.2%</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4.9%</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1,272</w:t>
            </w:r>
          </w:p>
        </w:tc>
        <w:tc>
          <w:tcPr>
            <w:tcW w:type="dxa" w:w="1382"/>
          </w:tcPr>
          <w:p>
            <w:pPr>
              <w:spacing w:after="20"/>
              <w:jc w:val="right"/>
            </w:pPr>
            <w:r>
              <w:rPr>
                <w:color w:val="1C3A36"/>
                <w:sz w:val="16"/>
              </w:rPr>
              <w:t>1,278</w:t>
            </w:r>
          </w:p>
        </w:tc>
        <w:tc>
          <w:tcPr>
            <w:tcW w:type="dxa" w:w="1382"/>
          </w:tcPr>
          <w:p>
            <w:pPr>
              <w:spacing w:after="20"/>
              <w:jc w:val="right"/>
            </w:pPr>
            <w:r>
              <w:rPr>
                <w:color w:val="1C3A36"/>
                <w:sz w:val="16"/>
              </w:rPr>
              <w:t>1,339</w:t>
            </w:r>
          </w:p>
        </w:tc>
        <w:tc>
          <w:tcPr>
            <w:tcW w:type="dxa" w:w="1382"/>
          </w:tcPr>
          <w:p>
            <w:pPr>
              <w:spacing w:after="20"/>
              <w:jc w:val="right"/>
            </w:pPr>
            <w:r>
              <w:rPr>
                <w:color w:val="1C3A36"/>
                <w:sz w:val="16"/>
              </w:rPr>
              <w:t>1,283</w:t>
            </w:r>
          </w:p>
        </w:tc>
        <w:tc>
          <w:tcPr>
            <w:tcW w:type="dxa" w:w="1382"/>
          </w:tcPr>
          <w:p>
            <w:pPr>
              <w:spacing w:after="20"/>
              <w:jc w:val="right"/>
            </w:pPr>
            <w:r>
              <w:rPr>
                <w:color w:val="1C3A36"/>
                <w:sz w:val="16"/>
              </w:rPr>
              <w:t>1,185</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(137)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9</w:t>
            </w:r>
          </w:p>
        </w:tc>
        <w:tc>
          <w:tcPr>
            <w:tcW w:type="dxa" w:w="1382"/>
          </w:tcPr>
          <w:p>
            <w:pPr>
              <w:spacing w:after="20"/>
              <w:jc w:val="right"/>
            </w:pPr>
            <w:r>
              <w:rPr>
                <w:color w:val="1C3A36"/>
                <w:sz w:val="16"/>
              </w:rPr>
              <w:t>27</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298</w:t>
            </w:r>
          </w:p>
        </w:tc>
        <w:tc>
          <w:tcPr>
            <w:tcW w:type="dxa" w:w="1382"/>
            <w:shd w:val="clear" w:color="auto" w:fill="F6F1E6"/>
          </w:tcPr>
          <w:p>
            <w:pPr>
              <w:spacing w:after="20"/>
              <w:jc w:val="right"/>
            </w:pPr>
            <w:r>
              <w:rPr>
                <w:b/>
                <w:color w:val="1C3A36"/>
                <w:sz w:val="16"/>
              </w:rPr>
              <w:t>606</w:t>
            </w:r>
          </w:p>
        </w:tc>
        <w:tc>
          <w:tcPr>
            <w:tcW w:type="dxa" w:w="1382"/>
            <w:shd w:val="clear" w:color="auto" w:fill="F6F1E6"/>
          </w:tcPr>
          <w:p>
            <w:pPr>
              <w:spacing w:after="20"/>
              <w:jc w:val="right"/>
            </w:pPr>
            <w:r>
              <w:rPr>
                <w:b/>
                <w:color w:val="1C3A36"/>
                <w:sz w:val="16"/>
              </w:rPr>
              <w:t>700</w:t>
            </w:r>
          </w:p>
        </w:tc>
        <w:tc>
          <w:tcPr>
            <w:tcW w:type="dxa" w:w="1382"/>
            <w:shd w:val="clear" w:color="auto" w:fill="F6F1E6"/>
          </w:tcPr>
          <w:p>
            <w:pPr>
              <w:spacing w:after="20"/>
              <w:jc w:val="right"/>
            </w:pPr>
            <w:r>
              <w:rPr>
                <w:b/>
                <w:color w:val="1C3A36"/>
                <w:sz w:val="16"/>
              </w:rPr>
              <w:t>1,256</w:t>
            </w:r>
          </w:p>
        </w:tc>
        <w:tc>
          <w:tcPr>
            <w:tcW w:type="dxa" w:w="1382"/>
            <w:shd w:val="clear" w:color="auto" w:fill="F6F1E6"/>
          </w:tcPr>
          <w:p>
            <w:pPr>
              <w:spacing w:after="20"/>
              <w:jc w:val="right"/>
            </w:pPr>
            <w:r>
              <w:rPr>
                <w:b/>
                <w:color w:val="1C3A36"/>
                <w:sz w:val="16"/>
              </w:rPr>
              <w:t>1,235</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168</w:t>
            </w:r>
          </w:p>
        </w:tc>
        <w:tc>
          <w:tcPr>
            <w:tcW w:type="dxa" w:w="1382"/>
          </w:tcPr>
          <w:p>
            <w:pPr>
              <w:spacing w:after="20"/>
              <w:jc w:val="right"/>
            </w:pPr>
            <w:r>
              <w:rPr>
                <w:color w:val="1C3A36"/>
                <w:sz w:val="16"/>
              </w:rPr>
              <w:t>606</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1,256</w:t>
            </w:r>
          </w:p>
        </w:tc>
        <w:tc>
          <w:tcPr>
            <w:tcW w:type="dxa" w:w="1382"/>
          </w:tcPr>
          <w:p>
            <w:pPr>
              <w:spacing w:after="20"/>
              <w:jc w:val="right"/>
            </w:pPr>
            <w:r>
              <w:rPr>
                <w:color w:val="1C3A36"/>
                <w:sz w:val="16"/>
              </w:rPr>
              <w:t>1,235</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8.85%</w:t>
            </w:r>
          </w:p>
        </w:tc>
        <w:tc>
          <w:tcPr>
            <w:tcW w:type="dxa" w:w="1382"/>
          </w:tcPr>
          <w:p>
            <w:pPr>
              <w:spacing w:after="20"/>
              <w:jc w:val="right"/>
            </w:pPr>
            <w:r>
              <w:rPr>
                <w:color w:val="1C3A36"/>
                <w:sz w:val="16"/>
              </w:rPr>
              <w:t>8.69%</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8.37%</w:t>
            </w:r>
          </w:p>
        </w:tc>
        <w:tc>
          <w:tcPr>
            <w:tcW w:type="dxa" w:w="1382"/>
          </w:tcPr>
          <w:p>
            <w:pPr>
              <w:spacing w:after="20"/>
              <w:jc w:val="right"/>
            </w:pPr>
            <w:r>
              <w:rPr>
                <w:color w:val="1C3A36"/>
                <w:sz w:val="16"/>
              </w:rPr>
              <w:t>8.21%</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0.9384</w:t>
            </w:r>
          </w:p>
        </w:tc>
        <w:tc>
          <w:tcPr>
            <w:tcW w:type="dxa" w:w="1382"/>
          </w:tcPr>
          <w:p>
            <w:pPr>
              <w:spacing w:after="20"/>
              <w:jc w:val="right"/>
            </w:pPr>
            <w:r>
              <w:rPr>
                <w:color w:val="1C3A36"/>
                <w:sz w:val="16"/>
              </w:rPr>
              <w:t>0.8634</w:t>
            </w:r>
          </w:p>
        </w:tc>
        <w:tc>
          <w:tcPr>
            <w:tcW w:type="dxa" w:w="1382"/>
          </w:tcPr>
          <w:p>
            <w:pPr>
              <w:spacing w:after="20"/>
              <w:jc w:val="right"/>
            </w:pPr>
            <w:r>
              <w:rPr>
                <w:color w:val="1C3A36"/>
                <w:sz w:val="16"/>
              </w:rPr>
              <w:t>0.7955</w:t>
            </w:r>
          </w:p>
        </w:tc>
        <w:tc>
          <w:tcPr>
            <w:tcW w:type="dxa" w:w="1382"/>
          </w:tcPr>
          <w:p>
            <w:pPr>
              <w:spacing w:after="20"/>
              <w:jc w:val="right"/>
            </w:pPr>
            <w:r>
              <w:rPr>
                <w:color w:val="1C3A36"/>
                <w:sz w:val="16"/>
              </w:rPr>
              <w:t>0.7341</w:t>
            </w:r>
          </w:p>
        </w:tc>
        <w:tc>
          <w:tcPr>
            <w:tcW w:type="dxa" w:w="1382"/>
          </w:tcPr>
          <w:p>
            <w:pPr>
              <w:spacing w:after="20"/>
              <w:jc w:val="right"/>
            </w:pPr>
            <w:r>
              <w:rPr>
                <w:color w:val="1C3A36"/>
                <w:sz w:val="16"/>
              </w:rPr>
              <w:t>0.6784</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158</w:t>
            </w:r>
          </w:p>
        </w:tc>
        <w:tc>
          <w:tcPr>
            <w:tcW w:type="dxa" w:w="1382"/>
            <w:shd w:val="clear" w:color="auto" w:fill="F6F1E6"/>
          </w:tcPr>
          <w:p>
            <w:pPr>
              <w:spacing w:after="20"/>
              <w:jc w:val="right"/>
            </w:pPr>
            <w:r>
              <w:rPr>
                <w:b/>
                <w:color w:val="1C3A36"/>
                <w:sz w:val="16"/>
              </w:rPr>
              <w:t>523</w:t>
            </w:r>
          </w:p>
        </w:tc>
        <w:tc>
          <w:tcPr>
            <w:tcW w:type="dxa" w:w="1382"/>
            <w:shd w:val="clear" w:color="auto" w:fill="F6F1E6"/>
          </w:tcPr>
          <w:p>
            <w:pPr>
              <w:spacing w:after="20"/>
              <w:jc w:val="right"/>
            </w:pPr>
            <w:r>
              <w:rPr>
                <w:b/>
                <w:color w:val="1C3A36"/>
                <w:sz w:val="16"/>
              </w:rPr>
              <w:t>557</w:t>
            </w:r>
          </w:p>
        </w:tc>
        <w:tc>
          <w:tcPr>
            <w:tcW w:type="dxa" w:w="1382"/>
            <w:shd w:val="clear" w:color="auto" w:fill="F6F1E6"/>
          </w:tcPr>
          <w:p>
            <w:pPr>
              <w:spacing w:after="20"/>
              <w:jc w:val="right"/>
            </w:pPr>
            <w:r>
              <w:rPr>
                <w:b/>
                <w:color w:val="1C3A36"/>
                <w:sz w:val="16"/>
              </w:rPr>
              <w:t>922</w:t>
            </w:r>
          </w:p>
        </w:tc>
        <w:tc>
          <w:tcPr>
            <w:tcW w:type="dxa" w:w="1382"/>
            <w:shd w:val="clear" w:color="auto" w:fill="F6F1E6"/>
          </w:tcPr>
          <w:p>
            <w:pPr>
              <w:spacing w:after="20"/>
              <w:jc w:val="right"/>
            </w:pPr>
            <w:r>
              <w:rPr>
                <w:b/>
                <w:color w:val="1C3A36"/>
                <w:sz w:val="16"/>
              </w:rPr>
              <w:t>838</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3.8% rather than the 9% statutory rate: international shipping income is relieved under UAE law and the shipping units bore about 1% in FY2025. Working capital is carried at the collection, inventory and payment cycle the FY2025 statements actually show.</w:t>
      </w: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2,998</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1,001</w:t>
            </w:r>
          </w:p>
        </w:tc>
        <w:tc>
          <w:tcPr>
            <w:tcW w:type="dxa" w:w="5040"/>
          </w:tcPr>
          <w:p>
            <w:pPr>
              <w:spacing w:after="20"/>
              <w:jc w:val="left"/>
            </w:pPr>
            <w:r>
              <w:rPr>
                <w:color w:val="1C3A36"/>
                <w:sz w:val="16"/>
              </w:rPr>
              <w:t>2030E net operating profit after tax grown 2% and multiplied by one less the reinvestment rate of 17.1%; that reinvestment rate is forced to equal growth divided by the terminal return on invested capital of 11.7%,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10,944</w:t>
            </w:r>
          </w:p>
        </w:tc>
        <w:tc>
          <w:tcPr>
            <w:tcW w:type="dxa" w:w="5040"/>
          </w:tcPr>
          <w:p>
            <w:pPr>
              <w:spacing w:after="20"/>
              <w:jc w:val="left"/>
            </w:pPr>
            <w:r>
              <w:rPr>
                <w:color w:val="1C3A36"/>
                <w:sz w:val="16"/>
              </w:rPr>
              <w:t>the terminal cash flow capitalised at 8.2% less 2% = USD 16,132 million, discounted at the same year-five factor of 0.6784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13,942</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78.5%</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14,435</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deferred consideration on the staged acquisition, carried against the investment reserve — a real claim on the enterprise and treated as one</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(272)</w:t>
            </w:r>
          </w:p>
        </w:tc>
        <w:tc>
          <w:tcPr>
            <w:tcW w:type="dxa" w:w="5040"/>
          </w:tcPr>
          <w:p>
            <w:pPr>
              <w:spacing w:after="20"/>
              <w:jc w:val="left"/>
            </w:pPr>
            <w:r>
              <w:rPr>
                <w:color w:val="1C3A36"/>
                <w:sz w:val="16"/>
              </w:rPr>
              <w:t>the reviewed book value of the minority stakes, consistent with the 8.8% of group profit they took in the first quarter</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11,463</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1.55</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5.69</w:t>
            </w:r>
          </w:p>
        </w:tc>
        <w:tc>
          <w:tcPr>
            <w:tcW w:type="dxa" w:w="5040"/>
            <w:shd w:val="clear" w:color="auto" w:fill="F6F1E6"/>
          </w:tcPr>
          <w:p>
            <w:pPr>
              <w:spacing w:after="20"/>
              <w:jc w:val="left"/>
            </w:pPr>
            <w:r>
              <w:rPr>
                <w:b/>
                <w:color w:val="1C3A36"/>
                <w:sz w:val="16"/>
              </w:rPr>
              <w:t>against a market price of AED 6.16 (-8%)</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6.09</w:t>
            </w:r>
          </w:p>
        </w:tc>
        <w:tc>
          <w:tcPr>
            <w:tcW w:type="dxa" w:w="5040"/>
            <w:shd w:val="clear" w:color="auto" w:fill="F6F1E6"/>
          </w:tcPr>
          <w:p>
            <w:pPr>
              <w:spacing w:after="20"/>
              <w:jc w:val="left"/>
            </w:pPr>
            <w:r>
              <w:rPr>
                <w:b/>
                <w:color w:val="1C3A36"/>
                <w:sz w:val="16"/>
              </w:rPr>
              <w:t>deducting USD 1,181 million, the coupon capitalised at the terminal cost of capital, instead of the USD 1,979 million carrying value. Worth AED 0.40 a share. The securities are perpetual and non-amortising, so which of the two is right depends on whether the company ever calls them; both are shown</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over its full listed history give a beta of 1.085 — 161 observations, an R-squared of 0.158, a standard error of 0.199 and a 90% interval of [0.76, 1.41].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regression against an equal-weight composite of the same exchange's names and it gives 0.705 instead. That is a large difference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1.085</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9.34%</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9.01%</w:t>
            </w:r>
          </w:p>
        </w:tc>
        <w:tc>
          <w:tcPr>
            <w:tcW w:type="dxa" w:w="2808"/>
          </w:tcPr>
          <w:p>
            <w:pPr>
              <w:spacing w:after="20"/>
              <w:jc w:val="right"/>
            </w:pPr>
            <w:r>
              <w:rPr>
                <w:color w:val="1C3A36"/>
                <w:sz w:val="17"/>
              </w:rPr>
              <w:t>7.31%</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8.21%</w:t>
            </w:r>
          </w:p>
        </w:tc>
        <w:tc>
          <w:tcPr>
            <w:tcW w:type="dxa" w:w="2808"/>
          </w:tcPr>
          <w:p>
            <w:pPr>
              <w:spacing w:after="20"/>
              <w:jc w:val="right"/>
            </w:pPr>
            <w:r>
              <w:rPr>
                <w:color w:val="1C3A36"/>
                <w:sz w:val="17"/>
              </w:rPr>
              <w:t>6.51%</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2,998</w:t>
            </w:r>
          </w:p>
        </w:tc>
        <w:tc>
          <w:tcPr>
            <w:tcW w:type="dxa" w:w="2808"/>
          </w:tcPr>
          <w:p>
            <w:pPr>
              <w:spacing w:after="20"/>
              <w:jc w:val="right"/>
            </w:pPr>
            <w:r>
              <w:rPr>
                <w:color w:val="1C3A36"/>
                <w:sz w:val="17"/>
              </w:rPr>
              <w:t>3,160</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10,944</w:t>
            </w:r>
          </w:p>
        </w:tc>
        <w:tc>
          <w:tcPr>
            <w:tcW w:type="dxa" w:w="2808"/>
          </w:tcPr>
          <w:p>
            <w:pPr>
              <w:spacing w:after="20"/>
              <w:jc w:val="right"/>
            </w:pPr>
            <w:r>
              <w:rPr>
                <w:color w:val="1C3A36"/>
                <w:sz w:val="17"/>
              </w:rPr>
              <w:t>16,238</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78.5%</w:t>
            </w:r>
          </w:p>
        </w:tc>
        <w:tc>
          <w:tcPr>
            <w:tcW w:type="dxa" w:w="2808"/>
          </w:tcPr>
          <w:p>
            <w:pPr>
              <w:spacing w:after="20"/>
              <w:jc w:val="right"/>
            </w:pPr>
            <w:r>
              <w:rPr>
                <w:color w:val="1C3A36"/>
                <w:sz w:val="17"/>
              </w:rPr>
              <w:t>83.7%</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14,435</w:t>
            </w:r>
          </w:p>
        </w:tc>
        <w:tc>
          <w:tcPr>
            <w:tcW w:type="dxa" w:w="2808"/>
          </w:tcPr>
          <w:p>
            <w:pPr>
              <w:spacing w:after="20"/>
              <w:jc w:val="right"/>
            </w:pPr>
            <w:r>
              <w:rPr>
                <w:color w:val="1C3A36"/>
                <w:sz w:val="17"/>
              </w:rPr>
              <w:t>19,891</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11,463</w:t>
            </w:r>
          </w:p>
        </w:tc>
        <w:tc>
          <w:tcPr>
            <w:tcW w:type="dxa" w:w="2808"/>
          </w:tcPr>
          <w:p>
            <w:pPr>
              <w:spacing w:after="20"/>
              <w:jc w:val="right"/>
            </w:pPr>
            <w:r>
              <w:rPr>
                <w:color w:val="1C3A36"/>
                <w:sz w:val="17"/>
              </w:rPr>
              <w:t>16,919</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5.69</w:t>
            </w:r>
          </w:p>
        </w:tc>
        <w:tc>
          <w:tcPr>
            <w:tcW w:type="dxa" w:w="2808"/>
            <w:shd w:val="clear" w:color="auto" w:fill="F6F1E6"/>
          </w:tcPr>
          <w:p>
            <w:pPr>
              <w:spacing w:after="20"/>
              <w:jc w:val="right"/>
            </w:pPr>
            <w:r>
              <w:rPr>
                <w:b/>
                <w:color w:val="1C3A36"/>
                <w:sz w:val="17"/>
              </w:rPr>
              <w:t>8.40</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-8%</w:t>
            </w:r>
          </w:p>
        </w:tc>
        <w:tc>
          <w:tcPr>
            <w:tcW w:type="dxa" w:w="2808"/>
            <w:shd w:val="clear" w:color="auto" w:fill="F6F1E6"/>
          </w:tcPr>
          <w:p>
            <w:pPr>
              <w:spacing w:after="20"/>
              <w:jc w:val="right"/>
            </w:pPr>
            <w:r>
              <w:rPr>
                <w:b/>
                <w:color w:val="1C3A36"/>
                <w:sz w:val="17"/>
              </w:rPr>
              <w:t>+36%</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2.71 between the two columns is the beta, and most of it lands in the terminal value: a 170 basis point difference in the terminal cost of capital changes the capitalisation factor on a perpetuity by roughly a quarter, which is also why the terminal value falls from 84% of enterprise value to 78%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36% above the market price to 8%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on that equity ran 14.1% in FY2023, 15.4% in FY2024 and 16.8% in FY2025, and the five forecast years average 16.9%, which is the sustainable rate used here.</w:t>
      </w:r>
    </w:p>
    <w:p>
      <w:pPr>
        <w:spacing w:after="120" w:before="0"/>
      </w:pPr>
      <w:r>
        <w:rPr>
          <w:b w:val="0"/>
          <w:i w:val="0"/>
          <w:color w:val="1C3A36"/>
          <w:sz w:val="21"/>
        </w:rPr>
        <w:t>A justified price-to-book multiple is the sustainable return on equity less growth, divided by the cost of equity less growth. At 16.9%, 2% growth and a cost of equity of 9.34% that gives 2.03× book, or AED 5.11 a share. The bounds move with the beta and with the return together: the bear bound of AED 3.49 takes a cost of equity of 10.94%, built on the upper end 1.412 of the beta's own 90% confidence interval, together with a return one seventh lower; the bull bound of AED 7.64 takes 7.75% on the lower end 0.758 of the same interval with a return one seventh higher. Both ends are therefore drawn from the estimate's own statistical uncertainty rather than from round numbers chosen by hand. The lens carries the lowest weight of the four, at 15%, because a book multiple derived from a cost of equity inherits the same discount rate as the cash-flow model rather than testing it independently,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Sustainable return on equity, the five forecast years</w:t>
            </w:r>
          </w:p>
        </w:tc>
        <w:tc>
          <w:tcPr>
            <w:tcW w:type="dxa" w:w="3024"/>
          </w:tcPr>
          <w:p>
            <w:pPr>
              <w:spacing w:after="20"/>
              <w:jc w:val="right"/>
            </w:pPr>
            <w:r>
              <w:rPr>
                <w:color w:val="1C3A36"/>
                <w:sz w:val="17"/>
              </w:rPr>
              <w:t>16.9%</w:t>
            </w:r>
          </w:p>
        </w:tc>
      </w:tr>
      <w:tr>
        <w:trPr>
          <w:cantSplit/>
        </w:trPr>
        <w:tc>
          <w:tcPr>
            <w:tcW w:type="dxa" w:w="7056"/>
          </w:tcPr>
          <w:p>
            <w:pPr>
              <w:spacing w:after="20"/>
            </w:pPr>
            <w:r>
              <w:rPr>
                <w:color w:val="1C3A36"/>
                <w:sz w:val="17"/>
              </w:rPr>
              <w:t>Cost of equity</w:t>
            </w:r>
          </w:p>
        </w:tc>
        <w:tc>
          <w:tcPr>
            <w:tcW w:type="dxa" w:w="3024"/>
          </w:tcPr>
          <w:p>
            <w:pPr>
              <w:spacing w:after="20"/>
              <w:jc w:val="right"/>
            </w:pPr>
            <w:r>
              <w:rPr>
                <w:color w:val="1C3A36"/>
                <w:sz w:val="17"/>
              </w:rPr>
              <w:t>9.34%</w:t>
            </w:r>
          </w:p>
        </w:tc>
      </w:tr>
      <w:tr>
        <w:trPr>
          <w:cantSplit/>
        </w:trPr>
        <w:tc>
          <w:tcPr>
            <w:tcW w:type="dxa" w:w="7056"/>
          </w:tcPr>
          <w:p>
            <w:pPr>
              <w:spacing w:after="20"/>
            </w:pPr>
            <w:r>
              <w:rPr>
                <w:color w:val="1C3A36"/>
                <w:sz w:val="17"/>
              </w:rPr>
              <w:t>Long-run growth</w:t>
            </w:r>
          </w:p>
        </w:tc>
        <w:tc>
          <w:tcPr>
            <w:tcW w:type="dxa" w:w="3024"/>
          </w:tcPr>
          <w:p>
            <w:pPr>
              <w:spacing w:after="20"/>
              <w:jc w:val="right"/>
            </w:pPr>
            <w:r>
              <w:rPr>
                <w:color w:val="1C3A36"/>
                <w:sz w:val="17"/>
              </w:rPr>
              <w:t>2%</w:t>
            </w:r>
          </w:p>
        </w:tc>
      </w:tr>
      <w:tr>
        <w:trPr>
          <w:cantSplit/>
        </w:trPr>
        <w:tc>
          <w:tcPr>
            <w:tcW w:type="dxa" w:w="7056"/>
          </w:tcPr>
          <w:p>
            <w:pPr>
              <w:spacing w:after="20"/>
            </w:pPr>
            <w:r>
              <w:rPr>
                <w:color w:val="1C3A36"/>
                <w:sz w:val="17"/>
              </w:rPr>
              <w:t>Justified price to book</w:t>
            </w:r>
          </w:p>
        </w:tc>
        <w:tc>
          <w:tcPr>
            <w:tcW w:type="dxa" w:w="3024"/>
          </w:tcPr>
          <w:p>
            <w:pPr>
              <w:spacing w:after="20"/>
              <w:jc w:val="right"/>
            </w:pPr>
            <w:r>
              <w:rPr>
                <w:color w:val="1C3A36"/>
                <w:sz w:val="17"/>
              </w:rPr>
              <w:t>2.03×</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5.11</w:t>
            </w:r>
          </w:p>
        </w:tc>
      </w:tr>
      <w:tr>
        <w:trPr>
          <w:cantSplit/>
        </w:trPr>
        <w:tc>
          <w:tcPr>
            <w:tcW w:type="dxa" w:w="7056"/>
          </w:tcPr>
          <w:p>
            <w:pPr>
              <w:spacing w:after="20"/>
            </w:pPr>
            <w:r>
              <w:rPr>
                <w:color w:val="1C3A36"/>
                <w:sz w:val="17"/>
              </w:rPr>
              <w:t>Range — bear at the top of the beta's 90% interval (1.412, cost of equity 10.94%) and a return one seventh lower; bull at the bottom of it (0.758, 7.75%) and a return one seventh higher</w:t>
            </w:r>
          </w:p>
        </w:tc>
        <w:tc>
          <w:tcPr>
            <w:tcW w:type="dxa" w:w="3024"/>
          </w:tcPr>
          <w:p>
            <w:pPr>
              <w:spacing w:after="20"/>
              <w:jc w:val="right"/>
            </w:pPr>
            <w:r>
              <w:rPr>
                <w:color w:val="1C3A36"/>
                <w:sz w:val="17"/>
              </w:rPr>
              <w:t>3.49 – 7.64</w:t>
            </w:r>
          </w:p>
        </w:tc>
      </w:tr>
      <w:tr>
        <w:trPr>
          <w:cantSplit/>
        </w:trPr>
        <w:tc>
          <w:tcPr>
            <w:tcW w:type="dxa" w:w="7056"/>
          </w:tcPr>
          <w:p>
            <w:pPr>
              <w:spacing w:after="20"/>
            </w:pPr>
            <w:r>
              <w:rPr>
                <w:color w:val="1C3A36"/>
                <w:sz w:val="17"/>
              </w:rPr>
              <w:t>Memorandum — the price the market pays for that book today</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w:t>
            </w:r>
          </w:p>
        </w:tc>
      </w:tr>
    </w:tbl>
    <w:p>
      <w:pPr>
        <w:spacing w:after="40"/>
      </w:pP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325"/>
        <w:gridCol w:w="2477"/>
        <w:gridCol w:w="1843"/>
        <w:gridCol w:w="1210"/>
        <w:gridCol w:w="893"/>
      </w:tblGrid>
      <w:tr>
        <w:trPr>
          <w:cantSplit/>
          <w:tblHeader/>
        </w:trPr>
        <w:tc>
          <w:tcPr>
            <w:tcW w:type="dxa" w:w="2333"/>
            <w:shd w:val="clear" w:color="auto" w:fill="EAF0EE"/>
          </w:tcPr>
          <w:p>
            <w:pPr>
              <w:spacing w:after="20"/>
            </w:pPr>
            <w:r>
              <w:rPr>
                <w:b/>
                <w:color w:val="1C3A36"/>
                <w:sz w:val="16"/>
              </w:rPr>
              <w:t>Company</w:t>
            </w:r>
          </w:p>
        </w:tc>
        <w:tc>
          <w:tcPr>
            <w:tcW w:type="dxa" w:w="1325"/>
            <w:shd w:val="clear" w:color="auto" w:fill="EAF0EE"/>
          </w:tcPr>
          <w:p>
            <w:pPr>
              <w:spacing w:after="20"/>
              <w:jc w:val="left"/>
            </w:pPr>
            <w:r>
              <w:rPr>
                <w:b/>
                <w:color w:val="1C3A36"/>
                <w:sz w:val="16"/>
              </w:rPr>
              <w:t>Market</w:t>
            </w:r>
          </w:p>
        </w:tc>
        <w:tc>
          <w:tcPr>
            <w:tcW w:type="dxa" w:w="2477"/>
            <w:shd w:val="clear" w:color="auto" w:fill="EAF0EE"/>
          </w:tcPr>
          <w:p>
            <w:pPr>
              <w:spacing w:after="20"/>
              <w:jc w:val="left"/>
            </w:pPr>
            <w:r>
              <w:rPr>
                <w:b/>
                <w:color w:val="1C3A36"/>
                <w:sz w:val="16"/>
              </w:rPr>
              <w:t>Business model</w:t>
            </w:r>
          </w:p>
        </w:tc>
        <w:tc>
          <w:tcPr>
            <w:tcW w:type="dxa" w:w="1843"/>
            <w:shd w:val="clear" w:color="auto" w:fill="EAF0EE"/>
          </w:tcPr>
          <w:p>
            <w:pPr>
              <w:spacing w:after="20"/>
            </w:pPr>
            <w:r>
              <w:rPr>
                <w:b/>
                <w:color w:val="1C3A36"/>
                <w:sz w:val="16"/>
              </w:rPr>
              <w:t>EV / earnings</w:t>
            </w:r>
          </w:p>
        </w:tc>
        <w:tc>
          <w:tcPr>
            <w:tcW w:type="dxa" w:w="1210"/>
            <w:shd w:val="clear" w:color="auto" w:fill="EAF0EE"/>
          </w:tcPr>
          <w:p>
            <w:pPr>
              <w:spacing w:after="20"/>
            </w:pPr>
            <w:r>
              <w:rPr>
                <w:b/>
                <w:color w:val="1C3A36"/>
                <w:sz w:val="16"/>
              </w:rPr>
              <w:t>Price / earnings</w:t>
            </w:r>
          </w:p>
        </w:tc>
        <w:tc>
          <w:tcPr>
            <w:tcW w:type="dxa" w:w="893"/>
            <w:shd w:val="clear" w:color="auto" w:fill="EAF0EE"/>
          </w:tcPr>
          <w:p>
            <w:pPr>
              <w:spacing w:after="20"/>
            </w:pPr>
            <w:r>
              <w:rPr>
                <w:b/>
                <w:color w:val="1C3A36"/>
                <w:sz w:val="16"/>
              </w:rPr>
              <w:t>Price / book</w:t>
            </w:r>
          </w:p>
        </w:tc>
      </w:tr>
      <w:tr>
        <w:trPr>
          <w:cantSplit/>
        </w:trPr>
        <w:tc>
          <w:tcPr>
            <w:tcW w:type="dxa" w:w="2333"/>
          </w:tcPr>
          <w:p>
            <w:pPr>
              <w:spacing w:after="20"/>
            </w:pPr>
            <w:r>
              <w:rPr>
                <w:color w:val="1C3A36"/>
                <w:sz w:val="16"/>
              </w:rPr>
              <w:t>Qatar Gas Transport (Nakilat)</w:t>
            </w:r>
          </w:p>
        </w:tc>
        <w:tc>
          <w:tcPr>
            <w:tcW w:type="dxa" w:w="1325"/>
          </w:tcPr>
          <w:p>
            <w:pPr>
              <w:spacing w:after="20"/>
              <w:jc w:val="left"/>
            </w:pPr>
            <w:r>
              <w:rPr>
                <w:color w:val="1C3A36"/>
                <w:sz w:val="16"/>
              </w:rPr>
              <w:t>Qatar</w:t>
            </w:r>
          </w:p>
        </w:tc>
        <w:tc>
          <w:tcPr>
            <w:tcW w:type="dxa" w:w="2477"/>
          </w:tcPr>
          <w:p>
            <w:pPr>
              <w:spacing w:after="20"/>
              <w:jc w:val="left"/>
            </w:pPr>
            <w:r>
              <w:rPr>
                <w:color w:val="1C3A36"/>
                <w:sz w:val="16"/>
              </w:rPr>
              <w:t>long-term contracted gas shipping</w:t>
            </w:r>
          </w:p>
        </w:tc>
        <w:tc>
          <w:tcPr>
            <w:tcW w:type="dxa" w:w="1843"/>
          </w:tcPr>
          <w:p>
            <w:pPr>
              <w:spacing w:after="20"/>
              <w:jc w:val="right"/>
            </w:pPr>
            <w:r>
              <w:rPr>
                <w:color w:val="1C3A36"/>
                <w:sz w:val="16"/>
              </w:rPr>
              <w:t>12.26×</w:t>
            </w:r>
          </w:p>
        </w:tc>
        <w:tc>
          <w:tcPr>
            <w:tcW w:type="dxa" w:w="1210"/>
          </w:tcPr>
          <w:p>
            <w:pPr>
              <w:spacing w:after="20"/>
              <w:jc w:val="right"/>
            </w:pPr>
            <w:r>
              <w:rPr>
                <w:color w:val="1C3A36"/>
                <w:sz w:val="16"/>
              </w:rPr>
              <w:t>13.97×</w:t>
            </w:r>
          </w:p>
        </w:tc>
        <w:tc>
          <w:tcPr>
            <w:tcW w:type="dxa" w:w="893"/>
          </w:tcPr>
          <w:p>
            <w:pPr>
              <w:spacing w:after="20"/>
              <w:jc w:val="right"/>
            </w:pPr>
            <w:r>
              <w:rPr>
                <w:color w:val="1C3A36"/>
                <w:sz w:val="16"/>
              </w:rPr>
              <w:t>1.65×</w:t>
            </w:r>
          </w:p>
        </w:tc>
      </w:tr>
      <w:tr>
        <w:trPr>
          <w:cantSplit/>
        </w:trPr>
        <w:tc>
          <w:tcPr>
            <w:tcW w:type="dxa" w:w="2333"/>
          </w:tcPr>
          <w:p>
            <w:pPr>
              <w:spacing w:after="20"/>
            </w:pPr>
            <w:r>
              <w:rPr>
                <w:color w:val="1C3A36"/>
                <w:sz w:val="16"/>
              </w:rPr>
              <w:t>Frontline plc</w:t>
            </w:r>
          </w:p>
        </w:tc>
        <w:tc>
          <w:tcPr>
            <w:tcW w:type="dxa" w:w="1325"/>
          </w:tcPr>
          <w:p>
            <w:pPr>
              <w:spacing w:after="20"/>
              <w:jc w:val="left"/>
            </w:pPr>
            <w:r>
              <w:rPr>
                <w:color w:val="1C3A36"/>
                <w:sz w:val="16"/>
              </w:rPr>
              <w:t>Oslo / New York</w:t>
            </w:r>
          </w:p>
        </w:tc>
        <w:tc>
          <w:tcPr>
            <w:tcW w:type="dxa" w:w="2477"/>
          </w:tcPr>
          <w:p>
            <w:pPr>
              <w:spacing w:after="20"/>
              <w:jc w:val="left"/>
            </w:pPr>
            <w:r>
              <w:rPr>
                <w:color w:val="1C3A36"/>
                <w:sz w:val="16"/>
              </w:rPr>
              <w:t>spot crude tankers</w:t>
            </w:r>
          </w:p>
        </w:tc>
        <w:tc>
          <w:tcPr>
            <w:tcW w:type="dxa" w:w="1843"/>
          </w:tcPr>
          <w:p>
            <w:pPr>
              <w:spacing w:after="20"/>
              <w:jc w:val="right"/>
            </w:pPr>
            <w:r>
              <w:rPr>
                <w:color w:val="1C3A36"/>
                <w:sz w:val="16"/>
              </w:rPr>
              <w:t>8.96×</w:t>
            </w:r>
          </w:p>
        </w:tc>
        <w:tc>
          <w:tcPr>
            <w:tcW w:type="dxa" w:w="1210"/>
          </w:tcPr>
          <w:p>
            <w:pPr>
              <w:spacing w:after="20"/>
              <w:jc w:val="right"/>
            </w:pPr>
            <w:r>
              <w:rPr>
                <w:color w:val="1C3A36"/>
                <w:sz w:val="16"/>
              </w:rPr>
              <w:t>6.44×</w:t>
            </w:r>
          </w:p>
        </w:tc>
        <w:tc>
          <w:tcPr>
            <w:tcW w:type="dxa" w:w="893"/>
          </w:tcPr>
          <w:p>
            <w:pPr>
              <w:spacing w:after="20"/>
              <w:jc w:val="right"/>
            </w:pPr>
            <w:r>
              <w:rPr>
                <w:color w:val="1C3A36"/>
                <w:sz w:val="16"/>
              </w:rPr>
              <w:t>—</w:t>
            </w:r>
          </w:p>
        </w:tc>
      </w:tr>
      <w:tr>
        <w:trPr>
          <w:cantSplit/>
        </w:trPr>
        <w:tc>
          <w:tcPr>
            <w:tcW w:type="dxa" w:w="2333"/>
          </w:tcPr>
          <w:p>
            <w:pPr>
              <w:spacing w:after="20"/>
            </w:pPr>
            <w:r>
              <w:rPr>
                <w:color w:val="1C3A36"/>
                <w:sz w:val="16"/>
              </w:rPr>
              <w:t>International Seaways</w:t>
            </w:r>
          </w:p>
        </w:tc>
        <w:tc>
          <w:tcPr>
            <w:tcW w:type="dxa" w:w="1325"/>
          </w:tcPr>
          <w:p>
            <w:pPr>
              <w:spacing w:after="20"/>
              <w:jc w:val="left"/>
            </w:pPr>
            <w:r>
              <w:rPr>
                <w:color w:val="1C3A36"/>
                <w:sz w:val="16"/>
              </w:rPr>
              <w:t>New York</w:t>
            </w:r>
          </w:p>
        </w:tc>
        <w:tc>
          <w:tcPr>
            <w:tcW w:type="dxa" w:w="2477"/>
          </w:tcPr>
          <w:p>
            <w:pPr>
              <w:spacing w:after="20"/>
              <w:jc w:val="left"/>
            </w:pPr>
            <w:r>
              <w:rPr>
                <w:color w:val="1C3A36"/>
                <w:sz w:val="16"/>
              </w:rPr>
              <w:t>spot crude and product tankers</w:t>
            </w:r>
          </w:p>
        </w:tc>
        <w:tc>
          <w:tcPr>
            <w:tcW w:type="dxa" w:w="1843"/>
          </w:tcPr>
          <w:p>
            <w:pPr>
              <w:spacing w:after="20"/>
              <w:jc w:val="right"/>
            </w:pPr>
            <w:r>
              <w:rPr>
                <w:color w:val="1C3A36"/>
                <w:sz w:val="16"/>
              </w:rPr>
              <w:t>8.10×</w:t>
            </w:r>
          </w:p>
        </w:tc>
        <w:tc>
          <w:tcPr>
            <w:tcW w:type="dxa" w:w="1210"/>
          </w:tcPr>
          <w:p>
            <w:pPr>
              <w:spacing w:after="20"/>
              <w:jc w:val="right"/>
            </w:pPr>
            <w:r>
              <w:rPr>
                <w:color w:val="1C3A36"/>
                <w:sz w:val="16"/>
              </w:rPr>
              <w:t>—</w:t>
            </w:r>
          </w:p>
        </w:tc>
        <w:tc>
          <w:tcPr>
            <w:tcW w:type="dxa" w:w="893"/>
          </w:tcPr>
          <w:p>
            <w:pPr>
              <w:spacing w:after="20"/>
              <w:jc w:val="right"/>
            </w:pPr>
            <w:r>
              <w:rPr>
                <w:color w:val="1C3A36"/>
                <w:sz w:val="16"/>
              </w:rPr>
              <w:t>—</w:t>
            </w:r>
          </w:p>
        </w:tc>
      </w:tr>
      <w:tr>
        <w:trPr>
          <w:cantSplit/>
        </w:trPr>
        <w:tc>
          <w:tcPr>
            <w:tcW w:type="dxa" w:w="2333"/>
            <w:shd w:val="clear" w:color="auto" w:fill="F6F1E6"/>
          </w:tcPr>
          <w:p>
            <w:pPr>
              <w:spacing w:after="20"/>
            </w:pPr>
            <w:r>
              <w:rPr>
                <w:b/>
                <w:color w:val="1C3A36"/>
                <w:sz w:val="16"/>
              </w:rPr>
              <w:t>ADNOC Logistics &amp; Services</w:t>
            </w:r>
          </w:p>
        </w:tc>
        <w:tc>
          <w:tcPr>
            <w:tcW w:type="dxa" w:w="1325"/>
            <w:shd w:val="clear" w:color="auto" w:fill="F6F1E6"/>
          </w:tcPr>
          <w:p>
            <w:pPr>
              <w:spacing w:after="20"/>
              <w:jc w:val="left"/>
            </w:pPr>
            <w:r>
              <w:rPr>
                <w:b/>
                <w:color w:val="1C3A36"/>
                <w:sz w:val="16"/>
              </w:rPr>
              <w:t>Abu Dhabi Exchange</w:t>
            </w:r>
          </w:p>
        </w:tc>
        <w:tc>
          <w:tcPr>
            <w:tcW w:type="dxa" w:w="2477"/>
            <w:shd w:val="clear" w:color="auto" w:fill="F6F1E6"/>
          </w:tcPr>
          <w:p>
            <w:pPr>
              <w:spacing w:after="20"/>
              <w:jc w:val="left"/>
            </w:pPr>
            <w:r>
              <w:rPr>
                <w:b/>
                <w:color w:val="1C3A36"/>
                <w:sz w:val="16"/>
              </w:rPr>
              <w:t>half contracted logistics, half merchant fleet</w:t>
            </w:r>
          </w:p>
        </w:tc>
        <w:tc>
          <w:tcPr>
            <w:tcW w:type="dxa" w:w="1843"/>
            <w:shd w:val="clear" w:color="auto" w:fill="F6F1E6"/>
          </w:tcPr>
          <w:p>
            <w:pPr>
              <w:spacing w:after="20"/>
              <w:jc w:val="right"/>
            </w:pPr>
            <w:r>
              <w:rPr>
                <w:b/>
                <w:color w:val="1C3A36"/>
                <w:sz w:val="16"/>
              </w:rPr>
              <w:t>8.67× trailing / 7.06× on 2026E</w:t>
            </w:r>
          </w:p>
        </w:tc>
        <w:tc>
          <w:tcPr>
            <w:tcW w:type="dxa" w:w="1210"/>
            <w:shd w:val="clear" w:color="auto" w:fill="F6F1E6"/>
          </w:tcPr>
          <w:p>
            <w:pPr>
              <w:spacing w:after="20"/>
              <w:jc w:val="right"/>
            </w:pPr>
            <w:r>
              <w:rPr>
                <w:b/>
                <w:color w:val="1C3A36"/>
                <w:sz w:val="16"/>
              </w:rPr>
              <w:t>15.97×</w:t>
            </w:r>
          </w:p>
        </w:tc>
        <w:tc>
          <w:tcPr>
            <w:tcW w:type="dxa" w:w="893"/>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Peer figures are as published on the dates recorded in this study's source register, and the company's own trailing multiple uses the operating earnings definition used throughout, not the company's own wider reported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1,860 million</w:t>
            </w:r>
          </w:p>
        </w:tc>
      </w:tr>
      <w:tr>
        <w:trPr>
          <w:cantSplit/>
        </w:trPr>
        <w:tc>
          <w:tcPr>
            <w:tcW w:type="dxa" w:w="3312"/>
          </w:tcPr>
          <w:p>
            <w:pPr>
              <w:spacing w:after="20"/>
            </w:pPr>
            <w:r>
              <w:rPr>
                <w:color w:val="1C3A36"/>
                <w:sz w:val="16"/>
              </w:rPr>
              <w:t>Blended price-to-earnings multiple</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applied to 2026E attributable profit after the perpetual coupon of USD 1,013 million</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9.02</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5.85</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8.07</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6.64 – 10.09</w:t>
            </w:r>
          </w:p>
        </w:tc>
        <w:tc>
          <w:tcPr>
            <w:tcW w:type="dxa" w:w="5328"/>
          </w:tcPr>
          <w:p>
            <w:pPr>
              <w:spacing w:after="20"/>
              <w:jc w:val="left"/>
            </w:pPr>
            <w:r>
              <w:rPr>
                <w:color w:val="1C3A36"/>
                <w:sz w:val="16"/>
              </w:rPr>
              <w:t>the whole group at the spot multiple, and the whole group at the contracted multiple — the two corners the blend sits between</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1,120</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12,438</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71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871</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1,860</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21,502</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(721)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19,023</w:t>
            </w:r>
          </w:p>
        </w:tc>
        <w:tc>
          <w:tcPr>
            <w:tcW w:type="dxa" w:w="3456"/>
            <w:shd w:val="clear" w:color="auto" w:fill="F6F1E6"/>
          </w:tcPr>
          <w:p>
            <w:pPr>
              <w:spacing w:after="20"/>
              <w:jc w:val="left"/>
            </w:pPr>
            <w:r>
              <w:rPr>
                <w:b/>
                <w:color w:val="1C3A36"/>
                <w:sz w:val="16"/>
              </w:rPr>
              <w:t>AED 9.44 a share, 53% above the market price</w:t>
            </w:r>
          </w:p>
        </w:tc>
      </w:tr>
    </w:tbl>
    <w:p>
      <w:pPr>
        <w:spacing w:after="40"/>
      </w:pPr>
    </w:p>
    <w:p>
      <w:pPr>
        <w:spacing w:after="200" w:before="0"/>
      </w:pPr>
      <w:r>
        <w:rPr>
          <w:b w:val="0"/>
          <w:i/>
          <w:color w:val="6E7B77"/>
          <w:sz w:val="17"/>
        </w:rPr>
        <w:t>The sum of the parts lands at AED 9.44 against the blended relative lens at AED 8.07,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1,948 million and attributable profit after the perpetual coupon of USD 1,018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1,948</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1,860</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1,018</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0.1376</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9.51</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5.88</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7.69</w:t>
            </w:r>
          </w:p>
        </w:tc>
      </w:tr>
      <w:tr>
        <w:trPr>
          <w:cantSplit/>
        </w:trPr>
        <w:tc>
          <w:tcPr>
            <w:tcW w:type="dxa" w:w="7056"/>
            <w:shd w:val="clear" w:color="auto" w:fill="F6F1E6"/>
          </w:tcPr>
          <w:p>
            <w:pPr>
              <w:spacing w:after="20"/>
            </w:pPr>
            <w:r>
              <w:rPr>
                <w:b/>
                <w:color w:val="1C3A36"/>
                <w:sz w:val="17"/>
              </w:rPr>
              <w:t>Range — the whole group at the spot multiple, and at the contracted multiple</w:t>
            </w:r>
          </w:p>
        </w:tc>
        <w:tc>
          <w:tcPr>
            <w:tcW w:type="dxa" w:w="3024"/>
            <w:shd w:val="clear" w:color="auto" w:fill="F6F1E6"/>
          </w:tcPr>
          <w:p>
            <w:pPr>
              <w:spacing w:after="20"/>
              <w:jc w:val="right"/>
            </w:pPr>
            <w:r>
              <w:rPr>
                <w:b/>
                <w:color w:val="1C3A36"/>
                <w:sz w:val="17"/>
              </w:rPr>
              <w:t>7.02 – 10.63</w:t>
            </w:r>
          </w:p>
        </w:tc>
      </w:tr>
    </w:tbl>
    <w:p>
      <w:pPr>
        <w:spacing w:after="40"/>
      </w:pPr>
    </w:p>
    <w:p>
      <w:pPr>
        <w:spacing w:after="200" w:before="0"/>
      </w:pPr>
      <w:r>
        <w:rPr>
          <w:b w:val="0"/>
          <w:i/>
          <w:color w:val="6E7B77"/>
          <w:sz w:val="17"/>
        </w:rPr>
        <w:t>The two constructions disagree by a wide margin — AED 9.51 against AED 5.88 — and the gap is depreciation and the perpetual coupon. This is a young fleet: depreciation runs at about 29.0% of earnings before interest, tax, depreciation and amortisation across the forecast, so an enterprise measure and an after-tax earnings measure will never agree on a company like this. Averaging them is a deliberate refusal to pick, and the lens carries 20% weight accordingly.</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3.48</w:t>
            </w:r>
          </w:p>
        </w:tc>
        <w:tc>
          <w:tcPr>
            <w:tcW w:type="dxa" w:w="1238"/>
          </w:tcPr>
          <w:p>
            <w:pPr>
              <w:spacing w:after="20"/>
              <w:jc w:val="right"/>
            </w:pPr>
            <w:r>
              <w:rPr>
                <w:color w:val="1C3A36"/>
                <w:sz w:val="17"/>
              </w:rPr>
              <w:t>5.69</w:t>
            </w:r>
          </w:p>
        </w:tc>
        <w:tc>
          <w:tcPr>
            <w:tcW w:type="dxa" w:w="1238"/>
          </w:tcPr>
          <w:p>
            <w:pPr>
              <w:spacing w:after="20"/>
              <w:jc w:val="right"/>
            </w:pPr>
            <w:r>
              <w:rPr>
                <w:color w:val="1C3A36"/>
                <w:sz w:val="17"/>
              </w:rPr>
              <w:t>9.00</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2.28</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6.64</w:t>
            </w:r>
          </w:p>
        </w:tc>
        <w:tc>
          <w:tcPr>
            <w:tcW w:type="dxa" w:w="1238"/>
          </w:tcPr>
          <w:p>
            <w:pPr>
              <w:spacing w:after="20"/>
              <w:jc w:val="right"/>
            </w:pPr>
            <w:r>
              <w:rPr>
                <w:color w:val="1C3A36"/>
                <w:sz w:val="17"/>
              </w:rPr>
              <w:t>8.07</w:t>
            </w:r>
          </w:p>
        </w:tc>
        <w:tc>
          <w:tcPr>
            <w:tcW w:type="dxa" w:w="1238"/>
          </w:tcPr>
          <w:p>
            <w:pPr>
              <w:spacing w:after="20"/>
              <w:jc w:val="right"/>
            </w:pPr>
            <w:r>
              <w:rPr>
                <w:color w:val="1C3A36"/>
                <w:sz w:val="17"/>
              </w:rPr>
              <w:t>10.09</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2.02</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7.02</w:t>
            </w:r>
          </w:p>
        </w:tc>
        <w:tc>
          <w:tcPr>
            <w:tcW w:type="dxa" w:w="1238"/>
          </w:tcPr>
          <w:p>
            <w:pPr>
              <w:spacing w:after="20"/>
              <w:jc w:val="right"/>
            </w:pPr>
            <w:r>
              <w:rPr>
                <w:color w:val="1C3A36"/>
                <w:sz w:val="17"/>
              </w:rPr>
              <w:t>7.69</w:t>
            </w:r>
          </w:p>
        </w:tc>
        <w:tc>
          <w:tcPr>
            <w:tcW w:type="dxa" w:w="1238"/>
          </w:tcPr>
          <w:p>
            <w:pPr>
              <w:spacing w:after="20"/>
              <w:jc w:val="right"/>
            </w:pPr>
            <w:r>
              <w:rPr>
                <w:color w:val="1C3A36"/>
                <w:sz w:val="17"/>
              </w:rPr>
              <w:t>10.63</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1.54</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3.49</w:t>
            </w:r>
          </w:p>
        </w:tc>
        <w:tc>
          <w:tcPr>
            <w:tcW w:type="dxa" w:w="1238"/>
          </w:tcPr>
          <w:p>
            <w:pPr>
              <w:spacing w:after="20"/>
              <w:jc w:val="right"/>
            </w:pPr>
            <w:r>
              <w:rPr>
                <w:color w:val="1C3A36"/>
                <w:sz w:val="17"/>
              </w:rPr>
              <w:t>5.11</w:t>
            </w:r>
          </w:p>
        </w:tc>
        <w:tc>
          <w:tcPr>
            <w:tcW w:type="dxa" w:w="1238"/>
          </w:tcPr>
          <w:p>
            <w:pPr>
              <w:spacing w:after="20"/>
              <w:jc w:val="right"/>
            </w:pPr>
            <w:r>
              <w:rPr>
                <w:color w:val="1C3A36"/>
                <w:sz w:val="17"/>
              </w:rPr>
              <w:t>7.64</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0.77</w:t>
            </w:r>
          </w:p>
        </w:tc>
      </w:tr>
      <w:tr>
        <w:trPr>
          <w:cantSplit/>
        </w:trPr>
        <w:tc>
          <w:tcPr>
            <w:tcW w:type="dxa" w:w="3485"/>
            <w:shd w:val="clear" w:color="auto" w:fill="F6F1E6"/>
          </w:tcPr>
          <w:p>
            <w:pPr>
              <w:spacing w:after="20"/>
            </w:pPr>
            <w:r>
              <w:rPr>
                <w:b/>
                <w:color w:val="1C3A36"/>
                <w:sz w:val="17"/>
              </w:rPr>
              <w:t>Weighted central — published index</w:t>
            </w:r>
          </w:p>
        </w:tc>
        <w:tc>
          <w:tcPr>
            <w:tcW w:type="dxa" w:w="1238"/>
            <w:shd w:val="clear" w:color="auto" w:fill="F6F1E6"/>
          </w:tcPr>
          <w:p>
            <w:pPr>
              <w:spacing w:after="20"/>
              <w:jc w:val="right"/>
            </w:pPr>
            <w:r>
              <w:rPr>
                <w:b/>
                <w:color w:val="1C3A36"/>
                <w:sz w:val="17"/>
              </w:rPr>
              <w:t>4.98</w:t>
            </w:r>
          </w:p>
        </w:tc>
        <w:tc>
          <w:tcPr>
            <w:tcW w:type="dxa" w:w="1238"/>
            <w:shd w:val="clear" w:color="auto" w:fill="F6F1E6"/>
          </w:tcPr>
          <w:p>
            <w:pPr>
              <w:spacing w:after="20"/>
              <w:jc w:val="right"/>
            </w:pPr>
            <w:r>
              <w:rPr>
                <w:b/>
                <w:color w:val="1C3A36"/>
                <w:sz w:val="17"/>
              </w:rPr>
              <w:t>6.60</w:t>
            </w:r>
          </w:p>
        </w:tc>
        <w:tc>
          <w:tcPr>
            <w:tcW w:type="dxa" w:w="1238"/>
            <w:shd w:val="clear" w:color="auto" w:fill="F6F1E6"/>
          </w:tcPr>
          <w:p>
            <w:pPr>
              <w:spacing w:after="20"/>
              <w:jc w:val="right"/>
            </w:pPr>
            <w:r>
              <w:rPr>
                <w:b/>
                <w:color w:val="1C3A36"/>
                <w:sz w:val="17"/>
              </w:rPr>
              <w:t>9.39</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6.60</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3.48</w:t>
            </w:r>
          </w:p>
        </w:tc>
        <w:tc>
          <w:tcPr>
            <w:tcW w:type="dxa" w:w="1238"/>
          </w:tcPr>
          <w:p>
            <w:pPr>
              <w:spacing w:after="20"/>
              <w:jc w:val="right"/>
            </w:pPr>
            <w:r>
              <w:rPr>
                <w:color w:val="1C3A36"/>
                <w:sz w:val="17"/>
              </w:rPr>
              <w:t>8.40</w:t>
            </w:r>
          </w:p>
        </w:tc>
        <w:tc>
          <w:tcPr>
            <w:tcW w:type="dxa" w:w="1238"/>
          </w:tcPr>
          <w:p>
            <w:pPr>
              <w:spacing w:after="20"/>
              <w:jc w:val="right"/>
            </w:pPr>
            <w:r>
              <w:rPr>
                <w:color w:val="1C3A36"/>
                <w:sz w:val="17"/>
              </w:rPr>
              <w:t>9.00</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3.36</w:t>
            </w:r>
          </w:p>
        </w:tc>
      </w:tr>
      <w:tr>
        <w:trPr>
          <w:cantSplit/>
        </w:trPr>
        <w:tc>
          <w:tcPr>
            <w:tcW w:type="dxa" w:w="3485"/>
            <w:shd w:val="clear" w:color="auto" w:fill="F6F1E6"/>
          </w:tcPr>
          <w:p>
            <w:pPr>
              <w:spacing w:after="20"/>
            </w:pPr>
            <w:r>
              <w:rPr>
                <w:b/>
                <w:color w:val="1C3A36"/>
                <w:sz w:val="17"/>
              </w:rPr>
              <w:t>Weighted central — equal-weight composite</w:t>
            </w:r>
          </w:p>
        </w:tc>
        <w:tc>
          <w:tcPr>
            <w:tcW w:type="dxa" w:w="1238"/>
            <w:shd w:val="clear" w:color="auto" w:fill="F6F1E6"/>
          </w:tcPr>
          <w:p>
            <w:pPr>
              <w:spacing w:after="20"/>
              <w:jc w:val="right"/>
            </w:pPr>
            <w:r>
              <w:rPr>
                <w:b/>
                <w:color w:val="1C3A36"/>
                <w:sz w:val="17"/>
              </w:rPr>
              <w:t>4.98</w:t>
            </w:r>
          </w:p>
        </w:tc>
        <w:tc>
          <w:tcPr>
            <w:tcW w:type="dxa" w:w="1238"/>
            <w:shd w:val="clear" w:color="auto" w:fill="F6F1E6"/>
          </w:tcPr>
          <w:p>
            <w:pPr>
              <w:spacing w:after="20"/>
              <w:jc w:val="right"/>
            </w:pPr>
            <w:r>
              <w:rPr>
                <w:b/>
                <w:color w:val="1C3A36"/>
                <w:sz w:val="17"/>
              </w:rPr>
              <w:t>7.68</w:t>
            </w:r>
          </w:p>
        </w:tc>
        <w:tc>
          <w:tcPr>
            <w:tcW w:type="dxa" w:w="1238"/>
            <w:shd w:val="clear" w:color="auto" w:fill="F6F1E6"/>
          </w:tcPr>
          <w:p>
            <w:pPr>
              <w:spacing w:after="20"/>
              <w:jc w:val="right"/>
            </w:pPr>
            <w:r>
              <w:rPr>
                <w:b/>
                <w:color w:val="1C3A36"/>
                <w:sz w:val="17"/>
              </w:rPr>
              <w:t>9.39</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7.68</w:t>
            </w:r>
          </w:p>
        </w:tc>
      </w:tr>
    </w:tbl>
    <w:p>
      <w:pPr>
        <w:spacing w:after="40"/>
      </w:pPr>
    </w:p>
    <w:p>
      <w:pPr>
        <w:spacing w:after="120" w:before="0"/>
      </w:pPr>
      <w:r>
        <w:rPr>
          <w:b w:val="0"/>
          <w:i w:val="0"/>
          <w:color w:val="1C3A36"/>
          <w:sz w:val="21"/>
        </w:rPr>
        <w:t>The four lenses do not agree and the disagreement is informative. The two that price earnings through a multiple — relative and normalised — land at AED 8.07 and AED 7.69, both above the market. The two that discount or capitalise a cost of equity land below it: the cash-flow model at AED 5.69 and the book lens at AED 5.11. That split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now asks explicitly and answers with a measured beta of 1.085. Where the two families disagree, the disagreement is about the discount rate rather than about the cash flows.</w:t>
      </w:r>
    </w:p>
    <w:p>
      <w:pPr>
        <w:spacing w:after="120" w:before="0"/>
      </w:pPr>
      <w:r>
        <w:rPr>
          <w:b w:val="0"/>
          <w:i w:val="0"/>
          <w:color w:val="1C3A36"/>
          <w:sz w:val="21"/>
        </w:rPr>
        <w:t>Weighted together, the four centre at AED 6.60, 7% above the market price. Measuring the market as an equal-weight composite instead lifts that to AED 7.68, 25% above the market price. Neither figure supports a claim that this share is materially mispriced: on the adopted construction the centre of the evidence sits about 7% above the screen, which is well inside the width of any one of these lenses.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Vessel by vessel. 53 owned tankers in five size classes, of which 45 trade at spot rates and 8 sit on charters out at disclosed fixed rates that roll off through 2027. Each class earns its own rate: 2026 is built from the rate the company reported for the first quarter, the level it indicated for the second, and a second half stepped halfway back to the FY2025 average; from 2027E the rate glides over four years to the mid-cycle anchor, the average of the FY2024 and FY2025 outcomes. Running cost is USD 9,355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10.8 consolidated vessel-years in 2026 rising to 25.0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since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growing profit share from the bunkering associate.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2,197</w:t>
            </w:r>
          </w:p>
        </w:tc>
        <w:tc>
          <w:tcPr>
            <w:tcW w:type="dxa" w:w="1382"/>
          </w:tcPr>
          <w:p>
            <w:pPr>
              <w:spacing w:after="20"/>
              <w:jc w:val="right"/>
            </w:pPr>
            <w:r>
              <w:rPr>
                <w:color w:val="1C3A36"/>
                <w:sz w:val="16"/>
              </w:rPr>
              <w:t>2,161</w:t>
            </w:r>
          </w:p>
        </w:tc>
        <w:tc>
          <w:tcPr>
            <w:tcW w:type="dxa" w:w="1382"/>
          </w:tcPr>
          <w:p>
            <w:pPr>
              <w:spacing w:after="20"/>
              <w:jc w:val="right"/>
            </w:pPr>
            <w:r>
              <w:rPr>
                <w:color w:val="1C3A36"/>
                <w:sz w:val="16"/>
              </w:rPr>
              <w:t>2,227</w:t>
            </w:r>
          </w:p>
        </w:tc>
        <w:tc>
          <w:tcPr>
            <w:tcW w:type="dxa" w:w="1382"/>
          </w:tcPr>
          <w:p>
            <w:pPr>
              <w:spacing w:after="20"/>
              <w:jc w:val="right"/>
            </w:pPr>
            <w:r>
              <w:rPr>
                <w:color w:val="1C3A36"/>
                <w:sz w:val="16"/>
              </w:rPr>
              <w:t>2,120</w:t>
            </w:r>
          </w:p>
        </w:tc>
        <w:tc>
          <w:tcPr>
            <w:tcW w:type="dxa" w:w="1382"/>
          </w:tcPr>
          <w:p>
            <w:pPr>
              <w:spacing w:after="20"/>
              <w:jc w:val="right"/>
            </w:pPr>
            <w:r>
              <w:rPr>
                <w:color w:val="1C3A36"/>
                <w:sz w:val="16"/>
              </w:rPr>
              <w:t>1,924</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50%</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4,589</w:t>
            </w:r>
          </w:p>
        </w:tc>
        <w:tc>
          <w:tcPr>
            <w:tcW w:type="dxa" w:w="1382"/>
            <w:shd w:val="clear" w:color="auto" w:fill="F6F1E6"/>
          </w:tcPr>
          <w:p>
            <w:pPr>
              <w:spacing w:after="20"/>
              <w:jc w:val="right"/>
            </w:pPr>
            <w:r>
              <w:rPr>
                <w:b/>
                <w:color w:val="1C3A36"/>
                <w:sz w:val="16"/>
              </w:rPr>
              <w:t>4,725</w:t>
            </w:r>
          </w:p>
        </w:tc>
        <w:tc>
          <w:tcPr>
            <w:tcW w:type="dxa" w:w="1382"/>
            <w:shd w:val="clear" w:color="auto" w:fill="F6F1E6"/>
          </w:tcPr>
          <w:p>
            <w:pPr>
              <w:spacing w:after="20"/>
              <w:jc w:val="right"/>
            </w:pPr>
            <w:r>
              <w:rPr>
                <w:b/>
                <w:color w:val="1C3A36"/>
                <w:sz w:val="16"/>
              </w:rPr>
              <w:t>4,942</w:t>
            </w:r>
          </w:p>
        </w:tc>
        <w:tc>
          <w:tcPr>
            <w:tcW w:type="dxa" w:w="1382"/>
            <w:shd w:val="clear" w:color="auto" w:fill="F6F1E6"/>
          </w:tcPr>
          <w:p>
            <w:pPr>
              <w:spacing w:after="20"/>
              <w:jc w:val="right"/>
            </w:pPr>
            <w:r>
              <w:rPr>
                <w:b/>
                <w:color w:val="1C3A36"/>
                <w:sz w:val="16"/>
              </w:rPr>
              <w:t>4,966</w:t>
            </w:r>
          </w:p>
        </w:tc>
        <w:tc>
          <w:tcPr>
            <w:tcW w:type="dxa" w:w="1382"/>
            <w:shd w:val="clear" w:color="auto" w:fill="F6F1E6"/>
          </w:tcPr>
          <w:p>
            <w:pPr>
              <w:spacing w:after="20"/>
              <w:jc w:val="right"/>
            </w:pPr>
            <w:r>
              <w:rPr>
                <w:b/>
                <w:color w:val="1C3A36"/>
                <w:sz w:val="16"/>
              </w:rPr>
              <w:t>4,906</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1,860</w:t>
            </w:r>
          </w:p>
        </w:tc>
        <w:tc>
          <w:tcPr>
            <w:tcW w:type="dxa" w:w="1382"/>
            <w:shd w:val="clear" w:color="auto" w:fill="F6F1E6"/>
          </w:tcPr>
          <w:p>
            <w:pPr>
              <w:spacing w:after="20"/>
              <w:jc w:val="right"/>
            </w:pPr>
            <w:r>
              <w:rPr>
                <w:b/>
                <w:color w:val="1C3A36"/>
                <w:sz w:val="16"/>
              </w:rPr>
              <w:t>1,923</w:t>
            </w:r>
          </w:p>
        </w:tc>
        <w:tc>
          <w:tcPr>
            <w:tcW w:type="dxa" w:w="1382"/>
            <w:shd w:val="clear" w:color="auto" w:fill="F6F1E6"/>
          </w:tcPr>
          <w:p>
            <w:pPr>
              <w:spacing w:after="20"/>
              <w:jc w:val="right"/>
            </w:pPr>
            <w:r>
              <w:rPr>
                <w:b/>
                <w:color w:val="1C3A36"/>
                <w:sz w:val="16"/>
              </w:rPr>
              <w:t>2,033</w:t>
            </w:r>
          </w:p>
        </w:tc>
        <w:tc>
          <w:tcPr>
            <w:tcW w:type="dxa" w:w="1382"/>
            <w:shd w:val="clear" w:color="auto" w:fill="F6F1E6"/>
          </w:tcPr>
          <w:p>
            <w:pPr>
              <w:spacing w:after="20"/>
              <w:jc w:val="right"/>
            </w:pPr>
            <w:r>
              <w:rPr>
                <w:b/>
                <w:color w:val="1C3A36"/>
                <w:sz w:val="16"/>
              </w:rPr>
              <w:t>2,007</w:t>
            </w:r>
          </w:p>
        </w:tc>
        <w:tc>
          <w:tcPr>
            <w:tcW w:type="dxa" w:w="1382"/>
            <w:shd w:val="clear" w:color="auto" w:fill="F6F1E6"/>
          </w:tcPr>
          <w:p>
            <w:pPr>
              <w:spacing w:after="20"/>
              <w:jc w:val="right"/>
            </w:pPr>
            <w:r>
              <w:rPr>
                <w:b/>
                <w:color w:val="1C3A36"/>
                <w:sz w:val="16"/>
              </w:rPr>
              <w:t>1,919</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40.5%</w:t>
            </w:r>
          </w:p>
        </w:tc>
        <w:tc>
          <w:tcPr>
            <w:tcW w:type="dxa" w:w="1382"/>
            <w:shd w:val="clear" w:color="auto" w:fill="F6F1E6"/>
          </w:tcPr>
          <w:p>
            <w:pPr>
              <w:spacing w:after="20"/>
              <w:jc w:val="right"/>
            </w:pPr>
            <w:r>
              <w:rPr>
                <w:b/>
                <w:color w:val="1C3A36"/>
                <w:sz w:val="16"/>
              </w:rPr>
              <w:t>40.7%</w:t>
            </w:r>
          </w:p>
        </w:tc>
        <w:tc>
          <w:tcPr>
            <w:tcW w:type="dxa" w:w="1382"/>
            <w:shd w:val="clear" w:color="auto" w:fill="F6F1E6"/>
          </w:tcPr>
          <w:p>
            <w:pPr>
              <w:spacing w:after="20"/>
              <w:jc w:val="right"/>
            </w:pPr>
            <w:r>
              <w:rPr>
                <w:b/>
                <w:color w:val="1C3A36"/>
                <w:sz w:val="16"/>
              </w:rPr>
              <w:t>41.1%</w:t>
            </w:r>
          </w:p>
        </w:tc>
        <w:tc>
          <w:tcPr>
            <w:tcW w:type="dxa" w:w="1382"/>
            <w:shd w:val="clear" w:color="auto" w:fill="F6F1E6"/>
          </w:tcPr>
          <w:p>
            <w:pPr>
              <w:spacing w:after="20"/>
              <w:jc w:val="right"/>
            </w:pPr>
            <w:r>
              <w:rPr>
                <w:b/>
                <w:color w:val="1C3A36"/>
                <w:sz w:val="16"/>
              </w:rPr>
              <w:t>40.4%</w:t>
            </w:r>
          </w:p>
        </w:tc>
        <w:tc>
          <w:tcPr>
            <w:tcW w:type="dxa" w:w="1382"/>
            <w:shd w:val="clear" w:color="auto" w:fill="F6F1E6"/>
          </w:tcPr>
          <w:p>
            <w:pPr>
              <w:spacing w:after="20"/>
              <w:jc w:val="right"/>
            </w:pPr>
            <w:r>
              <w:rPr>
                <w:b/>
                <w:color w:val="1C3A36"/>
                <w:sz w:val="16"/>
              </w:rPr>
              <w:t>39.1%</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40.5% to 39.1% across the forecast — is an output of the changing mix, not a path anyone chose. The margin rises against FY2025's 29.3% mainly because the low-margin chartered-in trading that grossed up FY2025 revenue is not repeated: the first quarter of 2026 showed revenue -8% year on year while earnings rose +7%.</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2,197</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1,120</w:t>
            </w:r>
          </w:p>
        </w:tc>
        <w:tc>
          <w:tcPr>
            <w:tcW w:type="dxa" w:w="1555"/>
          </w:tcPr>
          <w:p>
            <w:pPr>
              <w:spacing w:after="20"/>
              <w:jc w:val="right"/>
            </w:pPr>
            <w:r>
              <w:rPr>
                <w:color w:val="1C3A36"/>
                <w:sz w:val="16"/>
              </w:rPr>
              <w:t>+17%</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71</w:t>
            </w:r>
          </w:p>
        </w:tc>
        <w:tc>
          <w:tcPr>
            <w:tcW w:type="dxa" w:w="1555"/>
          </w:tcPr>
          <w:p>
            <w:pPr>
              <w:spacing w:after="20"/>
              <w:jc w:val="right"/>
            </w:pPr>
            <w:r>
              <w:rPr>
                <w:color w:val="1C3A36"/>
                <w:sz w:val="16"/>
              </w:rPr>
              <w:t>+14%</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4,589</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1,860</w:t>
            </w:r>
          </w:p>
        </w:tc>
        <w:tc>
          <w:tcPr>
            <w:tcW w:type="dxa" w:w="1555"/>
            <w:shd w:val="clear" w:color="auto" w:fill="F6F1E6"/>
          </w:tcPr>
          <w:p>
            <w:pPr>
              <w:spacing w:after="20"/>
              <w:jc w:val="right"/>
            </w:pPr>
            <w:r>
              <w:rPr>
                <w:b/>
                <w:color w:val="1C3A36"/>
                <w:sz w:val="16"/>
              </w:rPr>
              <w:t>+15%</w:t>
            </w:r>
          </w:p>
        </w:tc>
      </w:tr>
    </w:tbl>
    <w:p>
      <w:pPr>
        <w:spacing w:after="40"/>
      </w:pPr>
    </w:p>
    <w:p>
      <w:pPr>
        <w:spacing w:after="200" w:before="0"/>
      </w:pPr>
      <w:r>
        <w:rPr>
          <w:b w:val="0"/>
          <w:i/>
          <w:color w:val="6E7B77"/>
          <w:sz w:val="17"/>
        </w:rPr>
        <w:t>Revenue and earnings in USD million. Guidance is the midpoint of the ranges the company published for the year; the built figures are the output of the unit model in this section.</w:t>
      </w:r>
    </w:p>
    <w:p>
      <w:pPr>
        <w:spacing w:after="120" w:before="0"/>
      </w:pPr>
      <w:r>
        <w:rPr>
          <w:b w:val="0"/>
          <w:i w:val="0"/>
          <w:color w:val="1C3A36"/>
          <w:sz w:val="21"/>
        </w:rPr>
        <w:t>The group gap is +15%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+15% is carried openly through every lens in this study. Note also that the gap runs the other way in Integrated Logistics on revenue, where the build is above guidance on both lines, and is largest in Shipping at +17%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w:t>
      </w:r>
    </w:p>
    <w:p>
      <w:pPr>
        <w:spacing w:after="40"/>
        <w:jc w:val="center"/>
      </w:pPr>
      <w:r>
        <w:drawing>
          <wp:inline xmlns:a="http://schemas.openxmlformats.org/drawingml/2006/main" xmlns:pic="http://schemas.openxmlformats.org/drawingml/2006/picture">
            <wp:extent cx="6400800" cy="3015762"/>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3015762"/>
                    </a:xfrm>
                    <a:prstGeom prst="rect"/>
                  </pic:spPr>
                </pic:pic>
              </a:graphicData>
            </a:graphic>
          </wp:inline>
        </w:drawing>
      </w:r>
    </w:p>
    <w:p>
      <w:pPr>
        <w:spacing w:after="200" w:before="0"/>
      </w:pPr>
      <w:r>
        <w:rPr>
          <w:b w:val="0"/>
          <w:i/>
          <w:color w:val="6E7B77"/>
          <w:sz w:val="17"/>
        </w:rPr>
        <w:t>Figure 3 — the crux made visible. Time-charter equivalent per vessel per day by class, by quarter, on a logarithmic scale. The last two points are the first quarter of 2026 as reported and the second quarter as indicated by the company; the dotted lines are the mid-cycle rates this study's base case reverts to; the dash-dotted line is an independent one-year charter fixed by a listed owner in early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864"/>
        <w:gridCol w:w="893"/>
        <w:gridCol w:w="1123"/>
        <w:gridCol w:w="1123"/>
        <w:gridCol w:w="1066"/>
        <w:gridCol w:w="1066"/>
        <w:gridCol w:w="2016"/>
      </w:tblGrid>
      <w:tr>
        <w:trPr>
          <w:cantSplit/>
          <w:tblHeader/>
        </w:trPr>
        <w:tc>
          <w:tcPr>
            <w:tcW w:type="dxa" w:w="1930"/>
            <w:shd w:val="clear" w:color="auto" w:fill="EAF0EE"/>
          </w:tcPr>
          <w:p>
            <w:pPr>
              <w:spacing w:after="20"/>
            </w:pPr>
            <w:r>
              <w:rPr>
                <w:b/>
                <w:color w:val="1C3A36"/>
                <w:sz w:val="16"/>
              </w:rPr>
              <w:t>Class</w:t>
            </w:r>
          </w:p>
        </w:tc>
        <w:tc>
          <w:tcPr>
            <w:tcW w:type="dxa" w:w="864"/>
            <w:shd w:val="clear" w:color="auto" w:fill="EAF0EE"/>
          </w:tcPr>
          <w:p>
            <w:pPr>
              <w:spacing w:after="20"/>
            </w:pPr>
            <w:r>
              <w:rPr>
                <w:b/>
                <w:color w:val="1C3A36"/>
                <w:sz w:val="16"/>
              </w:rPr>
              <w:t>Owned</w:t>
            </w:r>
          </w:p>
        </w:tc>
        <w:tc>
          <w:tcPr>
            <w:tcW w:type="dxa" w:w="893"/>
            <w:shd w:val="clear" w:color="auto" w:fill="EAF0EE"/>
          </w:tcPr>
          <w:p>
            <w:pPr>
              <w:spacing w:after="20"/>
            </w:pPr>
            <w:r>
              <w:rPr>
                <w:b/>
                <w:color w:val="1C3A36"/>
                <w:sz w:val="16"/>
              </w:rPr>
              <w:t>At spot</w:t>
            </w:r>
          </w:p>
        </w:tc>
        <w:tc>
          <w:tcPr>
            <w:tcW w:type="dxa" w:w="1123"/>
            <w:shd w:val="clear" w:color="auto" w:fill="EAF0EE"/>
          </w:tcPr>
          <w:p>
            <w:pPr>
              <w:spacing w:after="20"/>
            </w:pPr>
            <w:r>
              <w:rPr>
                <w:b/>
                <w:color w:val="1C3A36"/>
                <w:sz w:val="16"/>
              </w:rPr>
              <w:t>FY2024 avg</w:t>
            </w:r>
          </w:p>
        </w:tc>
        <w:tc>
          <w:tcPr>
            <w:tcW w:type="dxa" w:w="1123"/>
            <w:shd w:val="clear" w:color="auto" w:fill="EAF0EE"/>
          </w:tcPr>
          <w:p>
            <w:pPr>
              <w:spacing w:after="20"/>
            </w:pPr>
            <w:r>
              <w:rPr>
                <w:b/>
                <w:color w:val="1C3A36"/>
                <w:sz w:val="16"/>
              </w:rPr>
              <w:t>FY2025 avg</w:t>
            </w:r>
          </w:p>
        </w:tc>
        <w:tc>
          <w:tcPr>
            <w:tcW w:type="dxa" w:w="1066"/>
            <w:shd w:val="clear" w:color="auto" w:fill="EAF0EE"/>
          </w:tcPr>
          <w:p>
            <w:pPr>
              <w:spacing w:after="20"/>
            </w:pPr>
            <w:r>
              <w:rPr>
                <w:b/>
                <w:color w:val="1C3A36"/>
                <w:sz w:val="16"/>
              </w:rPr>
              <w:t>2026 Q1</w:t>
            </w:r>
          </w:p>
        </w:tc>
        <w:tc>
          <w:tcPr>
            <w:tcW w:type="dxa" w:w="1066"/>
            <w:shd w:val="clear" w:color="auto" w:fill="EAF0EE"/>
          </w:tcPr>
          <w:p>
            <w:pPr>
              <w:spacing w:after="20"/>
            </w:pPr>
            <w:r>
              <w:rPr>
                <w:b/>
                <w:color w:val="1C3A36"/>
                <w:sz w:val="16"/>
              </w:rPr>
              <w:t>2026 Q2</w:t>
            </w:r>
          </w:p>
        </w:tc>
        <w:tc>
          <w:tcPr>
            <w:tcW w:type="dxa" w:w="2016"/>
            <w:shd w:val="clear" w:color="auto" w:fill="EAF0EE"/>
          </w:tcPr>
          <w:p>
            <w:pPr>
              <w:spacing w:after="20"/>
            </w:pPr>
            <w:r>
              <w:rPr>
                <w:b/>
                <w:color w:val="1C3A36"/>
                <w:sz w:val="16"/>
              </w:rPr>
              <w:t>Mid-cycle anchor used</w:t>
            </w:r>
          </w:p>
        </w:tc>
      </w:tr>
      <w:tr>
        <w:trPr>
          <w:cantSplit/>
        </w:trPr>
        <w:tc>
          <w:tcPr>
            <w:tcW w:type="dxa" w:w="1930"/>
          </w:tcPr>
          <w:p>
            <w:pPr>
              <w:spacing w:after="20"/>
            </w:pPr>
            <w:r>
              <w:rPr>
                <w:color w:val="1C3A36"/>
                <w:sz w:val="16"/>
              </w:rPr>
              <w:t>Very large crude carriers</w:t>
            </w:r>
          </w:p>
        </w:tc>
        <w:tc>
          <w:tcPr>
            <w:tcW w:type="dxa" w:w="864"/>
          </w:tcPr>
          <w:p>
            <w:pPr>
              <w:spacing w:after="20"/>
              <w:jc w:val="right"/>
            </w:pPr>
            <w:r>
              <w:rPr>
                <w:color w:val="1C3A36"/>
                <w:sz w:val="16"/>
              </w:rPr>
              <w:t>9</w:t>
            </w:r>
          </w:p>
        </w:tc>
        <w:tc>
          <w:tcPr>
            <w:tcW w:type="dxa" w:w="893"/>
          </w:tcPr>
          <w:p>
            <w:pPr>
              <w:spacing w:after="20"/>
              <w:jc w:val="right"/>
            </w:pPr>
            <w:r>
              <w:rPr>
                <w:color w:val="1C3A36"/>
                <w:sz w:val="16"/>
              </w:rPr>
              <w:t>7</w:t>
            </w:r>
          </w:p>
        </w:tc>
        <w:tc>
          <w:tcPr>
            <w:tcW w:type="dxa" w:w="1123"/>
          </w:tcPr>
          <w:p>
            <w:pPr>
              <w:spacing w:after="20"/>
              <w:jc w:val="right"/>
            </w:pPr>
            <w:r>
              <w:rPr>
                <w:color w:val="1C3A36"/>
                <w:sz w:val="16"/>
              </w:rPr>
              <w:t>43,381</w:t>
            </w:r>
          </w:p>
        </w:tc>
        <w:tc>
          <w:tcPr>
            <w:tcW w:type="dxa" w:w="1123"/>
          </w:tcPr>
          <w:p>
            <w:pPr>
              <w:spacing w:after="20"/>
              <w:jc w:val="right"/>
            </w:pPr>
            <w:r>
              <w:rPr>
                <w:color w:val="1C3A36"/>
                <w:sz w:val="16"/>
              </w:rPr>
              <w:t>52,466</w:t>
            </w:r>
          </w:p>
        </w:tc>
        <w:tc>
          <w:tcPr>
            <w:tcW w:type="dxa" w:w="1066"/>
          </w:tcPr>
          <w:p>
            <w:pPr>
              <w:spacing w:after="20"/>
              <w:jc w:val="right"/>
            </w:pPr>
            <w:r>
              <w:rPr>
                <w:color w:val="1C3A36"/>
                <w:sz w:val="16"/>
              </w:rPr>
              <w:t>145,000</w:t>
            </w:r>
          </w:p>
        </w:tc>
        <w:tc>
          <w:tcPr>
            <w:tcW w:type="dxa" w:w="1066"/>
          </w:tcPr>
          <w:p>
            <w:pPr>
              <w:spacing w:after="20"/>
              <w:jc w:val="right"/>
            </w:pPr>
            <w:r>
              <w:rPr>
                <w:color w:val="1C3A36"/>
                <w:sz w:val="16"/>
              </w:rPr>
              <w:t>260,000</w:t>
            </w:r>
          </w:p>
        </w:tc>
        <w:tc>
          <w:tcPr>
            <w:tcW w:type="dxa" w:w="2016"/>
          </w:tcPr>
          <w:p>
            <w:pPr>
              <w:spacing w:after="20"/>
              <w:jc w:val="right"/>
            </w:pPr>
            <w:r>
              <w:rPr>
                <w:color w:val="1C3A36"/>
                <w:sz w:val="16"/>
              </w:rPr>
              <w:t>47,924</w:t>
            </w:r>
          </w:p>
        </w:tc>
      </w:tr>
      <w:tr>
        <w:trPr>
          <w:cantSplit/>
        </w:trPr>
        <w:tc>
          <w:tcPr>
            <w:tcW w:type="dxa" w:w="1930"/>
          </w:tcPr>
          <w:p>
            <w:pPr>
              <w:spacing w:after="20"/>
            </w:pPr>
            <w:r>
              <w:rPr>
                <w:color w:val="1C3A36"/>
                <w:sz w:val="16"/>
              </w:rPr>
              <w:t>Long range 2</w:t>
            </w:r>
          </w:p>
        </w:tc>
        <w:tc>
          <w:tcPr>
            <w:tcW w:type="dxa" w:w="864"/>
          </w:tcPr>
          <w:p>
            <w:pPr>
              <w:spacing w:after="20"/>
              <w:jc w:val="right"/>
            </w:pPr>
            <w:r>
              <w:rPr>
                <w:color w:val="1C3A36"/>
                <w:sz w:val="16"/>
              </w:rPr>
              <w:t>17</w:t>
            </w:r>
          </w:p>
        </w:tc>
        <w:tc>
          <w:tcPr>
            <w:tcW w:type="dxa" w:w="893"/>
          </w:tcPr>
          <w:p>
            <w:pPr>
              <w:spacing w:after="20"/>
              <w:jc w:val="right"/>
            </w:pPr>
            <w:r>
              <w:rPr>
                <w:color w:val="1C3A36"/>
                <w:sz w:val="16"/>
              </w:rPr>
              <w:t>13</w:t>
            </w:r>
          </w:p>
        </w:tc>
        <w:tc>
          <w:tcPr>
            <w:tcW w:type="dxa" w:w="1123"/>
          </w:tcPr>
          <w:p>
            <w:pPr>
              <w:spacing w:after="20"/>
              <w:jc w:val="right"/>
            </w:pPr>
            <w:r>
              <w:rPr>
                <w:color w:val="1C3A36"/>
                <w:sz w:val="16"/>
              </w:rPr>
              <w:t>48,011</w:t>
            </w:r>
          </w:p>
        </w:tc>
        <w:tc>
          <w:tcPr>
            <w:tcW w:type="dxa" w:w="1123"/>
          </w:tcPr>
          <w:p>
            <w:pPr>
              <w:spacing w:after="20"/>
              <w:jc w:val="right"/>
            </w:pPr>
            <w:r>
              <w:rPr>
                <w:color w:val="1C3A36"/>
                <w:sz w:val="16"/>
              </w:rPr>
              <w:t>35,737</w:t>
            </w:r>
          </w:p>
        </w:tc>
        <w:tc>
          <w:tcPr>
            <w:tcW w:type="dxa" w:w="1066"/>
          </w:tcPr>
          <w:p>
            <w:pPr>
              <w:spacing w:after="20"/>
              <w:jc w:val="right"/>
            </w:pPr>
            <w:r>
              <w:rPr>
                <w:color w:val="1C3A36"/>
                <w:sz w:val="16"/>
              </w:rPr>
              <w:t>58,000</w:t>
            </w:r>
          </w:p>
        </w:tc>
        <w:tc>
          <w:tcPr>
            <w:tcW w:type="dxa" w:w="1066"/>
          </w:tcPr>
          <w:p>
            <w:pPr>
              <w:spacing w:after="20"/>
              <w:jc w:val="right"/>
            </w:pPr>
            <w:r>
              <w:rPr>
                <w:color w:val="1C3A36"/>
                <w:sz w:val="16"/>
              </w:rPr>
              <w:t>95,000</w:t>
            </w:r>
          </w:p>
        </w:tc>
        <w:tc>
          <w:tcPr>
            <w:tcW w:type="dxa" w:w="2016"/>
          </w:tcPr>
          <w:p>
            <w:pPr>
              <w:spacing w:after="20"/>
              <w:jc w:val="right"/>
            </w:pPr>
            <w:r>
              <w:rPr>
                <w:color w:val="1C3A36"/>
                <w:sz w:val="16"/>
              </w:rPr>
              <w:t>41,874</w:t>
            </w:r>
          </w:p>
        </w:tc>
      </w:tr>
      <w:tr>
        <w:trPr>
          <w:cantSplit/>
        </w:trPr>
        <w:tc>
          <w:tcPr>
            <w:tcW w:type="dxa" w:w="1930"/>
          </w:tcPr>
          <w:p>
            <w:pPr>
              <w:spacing w:after="20"/>
            </w:pPr>
            <w:r>
              <w:rPr>
                <w:color w:val="1C3A36"/>
                <w:sz w:val="16"/>
              </w:rPr>
              <w:t>Long range 1</w:t>
            </w:r>
          </w:p>
        </w:tc>
        <w:tc>
          <w:tcPr>
            <w:tcW w:type="dxa" w:w="864"/>
          </w:tcPr>
          <w:p>
            <w:pPr>
              <w:spacing w:after="20"/>
              <w:jc w:val="right"/>
            </w:pPr>
            <w:r>
              <w:rPr>
                <w:color w:val="1C3A36"/>
                <w:sz w:val="16"/>
              </w:rPr>
              <w:t>9</w:t>
            </w:r>
          </w:p>
        </w:tc>
        <w:tc>
          <w:tcPr>
            <w:tcW w:type="dxa" w:w="893"/>
          </w:tcPr>
          <w:p>
            <w:pPr>
              <w:spacing w:after="20"/>
              <w:jc w:val="right"/>
            </w:pPr>
            <w:r>
              <w:rPr>
                <w:color w:val="1C3A36"/>
                <w:sz w:val="16"/>
              </w:rPr>
              <w:t>7</w:t>
            </w:r>
          </w:p>
        </w:tc>
        <w:tc>
          <w:tcPr>
            <w:tcW w:type="dxa" w:w="1123"/>
          </w:tcPr>
          <w:p>
            <w:pPr>
              <w:spacing w:after="20"/>
              <w:jc w:val="right"/>
            </w:pPr>
            <w:r>
              <w:rPr>
                <w:color w:val="1C3A36"/>
                <w:sz w:val="16"/>
              </w:rPr>
              <w:t>40,155</w:t>
            </w:r>
          </w:p>
        </w:tc>
        <w:tc>
          <w:tcPr>
            <w:tcW w:type="dxa" w:w="1123"/>
          </w:tcPr>
          <w:p>
            <w:pPr>
              <w:spacing w:after="20"/>
              <w:jc w:val="right"/>
            </w:pPr>
            <w:r>
              <w:rPr>
                <w:color w:val="1C3A36"/>
                <w:sz w:val="16"/>
              </w:rPr>
              <w:t>24,199</w:t>
            </w:r>
          </w:p>
        </w:tc>
        <w:tc>
          <w:tcPr>
            <w:tcW w:type="dxa" w:w="1066"/>
          </w:tcPr>
          <w:p>
            <w:pPr>
              <w:spacing w:after="20"/>
              <w:jc w:val="right"/>
            </w:pPr>
            <w:r>
              <w:rPr>
                <w:color w:val="1C3A36"/>
                <w:sz w:val="16"/>
              </w:rPr>
              <w:t>36,000</w:t>
            </w:r>
          </w:p>
        </w:tc>
        <w:tc>
          <w:tcPr>
            <w:tcW w:type="dxa" w:w="1066"/>
          </w:tcPr>
          <w:p>
            <w:pPr>
              <w:spacing w:after="20"/>
              <w:jc w:val="right"/>
            </w:pPr>
            <w:r>
              <w:rPr>
                <w:color w:val="1C3A36"/>
                <w:sz w:val="16"/>
              </w:rPr>
              <w:t>55,000</w:t>
            </w:r>
          </w:p>
        </w:tc>
        <w:tc>
          <w:tcPr>
            <w:tcW w:type="dxa" w:w="2016"/>
          </w:tcPr>
          <w:p>
            <w:pPr>
              <w:spacing w:after="20"/>
              <w:jc w:val="right"/>
            </w:pPr>
            <w:r>
              <w:rPr>
                <w:color w:val="1C3A36"/>
                <w:sz w:val="16"/>
              </w:rPr>
              <w:t>32,177</w:t>
            </w:r>
          </w:p>
        </w:tc>
      </w:tr>
      <w:tr>
        <w:trPr>
          <w:cantSplit/>
        </w:trPr>
        <w:tc>
          <w:tcPr>
            <w:tcW w:type="dxa" w:w="1930"/>
          </w:tcPr>
          <w:p>
            <w:pPr>
              <w:spacing w:after="20"/>
            </w:pPr>
            <w:r>
              <w:rPr>
                <w:color w:val="1C3A36"/>
                <w:sz w:val="16"/>
              </w:rPr>
              <w:t>Medium range</w:t>
            </w:r>
          </w:p>
        </w:tc>
        <w:tc>
          <w:tcPr>
            <w:tcW w:type="dxa" w:w="864"/>
          </w:tcPr>
          <w:p>
            <w:pPr>
              <w:spacing w:after="20"/>
              <w:jc w:val="right"/>
            </w:pPr>
            <w:r>
              <w:rPr>
                <w:color w:val="1C3A36"/>
                <w:sz w:val="16"/>
              </w:rPr>
              <w:t>16</w:t>
            </w:r>
          </w:p>
        </w:tc>
        <w:tc>
          <w:tcPr>
            <w:tcW w:type="dxa" w:w="893"/>
          </w:tcPr>
          <w:p>
            <w:pPr>
              <w:spacing w:after="20"/>
              <w:jc w:val="right"/>
            </w:pPr>
            <w:r>
              <w:rPr>
                <w:color w:val="1C3A36"/>
                <w:sz w:val="16"/>
              </w:rPr>
              <w:t>16</w:t>
            </w:r>
          </w:p>
        </w:tc>
        <w:tc>
          <w:tcPr>
            <w:tcW w:type="dxa" w:w="1123"/>
          </w:tcPr>
          <w:p>
            <w:pPr>
              <w:spacing w:after="20"/>
              <w:jc w:val="right"/>
            </w:pPr>
            <w:r>
              <w:rPr>
                <w:color w:val="1C3A36"/>
                <w:sz w:val="16"/>
              </w:rPr>
              <w:t>24,140</w:t>
            </w:r>
          </w:p>
        </w:tc>
        <w:tc>
          <w:tcPr>
            <w:tcW w:type="dxa" w:w="1123"/>
          </w:tcPr>
          <w:p>
            <w:pPr>
              <w:spacing w:after="20"/>
              <w:jc w:val="right"/>
            </w:pPr>
            <w:r>
              <w:rPr>
                <w:color w:val="1C3A36"/>
                <w:sz w:val="16"/>
              </w:rPr>
              <w:t>24,140</w:t>
            </w:r>
          </w:p>
        </w:tc>
        <w:tc>
          <w:tcPr>
            <w:tcW w:type="dxa" w:w="1066"/>
          </w:tcPr>
          <w:p>
            <w:pPr>
              <w:spacing w:after="20"/>
              <w:jc w:val="right"/>
            </w:pPr>
            <w:r>
              <w:rPr>
                <w:color w:val="1C3A36"/>
                <w:sz w:val="16"/>
              </w:rPr>
              <w:t>30,000</w:t>
            </w:r>
          </w:p>
        </w:tc>
        <w:tc>
          <w:tcPr>
            <w:tcW w:type="dxa" w:w="1066"/>
          </w:tcPr>
          <w:p>
            <w:pPr>
              <w:spacing w:after="20"/>
              <w:jc w:val="right"/>
            </w:pPr>
            <w:r>
              <w:rPr>
                <w:color w:val="1C3A36"/>
                <w:sz w:val="16"/>
              </w:rPr>
              <w:t>44,000</w:t>
            </w:r>
          </w:p>
        </w:tc>
        <w:tc>
          <w:tcPr>
            <w:tcW w:type="dxa" w:w="2016"/>
          </w:tcPr>
          <w:p>
            <w:pPr>
              <w:spacing w:after="20"/>
              <w:jc w:val="right"/>
            </w:pPr>
            <w:r>
              <w:rPr>
                <w:color w:val="1C3A36"/>
                <w:sz w:val="16"/>
              </w:rPr>
              <w:t>24,140</w:t>
            </w:r>
          </w:p>
        </w:tc>
      </w:tr>
      <w:tr>
        <w:trPr>
          <w:cantSplit/>
        </w:trPr>
        <w:tc>
          <w:tcPr>
            <w:tcW w:type="dxa" w:w="1930"/>
          </w:tcPr>
          <w:p>
            <w:pPr>
              <w:spacing w:after="20"/>
            </w:pPr>
            <w:r>
              <w:rPr>
                <w:color w:val="1C3A36"/>
                <w:sz w:val="16"/>
              </w:rPr>
              <w:t>Handysize</w:t>
            </w:r>
          </w:p>
        </w:tc>
        <w:tc>
          <w:tcPr>
            <w:tcW w:type="dxa" w:w="864"/>
          </w:tcPr>
          <w:p>
            <w:pPr>
              <w:spacing w:after="20"/>
              <w:jc w:val="right"/>
            </w:pPr>
            <w:r>
              <w:rPr>
                <w:color w:val="1C3A36"/>
                <w:sz w:val="16"/>
              </w:rPr>
              <w:t>2</w:t>
            </w:r>
          </w:p>
        </w:tc>
        <w:tc>
          <w:tcPr>
            <w:tcW w:type="dxa" w:w="893"/>
          </w:tcPr>
          <w:p>
            <w:pPr>
              <w:spacing w:after="20"/>
              <w:jc w:val="right"/>
            </w:pPr>
            <w:r>
              <w:rPr>
                <w:color w:val="1C3A36"/>
                <w:sz w:val="16"/>
              </w:rPr>
              <w:t>2</w:t>
            </w:r>
          </w:p>
        </w:tc>
        <w:tc>
          <w:tcPr>
            <w:tcW w:type="dxa" w:w="1123"/>
          </w:tcPr>
          <w:p>
            <w:pPr>
              <w:spacing w:after="20"/>
              <w:jc w:val="right"/>
            </w:pPr>
            <w:r>
              <w:rPr>
                <w:color w:val="1C3A36"/>
                <w:sz w:val="16"/>
              </w:rPr>
              <w:t>24,140</w:t>
            </w:r>
          </w:p>
        </w:tc>
        <w:tc>
          <w:tcPr>
            <w:tcW w:type="dxa" w:w="1123"/>
          </w:tcPr>
          <w:p>
            <w:pPr>
              <w:spacing w:after="20"/>
              <w:jc w:val="right"/>
            </w:pPr>
            <w:r>
              <w:rPr>
                <w:color w:val="1C3A36"/>
                <w:sz w:val="16"/>
              </w:rPr>
              <w:t>24,140</w:t>
            </w:r>
          </w:p>
        </w:tc>
        <w:tc>
          <w:tcPr>
            <w:tcW w:type="dxa" w:w="1066"/>
          </w:tcPr>
          <w:p>
            <w:pPr>
              <w:spacing w:after="20"/>
              <w:jc w:val="right"/>
            </w:pPr>
            <w:r>
              <w:rPr>
                <w:color w:val="1C3A36"/>
                <w:sz w:val="16"/>
              </w:rPr>
              <w:t>30,000</w:t>
            </w:r>
          </w:p>
        </w:tc>
        <w:tc>
          <w:tcPr>
            <w:tcW w:type="dxa" w:w="1066"/>
          </w:tcPr>
          <w:p>
            <w:pPr>
              <w:spacing w:after="20"/>
              <w:jc w:val="right"/>
            </w:pPr>
            <w:r>
              <w:rPr>
                <w:color w:val="1C3A36"/>
                <w:sz w:val="16"/>
              </w:rPr>
              <w:t>44,000</w:t>
            </w:r>
          </w:p>
        </w:tc>
        <w:tc>
          <w:tcPr>
            <w:tcW w:type="dxa" w:w="2016"/>
          </w:tcPr>
          <w:p>
            <w:pPr>
              <w:spacing w:after="20"/>
              <w:jc w:val="right"/>
            </w:pPr>
            <w:r>
              <w:rPr>
                <w:color w:val="1C3A36"/>
                <w:sz w:val="16"/>
              </w:rPr>
              <w:t>24,140</w:t>
            </w:r>
          </w:p>
        </w:tc>
      </w:tr>
    </w:tbl>
    <w:p>
      <w:pPr>
        <w:spacing w:after="40"/>
      </w:pPr>
    </w:p>
    <w:p>
      <w:pPr>
        <w:spacing w:after="200" w:before="0"/>
      </w:pPr>
      <w:r>
        <w:rPr>
          <w:b w:val="0"/>
          <w:i/>
          <w:color w:val="6E7B77"/>
          <w:sz w:val="17"/>
        </w:rPr>
        <w:t>US dollars per vessel per day. Quarterly rates for the medium-range class are not disclosed for FY2024, so the FY2025 average stands in; the handysize vessels are not broken out at all and are carried at the medium-range rate. Both substitutions are flagged rather than hidden, and both are immaterial: the two classes together are 18 of 53 vessels and the smallest earners. The mid-cycle anchor is the average of the FY2024 and FY2025 outcomes, which is what the base case reverts to over four years from 2027E.</w:t>
      </w:r>
    </w:p>
    <w:p>
      <w:pPr>
        <w:spacing w:after="120" w:before="0"/>
      </w:pPr>
      <w:r>
        <w:rPr>
          <w:b w:val="0"/>
          <w:i w:val="0"/>
          <w:color w:val="1C3A36"/>
          <w:sz w:val="21"/>
        </w:rPr>
        <w:t>The scale of the move is easiest to see in the largest class. Very large crude carriers averaged USD 43,381 a day in FY2024 and USD 52,466 in FY2025; the company reported USD 145,000 for the first quarter of 2026 and indicated USD 260,000 for the second — roughly 5.4 times the mid-cycle anchor this study reverts to. Against 56 vessels at spot and the company's own disclosure that USD 1,000 a day is worth USD 20 million of annual earnings, the difference between today's rate and the mid-cycle anchor is worth well over a billion dollars a year of earnings. That is why this one judgement dominates.</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fleet went on to earn USD 145,000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very large crude carrier rate from USD 150,616 in 2026E down to USD 47,924 by 2030E, a straight glide to the FY2024-FY2025 average. It crosses the one-year charter rate above in 2027E-2028E, which is to say it is broadly consistent with what the forward market was willing to pay</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6.97 a share against the base case's AED 5.69.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1.70 a share — and that range is wide enough to carry fair value across the market price, which it reaches between the 110% and 120% anchors. Widening the beta across the 0.705-to-1.412 range tested in section 1.9 moves it by AED 4.08, which is 2.4 times as much and remains the widest single sensitivity in the study. But the two are not comparable as open questions. The beta is measured, with a 90% interval of [0.76, 1.41]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1.085</w:t>
            </w:r>
          </w:p>
        </w:tc>
        <w:tc>
          <w:tcPr>
            <w:tcW w:type="dxa" w:w="1037"/>
          </w:tcPr>
          <w:p>
            <w:pPr>
              <w:spacing w:after="20"/>
              <w:jc w:val="right"/>
            </w:pPr>
            <w:r>
              <w:rPr>
                <w:color w:val="1C3A36"/>
                <w:sz w:val="16"/>
              </w:rPr>
              <w:t>1.085</w:t>
            </w:r>
          </w:p>
        </w:tc>
        <w:tc>
          <w:tcPr>
            <w:tcW w:type="dxa" w:w="5371"/>
          </w:tcPr>
          <w:p>
            <w:pPr>
              <w:spacing w:after="20"/>
              <w:jc w:val="left"/>
            </w:pPr>
            <w:r>
              <w:rPr>
                <w:color w:val="1C3A36"/>
                <w:sz w:val="16"/>
              </w:rPr>
              <w:t>own-stock weekly regression against the FTSE ADX General Index over the full listed history: n = 161, R-squared 0.158, standard error 0.199, 90% interval [0.76, 1.41].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9.34%</w:t>
            </w:r>
          </w:p>
        </w:tc>
        <w:tc>
          <w:tcPr>
            <w:tcW w:type="dxa" w:w="1037"/>
            <w:shd w:val="clear" w:color="auto" w:fill="F6F1E6"/>
          </w:tcPr>
          <w:p>
            <w:pPr>
              <w:spacing w:after="20"/>
              <w:jc w:val="right"/>
            </w:pPr>
            <w:r>
              <w:rPr>
                <w:b/>
                <w:color w:val="1C3A36"/>
                <w:sz w:val="16"/>
              </w:rPr>
              <w:t>8.53%</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lead-lag sum beta of 1.164, 9.73%</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a weighted read of six disclosed instruments — the evidence table follows</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w:t>
            </w:r>
          </w:p>
        </w:tc>
      </w:tr>
      <w:tr>
        <w:trPr>
          <w:cantSplit/>
        </w:trPr>
        <w:tc>
          <w:tcPr>
            <w:tcW w:type="dxa" w:w="2232"/>
          </w:tcPr>
          <w:p>
            <w:pPr>
              <w:spacing w:after="20"/>
            </w:pPr>
            <w:r>
              <w:rPr>
                <w:color w:val="1C3A36"/>
                <w:sz w:val="16"/>
              </w:rPr>
              <w:t>Equity weight</w:t>
            </w:r>
          </w:p>
        </w:tc>
        <w:tc>
          <w:tcPr>
            <w:tcW w:type="dxa" w:w="1440"/>
          </w:tcPr>
          <w:p>
            <w:pPr>
              <w:spacing w:after="20"/>
              <w:jc w:val="right"/>
            </w:pPr>
            <w:r>
              <w:rPr>
                <w:color w:val="1C3A36"/>
                <w:sz w:val="16"/>
              </w:rPr>
              <w:t>91.8%</w:t>
            </w:r>
          </w:p>
        </w:tc>
        <w:tc>
          <w:tcPr>
            <w:tcW w:type="dxa" w:w="1037"/>
          </w:tcPr>
          <w:p>
            <w:pPr>
              <w:spacing w:after="20"/>
              <w:jc w:val="right"/>
            </w:pPr>
            <w:r>
              <w:rPr>
                <w:color w:val="1C3A36"/>
                <w:sz w:val="16"/>
              </w:rPr>
              <w:t>91.8%</w:t>
            </w:r>
          </w:p>
        </w:tc>
        <w:tc>
          <w:tcPr>
            <w:tcW w:type="dxa" w:w="5371"/>
          </w:tcPr>
          <w:p>
            <w:pPr>
              <w:spacing w:after="20"/>
              <w:jc w:val="left"/>
            </w:pPr>
            <w:r>
              <w:rPr>
                <w:color w:val="1C3A36"/>
                <w:sz w:val="16"/>
              </w:rPr>
              <w:t>market capitalisation of USD 12,410 million against gross debt of USD 1,115 million. Market-value weights throughout; book equity is never used</w:t>
            </w:r>
          </w:p>
        </w:tc>
      </w:tr>
      <w:tr>
        <w:trPr>
          <w:cantSplit/>
        </w:trPr>
        <w:tc>
          <w:tcPr>
            <w:tcW w:type="dxa" w:w="2232"/>
          </w:tcPr>
          <w:p>
            <w:pPr>
              <w:spacing w:after="20"/>
            </w:pPr>
            <w:r>
              <w:rPr>
                <w:color w:val="1C3A36"/>
                <w:sz w:val="16"/>
              </w:rPr>
              <w:t>Debt weight</w:t>
            </w:r>
          </w:p>
        </w:tc>
        <w:tc>
          <w:tcPr>
            <w:tcW w:type="dxa" w:w="1440"/>
          </w:tcPr>
          <w:p>
            <w:pPr>
              <w:spacing w:after="20"/>
              <w:jc w:val="right"/>
            </w:pPr>
            <w:r>
              <w:rPr>
                <w:color w:val="1C3A36"/>
                <w:sz w:val="16"/>
              </w:rPr>
              <w:t>8.2%</w:t>
            </w:r>
          </w:p>
        </w:tc>
        <w:tc>
          <w:tcPr>
            <w:tcW w:type="dxa" w:w="1037"/>
          </w:tcPr>
          <w:p>
            <w:pPr>
              <w:spacing w:after="20"/>
              <w:jc w:val="right"/>
            </w:pPr>
            <w:r>
              <w:rPr>
                <w:color w:val="1C3A36"/>
                <w:sz w:val="16"/>
              </w:rPr>
              <w:t>8.2%</w:t>
            </w:r>
          </w:p>
        </w:tc>
        <w:tc>
          <w:tcPr>
            <w:tcW w:type="dxa" w:w="5371"/>
          </w:tcPr>
          <w:p>
            <w:pPr>
              <w:spacing w:after="20"/>
              <w:jc w:val="left"/>
            </w:pPr>
            <w:r>
              <w:rPr>
                <w:color w:val="1C3A36"/>
                <w:sz w:val="16"/>
              </w:rPr>
            </w:r>
          </w:p>
        </w:tc>
      </w:tr>
      <w:tr>
        <w:trPr>
          <w:cantSplit/>
        </w:trPr>
        <w:tc>
          <w:tcPr>
            <w:tcW w:type="dxa" w:w="2232"/>
            <w:shd w:val="clear" w:color="auto" w:fill="F6F1E6"/>
          </w:tcPr>
          <w:p>
            <w:pPr>
              <w:spacing w:after="20"/>
            </w:pPr>
            <w:r>
              <w:rPr>
                <w:b/>
                <w:color w:val="1C3A36"/>
                <w:sz w:val="16"/>
              </w:rPr>
              <w:t>Cost of capital</w:t>
            </w:r>
          </w:p>
        </w:tc>
        <w:tc>
          <w:tcPr>
            <w:tcW w:type="dxa" w:w="1440"/>
            <w:shd w:val="clear" w:color="auto" w:fill="F6F1E6"/>
          </w:tcPr>
          <w:p>
            <w:pPr>
              <w:spacing w:after="20"/>
              <w:jc w:val="right"/>
            </w:pPr>
            <w:r>
              <w:rPr>
                <w:b/>
                <w:color w:val="1C3A36"/>
                <w:sz w:val="16"/>
              </w:rPr>
              <w:t>9.01%</w:t>
            </w:r>
          </w:p>
        </w:tc>
        <w:tc>
          <w:tcPr>
            <w:tcW w:type="dxa" w:w="1037"/>
            <w:shd w:val="clear" w:color="auto" w:fill="F6F1E6"/>
          </w:tcPr>
          <w:p>
            <w:pPr>
              <w:spacing w:after="20"/>
              <w:jc w:val="right"/>
            </w:pPr>
            <w:r>
              <w:rPr>
                <w:b/>
                <w:color w:val="1C3A36"/>
                <w:sz w:val="16"/>
              </w:rPr>
              <w:t>8.21%</w:t>
            </w:r>
          </w:p>
        </w:tc>
        <w:tc>
          <w:tcPr>
            <w:tcW w:type="dxa" w:w="5371"/>
            <w:shd w:val="clear" w:color="auto" w:fill="F6F1E6"/>
          </w:tcPr>
          <w:p>
            <w:pPr>
              <w:spacing w:after="20"/>
              <w:jc w:val="left"/>
            </w:pPr>
            <w:r>
              <w:rPr>
                <w:b/>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8.85% · 8.69% · 8.53% · 8.37% · 8.21%</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This study regresses the share's own weekly returns on the FTSE ADX General Index — the published, capitalisation-weighted index of the exchange the share is listed on. The index series runs from 2011-01-02 to 2026-07-24 across 3,883 sessions and was screened against the exchange's own trading calendar before use.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w:t>
            </w:r>
          </w:p>
        </w:tc>
        <w:tc>
          <w:tcPr>
            <w:tcW w:type="dxa" w:w="6019"/>
          </w:tcPr>
          <w:p>
            <w:pPr>
              <w:spacing w:after="20"/>
              <w:jc w:val="left"/>
            </w:pPr>
            <w:r>
              <w:rPr>
                <w:color w:val="1C3A36"/>
                <w:sz w:val="16"/>
              </w:rPr>
              <w:t>The published capitalisation-weighted index of the exchange the share is listed on — the local index the beta rule asks for.</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161</w:t>
            </w:r>
          </w:p>
        </w:tc>
        <w:tc>
          <w:tcPr>
            <w:tcW w:type="dxa" w:w="6019"/>
          </w:tcPr>
          <w:p>
            <w:pPr>
              <w:spacing w:after="20"/>
              <w:jc w:val="left"/>
            </w:pPr>
            <w:r>
              <w:rPr>
                <w:color w:val="1C3A36"/>
                <w:sz w:val="16"/>
              </w:rPr>
              <w:t>weekly returns over the share's full listed history of 3.18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1.085</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0.199</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0.158</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0.758 to 1.412</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w:t>
            </w:r>
          </w:p>
        </w:tc>
      </w:tr>
      <w:tr>
        <w:trPr>
          <w:cantSplit/>
        </w:trPr>
        <w:tc>
          <w:tcPr>
            <w:tcW w:type="dxa" w:w="2477"/>
          </w:tcPr>
          <w:p>
            <w:pPr>
              <w:spacing w:after="20"/>
            </w:pPr>
            <w:r>
              <w:rPr>
                <w:color w:val="1C3A36"/>
                <w:sz w:val="16"/>
              </w:rPr>
              <w:t>Lead-lag sum beta</w:t>
            </w:r>
          </w:p>
        </w:tc>
        <w:tc>
          <w:tcPr>
            <w:tcW w:type="dxa" w:w="1584"/>
          </w:tcPr>
          <w:p>
            <w:pPr>
              <w:spacing w:after="20"/>
              <w:jc w:val="left"/>
            </w:pPr>
            <w:r>
              <w:rPr>
                <w:color w:val="1C3A36"/>
                <w:sz w:val="16"/>
              </w:rPr>
              <w:t>1.164</w:t>
            </w:r>
          </w:p>
        </w:tc>
        <w:tc>
          <w:tcPr>
            <w:tcW w:type="dxa" w:w="6019"/>
          </w:tcPr>
          <w:p>
            <w:pPr>
              <w:spacing w:after="20"/>
              <w:jc w:val="left"/>
            </w:pPr>
            <w:r>
              <w:rPr>
                <w:color w:val="1C3A36"/>
                <w:sz w:val="16"/>
              </w:rPr>
              <w:t>one lead and two lags, which recovers co-movement booked late because the share does not trade on every session. It is +0.079 against the adopted figure, so the correction points slightly higher rather than lower</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0.663</w:t>
            </w:r>
          </w:p>
        </w:tc>
        <w:tc>
          <w:tcPr>
            <w:tcW w:type="dxa" w:w="6019"/>
          </w:tcPr>
          <w:p>
            <w:pPr>
              <w:spacing w:after="20"/>
              <w:jc w:val="left"/>
            </w:pPr>
            <w:r>
              <w:rPr>
                <w:color w:val="1C3A36"/>
                <w:sz w:val="16"/>
              </w:rPr>
              <w:t>ADX + DFM equal-weight composite; disclosed, not adopted. R-squared 0.168 across 18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supplied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0.380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weighted across the drawn book</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weighted by what is actually drawn. It sits above the local sovereign yield of 4.48%, as a corporate borrowing in the same currency must. The perpetual capital securities are included in the evidence because they price the company's own subordinated risk, but they are deducted in the bridge rather than carried in the weights, so they do not enter the cost of capital twice.</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Five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1.085</w:t>
            </w:r>
          </w:p>
        </w:tc>
        <w:tc>
          <w:tcPr>
            <w:tcW w:type="dxa" w:w="2664"/>
          </w:tcPr>
          <w:p>
            <w:pPr>
              <w:spacing w:after="20"/>
            </w:pPr>
            <w:r>
              <w:rPr>
                <w:color w:val="1C3A36"/>
                <w:sz w:val="15"/>
              </w:rPr>
              <w:t>The same regression against an equal-weight composite of the same exchange's names, giving 0.705 — cost of equity 7.49% instead of 9.34%</w:t>
            </w:r>
          </w:p>
        </w:tc>
        <w:tc>
          <w:tcPr>
            <w:tcW w:type="dxa" w:w="1843"/>
          </w:tcPr>
          <w:p>
            <w:pPr>
              <w:spacing w:after="20"/>
            </w:pPr>
            <w:r>
              <w:rPr>
                <w:color w:val="1C3A36"/>
                <w:sz w:val="15"/>
              </w:rPr>
              <w:t>AED 8.40 against 5.69</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6.09, +0.40 against 5.69</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4.71 against 5.69</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0.900 and 1.085 rows, and in the rate-anchor range between the 110% and 120%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1.085</w:t>
            </w:r>
          </w:p>
        </w:tc>
        <w:tc>
          <w:tcPr>
            <w:tcW w:type="dxa" w:w="1555"/>
            <w:shd w:val="clear" w:color="auto" w:fill="EAF0EE"/>
          </w:tcPr>
          <w:p>
            <w:pPr>
              <w:spacing w:after="20"/>
            </w:pPr>
            <w:r>
              <w:rPr>
                <w:b/>
                <w:color w:val="1C3A36"/>
                <w:sz w:val="16"/>
              </w:rPr>
              <w:t>1.250</w:t>
            </w:r>
          </w:p>
        </w:tc>
        <w:tc>
          <w:tcPr>
            <w:tcW w:type="dxa" w:w="1555"/>
            <w:shd w:val="clear" w:color="auto" w:fill="EAF0EE"/>
          </w:tcPr>
          <w:p>
            <w:pPr>
              <w:spacing w:after="20"/>
            </w:pPr>
            <w:r>
              <w:rPr>
                <w:b/>
                <w:color w:val="1C3A36"/>
                <w:sz w:val="16"/>
              </w:rPr>
              <w:t>1.412</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7.55</w:t>
            </w:r>
          </w:p>
        </w:tc>
        <w:tc>
          <w:tcPr>
            <w:tcW w:type="dxa" w:w="1555"/>
          </w:tcPr>
          <w:p>
            <w:pPr>
              <w:spacing w:after="20"/>
              <w:jc w:val="right"/>
            </w:pPr>
            <w:r>
              <w:rPr>
                <w:color w:val="1C3A36"/>
                <w:sz w:val="16"/>
              </w:rPr>
              <w:t>6.28</w:t>
            </w:r>
          </w:p>
        </w:tc>
        <w:tc>
          <w:tcPr>
            <w:tcW w:type="dxa" w:w="1555"/>
          </w:tcPr>
          <w:p>
            <w:pPr>
              <w:spacing w:after="20"/>
              <w:jc w:val="right"/>
            </w:pPr>
            <w:r>
              <w:rPr>
                <w:color w:val="1C3A36"/>
                <w:sz w:val="16"/>
              </w:rPr>
              <w:t>5.37</w:t>
            </w:r>
          </w:p>
        </w:tc>
        <w:tc>
          <w:tcPr>
            <w:tcW w:type="dxa" w:w="1555"/>
          </w:tcPr>
          <w:p>
            <w:pPr>
              <w:spacing w:after="20"/>
              <w:jc w:val="right"/>
            </w:pPr>
            <w:r>
              <w:rPr>
                <w:color w:val="1C3A36"/>
                <w:sz w:val="16"/>
              </w:rPr>
              <w:t>4.71</w:t>
            </w:r>
          </w:p>
        </w:tc>
        <w:tc>
          <w:tcPr>
            <w:tcW w:type="dxa" w:w="1555"/>
          </w:tcPr>
          <w:p>
            <w:pPr>
              <w:spacing w:after="20"/>
              <w:jc w:val="right"/>
            </w:pPr>
            <w:r>
              <w:rPr>
                <w:color w:val="1C3A36"/>
                <w:sz w:val="16"/>
              </w:rPr>
              <w:t>4.18</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7.93</w:t>
            </w:r>
          </w:p>
        </w:tc>
        <w:tc>
          <w:tcPr>
            <w:tcW w:type="dxa" w:w="1555"/>
          </w:tcPr>
          <w:p>
            <w:pPr>
              <w:spacing w:after="20"/>
              <w:jc w:val="right"/>
            </w:pPr>
            <w:r>
              <w:rPr>
                <w:color w:val="1C3A36"/>
                <w:sz w:val="16"/>
              </w:rPr>
              <w:t>6.52</w:t>
            </w:r>
          </w:p>
        </w:tc>
        <w:tc>
          <w:tcPr>
            <w:tcW w:type="dxa" w:w="1555"/>
          </w:tcPr>
          <w:p>
            <w:pPr>
              <w:spacing w:after="20"/>
              <w:jc w:val="right"/>
            </w:pPr>
            <w:r>
              <w:rPr>
                <w:color w:val="1C3A36"/>
                <w:sz w:val="16"/>
              </w:rPr>
              <w:t>5.52</w:t>
            </w:r>
          </w:p>
        </w:tc>
        <w:tc>
          <w:tcPr>
            <w:tcW w:type="dxa" w:w="1555"/>
          </w:tcPr>
          <w:p>
            <w:pPr>
              <w:spacing w:after="20"/>
              <w:jc w:val="right"/>
            </w:pPr>
            <w:r>
              <w:rPr>
                <w:color w:val="1C3A36"/>
                <w:sz w:val="16"/>
              </w:rPr>
              <w:t>4.81</w:t>
            </w:r>
          </w:p>
        </w:tc>
        <w:tc>
          <w:tcPr>
            <w:tcW w:type="dxa" w:w="1555"/>
          </w:tcPr>
          <w:p>
            <w:pPr>
              <w:spacing w:after="20"/>
              <w:jc w:val="right"/>
            </w:pPr>
            <w:r>
              <w:rPr>
                <w:color w:val="1C3A36"/>
                <w:sz w:val="16"/>
              </w:rPr>
              <w:t>4.25</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8.40</w:t>
            </w:r>
          </w:p>
        </w:tc>
        <w:tc>
          <w:tcPr>
            <w:tcW w:type="dxa" w:w="1555"/>
          </w:tcPr>
          <w:p>
            <w:pPr>
              <w:spacing w:after="20"/>
              <w:jc w:val="right"/>
            </w:pPr>
            <w:r>
              <w:rPr>
                <w:color w:val="1C3A36"/>
                <w:sz w:val="16"/>
              </w:rPr>
              <w:t>6.80</w:t>
            </w:r>
          </w:p>
        </w:tc>
        <w:tc>
          <w:tcPr>
            <w:tcW w:type="dxa" w:w="1555"/>
          </w:tcPr>
          <w:p>
            <w:pPr>
              <w:spacing w:after="20"/>
              <w:jc w:val="right"/>
            </w:pPr>
            <w:r>
              <w:rPr>
                <w:color w:val="1C3A36"/>
                <w:sz w:val="16"/>
              </w:rPr>
              <w:t>5.69</w:t>
            </w:r>
          </w:p>
        </w:tc>
        <w:tc>
          <w:tcPr>
            <w:tcW w:type="dxa" w:w="1555"/>
          </w:tcPr>
          <w:p>
            <w:pPr>
              <w:spacing w:after="20"/>
              <w:jc w:val="right"/>
            </w:pPr>
            <w:r>
              <w:rPr>
                <w:color w:val="1C3A36"/>
                <w:sz w:val="16"/>
              </w:rPr>
              <w:t>4.93</w:t>
            </w:r>
          </w:p>
        </w:tc>
        <w:tc>
          <w:tcPr>
            <w:tcW w:type="dxa" w:w="1555"/>
          </w:tcPr>
          <w:p>
            <w:pPr>
              <w:spacing w:after="20"/>
              <w:jc w:val="right"/>
            </w:pPr>
            <w:r>
              <w:rPr>
                <w:color w:val="1C3A36"/>
                <w:sz w:val="16"/>
              </w:rPr>
              <w:t>4.32</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8.98</w:t>
            </w:r>
          </w:p>
        </w:tc>
        <w:tc>
          <w:tcPr>
            <w:tcW w:type="dxa" w:w="1555"/>
          </w:tcPr>
          <w:p>
            <w:pPr>
              <w:spacing w:after="20"/>
              <w:jc w:val="right"/>
            </w:pPr>
            <w:r>
              <w:rPr>
                <w:color w:val="1C3A36"/>
                <w:sz w:val="16"/>
              </w:rPr>
              <w:t>7.12</w:t>
            </w:r>
          </w:p>
        </w:tc>
        <w:tc>
          <w:tcPr>
            <w:tcW w:type="dxa" w:w="1555"/>
          </w:tcPr>
          <w:p>
            <w:pPr>
              <w:spacing w:after="20"/>
              <w:jc w:val="right"/>
            </w:pPr>
            <w:r>
              <w:rPr>
                <w:color w:val="1C3A36"/>
                <w:sz w:val="16"/>
              </w:rPr>
              <w:t>5.89</w:t>
            </w:r>
          </w:p>
        </w:tc>
        <w:tc>
          <w:tcPr>
            <w:tcW w:type="dxa" w:w="1555"/>
          </w:tcPr>
          <w:p>
            <w:pPr>
              <w:spacing w:after="20"/>
              <w:jc w:val="right"/>
            </w:pPr>
            <w:r>
              <w:rPr>
                <w:color w:val="1C3A36"/>
                <w:sz w:val="16"/>
              </w:rPr>
              <w:t>5.05</w:t>
            </w:r>
          </w:p>
        </w:tc>
        <w:tc>
          <w:tcPr>
            <w:tcW w:type="dxa" w:w="1555"/>
          </w:tcPr>
          <w:p>
            <w:pPr>
              <w:spacing w:after="20"/>
              <w:jc w:val="right"/>
            </w:pPr>
            <w:r>
              <w:rPr>
                <w:color w:val="1C3A36"/>
                <w:sz w:val="16"/>
              </w:rPr>
              <w:t>4.40</w:t>
            </w:r>
          </w:p>
        </w:tc>
      </w:tr>
    </w:tbl>
    <w:p>
      <w:pPr>
        <w:spacing w:after="40"/>
      </w:pPr>
    </w:p>
    <w:p>
      <w:pPr>
        <w:spacing w:after="200" w:before="0"/>
      </w:pPr>
      <w:r>
        <w:rPr>
          <w:b w:val="0"/>
          <w:i/>
          <w:color w:val="6E7B77"/>
          <w:sz w:val="17"/>
        </w:rPr>
        <w:t>Fair value in AED per share. The adopted construction is the 1.085 column at 2.0% growth; the equal-weight composite alternative is the 0.705 column at the same growth. The right-hand column of 1.412 is the top of the regression's own 90% confidence interval and is where the bear case is struck; the bull case is struck at the bottom of that interval, 0.758, which sits just inside the left-hand column. Beta moves the answer across the whole width of this table; growth moves it a fraction of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1.412</w:t>
            </w:r>
          </w:p>
        </w:tc>
        <w:tc>
          <w:tcPr>
            <w:tcW w:type="dxa" w:w="2304"/>
          </w:tcPr>
          <w:p>
            <w:pPr>
              <w:spacing w:after="20"/>
              <w:jc w:val="left"/>
            </w:pPr>
            <w:r>
              <w:rPr>
                <w:color w:val="1C3A36"/>
                <w:sz w:val="16"/>
              </w:rPr>
              <w:t>4.32 – 8.40</w:t>
            </w:r>
          </w:p>
        </w:tc>
        <w:tc>
          <w:tcPr>
            <w:tcW w:type="dxa" w:w="1944"/>
          </w:tcPr>
          <w:p>
            <w:pPr>
              <w:spacing w:after="20"/>
              <w:jc w:val="right"/>
            </w:pPr>
            <w:r>
              <w:rPr>
                <w:color w:val="1C3A36"/>
                <w:sz w:val="16"/>
              </w:rPr>
              <w:t>4.08</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4.84 – 6.54</w:t>
            </w:r>
          </w:p>
        </w:tc>
        <w:tc>
          <w:tcPr>
            <w:tcW w:type="dxa" w:w="1944"/>
          </w:tcPr>
          <w:p>
            <w:pPr>
              <w:spacing w:after="20"/>
              <w:jc w:val="right"/>
            </w:pPr>
            <w:r>
              <w:rPr>
                <w:color w:val="1C3A36"/>
                <w:sz w:val="16"/>
              </w:rPr>
              <w:t>1.70</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4.91 – 6.08</w:t>
            </w:r>
          </w:p>
        </w:tc>
        <w:tc>
          <w:tcPr>
            <w:tcW w:type="dxa" w:w="1944"/>
          </w:tcPr>
          <w:p>
            <w:pPr>
              <w:spacing w:after="20"/>
              <w:jc w:val="right"/>
            </w:pPr>
            <w:r>
              <w:rPr>
                <w:color w:val="1C3A36"/>
                <w:sz w:val="16"/>
              </w:rPr>
              <w:t>1.17</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4.71 – 5.66</w:t>
            </w:r>
          </w:p>
        </w:tc>
        <w:tc>
          <w:tcPr>
            <w:tcW w:type="dxa" w:w="1944"/>
          </w:tcPr>
          <w:p>
            <w:pPr>
              <w:spacing w:after="20"/>
              <w:jc w:val="right"/>
            </w:pPr>
            <w:r>
              <w:rPr>
                <w:color w:val="1C3A36"/>
                <w:sz w:val="16"/>
              </w:rPr>
              <w:t>0.95</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5.37 – 5.89</w:t>
            </w:r>
          </w:p>
        </w:tc>
        <w:tc>
          <w:tcPr>
            <w:tcW w:type="dxa" w:w="1944"/>
          </w:tcPr>
          <w:p>
            <w:pPr>
              <w:spacing w:after="20"/>
              <w:jc w:val="right"/>
            </w:pPr>
            <w:r>
              <w:rPr>
                <w:color w:val="1C3A36"/>
                <w:sz w:val="16"/>
              </w:rPr>
              <w:t>0.52</w:t>
            </w:r>
          </w:p>
        </w:tc>
      </w:tr>
      <w:tr>
        <w:trPr>
          <w:cantSplit/>
        </w:trPr>
        <w:tc>
          <w:tcPr>
            <w:tcW w:type="dxa" w:w="3024"/>
          </w:tcPr>
          <w:p>
            <w:pPr>
              <w:spacing w:after="20"/>
            </w:pPr>
            <w:r>
              <w:rPr>
                <w:color w:val="1C3A36"/>
                <w:sz w:val="16"/>
              </w:rPr>
              <w:t>Bear-to-bull scenario composite</w:t>
            </w:r>
          </w:p>
        </w:tc>
        <w:tc>
          <w:tcPr>
            <w:tcW w:type="dxa" w:w="2808"/>
          </w:tcPr>
          <w:p>
            <w:pPr>
              <w:spacing w:after="20"/>
              <w:jc w:val="left"/>
            </w:pPr>
            <w:r>
              <w:rPr>
                <w:color w:val="1C3A36"/>
                <w:sz w:val="16"/>
              </w:rPr>
              <w:t>rates, capital expenditure and the beta at the two ends of its own 90% interval — 1.412 in the bear, 0.758 in the bull</w:t>
            </w:r>
          </w:p>
        </w:tc>
        <w:tc>
          <w:tcPr>
            <w:tcW w:type="dxa" w:w="2304"/>
          </w:tcPr>
          <w:p>
            <w:pPr>
              <w:spacing w:after="20"/>
              <w:jc w:val="left"/>
            </w:pPr>
            <w:r>
              <w:rPr>
                <w:color w:val="1C3A36"/>
                <w:sz w:val="16"/>
              </w:rPr>
              <w:t>3.48 – 9.00</w:t>
            </w:r>
          </w:p>
        </w:tc>
        <w:tc>
          <w:tcPr>
            <w:tcW w:type="dxa" w:w="1944"/>
          </w:tcPr>
          <w:p>
            <w:pPr>
              <w:spacing w:after="20"/>
              <w:jc w:val="right"/>
            </w:pPr>
            <w:r>
              <w:rPr>
                <w:color w:val="1C3A36"/>
                <w:sz w:val="16"/>
              </w:rPr>
              <w:t>5.52</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width of the beta row is the width of a measured statistical interval, and the study publishes its bear and bull cases at that interval's two ends rather than choosing a comfortable point inside it; the width of the rate-anchor row is a judgement about the future that no amount of data settles. The first is uncertainty that has been quantified, the second is uncertainty that has not. The tax row deserves its own note: at a uniform 15% the value falls to AED 4.71, a loss of AED 0.98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because on the adopted construction they now sit inside it rather than far above it: the weighted central of AED 6.60 sits at the furthest computed resistance of 6.60, and the cash-flow lens on its own, at AED 5.69, sits between the first and second computed supports of 5.93 and 5.56. The equal-weight composite reading of AED 7.68 is the only one of the three above every level in the table. A valuation and a level ladder are unrelated constructions and their agreeing here proves nothing; it is recorded because the two disagreed markedly under the study's earlier measurement of the market and no longer do.</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6.60 on the beta measured against the published index, and AED 7.68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6.60, +7%</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7.68, +25%</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5.69, -8%</w:t>
            </w:r>
          </w:p>
        </w:tc>
        <w:tc>
          <w:tcPr>
            <w:tcW w:type="dxa" w:w="4464"/>
          </w:tcPr>
          <w:p>
            <w:pPr>
              <w:spacing w:after="20"/>
            </w:pPr>
            <w:r>
              <w:rPr>
                <w:color w:val="1C3A36"/>
                <w:sz w:val="16"/>
              </w:rPr>
              <w:t>a cost of capital gliding 9.01% to 8.2%</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8.40, +36%</w:t>
            </w:r>
          </w:p>
        </w:tc>
        <w:tc>
          <w:tcPr>
            <w:tcW w:type="dxa" w:w="4464"/>
          </w:tcPr>
          <w:p>
            <w:pPr>
              <w:spacing w:after="20"/>
            </w:pPr>
            <w:r>
              <w:rPr>
                <w:color w:val="1C3A36"/>
                <w:sz w:val="16"/>
              </w:rPr>
              <w:t>the same, gliding 7.31% to 6.5%</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8.07, +31%</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9.44, +53%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6.97, +13%</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The market price of AED 6.16 sits above the cash-flow lens of AED 5.69 and below the weighted central of AED 6.60, a band of roughly 16% from end to end. The two multiple lenses land above the market, but they import their cost of capital from comparators rather than state one, so they are evidence about relative pricing rather than an independent answer; the expert panel in Appendix C, which prices mid-cycle earnings rather than a terminal value, centres at AED 5.17, 16% below the market price. Read together, the evidence brackets the screen price. It does not point away from it.</w:t>
      </w:r>
    </w:p>
    <w:p>
      <w:pPr>
        <w:spacing w:after="120" w:before="0"/>
      </w:pPr>
      <w:r>
        <w:rPr>
          <w:b w:val="0"/>
          <w:i w:val="0"/>
          <w:color w:val="1C3A36"/>
          <w:sz w:val="21"/>
        </w:rPr>
        <w:t>This is a weaker claim than the study previously made, and the reason is worth stating plainly. The cash-flow lens rests on a beta of 1.085, measured on 161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7.68 — a difference of AED 1.08 a share that turns entirely on index weighting. Both numbers are in this document at full size and neither is hidden inside an average, but the adopted one is the published index, and on it this share is close to fairly priced rather than materially cheap.</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1.70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10.8 in 2026 to 25.0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0.49× earnings in 2026E to net cash by 2029E, against a stated target of 2.0× to 2.5×. The company will not sit there</w:t>
            </w:r>
          </w:p>
        </w:tc>
        <w:tc>
          <w:tcPr>
            <w:tcW w:type="dxa" w:w="3888"/>
          </w:tcPr>
          <w:p>
            <w:pPr>
              <w:spacing w:after="20"/>
            </w:pPr>
            <w:r>
              <w:rPr>
                <w:color w:val="1C3A36"/>
                <w:sz w:val="16"/>
              </w:rPr>
              <w:t>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0.98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0.40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cash-flow lens on its own sits inside this zone and the book lens below it, so this is not a range at which the fundamental work would call the share cheap</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this zone contains the study’s own weighted central,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weighted central sits</w:t>
            </w:r>
          </w:p>
        </w:tc>
        <w:tc>
          <w:tcPr>
            <w:tcW w:type="dxa" w:w="2448"/>
          </w:tcPr>
          <w:p>
            <w:pPr>
              <w:spacing w:after="20"/>
              <w:jc w:val="right"/>
            </w:pPr>
            <w:r>
              <w:rPr>
                <w:color w:val="1C3A36"/>
                <w:sz w:val="16"/>
              </w:rPr>
              <w:t>6.60</w:t>
            </w:r>
          </w:p>
        </w:tc>
        <w:tc>
          <w:tcPr>
            <w:tcW w:type="dxa" w:w="5040"/>
          </w:tcPr>
          <w:p>
            <w:pPr>
              <w:spacing w:after="20"/>
              <w:jc w:val="left"/>
            </w:pPr>
            <w:r>
              <w:rPr>
                <w:color w:val="1C3A36"/>
                <w:sz w:val="16"/>
              </w:rPr>
              <w:t>between the 50th and 75th percentile of the three-month distribution. The valuation and the price map — which knows nothing about value — are in the same place, which is a change from this study's earlier measurement of the market and is the clearest sign that the share is close to fairly priced</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5.69</w:t>
            </w:r>
          </w:p>
        </w:tc>
        <w:tc>
          <w:tcPr>
            <w:tcW w:type="dxa" w:w="5040"/>
          </w:tcPr>
          <w:p>
            <w:pPr>
              <w:spacing w:after="20"/>
              <w:jc w:val="left"/>
            </w:pPr>
            <w:r>
              <w:rPr>
                <w:color w:val="1C3A36"/>
                <w:sz w:val="16"/>
              </w:rPr>
              <w:t>between the 25th and 50th percentile — below the price today, and reachable inside the horizon without anything unusual happening</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7.68</w:t>
            </w:r>
          </w:p>
        </w:tc>
        <w:tc>
          <w:tcPr>
            <w:tcW w:type="dxa" w:w="5040"/>
          </w:tcPr>
          <w:p>
            <w:pPr>
              <w:spacing w:after="20"/>
              <w:jc w:val="left"/>
            </w:pPr>
            <w:r>
              <w:rPr>
                <w:color w:val="1C3A36"/>
                <w:sz w:val="16"/>
              </w:rPr>
              <w:t>between the 75th and 95th percentile of the three-month distribution</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still moves the answer more than anything else, even though it is now settled. </w:t>
      </w:r>
      <w:r>
        <w:rPr>
          <w:color w:val="1C3A36"/>
          <w:sz w:val="21"/>
        </w:rPr>
        <w:t>Regressed against the FTSE ADX General Index, the beta is 1.085; regressed against an equal-weight composite of the same exchange's names it is 0.705, worth AED 2.71 a share on the cash-flow lens. Across the beta range tested in section 1.9 the swing is AED 4.08, still the widest single sensitivity in the study. What has changed is that this is no longer an unresolved argument between a regression and an economic prior — the published index of the share's own exchange is the right yardstick and the two now agree. What remains is ordinary statistical uncertainty: 3.2 years of listed history, an R-squared of 0.158, and a 90% interval of [0.76, 1.41] that this study's bear and bull cases carry at full width rather than narrowing. A longer history could still move the point estimate inside that interval,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78% of the cash-flow model's enterprise value is the terminal value on the adopted construction, 84% on the equal-weight composite. That is high, and it is the arithmetic consequence of discounting a business whose explicit years are depressed by a heavy capital programme — capital expenditure runs USD 1,375 million in 2026E against earnings of USD 1,860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+15% above the guided group earnings midpoint — +17%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0.49× earnings in 2026E to 0.32× in 2028E and turns to net cash of USD 774 million by 2030E, against a stated medium-term target of 2.0× to 2.5×. At the low end of that target the 2030E balance sheet would carry about USD 3,839 million of net debt, so the modelled path leaves roughly USD 4,613 million of unused capacity, on top of an undrawn committed revolving facility of USD 2.0 billion. The company will either lever up for acquisitions or return more capital.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USD 260,000 a day used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Two rate substitutions are carried in the fleet build. </w:t>
      </w:r>
      <w:r>
        <w:rPr>
          <w:color w:val="1C3A36"/>
          <w:sz w:val="21"/>
        </w:rPr>
        <w:t>Quarterly rates for the medium-range class are not disclosed for FY2024, so the FY2025 average stands in; the handysize vessels are not broken out at all and are carried at the medium-range rate. Together those are 18 of 53 vessels and the lowest earners in the fleet, so the effect is small — but it is a substitution, and it is labelled as one.</w:t>
      </w:r>
    </w:p>
    <w:p>
      <w:pPr>
        <w:pStyle w:val="ListBullet"/>
        <w:spacing w:after="60"/>
      </w:pPr>
      <w:r>
        <w:rPr>
          <w:b/>
          <w:color w:val="1C3A36"/>
          <w:sz w:val="21"/>
        </w:rPr>
        <w:t xml:space="preserve">Two unit inputs are solved rather than sourced. </w:t>
      </w:r>
      <w:r>
        <w:rPr>
          <w:color w:val="1C3A36"/>
          <w:sz w:val="21"/>
        </w:rPr>
        <w:t>Per-vessel running cost of USD 9,355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w:t>
      </w:r>
      <w:r>
        <w:rPr>
          <w:color w:val="1C3A36"/>
          <w:sz w:val="21"/>
        </w:rPr>
        <w:t>Reported Tankers revenue was 2.72×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ratio moves the revenue line and never the earnings line, so it cannot affect the valuation — but a reader comparing this study's revenue forecast with a broker's should know the two may be on different conventions.</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4.71.</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4,589</w:t>
            </w:r>
          </w:p>
        </w:tc>
        <w:tc>
          <w:tcPr>
            <w:tcW w:type="dxa" w:w="950"/>
          </w:tcPr>
          <w:p>
            <w:pPr>
              <w:spacing w:after="20"/>
              <w:jc w:val="right"/>
            </w:pPr>
            <w:r>
              <w:rPr>
                <w:color w:val="1C3A36"/>
                <w:sz w:val="15"/>
              </w:rPr>
              <w:t>4,725</w:t>
            </w:r>
          </w:p>
        </w:tc>
        <w:tc>
          <w:tcPr>
            <w:tcW w:type="dxa" w:w="950"/>
          </w:tcPr>
          <w:p>
            <w:pPr>
              <w:spacing w:after="20"/>
              <w:jc w:val="right"/>
            </w:pPr>
            <w:r>
              <w:rPr>
                <w:color w:val="1C3A36"/>
                <w:sz w:val="15"/>
              </w:rPr>
              <w:t>4,942</w:t>
            </w:r>
          </w:p>
        </w:tc>
        <w:tc>
          <w:tcPr>
            <w:tcW w:type="dxa" w:w="950"/>
          </w:tcPr>
          <w:p>
            <w:pPr>
              <w:spacing w:after="20"/>
              <w:jc w:val="right"/>
            </w:pPr>
            <w:r>
              <w:rPr>
                <w:color w:val="1C3A36"/>
                <w:sz w:val="15"/>
              </w:rPr>
              <w:t>4,966</w:t>
            </w:r>
          </w:p>
        </w:tc>
        <w:tc>
          <w:tcPr>
            <w:tcW w:type="dxa" w:w="950"/>
          </w:tcPr>
          <w:p>
            <w:pPr>
              <w:spacing w:after="20"/>
              <w:jc w:val="right"/>
            </w:pPr>
            <w:r>
              <w:rPr>
                <w:color w:val="1C3A36"/>
                <w:sz w:val="15"/>
              </w:rPr>
              <w:t>4,906</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(2,729)</w:t>
            </w:r>
          </w:p>
        </w:tc>
        <w:tc>
          <w:tcPr>
            <w:tcW w:type="dxa" w:w="950"/>
          </w:tcPr>
          <w:p>
            <w:pPr>
              <w:spacing w:after="20"/>
              <w:jc w:val="right"/>
            </w:pPr>
            <w:r>
              <w:rPr>
                <w:color w:val="1C3A36"/>
                <w:sz w:val="15"/>
              </w:rPr>
              <w:t>(2,802)</w:t>
            </w:r>
          </w:p>
        </w:tc>
        <w:tc>
          <w:tcPr>
            <w:tcW w:type="dxa" w:w="950"/>
          </w:tcPr>
          <w:p>
            <w:pPr>
              <w:spacing w:after="20"/>
              <w:jc w:val="right"/>
            </w:pPr>
            <w:r>
              <w:rPr>
                <w:color w:val="1C3A36"/>
                <w:sz w:val="15"/>
              </w:rPr>
              <w:t>(2,909)</w:t>
            </w:r>
          </w:p>
        </w:tc>
        <w:tc>
          <w:tcPr>
            <w:tcW w:type="dxa" w:w="950"/>
          </w:tcPr>
          <w:p>
            <w:pPr>
              <w:spacing w:after="20"/>
              <w:jc w:val="right"/>
            </w:pPr>
            <w:r>
              <w:rPr>
                <w:color w:val="1C3A36"/>
                <w:sz w:val="15"/>
              </w:rPr>
              <w:t>(2,960)</w:t>
            </w:r>
          </w:p>
        </w:tc>
        <w:tc>
          <w:tcPr>
            <w:tcW w:type="dxa" w:w="950"/>
          </w:tcPr>
          <w:p>
            <w:pPr>
              <w:spacing w:after="20"/>
              <w:jc w:val="right"/>
            </w:pPr>
            <w:r>
              <w:rPr>
                <w:color w:val="1C3A36"/>
                <w:sz w:val="15"/>
              </w:rPr>
              <w:t>(2,986)</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1,860</w:t>
            </w:r>
          </w:p>
        </w:tc>
        <w:tc>
          <w:tcPr>
            <w:tcW w:type="dxa" w:w="950"/>
            <w:shd w:val="clear" w:color="auto" w:fill="F6F1E6"/>
          </w:tcPr>
          <w:p>
            <w:pPr>
              <w:spacing w:after="20"/>
              <w:jc w:val="right"/>
            </w:pPr>
            <w:r>
              <w:rPr>
                <w:b/>
                <w:color w:val="1C3A36"/>
                <w:sz w:val="15"/>
              </w:rPr>
              <w:t>1,923</w:t>
            </w:r>
          </w:p>
        </w:tc>
        <w:tc>
          <w:tcPr>
            <w:tcW w:type="dxa" w:w="950"/>
            <w:shd w:val="clear" w:color="auto" w:fill="F6F1E6"/>
          </w:tcPr>
          <w:p>
            <w:pPr>
              <w:spacing w:after="20"/>
              <w:jc w:val="right"/>
            </w:pPr>
            <w:r>
              <w:rPr>
                <w:b/>
                <w:color w:val="1C3A36"/>
                <w:sz w:val="15"/>
              </w:rPr>
              <w:t>2,033</w:t>
            </w:r>
          </w:p>
        </w:tc>
        <w:tc>
          <w:tcPr>
            <w:tcW w:type="dxa" w:w="950"/>
            <w:shd w:val="clear" w:color="auto" w:fill="F6F1E6"/>
          </w:tcPr>
          <w:p>
            <w:pPr>
              <w:spacing w:after="20"/>
              <w:jc w:val="right"/>
            </w:pPr>
            <w:r>
              <w:rPr>
                <w:b/>
                <w:color w:val="1C3A36"/>
                <w:sz w:val="15"/>
              </w:rPr>
              <w:t>2,007</w:t>
            </w:r>
          </w:p>
        </w:tc>
        <w:tc>
          <w:tcPr>
            <w:tcW w:type="dxa" w:w="950"/>
            <w:shd w:val="clear" w:color="auto" w:fill="F6F1E6"/>
          </w:tcPr>
          <w:p>
            <w:pPr>
              <w:spacing w:after="20"/>
              <w:jc w:val="right"/>
            </w:pPr>
            <w:r>
              <w:rPr>
                <w:b/>
                <w:color w:val="1C3A36"/>
                <w:sz w:val="15"/>
              </w:rPr>
              <w:t>1,919</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40.5%</w:t>
            </w:r>
          </w:p>
        </w:tc>
        <w:tc>
          <w:tcPr>
            <w:tcW w:type="dxa" w:w="950"/>
          </w:tcPr>
          <w:p>
            <w:pPr>
              <w:spacing w:after="20"/>
              <w:jc w:val="right"/>
            </w:pPr>
            <w:r>
              <w:rPr>
                <w:color w:val="1C3A36"/>
                <w:sz w:val="15"/>
              </w:rPr>
              <w:t>40.7%</w:t>
            </w:r>
          </w:p>
        </w:tc>
        <w:tc>
          <w:tcPr>
            <w:tcW w:type="dxa" w:w="950"/>
          </w:tcPr>
          <w:p>
            <w:pPr>
              <w:spacing w:after="20"/>
              <w:jc w:val="right"/>
            </w:pPr>
            <w:r>
              <w:rPr>
                <w:color w:val="1C3A36"/>
                <w:sz w:val="15"/>
              </w:rPr>
              <w:t>41.1%</w:t>
            </w:r>
          </w:p>
        </w:tc>
        <w:tc>
          <w:tcPr>
            <w:tcW w:type="dxa" w:w="950"/>
          </w:tcPr>
          <w:p>
            <w:pPr>
              <w:spacing w:after="20"/>
              <w:jc w:val="right"/>
            </w:pPr>
            <w:r>
              <w:rPr>
                <w:color w:val="1C3A36"/>
                <w:sz w:val="15"/>
              </w:rPr>
              <w:t>40.4%</w:t>
            </w:r>
          </w:p>
        </w:tc>
        <w:tc>
          <w:tcPr>
            <w:tcW w:type="dxa" w:w="950"/>
          </w:tcPr>
          <w:p>
            <w:pPr>
              <w:spacing w:after="20"/>
              <w:jc w:val="right"/>
            </w:pPr>
            <w:r>
              <w:rPr>
                <w:color w:val="1C3A36"/>
                <w:sz w:val="15"/>
              </w:rPr>
              <w:t>39.1%</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(538)</w:t>
            </w:r>
          </w:p>
        </w:tc>
        <w:tc>
          <w:tcPr>
            <w:tcW w:type="dxa" w:w="950"/>
          </w:tcPr>
          <w:p>
            <w:pPr>
              <w:spacing w:after="20"/>
              <w:jc w:val="right"/>
            </w:pPr>
            <w:r>
              <w:rPr>
                <w:color w:val="1C3A36"/>
                <w:sz w:val="15"/>
              </w:rPr>
              <w:t>(590)</w:t>
            </w:r>
          </w:p>
        </w:tc>
        <w:tc>
          <w:tcPr>
            <w:tcW w:type="dxa" w:w="950"/>
          </w:tcPr>
          <w:p>
            <w:pPr>
              <w:spacing w:after="20"/>
              <w:jc w:val="right"/>
            </w:pPr>
            <w:r>
              <w:rPr>
                <w:color w:val="1C3A36"/>
                <w:sz w:val="15"/>
              </w:rPr>
              <w:t>(636)</w:t>
            </w:r>
          </w:p>
        </w:tc>
        <w:tc>
          <w:tcPr>
            <w:tcW w:type="dxa" w:w="950"/>
          </w:tcPr>
          <w:p>
            <w:pPr>
              <w:spacing w:after="20"/>
              <w:jc w:val="right"/>
            </w:pPr>
            <w:r>
              <w:rPr>
                <w:color w:val="1C3A36"/>
                <w:sz w:val="15"/>
              </w:rPr>
              <w:t>(664)</w:t>
            </w:r>
          </w:p>
        </w:tc>
        <w:tc>
          <w:tcPr>
            <w:tcW w:type="dxa" w:w="950"/>
          </w:tcPr>
          <w:p>
            <w:pPr>
              <w:spacing w:after="20"/>
              <w:jc w:val="right"/>
            </w:pPr>
            <w:r>
              <w:rPr>
                <w:color w:val="1C3A36"/>
                <w:sz w:val="15"/>
              </w:rPr>
              <w:t>(674)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1,321</w:t>
            </w:r>
          </w:p>
        </w:tc>
        <w:tc>
          <w:tcPr>
            <w:tcW w:type="dxa" w:w="950"/>
          </w:tcPr>
          <w:p>
            <w:pPr>
              <w:spacing w:after="20"/>
              <w:jc w:val="right"/>
            </w:pPr>
            <w:r>
              <w:rPr>
                <w:color w:val="1C3A36"/>
                <w:sz w:val="15"/>
              </w:rPr>
              <w:t>1,332</w:t>
            </w:r>
          </w:p>
        </w:tc>
        <w:tc>
          <w:tcPr>
            <w:tcW w:type="dxa" w:w="950"/>
          </w:tcPr>
          <w:p>
            <w:pPr>
              <w:spacing w:after="20"/>
              <w:jc w:val="right"/>
            </w:pPr>
            <w:r>
              <w:rPr>
                <w:color w:val="1C3A36"/>
                <w:sz w:val="15"/>
              </w:rPr>
              <w:t>1,397</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1,246</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(57)</w:t>
            </w:r>
          </w:p>
        </w:tc>
        <w:tc>
          <w:tcPr>
            <w:tcW w:type="dxa" w:w="950"/>
          </w:tcPr>
          <w:p>
            <w:pPr>
              <w:spacing w:after="20"/>
              <w:jc w:val="right"/>
            </w:pPr>
            <w:r>
              <w:rPr>
                <w:color w:val="1C3A36"/>
                <w:sz w:val="15"/>
              </w:rPr>
              <w:t>(68)</w:t>
            </w:r>
          </w:p>
        </w:tc>
        <w:tc>
          <w:tcPr>
            <w:tcW w:type="dxa" w:w="950"/>
          </w:tcPr>
          <w:p>
            <w:pPr>
              <w:spacing w:after="20"/>
              <w:jc w:val="right"/>
            </w:pPr>
            <w:r>
              <w:rPr>
                <w:color w:val="1C3A36"/>
                <w:sz w:val="15"/>
              </w:rPr>
              <w:t>(63)</w:t>
            </w:r>
          </w:p>
        </w:tc>
        <w:tc>
          <w:tcPr>
            <w:tcW w:type="dxa" w:w="950"/>
          </w:tcPr>
          <w:p>
            <w:pPr>
              <w:spacing w:after="20"/>
              <w:jc w:val="right"/>
            </w:pPr>
            <w:r>
              <w:rPr>
                <w:color w:val="1C3A36"/>
                <w:sz w:val="15"/>
              </w:rPr>
              <w:t>(53)</w:t>
            </w:r>
          </w:p>
        </w:tc>
        <w:tc>
          <w:tcPr>
            <w:tcW w:type="dxa" w:w="950"/>
          </w:tcPr>
          <w:p>
            <w:pPr>
              <w:spacing w:after="20"/>
              <w:jc w:val="right"/>
            </w:pPr>
            <w:r>
              <w:rPr>
                <w:color w:val="1C3A36"/>
                <w:sz w:val="15"/>
              </w:rPr>
              <w:t>(12)</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1,264</w:t>
            </w:r>
          </w:p>
        </w:tc>
        <w:tc>
          <w:tcPr>
            <w:tcW w:type="dxa" w:w="950"/>
          </w:tcPr>
          <w:p>
            <w:pPr>
              <w:spacing w:after="20"/>
              <w:jc w:val="right"/>
            </w:pPr>
            <w:r>
              <w:rPr>
                <w:color w:val="1C3A36"/>
                <w:sz w:val="15"/>
              </w:rPr>
              <w:t>1,264</w:t>
            </w:r>
          </w:p>
        </w:tc>
        <w:tc>
          <w:tcPr>
            <w:tcW w:type="dxa" w:w="950"/>
          </w:tcPr>
          <w:p>
            <w:pPr>
              <w:spacing w:after="20"/>
              <w:jc w:val="right"/>
            </w:pPr>
            <w:r>
              <w:rPr>
                <w:color w:val="1C3A36"/>
                <w:sz w:val="15"/>
              </w:rPr>
              <w:t>1,334</w:t>
            </w:r>
          </w:p>
        </w:tc>
        <w:tc>
          <w:tcPr>
            <w:tcW w:type="dxa" w:w="950"/>
          </w:tcPr>
          <w:p>
            <w:pPr>
              <w:spacing w:after="20"/>
              <w:jc w:val="right"/>
            </w:pPr>
            <w:r>
              <w:rPr>
                <w:color w:val="1C3A36"/>
                <w:sz w:val="15"/>
              </w:rPr>
              <w:t>1,289</w:t>
            </w:r>
          </w:p>
        </w:tc>
        <w:tc>
          <w:tcPr>
            <w:tcW w:type="dxa" w:w="950"/>
          </w:tcPr>
          <w:p>
            <w:pPr>
              <w:spacing w:after="20"/>
              <w:jc w:val="right"/>
            </w:pPr>
            <w:r>
              <w:rPr>
                <w:color w:val="1C3A36"/>
                <w:sz w:val="15"/>
              </w:rPr>
              <w:t>1,234</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(47)</w:t>
            </w:r>
          </w:p>
        </w:tc>
        <w:tc>
          <w:tcPr>
            <w:tcW w:type="dxa" w:w="950"/>
          </w:tcPr>
          <w:p>
            <w:pPr>
              <w:spacing w:after="20"/>
              <w:jc w:val="right"/>
            </w:pPr>
            <w:r>
              <w:rPr>
                <w:color w:val="1C3A36"/>
                <w:sz w:val="15"/>
              </w:rPr>
              <w:t>(52)</w:t>
            </w:r>
          </w:p>
        </w:tc>
        <w:tc>
          <w:tcPr>
            <w:tcW w:type="dxa" w:w="950"/>
          </w:tcPr>
          <w:p>
            <w:pPr>
              <w:spacing w:after="20"/>
              <w:jc w:val="right"/>
            </w:pPr>
            <w:r>
              <w:rPr>
                <w:color w:val="1C3A36"/>
                <w:sz w:val="15"/>
              </w:rPr>
              <w:t>(56)</w:t>
            </w:r>
          </w:p>
        </w:tc>
        <w:tc>
          <w:tcPr>
            <w:tcW w:type="dxa" w:w="950"/>
          </w:tcPr>
          <w:p>
            <w:pPr>
              <w:spacing w:after="20"/>
              <w:jc w:val="right"/>
            </w:pPr>
            <w:r>
              <w:rPr>
                <w:color w:val="1C3A36"/>
                <w:sz w:val="15"/>
              </w:rPr>
              <w:t>(57)</w:t>
            </w:r>
          </w:p>
        </w:tc>
        <w:tc>
          <w:tcPr>
            <w:tcW w:type="dxa" w:w="950"/>
          </w:tcPr>
          <w:p>
            <w:pPr>
              <w:spacing w:after="20"/>
              <w:jc w:val="right"/>
            </w:pPr>
            <w:r>
              <w:rPr>
                <w:color w:val="1C3A36"/>
                <w:sz w:val="15"/>
              </w:rPr>
              <w:t>(61)</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1,217</w:t>
            </w:r>
          </w:p>
        </w:tc>
        <w:tc>
          <w:tcPr>
            <w:tcW w:type="dxa" w:w="950"/>
          </w:tcPr>
          <w:p>
            <w:pPr>
              <w:spacing w:after="20"/>
              <w:jc w:val="right"/>
            </w:pPr>
            <w:r>
              <w:rPr>
                <w:color w:val="1C3A36"/>
                <w:sz w:val="15"/>
              </w:rPr>
              <w:t>1,212</w:t>
            </w:r>
          </w:p>
        </w:tc>
        <w:tc>
          <w:tcPr>
            <w:tcW w:type="dxa" w:w="950"/>
          </w:tcPr>
          <w:p>
            <w:pPr>
              <w:spacing w:after="20"/>
              <w:jc w:val="right"/>
            </w:pPr>
            <w:r>
              <w:rPr>
                <w:color w:val="1C3A36"/>
                <w:sz w:val="15"/>
              </w:rPr>
              <w:t>1,278</w:t>
            </w:r>
          </w:p>
        </w:tc>
        <w:tc>
          <w:tcPr>
            <w:tcW w:type="dxa" w:w="950"/>
          </w:tcPr>
          <w:p>
            <w:pPr>
              <w:spacing w:after="20"/>
              <w:jc w:val="right"/>
            </w:pPr>
            <w:r>
              <w:rPr>
                <w:color w:val="1C3A36"/>
                <w:sz w:val="15"/>
              </w:rPr>
              <w:t>1,232</w:t>
            </w:r>
          </w:p>
        </w:tc>
        <w:tc>
          <w:tcPr>
            <w:tcW w:type="dxa" w:w="950"/>
          </w:tcPr>
          <w:p>
            <w:pPr>
              <w:spacing w:after="20"/>
              <w:jc w:val="right"/>
            </w:pPr>
            <w:r>
              <w:rPr>
                <w:color w:val="1C3A36"/>
                <w:sz w:val="15"/>
              </w:rPr>
              <w:t>1,174</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(108)</w:t>
            </w:r>
          </w:p>
        </w:tc>
        <w:tc>
          <w:tcPr>
            <w:tcW w:type="dxa" w:w="950"/>
          </w:tcPr>
          <w:p>
            <w:pPr>
              <w:spacing w:after="20"/>
              <w:jc w:val="right"/>
            </w:pPr>
            <w:r>
              <w:rPr>
                <w:color w:val="1C3A36"/>
                <w:sz w:val="15"/>
              </w:rPr>
              <w:t>(103)</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1,109</w:t>
            </w:r>
          </w:p>
        </w:tc>
        <w:tc>
          <w:tcPr>
            <w:tcW w:type="dxa" w:w="950"/>
            <w:shd w:val="clear" w:color="auto" w:fill="F6F1E6"/>
          </w:tcPr>
          <w:p>
            <w:pPr>
              <w:spacing w:after="20"/>
              <w:jc w:val="right"/>
            </w:pPr>
            <w:r>
              <w:rPr>
                <w:b/>
                <w:color w:val="1C3A36"/>
                <w:sz w:val="15"/>
              </w:rPr>
              <w:t>1,106</w:t>
            </w:r>
          </w:p>
        </w:tc>
        <w:tc>
          <w:tcPr>
            <w:tcW w:type="dxa" w:w="950"/>
            <w:shd w:val="clear" w:color="auto" w:fill="F6F1E6"/>
          </w:tcPr>
          <w:p>
            <w:pPr>
              <w:spacing w:after="20"/>
              <w:jc w:val="right"/>
            </w:pPr>
            <w:r>
              <w:rPr>
                <w:b/>
                <w:color w:val="1C3A36"/>
                <w:sz w:val="15"/>
              </w:rPr>
              <w:t>1,166</w:t>
            </w:r>
          </w:p>
        </w:tc>
        <w:tc>
          <w:tcPr>
            <w:tcW w:type="dxa" w:w="950"/>
            <w:shd w:val="clear" w:color="auto" w:fill="F6F1E6"/>
          </w:tcPr>
          <w:p>
            <w:pPr>
              <w:spacing w:after="20"/>
              <w:jc w:val="right"/>
            </w:pPr>
            <w:r>
              <w:rPr>
                <w:b/>
                <w:color w:val="1C3A36"/>
                <w:sz w:val="15"/>
              </w:rPr>
              <w:t>1,124</w:t>
            </w:r>
          </w:p>
        </w:tc>
        <w:tc>
          <w:tcPr>
            <w:tcW w:type="dxa" w:w="950"/>
            <w:shd w:val="clear" w:color="auto" w:fill="F6F1E6"/>
          </w:tcPr>
          <w:p>
            <w:pPr>
              <w:spacing w:after="20"/>
              <w:jc w:val="right"/>
            </w:pPr>
            <w:r>
              <w:rPr>
                <w:b/>
                <w:color w:val="1C3A36"/>
                <w:sz w:val="15"/>
              </w:rPr>
              <w:t>1,070</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0.150</w:t>
            </w:r>
          </w:p>
        </w:tc>
        <w:tc>
          <w:tcPr>
            <w:tcW w:type="dxa" w:w="950"/>
            <w:shd w:val="clear" w:color="auto" w:fill="F6F1E6"/>
          </w:tcPr>
          <w:p>
            <w:pPr>
              <w:spacing w:after="20"/>
              <w:jc w:val="right"/>
            </w:pPr>
            <w:r>
              <w:rPr>
                <w:b/>
                <w:color w:val="1C3A36"/>
                <w:sz w:val="15"/>
              </w:rPr>
              <w:t>0.149</w:t>
            </w:r>
          </w:p>
        </w:tc>
        <w:tc>
          <w:tcPr>
            <w:tcW w:type="dxa" w:w="950"/>
            <w:shd w:val="clear" w:color="auto" w:fill="F6F1E6"/>
          </w:tcPr>
          <w:p>
            <w:pPr>
              <w:spacing w:after="20"/>
              <w:jc w:val="right"/>
            </w:pPr>
            <w:r>
              <w:rPr>
                <w:b/>
                <w:color w:val="1C3A36"/>
                <w:sz w:val="15"/>
              </w:rPr>
              <w:t>0.158</w:t>
            </w:r>
          </w:p>
        </w:tc>
        <w:tc>
          <w:tcPr>
            <w:tcW w:type="dxa" w:w="950"/>
            <w:shd w:val="clear" w:color="auto" w:fill="F6F1E6"/>
          </w:tcPr>
          <w:p>
            <w:pPr>
              <w:spacing w:after="20"/>
              <w:jc w:val="right"/>
            </w:pPr>
            <w:r>
              <w:rPr>
                <w:b/>
                <w:color w:val="1C3A36"/>
                <w:sz w:val="15"/>
              </w:rPr>
              <w:t>0.152</w:t>
            </w:r>
          </w:p>
        </w:tc>
        <w:tc>
          <w:tcPr>
            <w:tcW w:type="dxa" w:w="950"/>
            <w:shd w:val="clear" w:color="auto" w:fill="F6F1E6"/>
          </w:tcPr>
          <w:p>
            <w:pPr>
              <w:spacing w:after="20"/>
              <w:jc w:val="right"/>
            </w:pPr>
            <w:r>
              <w:rPr>
                <w:b/>
                <w:color w:val="1C3A36"/>
                <w:sz w:val="15"/>
              </w:rPr>
              <w:t>0.145</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attributable profit over shares outstanding.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7,833</w:t>
            </w:r>
          </w:p>
        </w:tc>
        <w:tc>
          <w:tcPr>
            <w:tcW w:type="dxa" w:w="950"/>
          </w:tcPr>
          <w:p>
            <w:pPr>
              <w:spacing w:after="20"/>
              <w:jc w:val="right"/>
            </w:pPr>
            <w:r>
              <w:rPr>
                <w:color w:val="1C3A36"/>
                <w:sz w:val="15"/>
              </w:rPr>
              <w:t>8,602</w:t>
            </w:r>
          </w:p>
        </w:tc>
        <w:tc>
          <w:tcPr>
            <w:tcW w:type="dxa" w:w="950"/>
          </w:tcPr>
          <w:p>
            <w:pPr>
              <w:spacing w:after="20"/>
              <w:jc w:val="right"/>
            </w:pPr>
            <w:r>
              <w:rPr>
                <w:color w:val="1C3A36"/>
                <w:sz w:val="15"/>
              </w:rPr>
              <w:t>9,327</w:t>
            </w:r>
          </w:p>
        </w:tc>
        <w:tc>
          <w:tcPr>
            <w:tcW w:type="dxa" w:w="950"/>
          </w:tcPr>
          <w:p>
            <w:pPr>
              <w:spacing w:after="20"/>
              <w:jc w:val="right"/>
            </w:pPr>
            <w:r>
              <w:rPr>
                <w:color w:val="1C3A36"/>
                <w:sz w:val="15"/>
              </w:rPr>
              <w:t>9,482</w:t>
            </w:r>
          </w:p>
        </w:tc>
        <w:tc>
          <w:tcPr>
            <w:tcW w:type="dxa" w:w="950"/>
          </w:tcPr>
          <w:p>
            <w:pPr>
              <w:spacing w:after="20"/>
              <w:jc w:val="right"/>
            </w:pPr>
            <w:r>
              <w:rPr>
                <w:color w:val="1C3A36"/>
                <w:sz w:val="15"/>
              </w:rPr>
              <w:t>9,580</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483</w:t>
            </w:r>
          </w:p>
        </w:tc>
        <w:tc>
          <w:tcPr>
            <w:tcW w:type="dxa" w:w="950"/>
            <w:shd w:val="clear" w:color="auto" w:fill="F6F1E6"/>
          </w:tcPr>
          <w:p>
            <w:pPr>
              <w:spacing w:after="20"/>
              <w:jc w:val="right"/>
            </w:pPr>
            <w:r>
              <w:rPr>
                <w:b/>
                <w:color w:val="1C3A36"/>
                <w:sz w:val="15"/>
              </w:rPr>
              <w:t>500</w:t>
            </w:r>
          </w:p>
        </w:tc>
        <w:tc>
          <w:tcPr>
            <w:tcW w:type="dxa" w:w="950"/>
            <w:shd w:val="clear" w:color="auto" w:fill="F6F1E6"/>
          </w:tcPr>
          <w:p>
            <w:pPr>
              <w:spacing w:after="20"/>
              <w:jc w:val="right"/>
            </w:pPr>
            <w:r>
              <w:rPr>
                <w:b/>
                <w:color w:val="1C3A36"/>
                <w:sz w:val="15"/>
              </w:rPr>
              <w:t>530</w:t>
            </w:r>
          </w:p>
        </w:tc>
        <w:tc>
          <w:tcPr>
            <w:tcW w:type="dxa" w:w="950"/>
            <w:shd w:val="clear" w:color="auto" w:fill="F6F1E6"/>
          </w:tcPr>
          <w:p>
            <w:pPr>
              <w:spacing w:after="20"/>
              <w:jc w:val="right"/>
            </w:pPr>
            <w:r>
              <w:rPr>
                <w:b/>
                <w:color w:val="1C3A36"/>
                <w:sz w:val="15"/>
              </w:rPr>
              <w:t>521</w:t>
            </w:r>
          </w:p>
        </w:tc>
        <w:tc>
          <w:tcPr>
            <w:tcW w:type="dxa" w:w="950"/>
            <w:shd w:val="clear" w:color="auto" w:fill="F6F1E6"/>
          </w:tcPr>
          <w:p>
            <w:pPr>
              <w:spacing w:after="20"/>
              <w:jc w:val="right"/>
            </w:pPr>
            <w:r>
              <w:rPr>
                <w:b/>
                <w:color w:val="1C3A36"/>
                <w:sz w:val="15"/>
              </w:rPr>
              <w:t>495</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1,417</w:t>
            </w:r>
          </w:p>
        </w:tc>
        <w:tc>
          <w:tcPr>
            <w:tcW w:type="dxa" w:w="950"/>
          </w:tcPr>
          <w:p>
            <w:pPr>
              <w:spacing w:after="20"/>
              <w:jc w:val="right"/>
            </w:pPr>
            <w:r>
              <w:rPr>
                <w:color w:val="1C3A36"/>
                <w:sz w:val="15"/>
              </w:rPr>
              <w:t>1,608</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1,350</w:t>
            </w:r>
          </w:p>
        </w:tc>
        <w:tc>
          <w:tcPr>
            <w:tcW w:type="dxa" w:w="950"/>
          </w:tcPr>
          <w:p>
            <w:pPr>
              <w:spacing w:after="20"/>
              <w:jc w:val="right"/>
            </w:pPr>
            <w:r>
              <w:rPr>
                <w:color w:val="1C3A36"/>
                <w:sz w:val="15"/>
              </w:rPr>
              <w:t>634</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913</w:t>
            </w:r>
          </w:p>
        </w:tc>
        <w:tc>
          <w:tcPr>
            <w:tcW w:type="dxa" w:w="950"/>
          </w:tcPr>
          <w:p>
            <w:pPr>
              <w:spacing w:after="20"/>
              <w:jc w:val="right"/>
            </w:pPr>
            <w:r>
              <w:rPr>
                <w:color w:val="1C3A36"/>
                <w:sz w:val="15"/>
              </w:rPr>
              <w:t>824</w:t>
            </w:r>
          </w:p>
        </w:tc>
        <w:tc>
          <w:tcPr>
            <w:tcW w:type="dxa" w:w="950"/>
          </w:tcPr>
          <w:p>
            <w:pPr>
              <w:spacing w:after="20"/>
              <w:jc w:val="right"/>
            </w:pPr>
            <w:r>
              <w:rPr>
                <w:color w:val="1C3A36"/>
                <w:sz w:val="15"/>
              </w:rPr>
              <w:t>655</w:t>
            </w:r>
          </w:p>
        </w:tc>
        <w:tc>
          <w:tcPr>
            <w:tcW w:type="dxa" w:w="950"/>
          </w:tcPr>
          <w:p>
            <w:pPr>
              <w:spacing w:after="20"/>
              <w:jc w:val="right"/>
            </w:pPr>
            <w:r>
              <w:rPr>
                <w:color w:val="1C3A36"/>
                <w:sz w:val="15"/>
              </w:rPr>
              <w:t>(61)</w:t>
            </w:r>
          </w:p>
        </w:tc>
        <w:tc>
          <w:tcPr>
            <w:tcW w:type="dxa" w:w="950"/>
          </w:tcPr>
          <w:p>
            <w:pPr>
              <w:spacing w:after="20"/>
              <w:jc w:val="right"/>
            </w:pPr>
            <w:r>
              <w:rPr>
                <w:color w:val="1C3A36"/>
                <w:sz w:val="15"/>
              </w:rPr>
              <w:t>(774)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5,745</w:t>
            </w:r>
          </w:p>
        </w:tc>
        <w:tc>
          <w:tcPr>
            <w:tcW w:type="dxa" w:w="950"/>
            <w:shd w:val="clear" w:color="auto" w:fill="F6F1E6"/>
          </w:tcPr>
          <w:p>
            <w:pPr>
              <w:spacing w:after="20"/>
              <w:jc w:val="right"/>
            </w:pPr>
            <w:r>
              <w:rPr>
                <w:b/>
                <w:color w:val="1C3A36"/>
                <w:sz w:val="15"/>
              </w:rPr>
              <w:t>6,396</w:t>
            </w:r>
          </w:p>
        </w:tc>
        <w:tc>
          <w:tcPr>
            <w:tcW w:type="dxa" w:w="950"/>
            <w:shd w:val="clear" w:color="auto" w:fill="F6F1E6"/>
          </w:tcPr>
          <w:p>
            <w:pPr>
              <w:spacing w:after="20"/>
              <w:jc w:val="right"/>
            </w:pPr>
            <w:r>
              <w:rPr>
                <w:b/>
                <w:color w:val="1C3A36"/>
                <w:sz w:val="15"/>
              </w:rPr>
              <w:t>7,089</w:t>
            </w:r>
          </w:p>
        </w:tc>
        <w:tc>
          <w:tcPr>
            <w:tcW w:type="dxa" w:w="950"/>
            <w:shd w:val="clear" w:color="auto" w:fill="F6F1E6"/>
          </w:tcPr>
          <w:p>
            <w:pPr>
              <w:spacing w:after="20"/>
              <w:jc w:val="right"/>
            </w:pPr>
            <w:r>
              <w:rPr>
                <w:b/>
                <w:color w:val="1C3A36"/>
                <w:sz w:val="15"/>
              </w:rPr>
              <w:t>7,721</w:t>
            </w:r>
          </w:p>
        </w:tc>
        <w:tc>
          <w:tcPr>
            <w:tcW w:type="dxa" w:w="950"/>
            <w:shd w:val="clear" w:color="auto" w:fill="F6F1E6"/>
          </w:tcPr>
          <w:p>
            <w:pPr>
              <w:spacing w:after="20"/>
              <w:jc w:val="right"/>
            </w:pPr>
            <w:r>
              <w:rPr>
                <w:b/>
                <w:color w:val="1C3A36"/>
                <w:sz w:val="15"/>
              </w:rPr>
              <w:t>8,280</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0.7766</w:t>
            </w:r>
          </w:p>
        </w:tc>
        <w:tc>
          <w:tcPr>
            <w:tcW w:type="dxa" w:w="950"/>
          </w:tcPr>
          <w:p>
            <w:pPr>
              <w:spacing w:after="20"/>
              <w:jc w:val="right"/>
            </w:pPr>
            <w:r>
              <w:rPr>
                <w:color w:val="1C3A36"/>
                <w:sz w:val="15"/>
              </w:rPr>
              <w:t>0.8645</w:t>
            </w:r>
          </w:p>
        </w:tc>
        <w:tc>
          <w:tcPr>
            <w:tcW w:type="dxa" w:w="950"/>
          </w:tcPr>
          <w:p>
            <w:pPr>
              <w:spacing w:after="20"/>
              <w:jc w:val="right"/>
            </w:pPr>
            <w:r>
              <w:rPr>
                <w:color w:val="1C3A36"/>
                <w:sz w:val="15"/>
              </w:rPr>
              <w:t>0.9581</w:t>
            </w:r>
          </w:p>
        </w:tc>
        <w:tc>
          <w:tcPr>
            <w:tcW w:type="dxa" w:w="950"/>
          </w:tcPr>
          <w:p>
            <w:pPr>
              <w:spacing w:after="20"/>
              <w:jc w:val="right"/>
            </w:pPr>
            <w:r>
              <w:rPr>
                <w:color w:val="1C3A36"/>
                <w:sz w:val="15"/>
              </w:rPr>
              <w:t>1.0436</w:t>
            </w:r>
          </w:p>
        </w:tc>
        <w:tc>
          <w:tcPr>
            <w:tcW w:type="dxa" w:w="950"/>
          </w:tcPr>
          <w:p>
            <w:pPr>
              <w:spacing w:after="20"/>
              <w:jc w:val="right"/>
            </w:pPr>
            <w:r>
              <w:rPr>
                <w:color w:val="1C3A36"/>
                <w:sz w:val="15"/>
              </w:rPr>
              <w:t>1.1191</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0.49×</w:t>
            </w:r>
          </w:p>
        </w:tc>
        <w:tc>
          <w:tcPr>
            <w:tcW w:type="dxa" w:w="950"/>
          </w:tcPr>
          <w:p>
            <w:pPr>
              <w:spacing w:after="20"/>
              <w:jc w:val="right"/>
            </w:pPr>
            <w:r>
              <w:rPr>
                <w:color w:val="1C3A36"/>
                <w:sz w:val="15"/>
              </w:rPr>
              <w:t>0.43×</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-0.03×</w:t>
            </w:r>
          </w:p>
        </w:tc>
        <w:tc>
          <w:tcPr>
            <w:tcW w:type="dxa" w:w="950"/>
          </w:tcPr>
          <w:p>
            <w:pPr>
              <w:spacing w:after="20"/>
              <w:jc w:val="right"/>
            </w:pPr>
            <w:r>
              <w:rPr>
                <w:color w:val="1C3A36"/>
                <w:sz w:val="15"/>
              </w:rPr>
              <w:t>-0.40×</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20.5%</w:t>
            </w:r>
          </w:p>
        </w:tc>
        <w:tc>
          <w:tcPr>
            <w:tcW w:type="dxa" w:w="950"/>
          </w:tcPr>
          <w:p>
            <w:pPr>
              <w:spacing w:after="20"/>
              <w:jc w:val="right"/>
            </w:pPr>
            <w:r>
              <w:rPr>
                <w:color w:val="1C3A36"/>
                <w:sz w:val="15"/>
              </w:rPr>
              <w:t>18.2%</w:t>
            </w:r>
          </w:p>
        </w:tc>
        <w:tc>
          <w:tcPr>
            <w:tcW w:type="dxa" w:w="950"/>
          </w:tcPr>
          <w:p>
            <w:pPr>
              <w:spacing w:after="20"/>
              <w:jc w:val="right"/>
            </w:pPr>
            <w:r>
              <w:rPr>
                <w:color w:val="1C3A36"/>
                <w:sz w:val="15"/>
              </w:rPr>
              <w:t>17.3%</w:t>
            </w:r>
          </w:p>
        </w:tc>
        <w:tc>
          <w:tcPr>
            <w:tcW w:type="dxa" w:w="950"/>
          </w:tcPr>
          <w:p>
            <w:pPr>
              <w:spacing w:after="20"/>
              <w:jc w:val="right"/>
            </w:pPr>
            <w:r>
              <w:rPr>
                <w:color w:val="1C3A36"/>
                <w:sz w:val="15"/>
              </w:rPr>
              <w:t>15.2%</w:t>
            </w:r>
          </w:p>
        </w:tc>
        <w:tc>
          <w:tcPr>
            <w:tcW w:type="dxa" w:w="950"/>
          </w:tcPr>
          <w:p>
            <w:pPr>
              <w:spacing w:after="20"/>
              <w:jc w:val="right"/>
            </w:pPr>
            <w:r>
              <w:rPr>
                <w:color w:val="1C3A36"/>
                <w:sz w:val="15"/>
              </w:rPr>
              <w:t>13.4%</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(137)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9</w:t>
            </w:r>
          </w:p>
        </w:tc>
        <w:tc>
          <w:tcPr>
            <w:tcW w:type="dxa" w:w="1382"/>
          </w:tcPr>
          <w:p>
            <w:pPr>
              <w:spacing w:after="20"/>
              <w:jc w:val="right"/>
            </w:pPr>
            <w:r>
              <w:rPr>
                <w:color w:val="1C3A36"/>
                <w:sz w:val="16"/>
              </w:rPr>
              <w:t>27</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298</w:t>
            </w:r>
          </w:p>
        </w:tc>
        <w:tc>
          <w:tcPr>
            <w:tcW w:type="dxa" w:w="1382"/>
            <w:shd w:val="clear" w:color="auto" w:fill="F6F1E6"/>
          </w:tcPr>
          <w:p>
            <w:pPr>
              <w:spacing w:after="20"/>
              <w:jc w:val="right"/>
            </w:pPr>
            <w:r>
              <w:rPr>
                <w:b/>
                <w:color w:val="1C3A36"/>
                <w:sz w:val="16"/>
              </w:rPr>
              <w:t>606</w:t>
            </w:r>
          </w:p>
        </w:tc>
        <w:tc>
          <w:tcPr>
            <w:tcW w:type="dxa" w:w="1382"/>
            <w:shd w:val="clear" w:color="auto" w:fill="F6F1E6"/>
          </w:tcPr>
          <w:p>
            <w:pPr>
              <w:spacing w:after="20"/>
              <w:jc w:val="right"/>
            </w:pPr>
            <w:r>
              <w:rPr>
                <w:b/>
                <w:color w:val="1C3A36"/>
                <w:sz w:val="16"/>
              </w:rPr>
              <w:t>700</w:t>
            </w:r>
          </w:p>
        </w:tc>
        <w:tc>
          <w:tcPr>
            <w:tcW w:type="dxa" w:w="1382"/>
            <w:shd w:val="clear" w:color="auto" w:fill="F6F1E6"/>
          </w:tcPr>
          <w:p>
            <w:pPr>
              <w:spacing w:after="20"/>
              <w:jc w:val="right"/>
            </w:pPr>
            <w:r>
              <w:rPr>
                <w:b/>
                <w:color w:val="1C3A36"/>
                <w:sz w:val="16"/>
              </w:rPr>
              <w:t>1,256</w:t>
            </w:r>
          </w:p>
        </w:tc>
        <w:tc>
          <w:tcPr>
            <w:tcW w:type="dxa" w:w="1382"/>
            <w:shd w:val="clear" w:color="auto" w:fill="F6F1E6"/>
          </w:tcPr>
          <w:p>
            <w:pPr>
              <w:spacing w:after="20"/>
              <w:jc w:val="right"/>
            </w:pPr>
            <w:r>
              <w:rPr>
                <w:b/>
                <w:color w:val="1C3A36"/>
                <w:sz w:val="16"/>
              </w:rPr>
              <w:t>1,235</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(83)</w:t>
            </w:r>
          </w:p>
        </w:tc>
        <w:tc>
          <w:tcPr>
            <w:tcW w:type="dxa" w:w="1382"/>
          </w:tcPr>
          <w:p>
            <w:pPr>
              <w:spacing w:after="20"/>
              <w:jc w:val="right"/>
            </w:pPr>
            <w:r>
              <w:rPr>
                <w:color w:val="1C3A36"/>
                <w:sz w:val="16"/>
              </w:rPr>
              <w:t>(94)</w:t>
            </w:r>
          </w:p>
        </w:tc>
        <w:tc>
          <w:tcPr>
            <w:tcW w:type="dxa" w:w="1382"/>
          </w:tcPr>
          <w:p>
            <w:pPr>
              <w:spacing w:after="20"/>
              <w:jc w:val="right"/>
            </w:pPr>
            <w:r>
              <w:rPr>
                <w:color w:val="1C3A36"/>
                <w:sz w:val="16"/>
              </w:rPr>
              <w:t>(88)</w:t>
            </w:r>
          </w:p>
        </w:tc>
        <w:tc>
          <w:tcPr>
            <w:tcW w:type="dxa" w:w="1382"/>
          </w:tcPr>
          <w:p>
            <w:pPr>
              <w:spacing w:after="20"/>
              <w:jc w:val="right"/>
            </w:pPr>
            <w:r>
              <w:rPr>
                <w:color w:val="1C3A36"/>
                <w:sz w:val="16"/>
              </w:rPr>
              <w:t>(79)</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32%</w:t>
            </w:r>
          </w:p>
        </w:tc>
        <w:tc>
          <w:tcPr>
            <w:tcW w:type="dxa" w:w="1382"/>
          </w:tcPr>
          <w:p>
            <w:pPr>
              <w:spacing w:after="20"/>
              <w:jc w:val="right"/>
            </w:pPr>
            <w:r>
              <w:rPr>
                <w:color w:val="1C3A36"/>
                <w:sz w:val="16"/>
              </w:rPr>
              <w:t>32%</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39%</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1,417</w:t>
            </w:r>
          </w:p>
        </w:tc>
        <w:tc>
          <w:tcPr>
            <w:tcW w:type="dxa" w:w="1382"/>
          </w:tcPr>
          <w:p>
            <w:pPr>
              <w:spacing w:after="20"/>
              <w:jc w:val="right"/>
            </w:pPr>
            <w:r>
              <w:rPr>
                <w:color w:val="1C3A36"/>
                <w:sz w:val="16"/>
              </w:rPr>
              <w:t>1,608</w:t>
            </w:r>
          </w:p>
        </w:tc>
        <w:tc>
          <w:tcPr>
            <w:tcW w:type="dxa" w:w="1382"/>
          </w:tcPr>
          <w:p>
            <w:pPr>
              <w:spacing w:after="20"/>
              <w:jc w:val="right"/>
            </w:pPr>
            <w:r>
              <w:rPr>
                <w:color w:val="1C3A36"/>
                <w:sz w:val="16"/>
              </w:rPr>
              <w:t>1,519</w:t>
            </w:r>
          </w:p>
        </w:tc>
        <w:tc>
          <w:tcPr>
            <w:tcW w:type="dxa" w:w="1382"/>
          </w:tcPr>
          <w:p>
            <w:pPr>
              <w:spacing w:after="20"/>
              <w:jc w:val="right"/>
            </w:pPr>
            <w:r>
              <w:rPr>
                <w:color w:val="1C3A36"/>
                <w:sz w:val="16"/>
              </w:rPr>
              <w:t>1,350</w:t>
            </w:r>
          </w:p>
        </w:tc>
        <w:tc>
          <w:tcPr>
            <w:tcW w:type="dxa" w:w="1382"/>
          </w:tcPr>
          <w:p>
            <w:pPr>
              <w:spacing w:after="20"/>
              <w:jc w:val="right"/>
            </w:pPr>
            <w:r>
              <w:rPr>
                <w:color w:val="1C3A36"/>
                <w:sz w:val="16"/>
              </w:rPr>
              <w:t>634</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913</w:t>
            </w:r>
          </w:p>
        </w:tc>
        <w:tc>
          <w:tcPr>
            <w:tcW w:type="dxa" w:w="1382"/>
          </w:tcPr>
          <w:p>
            <w:pPr>
              <w:spacing w:after="20"/>
              <w:jc w:val="right"/>
            </w:pPr>
            <w:r>
              <w:rPr>
                <w:color w:val="1C3A36"/>
                <w:sz w:val="16"/>
              </w:rPr>
              <w:t>824</w:t>
            </w:r>
          </w:p>
        </w:tc>
        <w:tc>
          <w:tcPr>
            <w:tcW w:type="dxa" w:w="1382"/>
          </w:tcPr>
          <w:p>
            <w:pPr>
              <w:spacing w:after="20"/>
              <w:jc w:val="right"/>
            </w:pPr>
            <w:r>
              <w:rPr>
                <w:color w:val="1C3A36"/>
                <w:sz w:val="16"/>
              </w:rPr>
              <w:t>655</w:t>
            </w:r>
          </w:p>
        </w:tc>
        <w:tc>
          <w:tcPr>
            <w:tcW w:type="dxa" w:w="1382"/>
          </w:tcPr>
          <w:p>
            <w:pPr>
              <w:spacing w:after="20"/>
              <w:jc w:val="right"/>
            </w:pPr>
            <w:r>
              <w:rPr>
                <w:color w:val="1C3A36"/>
                <w:sz w:val="16"/>
              </w:rPr>
              <w:t>(61)</w:t>
            </w:r>
          </w:p>
        </w:tc>
        <w:tc>
          <w:tcPr>
            <w:tcW w:type="dxa" w:w="1382"/>
          </w:tcPr>
          <w:p>
            <w:pPr>
              <w:spacing w:after="20"/>
              <w:jc w:val="right"/>
            </w:pPr>
            <w:r>
              <w:rPr>
                <w:color w:val="1C3A36"/>
                <w:sz w:val="16"/>
              </w:rPr>
              <w:t>(774)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0.49×</w:t>
            </w:r>
          </w:p>
        </w:tc>
        <w:tc>
          <w:tcPr>
            <w:tcW w:type="dxa" w:w="1382"/>
            <w:shd w:val="clear" w:color="auto" w:fill="F6F1E6"/>
          </w:tcPr>
          <w:p>
            <w:pPr>
              <w:spacing w:after="20"/>
              <w:jc w:val="right"/>
            </w:pPr>
            <w:r>
              <w:rPr>
                <w:b/>
                <w:color w:val="1C3A36"/>
                <w:sz w:val="16"/>
              </w:rPr>
              <w:t>0.43×</w:t>
            </w:r>
          </w:p>
        </w:tc>
        <w:tc>
          <w:tcPr>
            <w:tcW w:type="dxa" w:w="1382"/>
            <w:shd w:val="clear" w:color="auto" w:fill="F6F1E6"/>
          </w:tcPr>
          <w:p>
            <w:pPr>
              <w:spacing w:after="20"/>
              <w:jc w:val="right"/>
            </w:pPr>
            <w:r>
              <w:rPr>
                <w:b/>
                <w:color w:val="1C3A36"/>
                <w:sz w:val="16"/>
              </w:rPr>
              <w:t>0.32×</w:t>
            </w:r>
          </w:p>
        </w:tc>
        <w:tc>
          <w:tcPr>
            <w:tcW w:type="dxa" w:w="1382"/>
            <w:shd w:val="clear" w:color="auto" w:fill="F6F1E6"/>
          </w:tcPr>
          <w:p>
            <w:pPr>
              <w:spacing w:after="20"/>
              <w:jc w:val="right"/>
            </w:pPr>
            <w:r>
              <w:rPr>
                <w:b/>
                <w:color w:val="1C3A36"/>
                <w:sz w:val="16"/>
              </w:rPr>
              <w:t>-0.03×</w:t>
            </w:r>
          </w:p>
        </w:tc>
        <w:tc>
          <w:tcPr>
            <w:tcW w:type="dxa" w:w="1382"/>
            <w:shd w:val="clear" w:color="auto" w:fill="F6F1E6"/>
          </w:tcPr>
          <w:p>
            <w:pPr>
              <w:spacing w:after="20"/>
              <w:jc w:val="right"/>
            </w:pPr>
            <w:r>
              <w:rPr>
                <w:b/>
                <w:color w:val="1C3A36"/>
                <w:sz w:val="16"/>
              </w:rPr>
              <w:t>-0.40×</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8,387</w:t>
            </w:r>
          </w:p>
        </w:tc>
        <w:tc>
          <w:tcPr>
            <w:tcW w:type="dxa" w:w="1382"/>
          </w:tcPr>
          <w:p>
            <w:pPr>
              <w:spacing w:after="20"/>
              <w:jc w:val="right"/>
            </w:pPr>
            <w:r>
              <w:rPr>
                <w:color w:val="1C3A36"/>
                <w:sz w:val="16"/>
              </w:rPr>
              <w:t>9,173</w:t>
            </w:r>
          </w:p>
        </w:tc>
        <w:tc>
          <w:tcPr>
            <w:tcW w:type="dxa" w:w="1382"/>
          </w:tcPr>
          <w:p>
            <w:pPr>
              <w:spacing w:after="20"/>
              <w:jc w:val="right"/>
            </w:pPr>
            <w:r>
              <w:rPr>
                <w:color w:val="1C3A36"/>
                <w:sz w:val="16"/>
              </w:rPr>
              <w:t>9,928</w:t>
            </w:r>
          </w:p>
        </w:tc>
        <w:tc>
          <w:tcPr>
            <w:tcW w:type="dxa" w:w="1382"/>
          </w:tcPr>
          <w:p>
            <w:pPr>
              <w:spacing w:after="20"/>
              <w:jc w:val="right"/>
            </w:pPr>
            <w:r>
              <w:rPr>
                <w:color w:val="1C3A36"/>
                <w:sz w:val="16"/>
              </w:rPr>
              <w:t>10,074</w:t>
            </w:r>
          </w:p>
        </w:tc>
        <w:tc>
          <w:tcPr>
            <w:tcW w:type="dxa" w:w="1382"/>
          </w:tcPr>
          <w:p>
            <w:pPr>
              <w:spacing w:after="20"/>
              <w:jc w:val="right"/>
            </w:pPr>
            <w:r>
              <w:rPr>
                <w:color w:val="1C3A36"/>
                <w:sz w:val="16"/>
              </w:rPr>
              <w:t>10,145</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13.9%</w:t>
            </w:r>
          </w:p>
        </w:tc>
        <w:tc>
          <w:tcPr>
            <w:tcW w:type="dxa" w:w="1382"/>
          </w:tcPr>
          <w:p>
            <w:pPr>
              <w:spacing w:after="20"/>
              <w:jc w:val="right"/>
            </w:pPr>
            <w:r>
              <w:rPr>
                <w:color w:val="1C3A36"/>
                <w:sz w:val="16"/>
              </w:rPr>
              <w:t>13.5%</w:t>
            </w:r>
          </w:p>
        </w:tc>
        <w:tc>
          <w:tcPr>
            <w:tcW w:type="dxa" w:w="1382"/>
          </w:tcPr>
          <w:p>
            <w:pPr>
              <w:spacing w:after="20"/>
              <w:jc w:val="right"/>
            </w:pPr>
            <w:r>
              <w:rPr>
                <w:color w:val="1C3A36"/>
                <w:sz w:val="16"/>
              </w:rPr>
              <w:t>12.7%</w:t>
            </w:r>
          </w:p>
        </w:tc>
        <w:tc>
          <w:tcPr>
            <w:tcW w:type="dxa" w:w="1382"/>
          </w:tcPr>
          <w:p>
            <w:pPr>
              <w:spacing w:after="20"/>
              <w:jc w:val="right"/>
            </w:pPr>
            <w:r>
              <w:rPr>
                <w:color w:val="1C3A36"/>
                <w:sz w:val="16"/>
              </w:rPr>
              <w:t>11.7%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8.85%</w:t>
            </w:r>
          </w:p>
        </w:tc>
        <w:tc>
          <w:tcPr>
            <w:tcW w:type="dxa" w:w="1382"/>
          </w:tcPr>
          <w:p>
            <w:pPr>
              <w:spacing w:after="20"/>
              <w:jc w:val="right"/>
            </w:pPr>
            <w:r>
              <w:rPr>
                <w:color w:val="1C3A36"/>
                <w:sz w:val="16"/>
              </w:rPr>
              <w:t>8.69%</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8.37%</w:t>
            </w:r>
          </w:p>
        </w:tc>
        <w:tc>
          <w:tcPr>
            <w:tcW w:type="dxa" w:w="1382"/>
          </w:tcPr>
          <w:p>
            <w:pPr>
              <w:spacing w:after="20"/>
              <w:jc w:val="right"/>
            </w:pPr>
            <w:r>
              <w:rPr>
                <w:color w:val="1C3A36"/>
                <w:sz w:val="16"/>
              </w:rPr>
              <w:t>8.21%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+6.3pp</w:t>
            </w:r>
          </w:p>
        </w:tc>
        <w:tc>
          <w:tcPr>
            <w:tcW w:type="dxa" w:w="1382"/>
            <w:shd w:val="clear" w:color="auto" w:fill="F6F1E6"/>
          </w:tcPr>
          <w:p>
            <w:pPr>
              <w:spacing w:after="20"/>
              <w:jc w:val="right"/>
            </w:pPr>
            <w:r>
              <w:rPr>
                <w:b/>
                <w:color w:val="1C3A36"/>
                <w:sz w:val="16"/>
              </w:rPr>
              <w:t>+5.2pp</w:t>
            </w:r>
          </w:p>
        </w:tc>
        <w:tc>
          <w:tcPr>
            <w:tcW w:type="dxa" w:w="1382"/>
            <w:shd w:val="clear" w:color="auto" w:fill="F6F1E6"/>
          </w:tcPr>
          <w:p>
            <w:pPr>
              <w:spacing w:after="20"/>
              <w:jc w:val="right"/>
            </w:pPr>
            <w:r>
              <w:rPr>
                <w:b/>
                <w:color w:val="1C3A36"/>
                <w:sz w:val="16"/>
              </w:rPr>
              <w:t>+5.0pp</w:t>
            </w:r>
          </w:p>
        </w:tc>
        <w:tc>
          <w:tcPr>
            <w:tcW w:type="dxa" w:w="1382"/>
            <w:shd w:val="clear" w:color="auto" w:fill="F6F1E6"/>
          </w:tcPr>
          <w:p>
            <w:pPr>
              <w:spacing w:after="20"/>
              <w:jc w:val="right"/>
            </w:pPr>
            <w:r>
              <w:rPr>
                <w:b/>
                <w:color w:val="1C3A36"/>
                <w:sz w:val="16"/>
              </w:rPr>
              <w:t>+4.4pp</w:t>
            </w:r>
          </w:p>
        </w:tc>
        <w:tc>
          <w:tcPr>
            <w:tcW w:type="dxa" w:w="1382"/>
            <w:shd w:val="clear" w:color="auto" w:fill="F6F1E6"/>
          </w:tcPr>
          <w:p>
            <w:pPr>
              <w:spacing w:after="20"/>
              <w:jc w:val="right"/>
            </w:pPr>
            <w:r>
              <w:rPr>
                <w:b/>
                <w:color w:val="1C3A36"/>
                <w:sz w:val="16"/>
              </w:rPr>
              <w:t>+3.5pp</w:t>
            </w:r>
          </w:p>
        </w:tc>
      </w:tr>
    </w:tbl>
    <w:p>
      <w:pPr>
        <w:spacing w:after="40"/>
      </w:pPr>
    </w:p>
    <w:p>
      <w:pPr>
        <w:spacing w:after="120" w:before="0"/>
      </w:pPr>
      <w:r>
        <w:rPr>
          <w:b w:val="0"/>
          <w:i w:val="0"/>
          <w:color w:val="1C3A36"/>
          <w:sz w:val="21"/>
        </w:rPr>
        <w:t>Three things in that table are worth reading together. Free cash flow to the firm is only USD 298 million in 2026E — on earnings of USD 1,860 million — because the capital programme peaks at USD 1,375 million and working capital builds by USD 137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+6.3 percentage points to +3.5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1.70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2.71 a share between the two published constructions, and AED 4.08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5,815 million</w:t>
            </w:r>
          </w:p>
        </w:tc>
        <w:tc>
          <w:tcPr>
            <w:tcW w:type="dxa" w:w="3528"/>
          </w:tcPr>
          <w:p>
            <w:pPr>
              <w:spacing w:after="20"/>
            </w:pPr>
            <w:r>
              <w:rPr>
                <w:color w:val="1C3A36"/>
                <w:sz w:val="16"/>
              </w:rPr>
              <w:t>the capital-expenditure row spans AED 1.17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0.98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0.40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Company figures come only from the company's own issued statements and disclosures; no data vendor, broker or press report is used as the source of any reported historical figure.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9,355 a day used is solved so that the owned fleet's charter-equivalent revenue less running cost reproduces the reported FY2025 result for the unit.</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1,948</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(620)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1,328</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(57)</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(76)</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1,220</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(107)</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1,016</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0.1373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6.05</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4.54 – 7.56</w:t>
            </w:r>
          </w:p>
        </w:tc>
      </w:tr>
    </w:tbl>
    <w:p>
      <w:pPr>
        <w:spacing w:after="40"/>
      </w:pPr>
    </w:p>
    <w:p>
      <w:pPr>
        <w:spacing w:after="120" w:before="0"/>
      </w:pPr>
      <w:r>
        <w:rPr>
          <w:b w:val="0"/>
          <w:i w:val="0"/>
          <w:color w:val="1C3A36"/>
          <w:sz w:val="21"/>
        </w:rPr>
        <w:t>Named sensitivity: each single turn of the multiple is worth AED 0.50 a share, so the 9×-to-15× range above spans AED 3.03. And every USD 100 million of mid-cycle earnings before interest, tax, depreciation and amortisation — about 5.1%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819</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(69)</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676</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(9.34%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9,388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4.66</w:t>
            </w:r>
          </w:p>
        </w:tc>
      </w:tr>
      <w:tr>
        <w:trPr>
          <w:cantSplit/>
        </w:trPr>
        <w:tc>
          <w:tcPr>
            <w:tcW w:type="dxa" w:w="6912"/>
          </w:tcPr>
          <w:p>
            <w:pPr>
              <w:spacing w:after="20"/>
            </w:pPr>
            <w:r>
              <w:rPr>
                <w:color w:val="1C3A36"/>
                <w:sz w:val="16"/>
              </w:rPr>
              <w:t>Range — the low end at a cost of equity of 10.94%, built on the top of the beta's 90% interval (1.412), with lower growth; the high end at 7.75% on the bottom of it (0.758) with higher growth</w:t>
            </w:r>
          </w:p>
        </w:tc>
        <w:tc>
          <w:tcPr>
            <w:tcW w:type="dxa" w:w="3168"/>
          </w:tcPr>
          <w:p>
            <w:pPr>
              <w:spacing w:after="20"/>
              <w:jc w:val="right"/>
            </w:pPr>
            <w:r>
              <w:rPr>
                <w:color w:val="1C3A36"/>
                <w:sz w:val="16"/>
              </w:rPr>
              <w:t>3.41 – 6.55</w:t>
            </w:r>
          </w:p>
        </w:tc>
      </w:tr>
    </w:tbl>
    <w:p>
      <w:pPr>
        <w:spacing w:after="40"/>
      </w:pPr>
    </w:p>
    <w:p>
      <w:pPr>
        <w:spacing w:after="120" w:before="0"/>
      </w:pPr>
      <w:r>
        <w:rPr>
          <w:b w:val="0"/>
          <w:i w:val="0"/>
          <w:color w:val="1C3A36"/>
          <w:sz w:val="21"/>
        </w:rPr>
        <w:t>This expert lands at AED 4.66, below the study's own weighted central of AED 6.60, and the reason is specific: the five-year average free cash flow of USD 819 million is dragged down by the investment years. Free cash flow to the firm is USD 298 million in 2026E and USD 1,256 million in 2029E; averaging a business across a period when it is building the assets that produce the later number is a real charge against it. That is the method doing what it says it does, and it is why the range extends as high as AED 6.55.</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9.34% — and the answer is roughly AED 6.23 a share, a rise of about 34%.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3.14.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1,686</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3,015</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12,133</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(2,479)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9,654</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4.79</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3.71 – 5.64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13.9%</w:t>
            </w:r>
          </w:p>
        </w:tc>
        <w:tc>
          <w:tcPr>
            <w:tcW w:type="dxa" w:w="1382"/>
          </w:tcPr>
          <w:p>
            <w:pPr>
              <w:spacing w:after="20"/>
              <w:jc w:val="right"/>
            </w:pPr>
            <w:r>
              <w:rPr>
                <w:color w:val="1C3A36"/>
                <w:sz w:val="16"/>
              </w:rPr>
              <w:t>13.5%</w:t>
            </w:r>
          </w:p>
        </w:tc>
        <w:tc>
          <w:tcPr>
            <w:tcW w:type="dxa" w:w="1382"/>
          </w:tcPr>
          <w:p>
            <w:pPr>
              <w:spacing w:after="20"/>
              <w:jc w:val="right"/>
            </w:pPr>
            <w:r>
              <w:rPr>
                <w:color w:val="1C3A36"/>
                <w:sz w:val="16"/>
              </w:rPr>
              <w:t>12.7%</w:t>
            </w:r>
          </w:p>
        </w:tc>
        <w:tc>
          <w:tcPr>
            <w:tcW w:type="dxa" w:w="1382"/>
          </w:tcPr>
          <w:p>
            <w:pPr>
              <w:spacing w:after="20"/>
              <w:jc w:val="right"/>
            </w:pPr>
            <w:r>
              <w:rPr>
                <w:color w:val="1C3A36"/>
                <w:sz w:val="16"/>
              </w:rPr>
              <w:t>11.7%</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9.01%</w:t>
            </w:r>
          </w:p>
        </w:tc>
        <w:tc>
          <w:tcPr>
            <w:tcW w:type="dxa" w:w="1382"/>
          </w:tcPr>
          <w:p>
            <w:pPr>
              <w:spacing w:after="20"/>
              <w:jc w:val="right"/>
            </w:pPr>
            <w:r>
              <w:rPr>
                <w:color w:val="1C3A36"/>
                <w:sz w:val="16"/>
              </w:rPr>
              <w:t>9.01%</w:t>
            </w:r>
          </w:p>
        </w:tc>
        <w:tc>
          <w:tcPr>
            <w:tcW w:type="dxa" w:w="1382"/>
          </w:tcPr>
          <w:p>
            <w:pPr>
              <w:spacing w:after="20"/>
              <w:jc w:val="right"/>
            </w:pPr>
            <w:r>
              <w:rPr>
                <w:color w:val="1C3A36"/>
                <w:sz w:val="16"/>
              </w:rPr>
              <w:t>9.01%</w:t>
            </w:r>
          </w:p>
        </w:tc>
        <w:tc>
          <w:tcPr>
            <w:tcW w:type="dxa" w:w="1382"/>
          </w:tcPr>
          <w:p>
            <w:pPr>
              <w:spacing w:after="20"/>
              <w:jc w:val="right"/>
            </w:pPr>
            <w:r>
              <w:rPr>
                <w:color w:val="1C3A36"/>
                <w:sz w:val="16"/>
              </w:rPr>
              <w:t>9.01%</w:t>
            </w:r>
          </w:p>
        </w:tc>
        <w:tc>
          <w:tcPr>
            <w:tcW w:type="dxa" w:w="1382"/>
          </w:tcPr>
          <w:p>
            <w:pPr>
              <w:spacing w:after="20"/>
              <w:jc w:val="right"/>
            </w:pPr>
            <w:r>
              <w:rPr>
                <w:color w:val="1C3A36"/>
                <w:sz w:val="16"/>
              </w:rPr>
              <w:t>9.01%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+6.2pp</w:t>
            </w:r>
          </w:p>
        </w:tc>
        <w:tc>
          <w:tcPr>
            <w:tcW w:type="dxa" w:w="1382"/>
            <w:shd w:val="clear" w:color="auto" w:fill="F6F1E6"/>
          </w:tcPr>
          <w:p>
            <w:pPr>
              <w:spacing w:after="20"/>
              <w:jc w:val="right"/>
            </w:pPr>
            <w:r>
              <w:rPr>
                <w:b/>
                <w:color w:val="1C3A36"/>
                <w:sz w:val="16"/>
              </w:rPr>
              <w:t>+4.9pp</w:t>
            </w:r>
          </w:p>
        </w:tc>
        <w:tc>
          <w:tcPr>
            <w:tcW w:type="dxa" w:w="1382"/>
            <w:shd w:val="clear" w:color="auto" w:fill="F6F1E6"/>
          </w:tcPr>
          <w:p>
            <w:pPr>
              <w:spacing w:after="20"/>
              <w:jc w:val="right"/>
            </w:pPr>
            <w:r>
              <w:rPr>
                <w:b/>
                <w:color w:val="1C3A36"/>
                <w:sz w:val="16"/>
              </w:rPr>
              <w:t>+4.5pp</w:t>
            </w:r>
          </w:p>
        </w:tc>
        <w:tc>
          <w:tcPr>
            <w:tcW w:type="dxa" w:w="1382"/>
            <w:shd w:val="clear" w:color="auto" w:fill="F6F1E6"/>
          </w:tcPr>
          <w:p>
            <w:pPr>
              <w:spacing w:after="20"/>
              <w:jc w:val="right"/>
            </w:pPr>
            <w:r>
              <w:rPr>
                <w:b/>
                <w:color w:val="1C3A36"/>
                <w:sz w:val="16"/>
              </w:rPr>
              <w:t>+3.7pp</w:t>
            </w:r>
          </w:p>
        </w:tc>
        <w:tc>
          <w:tcPr>
            <w:tcW w:type="dxa" w:w="1382"/>
            <w:shd w:val="clear" w:color="auto" w:fill="F6F1E6"/>
          </w:tcPr>
          <w:p>
            <w:pPr>
              <w:spacing w:after="20"/>
              <w:jc w:val="right"/>
            </w:pPr>
            <w:r>
              <w:rPr>
                <w:b/>
                <w:color w:val="1C3A36"/>
                <w:sz w:val="16"/>
              </w:rPr>
              <w:t>+2.7pp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516</w:t>
            </w:r>
          </w:p>
        </w:tc>
        <w:tc>
          <w:tcPr>
            <w:tcW w:type="dxa" w:w="1382"/>
          </w:tcPr>
          <w:p>
            <w:pPr>
              <w:spacing w:after="20"/>
              <w:jc w:val="right"/>
            </w:pPr>
            <w:r>
              <w:rPr>
                <w:color w:val="1C3A36"/>
                <w:sz w:val="16"/>
              </w:rPr>
              <w:t>451</w:t>
            </w:r>
          </w:p>
        </w:tc>
        <w:tc>
          <w:tcPr>
            <w:tcW w:type="dxa" w:w="1382"/>
          </w:tcPr>
          <w:p>
            <w:pPr>
              <w:spacing w:after="20"/>
              <w:jc w:val="right"/>
            </w:pPr>
            <w:r>
              <w:rPr>
                <w:color w:val="1C3A36"/>
                <w:sz w:val="16"/>
              </w:rPr>
              <w:t>444</w:t>
            </w:r>
          </w:p>
        </w:tc>
        <w:tc>
          <w:tcPr>
            <w:tcW w:type="dxa" w:w="1382"/>
          </w:tcPr>
          <w:p>
            <w:pPr>
              <w:spacing w:after="20"/>
              <w:jc w:val="right"/>
            </w:pPr>
            <w:r>
              <w:rPr>
                <w:color w:val="1C3A36"/>
                <w:sz w:val="16"/>
              </w:rPr>
              <w:t>375</w:t>
            </w:r>
          </w:p>
        </w:tc>
        <w:tc>
          <w:tcPr>
            <w:tcW w:type="dxa" w:w="1382"/>
          </w:tcPr>
          <w:p>
            <w:pPr>
              <w:spacing w:after="20"/>
              <w:jc w:val="right"/>
            </w:pPr>
            <w:r>
              <w:rPr>
                <w:color w:val="1C3A36"/>
                <w:sz w:val="16"/>
              </w:rPr>
              <w:t>270</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9%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9.01% held flat across all five years rather than the declining schedule the cash-flow model discounts at, so the spread row is exactly the return row less 9.01% and the economic-profit row is exactly that spread on the same closing capital. Appendix A.3 shows the spread on the declining schedule instead, which is why the two tables give different spreads from the same returns. Note also that this leg's enterprise value of USD 12,133 million differs from the cash-flow model's USD 14,435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4.79 that already sits 22% below the market price, and takes the fifth-year spread of +2.7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298 million to USD 1,256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3.14,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5.17, the vertical line the market price of AED 6.16.</w:t>
      </w:r>
    </w:p>
    <w:p>
      <w:pPr>
        <w:spacing w:after="120" w:before="0"/>
      </w:pPr>
      <w:r>
        <w:rPr>
          <w:b w:val="0"/>
          <w:i w:val="0"/>
          <w:color w:val="1C3A36"/>
          <w:sz w:val="21"/>
        </w:rPr>
        <w:t>The panel spans AED 4.66 to 6.05 — a factor of 1.30 between the most and least generous base case, which is a narrow disagreement by the standards of this series. That narrowness is itself informative: three methods that share almost nothing methodologically land within AED 1.39 of one another. All three land at or below the market price, and all three below this study's own weighted central of AED 6.60.</w:t>
      </w:r>
    </w:p>
    <w:p>
      <w:pPr>
        <w:spacing w:after="120" w:before="0"/>
      </w:pPr>
      <w:r>
        <w:rPr>
          <w:b w:val="0"/>
          <w:i w:val="0"/>
          <w:color w:val="1C3A36"/>
          <w:sz w:val="21"/>
        </w:rPr>
        <w:t>The panel centre of AED 5.17 sits 16% below the market price and -22% against this study's weighted central. That gap is real and it has a single explanation: every one of the three experts works from mid-cycle or five-year-average earnings, and none of them capitalises a terminal value the way the cash-flow model does. The cash-flow model puts 78%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9.34%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1.39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78%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w:t>
            </w:r>
          </w:p>
        </w:tc>
        <w:tc>
          <w:tcPr>
            <w:tcW w:type="dxa" w:w="2074"/>
          </w:tcPr>
          <w:p>
            <w:pPr>
              <w:spacing w:after="20"/>
            </w:pPr>
            <w:r>
              <w:rPr>
                <w:color w:val="1C3A36"/>
                <w:sz w:val="15"/>
              </w:rPr>
              <w:t>the two treatments differ by AED 0.40 a share in the main model</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7.68 appears throughout this document beside the adopted AED 6.60.</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