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Sinai Cement Company S.A.E. (EGX: SCEM)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A limitation to state at the top</w:t>
      </w:r>
    </w:p>
    <w:p>
      <w:pPr>
        <w:spacing w:after="100" w:before="0"/>
      </w:pPr>
      <w:r>
        <w:rPr>
          <w:b w:val="0"/>
          <w:i w:val="0"/>
          <w:color w:val="1C3A36"/>
          <w:sz w:val="19"/>
        </w:rPr>
        <w:t>The company's audited consolidated financial statements could not be retrieved while this work was carried out. They are known to be published at sinaicement.com/wp-content/uploads/2025/05/SCC-AFS-E-1224.pdf, and every attempt to reach that address — along with the exchange's own disclosure portal and every financial data provider — was refused by the network policy governing this environment. Thirteen separate hosts were blocked.</w:t>
      </w:r>
    </w:p>
    <w:p>
      <w:pPr>
        <w:spacing w:after="100" w:before="0"/>
      </w:pPr>
      <w:r>
        <w:rPr>
          <w:b w:val="0"/>
          <w:i w:val="0"/>
          <w:color w:val="1C3A36"/>
          <w:sz w:val="19"/>
        </w:rPr>
        <w:t>The consequence is stated rather than hidden. Revenue and profit after tax are carried as reported through press coverage of the company's exchange filings — one step removed from the audited print. Every line between revenue and profit after tax is DERIVED by closing the disclosed profit, and is labelled as derived wherever it appears. Two entries below are flagged accordingly. A reader with access to the audited statements should re-run the model against them; the workbook is built so that changing the input reprices everything downstream.</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
        <w:gridCol w:w="2189"/>
        <w:gridCol w:w="1411"/>
        <w:gridCol w:w="1008"/>
        <w:gridCol w:w="7402"/>
        <w:gridCol w:w="1210"/>
      </w:tblGrid>
      <w:tr>
        <w:tc>
          <w:tcPr>
            <w:tcW w:type="dxa" w:w="432"/>
            <w:shd w:val="clear" w:color="auto" w:fill="EAF0EE"/>
          </w:tcPr>
          <w:p>
            <w:pPr>
              <w:spacing w:after="20"/>
            </w:pPr>
            <w:r>
              <w:rPr>
                <w:b/>
                <w:color w:val="1C3A36"/>
                <w:sz w:val="14"/>
              </w:rPr>
              <w:t>#</w:t>
            </w:r>
          </w:p>
        </w:tc>
        <w:tc>
          <w:tcPr>
            <w:tcW w:type="dxa" w:w="2189"/>
            <w:shd w:val="clear" w:color="auto" w:fill="EAF0EE"/>
          </w:tcPr>
          <w:p>
            <w:pPr>
              <w:spacing w:after="20"/>
            </w:pPr>
            <w:r>
              <w:rPr>
                <w:b/>
                <w:color w:val="1C3A36"/>
                <w:sz w:val="14"/>
              </w:rPr>
              <w:t>Input</w:t>
            </w:r>
          </w:p>
        </w:tc>
        <w:tc>
          <w:tcPr>
            <w:tcW w:type="dxa" w:w="1411"/>
            <w:shd w:val="clear" w:color="auto" w:fill="EAF0EE"/>
          </w:tcPr>
          <w:p>
            <w:pPr>
              <w:spacing w:after="20"/>
            </w:pPr>
            <w:r>
              <w:rPr>
                <w:b/>
                <w:color w:val="1C3A36"/>
                <w:sz w:val="14"/>
              </w:rPr>
              <w:t>Value</w:t>
            </w:r>
          </w:p>
        </w:tc>
        <w:tc>
          <w:tcPr>
            <w:tcW w:type="dxa" w:w="1008"/>
            <w:shd w:val="clear" w:color="auto" w:fill="EAF0EE"/>
          </w:tcPr>
          <w:p>
            <w:pPr>
              <w:spacing w:after="20"/>
            </w:pPr>
            <w:r>
              <w:rPr>
                <w:b/>
                <w:color w:val="1C3A36"/>
                <w:sz w:val="14"/>
              </w:rPr>
              <w:t>Ring</w:t>
            </w:r>
          </w:p>
        </w:tc>
        <w:tc>
          <w:tcPr>
            <w:tcW w:type="dxa" w:w="7402"/>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432"/>
          </w:tcPr>
          <w:p>
            <w:pPr>
              <w:spacing w:after="20"/>
            </w:pPr>
            <w:r>
              <w:rPr>
                <w:color w:val="1C3A36"/>
                <w:sz w:val="14"/>
              </w:rPr>
              <w:t>1</w:t>
            </w:r>
          </w:p>
        </w:tc>
        <w:tc>
          <w:tcPr>
            <w:tcW w:type="dxa" w:w="2189"/>
          </w:tcPr>
          <w:p>
            <w:pPr>
              <w:spacing w:after="20"/>
            </w:pPr>
            <w:r>
              <w:rPr>
                <w:color w:val="1C3A36"/>
                <w:sz w:val="14"/>
              </w:rPr>
              <w:t>spot</w:t>
            </w:r>
          </w:p>
        </w:tc>
        <w:tc>
          <w:tcPr>
            <w:tcW w:type="dxa" w:w="1411"/>
          </w:tcPr>
          <w:p>
            <w:pPr>
              <w:spacing w:after="20"/>
            </w:pPr>
            <w:r>
              <w:rPr>
                <w:color w:val="1C3A36"/>
                <w:sz w:val="14"/>
              </w:rPr>
              <w:t>79</w:t>
            </w:r>
          </w:p>
        </w:tc>
        <w:tc>
          <w:tcPr>
            <w:tcW w:type="dxa" w:w="1008"/>
          </w:tcPr>
          <w:p>
            <w:pPr>
              <w:spacing w:after="20"/>
            </w:pPr>
            <w:r>
              <w:rPr>
                <w:color w:val="1C3A36"/>
                <w:sz w:val="14"/>
              </w:rPr>
              <w:t>Market</w:t>
            </w:r>
          </w:p>
        </w:tc>
        <w:tc>
          <w:tcPr>
            <w:tcW w:type="dxa" w:w="7402"/>
          </w:tcPr>
          <w:p>
            <w:pPr>
              <w:spacing w:after="20"/>
            </w:pPr>
            <w:r>
              <w:rPr>
                <w:color w:val="1C3A36"/>
                <w:sz w:val="14"/>
              </w:rPr>
              <w:t>Last close, EGX daily price history 06-Aug-2026 (attached series, 3,626 sessions 02-Jan-2011 to 06-Aug-2026, passed the data-quality gate with zero repairs)</w:t>
            </w:r>
          </w:p>
        </w:tc>
        <w:tc>
          <w:tcPr>
            <w:tcW w:type="dxa" w:w="1210"/>
          </w:tcPr>
          <w:p>
            <w:pPr>
              <w:spacing w:after="20"/>
            </w:pPr>
            <w:r>
              <w:rPr>
                <w:color w:val="1C3A36"/>
                <w:sz w:val="14"/>
              </w:rPr>
              <w:t>2026-08-06</w:t>
            </w:r>
          </w:p>
        </w:tc>
      </w:tr>
      <w:tr>
        <w:tc>
          <w:tcPr>
            <w:tcW w:type="dxa" w:w="432"/>
          </w:tcPr>
          <w:p>
            <w:pPr>
              <w:spacing w:after="20"/>
            </w:pPr>
            <w:r>
              <w:rPr>
                <w:color w:val="1C3A36"/>
                <w:sz w:val="14"/>
              </w:rPr>
              <w:t>2</w:t>
            </w:r>
          </w:p>
        </w:tc>
        <w:tc>
          <w:tcPr>
            <w:tcW w:type="dxa" w:w="2189"/>
          </w:tcPr>
          <w:p>
            <w:pPr>
              <w:spacing w:after="20"/>
            </w:pPr>
            <w:r>
              <w:rPr>
                <w:color w:val="1C3A36"/>
                <w:sz w:val="14"/>
              </w:rPr>
              <w:t>capacity_mt</w:t>
            </w:r>
          </w:p>
        </w:tc>
        <w:tc>
          <w:tcPr>
            <w:tcW w:type="dxa" w:w="1411"/>
          </w:tcPr>
          <w:p>
            <w:pPr>
              <w:spacing w:after="20"/>
            </w:pPr>
            <w:r>
              <w:rPr>
                <w:color w:val="1C3A36"/>
                <w:sz w:val="14"/>
              </w:rPr>
              <w:t>3.8</w:t>
            </w:r>
          </w:p>
        </w:tc>
        <w:tc>
          <w:tcPr>
            <w:tcW w:type="dxa" w:w="1008"/>
          </w:tcPr>
          <w:p>
            <w:pPr>
              <w:spacing w:after="20"/>
            </w:pPr>
            <w:r>
              <w:rPr>
                <w:color w:val="1C3A36"/>
                <w:sz w:val="14"/>
              </w:rPr>
              <w:t>Company</w:t>
            </w:r>
          </w:p>
        </w:tc>
        <w:tc>
          <w:tcPr>
            <w:tcW w:type="dxa" w:w="7402"/>
          </w:tcPr>
          <w:p>
            <w:pPr>
              <w:spacing w:after="20"/>
            </w:pPr>
            <w:r>
              <w:rPr>
                <w:color w:val="1C3A36"/>
                <w:sz w:val="14"/>
              </w:rPr>
              <w:t>Nameplate cement capacity ~3.8Mt/yr across two lines at El Hassana, North Sinai</w:t>
            </w:r>
          </w:p>
        </w:tc>
        <w:tc>
          <w:tcPr>
            <w:tcW w:type="dxa" w:w="1210"/>
          </w:tcPr>
          <w:p>
            <w:pPr>
              <w:spacing w:after="20"/>
            </w:pPr>
            <w:r>
              <w:rPr>
                <w:color w:val="1C3A36"/>
                <w:sz w:val="14"/>
              </w:rPr>
              <w:t>2025-03-23</w:t>
            </w:r>
          </w:p>
        </w:tc>
      </w:tr>
      <w:tr>
        <w:tc>
          <w:tcPr>
            <w:tcW w:type="dxa" w:w="432"/>
          </w:tcPr>
          <w:p>
            <w:pPr>
              <w:spacing w:after="20"/>
            </w:pPr>
            <w:r>
              <w:rPr>
                <w:color w:val="1C3A36"/>
                <w:sz w:val="14"/>
              </w:rPr>
              <w:t>3</w:t>
            </w:r>
          </w:p>
        </w:tc>
        <w:tc>
          <w:tcPr>
            <w:tcW w:type="dxa" w:w="2189"/>
          </w:tcPr>
          <w:p>
            <w:pPr>
              <w:spacing w:after="20"/>
            </w:pPr>
            <w:r>
              <w:rPr>
                <w:color w:val="1C3A36"/>
                <w:sz w:val="14"/>
              </w:rPr>
              <w:t>debt_fy25</w:t>
            </w:r>
          </w:p>
        </w:tc>
        <w:tc>
          <w:tcPr>
            <w:tcW w:type="dxa" w:w="1411"/>
          </w:tcPr>
          <w:p>
            <w:pPr>
              <w:spacing w:after="20"/>
            </w:pPr>
            <w:r>
              <w:rPr>
                <w:color w:val="1C3A36"/>
                <w:sz w:val="14"/>
              </w:rPr>
              <w:t>36.8</w:t>
            </w:r>
          </w:p>
        </w:tc>
        <w:tc>
          <w:tcPr>
            <w:tcW w:type="dxa" w:w="1008"/>
          </w:tcPr>
          <w:p>
            <w:pPr>
              <w:spacing w:after="20"/>
            </w:pPr>
            <w:r>
              <w:rPr>
                <w:color w:val="1C3A36"/>
                <w:sz w:val="14"/>
              </w:rPr>
              <w:t>Company</w:t>
            </w:r>
          </w:p>
        </w:tc>
        <w:tc>
          <w:tcPr>
            <w:tcW w:type="dxa" w:w="7402"/>
          </w:tcPr>
          <w:p>
            <w:pPr>
              <w:spacing w:after="20"/>
            </w:pPr>
            <w:r>
              <w:rPr>
                <w:color w:val="1C3A36"/>
                <w:sz w:val="14"/>
              </w:rPr>
              <w:t>Total debt EGP 36.8mn, i.e. debt/equity 0.7%. The company is NET CASH</w:t>
            </w:r>
          </w:p>
        </w:tc>
        <w:tc>
          <w:tcPr>
            <w:tcW w:type="dxa" w:w="1210"/>
          </w:tcPr>
          <w:p>
            <w:pPr>
              <w:spacing w:after="20"/>
            </w:pPr>
            <w:r>
              <w:rPr>
                <w:color w:val="1C3A36"/>
                <w:sz w:val="14"/>
              </w:rPr>
              <w:t>2026-03-10</w:t>
            </w:r>
          </w:p>
        </w:tc>
      </w:tr>
      <w:tr>
        <w:tc>
          <w:tcPr>
            <w:tcW w:type="dxa" w:w="432"/>
          </w:tcPr>
          <w:p>
            <w:pPr>
              <w:spacing w:after="20"/>
            </w:pPr>
            <w:r>
              <w:rPr>
                <w:color w:val="1C3A36"/>
                <w:sz w:val="14"/>
              </w:rPr>
              <w:t>4</w:t>
            </w:r>
          </w:p>
        </w:tc>
        <w:tc>
          <w:tcPr>
            <w:tcW w:type="dxa" w:w="2189"/>
          </w:tcPr>
          <w:p>
            <w:pPr>
              <w:spacing w:after="20"/>
            </w:pPr>
            <w:r>
              <w:rPr>
                <w:color w:val="1C3A36"/>
                <w:sz w:val="14"/>
              </w:rPr>
              <w:t>ebitda_fy24</w:t>
            </w:r>
          </w:p>
        </w:tc>
        <w:tc>
          <w:tcPr>
            <w:tcW w:type="dxa" w:w="1411"/>
          </w:tcPr>
          <w:p>
            <w:pPr>
              <w:spacing w:after="20"/>
            </w:pPr>
            <w:r>
              <w:rPr>
                <w:color w:val="1C3A36"/>
                <w:sz w:val="14"/>
              </w:rPr>
              <w:t>1,590</w:t>
            </w:r>
          </w:p>
        </w:tc>
        <w:tc>
          <w:tcPr>
            <w:tcW w:type="dxa" w:w="1008"/>
          </w:tcPr>
          <w:p>
            <w:pPr>
              <w:spacing w:after="20"/>
            </w:pPr>
            <w:r>
              <w:rPr>
                <w:color w:val="1C3A36"/>
                <w:sz w:val="14"/>
              </w:rPr>
              <w:t>Company</w:t>
            </w:r>
          </w:p>
        </w:tc>
        <w:tc>
          <w:tcPr>
            <w:tcW w:type="dxa" w:w="7402"/>
          </w:tcPr>
          <w:p>
            <w:pPr>
              <w:spacing w:after="20"/>
            </w:pPr>
            <w:r>
              <w:rPr>
                <w:color w:val="1C3A36"/>
                <w:sz w:val="14"/>
              </w:rPr>
              <w:t>FY2024 EBITDA EGP 1.59bn (aggregated financial summary of the EGX filing). Used as the ONE disclosed margin anchor; it is what makes the FY2024 profit bridge close and therefore what lets FY2025 EBITDA be solved rather than assumed</w:t>
            </w:r>
          </w:p>
        </w:tc>
        <w:tc>
          <w:tcPr>
            <w:tcW w:type="dxa" w:w="1210"/>
          </w:tcPr>
          <w:p>
            <w:pPr>
              <w:spacing w:after="20"/>
            </w:pPr>
            <w:r>
              <w:rPr>
                <w:color w:val="1C3A36"/>
                <w:sz w:val="14"/>
              </w:rPr>
              <w:t>2026-03-10</w:t>
            </w:r>
          </w:p>
        </w:tc>
      </w:tr>
      <w:tr>
        <w:tc>
          <w:tcPr>
            <w:tcW w:type="dxa" w:w="432"/>
          </w:tcPr>
          <w:p>
            <w:pPr>
              <w:spacing w:after="20"/>
            </w:pPr>
            <w:r>
              <w:rPr>
                <w:color w:val="1C3A36"/>
                <w:sz w:val="14"/>
              </w:rPr>
              <w:t>5</w:t>
            </w:r>
          </w:p>
        </w:tc>
        <w:tc>
          <w:tcPr>
            <w:tcW w:type="dxa" w:w="2189"/>
          </w:tcPr>
          <w:p>
            <w:pPr>
              <w:spacing w:after="20"/>
            </w:pPr>
            <w:r>
              <w:rPr>
                <w:color w:val="1C3A36"/>
                <w:sz w:val="14"/>
              </w:rPr>
              <w:t>eps_fy24</w:t>
            </w:r>
          </w:p>
        </w:tc>
        <w:tc>
          <w:tcPr>
            <w:tcW w:type="dxa" w:w="1411"/>
          </w:tcPr>
          <w:p>
            <w:pPr>
              <w:spacing w:after="20"/>
            </w:pPr>
            <w:r>
              <w:rPr>
                <w:color w:val="1C3A36"/>
                <w:sz w:val="14"/>
              </w:rPr>
              <w:t>23.13</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FY2024 earnings per share attributable to owners EGP 23.13 (FY2023 comparative EGP -0.88, restated for the rights issue under IAS 33)</w:t>
            </w:r>
          </w:p>
        </w:tc>
        <w:tc>
          <w:tcPr>
            <w:tcW w:type="dxa" w:w="1210"/>
          </w:tcPr>
          <w:p>
            <w:pPr>
              <w:spacing w:after="20"/>
            </w:pPr>
            <w:r>
              <w:rPr>
                <w:color w:val="1C3A36"/>
                <w:sz w:val="14"/>
              </w:rPr>
              <w:t>2025-03-16</w:t>
            </w:r>
          </w:p>
        </w:tc>
      </w:tr>
      <w:tr>
        <w:tc>
          <w:tcPr>
            <w:tcW w:type="dxa" w:w="432"/>
          </w:tcPr>
          <w:p>
            <w:pPr>
              <w:spacing w:after="20"/>
            </w:pPr>
            <w:r>
              <w:rPr>
                <w:color w:val="1C3A36"/>
                <w:sz w:val="14"/>
              </w:rPr>
              <w:t>6</w:t>
            </w:r>
          </w:p>
        </w:tc>
        <w:tc>
          <w:tcPr>
            <w:tcW w:type="dxa" w:w="2189"/>
          </w:tcPr>
          <w:p>
            <w:pPr>
              <w:spacing w:after="20"/>
            </w:pPr>
            <w:r>
              <w:rPr>
                <w:color w:val="1C3A36"/>
                <w:sz w:val="14"/>
              </w:rPr>
              <w:t>eq_fy25_rep</w:t>
            </w:r>
          </w:p>
        </w:tc>
        <w:tc>
          <w:tcPr>
            <w:tcW w:type="dxa" w:w="1411"/>
          </w:tcPr>
          <w:p>
            <w:pPr>
              <w:spacing w:after="20"/>
            </w:pPr>
            <w:r>
              <w:rPr>
                <w:color w:val="1C3A36"/>
                <w:sz w:val="14"/>
              </w:rPr>
              <w:t>5,200</w:t>
            </w:r>
          </w:p>
        </w:tc>
        <w:tc>
          <w:tcPr>
            <w:tcW w:type="dxa" w:w="1008"/>
          </w:tcPr>
          <w:p>
            <w:pPr>
              <w:spacing w:after="20"/>
            </w:pPr>
            <w:r>
              <w:rPr>
                <w:color w:val="1C3A36"/>
                <w:sz w:val="14"/>
              </w:rPr>
              <w:t>Company</w:t>
            </w:r>
          </w:p>
        </w:tc>
        <w:tc>
          <w:tcPr>
            <w:tcW w:type="dxa" w:w="7402"/>
          </w:tcPr>
          <w:p>
            <w:pPr>
              <w:spacing w:after="20"/>
            </w:pPr>
            <w:r>
              <w:rPr>
                <w:color w:val="1C3A36"/>
                <w:sz w:val="14"/>
              </w:rPr>
              <w:t>FY2025 shareholders' equity ~EGP 5.2bn as reported in aggregated summaries — cross-check only; see the equity roll-forward reconciliation, which does not close to it without a distribution</w:t>
            </w:r>
          </w:p>
        </w:tc>
        <w:tc>
          <w:tcPr>
            <w:tcW w:type="dxa" w:w="1210"/>
          </w:tcPr>
          <w:p>
            <w:pPr>
              <w:spacing w:after="20"/>
            </w:pPr>
            <w:r>
              <w:rPr>
                <w:color w:val="1C3A36"/>
                <w:sz w:val="14"/>
              </w:rPr>
              <w:t>2026-03-10</w:t>
            </w:r>
          </w:p>
        </w:tc>
      </w:tr>
      <w:tr>
        <w:tc>
          <w:tcPr>
            <w:tcW w:type="dxa" w:w="432"/>
          </w:tcPr>
          <w:p>
            <w:pPr>
              <w:spacing w:after="20"/>
            </w:pPr>
            <w:r>
              <w:rPr>
                <w:color w:val="1C3A36"/>
                <w:sz w:val="14"/>
              </w:rPr>
              <w:t>7</w:t>
            </w:r>
          </w:p>
        </w:tc>
        <w:tc>
          <w:tcPr>
            <w:tcW w:type="dxa" w:w="2189"/>
          </w:tcPr>
          <w:p>
            <w:pPr>
              <w:spacing w:after="20"/>
            </w:pPr>
            <w:r>
              <w:rPr>
                <w:color w:val="1C3A36"/>
                <w:sz w:val="14"/>
              </w:rPr>
              <w:t>mto_price</w:t>
            </w:r>
          </w:p>
        </w:tc>
        <w:tc>
          <w:tcPr>
            <w:tcW w:type="dxa" w:w="1411"/>
          </w:tcPr>
          <w:p>
            <w:pPr>
              <w:spacing w:after="20"/>
            </w:pPr>
            <w:r>
              <w:rPr>
                <w:color w:val="1C3A36"/>
                <w:sz w:val="14"/>
              </w:rPr>
              <w:t>41</w:t>
            </w:r>
          </w:p>
        </w:tc>
        <w:tc>
          <w:tcPr>
            <w:tcW w:type="dxa" w:w="1008"/>
          </w:tcPr>
          <w:p>
            <w:pPr>
              <w:spacing w:after="20"/>
            </w:pPr>
            <w:r>
              <w:rPr>
                <w:color w:val="1C3A36"/>
                <w:sz w:val="14"/>
              </w:rPr>
              <w:t>Company</w:t>
            </w:r>
          </w:p>
        </w:tc>
        <w:tc>
          <w:tcPr>
            <w:tcW w:type="dxa" w:w="7402"/>
          </w:tcPr>
          <w:p>
            <w:pPr>
              <w:spacing w:after="20"/>
            </w:pPr>
            <w:r>
              <w:rPr>
                <w:color w:val="1C3A36"/>
                <w:sz w:val="14"/>
              </w:rPr>
              <w:t>Vicat's mandatory tender offer price, July 2025. Reported as a disclosed reference point and an overhang — NEVER as a fair value</w:t>
            </w:r>
          </w:p>
        </w:tc>
        <w:tc>
          <w:tcPr>
            <w:tcW w:type="dxa" w:w="1210"/>
          </w:tcPr>
          <w:p>
            <w:pPr>
              <w:spacing w:after="20"/>
            </w:pPr>
            <w:r>
              <w:rPr>
                <w:color w:val="1C3A36"/>
                <w:sz w:val="14"/>
              </w:rPr>
              <w:t>2025-07-28</w:t>
            </w:r>
          </w:p>
        </w:tc>
      </w:tr>
      <w:tr>
        <w:tc>
          <w:tcPr>
            <w:tcW w:type="dxa" w:w="432"/>
          </w:tcPr>
          <w:p>
            <w:pPr>
              <w:spacing w:after="20"/>
            </w:pPr>
            <w:r>
              <w:rPr>
                <w:color w:val="1C3A36"/>
                <w:sz w:val="14"/>
              </w:rPr>
              <w:t>8</w:t>
            </w:r>
          </w:p>
        </w:tc>
        <w:tc>
          <w:tcPr>
            <w:tcW w:type="dxa" w:w="2189"/>
          </w:tcPr>
          <w:p>
            <w:pPr>
              <w:spacing w:after="20"/>
            </w:pPr>
            <w:r>
              <w:rPr>
                <w:color w:val="1C3A36"/>
                <w:sz w:val="14"/>
              </w:rPr>
              <w:t>pat_fy23</w:t>
            </w:r>
          </w:p>
        </w:tc>
        <w:tc>
          <w:tcPr>
            <w:tcW w:type="dxa" w:w="1411"/>
          </w:tcPr>
          <w:p>
            <w:pPr>
              <w:spacing w:after="20"/>
            </w:pPr>
            <w:r>
              <w:rPr>
                <w:color w:val="1C3A36"/>
                <w:sz w:val="14"/>
              </w:rPr>
              <w:t>-121.42</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FY2023 consolidated net loss after tax EGP 121.42mn</w:t>
            </w:r>
          </w:p>
        </w:tc>
        <w:tc>
          <w:tcPr>
            <w:tcW w:type="dxa" w:w="1210"/>
          </w:tcPr>
          <w:p>
            <w:pPr>
              <w:spacing w:after="20"/>
            </w:pPr>
            <w:r>
              <w:rPr>
                <w:color w:val="1C3A36"/>
                <w:sz w:val="14"/>
              </w:rPr>
              <w:t>2025-03-16</w:t>
            </w:r>
          </w:p>
        </w:tc>
      </w:tr>
      <w:tr>
        <w:tc>
          <w:tcPr>
            <w:tcW w:type="dxa" w:w="432"/>
          </w:tcPr>
          <w:p>
            <w:pPr>
              <w:spacing w:after="20"/>
            </w:pPr>
            <w:r>
              <w:rPr>
                <w:color w:val="1C3A36"/>
                <w:sz w:val="14"/>
              </w:rPr>
              <w:t>9</w:t>
            </w:r>
          </w:p>
        </w:tc>
        <w:tc>
          <w:tcPr>
            <w:tcW w:type="dxa" w:w="2189"/>
          </w:tcPr>
          <w:p>
            <w:pPr>
              <w:spacing w:after="20"/>
            </w:pPr>
            <w:r>
              <w:rPr>
                <w:color w:val="1C3A36"/>
                <w:sz w:val="14"/>
              </w:rPr>
              <w:t>pat_fy24</w:t>
            </w:r>
          </w:p>
        </w:tc>
        <w:tc>
          <w:tcPr>
            <w:tcW w:type="dxa" w:w="1411"/>
          </w:tcPr>
          <w:p>
            <w:pPr>
              <w:spacing w:after="20"/>
            </w:pPr>
            <w:r>
              <w:rPr>
                <w:color w:val="1C3A36"/>
                <w:sz w:val="14"/>
              </w:rPr>
              <w:t>3,070</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FY2024 consolidated net profit after tax EGP 3.07bn</w:t>
            </w:r>
          </w:p>
        </w:tc>
        <w:tc>
          <w:tcPr>
            <w:tcW w:type="dxa" w:w="1210"/>
          </w:tcPr>
          <w:p>
            <w:pPr>
              <w:spacing w:after="20"/>
            </w:pPr>
            <w:r>
              <w:rPr>
                <w:color w:val="1C3A36"/>
                <w:sz w:val="14"/>
              </w:rPr>
              <w:t>2025-03-16</w:t>
            </w:r>
          </w:p>
        </w:tc>
      </w:tr>
      <w:tr>
        <w:tc>
          <w:tcPr>
            <w:tcW w:type="dxa" w:w="432"/>
          </w:tcPr>
          <w:p>
            <w:pPr>
              <w:spacing w:after="20"/>
            </w:pPr>
            <w:r>
              <w:rPr>
                <w:color w:val="1C3A36"/>
                <w:sz w:val="14"/>
              </w:rPr>
              <w:t>10</w:t>
            </w:r>
          </w:p>
        </w:tc>
        <w:tc>
          <w:tcPr>
            <w:tcW w:type="dxa" w:w="2189"/>
          </w:tcPr>
          <w:p>
            <w:pPr>
              <w:spacing w:after="20"/>
            </w:pPr>
            <w:r>
              <w:rPr>
                <w:color w:val="1C3A36"/>
                <w:sz w:val="14"/>
              </w:rPr>
              <w:t>pat_fy25</w:t>
            </w:r>
          </w:p>
        </w:tc>
        <w:tc>
          <w:tcPr>
            <w:tcW w:type="dxa" w:w="1411"/>
          </w:tcPr>
          <w:p>
            <w:pPr>
              <w:spacing w:after="20"/>
            </w:pPr>
            <w:r>
              <w:rPr>
                <w:color w:val="1C3A36"/>
                <w:sz w:val="14"/>
              </w:rPr>
              <w:t>2,290</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FY2025 consolidated net profit after tax EGP 2.29bn</w:t>
            </w:r>
          </w:p>
        </w:tc>
        <w:tc>
          <w:tcPr>
            <w:tcW w:type="dxa" w:w="1210"/>
          </w:tcPr>
          <w:p>
            <w:pPr>
              <w:spacing w:after="20"/>
            </w:pPr>
            <w:r>
              <w:rPr>
                <w:color w:val="1C3A36"/>
                <w:sz w:val="14"/>
              </w:rPr>
              <w:t>2026-03-10</w:t>
            </w:r>
          </w:p>
        </w:tc>
      </w:tr>
      <w:tr>
        <w:tc>
          <w:tcPr>
            <w:tcW w:type="dxa" w:w="432"/>
          </w:tcPr>
          <w:p>
            <w:pPr>
              <w:spacing w:after="20"/>
            </w:pPr>
            <w:r>
              <w:rPr>
                <w:color w:val="1C3A36"/>
                <w:sz w:val="14"/>
              </w:rPr>
              <w:t>11</w:t>
            </w:r>
          </w:p>
        </w:tc>
        <w:tc>
          <w:tcPr>
            <w:tcW w:type="dxa" w:w="2189"/>
          </w:tcPr>
          <w:p>
            <w:pPr>
              <w:spacing w:after="20"/>
            </w:pPr>
            <w:r>
              <w:rPr>
                <w:color w:val="1C3A36"/>
                <w:sz w:val="14"/>
              </w:rPr>
              <w:t>rev_fy23</w:t>
            </w:r>
          </w:p>
        </w:tc>
        <w:tc>
          <w:tcPr>
            <w:tcW w:type="dxa" w:w="1411"/>
          </w:tcPr>
          <w:p>
            <w:pPr>
              <w:spacing w:after="20"/>
            </w:pPr>
            <w:r>
              <w:rPr>
                <w:color w:val="1C3A36"/>
                <w:sz w:val="14"/>
              </w:rPr>
              <w:t>4,280</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FY2023 net sales EGP 4.28bn</w:t>
            </w:r>
          </w:p>
        </w:tc>
        <w:tc>
          <w:tcPr>
            <w:tcW w:type="dxa" w:w="1210"/>
          </w:tcPr>
          <w:p>
            <w:pPr>
              <w:spacing w:after="20"/>
            </w:pPr>
            <w:r>
              <w:rPr>
                <w:color w:val="1C3A36"/>
                <w:sz w:val="14"/>
              </w:rPr>
              <w:t>2025-03-16</w:t>
            </w:r>
          </w:p>
        </w:tc>
      </w:tr>
      <w:tr>
        <w:tc>
          <w:tcPr>
            <w:tcW w:type="dxa" w:w="432"/>
          </w:tcPr>
          <w:p>
            <w:pPr>
              <w:spacing w:after="20"/>
            </w:pPr>
            <w:r>
              <w:rPr>
                <w:color w:val="1C3A36"/>
                <w:sz w:val="14"/>
              </w:rPr>
              <w:t>12</w:t>
            </w:r>
          </w:p>
        </w:tc>
        <w:tc>
          <w:tcPr>
            <w:tcW w:type="dxa" w:w="2189"/>
          </w:tcPr>
          <w:p>
            <w:pPr>
              <w:spacing w:after="20"/>
            </w:pPr>
            <w:r>
              <w:rPr>
                <w:color w:val="1C3A36"/>
                <w:sz w:val="14"/>
              </w:rPr>
              <w:t>rev_fy24</w:t>
            </w:r>
          </w:p>
        </w:tc>
        <w:tc>
          <w:tcPr>
            <w:tcW w:type="dxa" w:w="1411"/>
          </w:tcPr>
          <w:p>
            <w:pPr>
              <w:spacing w:after="20"/>
            </w:pPr>
            <w:r>
              <w:rPr>
                <w:color w:val="1C3A36"/>
                <w:sz w:val="14"/>
              </w:rPr>
              <w:t>6,420</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FY2024 net sales EGP 6.42bn</w:t>
            </w:r>
          </w:p>
        </w:tc>
        <w:tc>
          <w:tcPr>
            <w:tcW w:type="dxa" w:w="1210"/>
          </w:tcPr>
          <w:p>
            <w:pPr>
              <w:spacing w:after="20"/>
            </w:pPr>
            <w:r>
              <w:rPr>
                <w:color w:val="1C3A36"/>
                <w:sz w:val="14"/>
              </w:rPr>
              <w:t>2025-03-16</w:t>
            </w:r>
          </w:p>
        </w:tc>
      </w:tr>
      <w:tr>
        <w:tc>
          <w:tcPr>
            <w:tcW w:type="dxa" w:w="432"/>
          </w:tcPr>
          <w:p>
            <w:pPr>
              <w:spacing w:after="20"/>
            </w:pPr>
            <w:r>
              <w:rPr>
                <w:color w:val="1C3A36"/>
                <w:sz w:val="14"/>
              </w:rPr>
              <w:t>13</w:t>
            </w:r>
          </w:p>
        </w:tc>
        <w:tc>
          <w:tcPr>
            <w:tcW w:type="dxa" w:w="2189"/>
          </w:tcPr>
          <w:p>
            <w:pPr>
              <w:spacing w:after="20"/>
            </w:pPr>
            <w:r>
              <w:rPr>
                <w:color w:val="1C3A36"/>
                <w:sz w:val="14"/>
              </w:rPr>
              <w:t>rev_fy25</w:t>
            </w:r>
          </w:p>
        </w:tc>
        <w:tc>
          <w:tcPr>
            <w:tcW w:type="dxa" w:w="1411"/>
          </w:tcPr>
          <w:p>
            <w:pPr>
              <w:spacing w:after="20"/>
            </w:pPr>
            <w:r>
              <w:rPr>
                <w:color w:val="1C3A36"/>
                <w:sz w:val="14"/>
              </w:rPr>
              <w:t>9,090</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FY2025 revenue EGP 9.09bn, +41.4% on FY2024</w:t>
            </w:r>
          </w:p>
        </w:tc>
        <w:tc>
          <w:tcPr>
            <w:tcW w:type="dxa" w:w="1210"/>
          </w:tcPr>
          <w:p>
            <w:pPr>
              <w:spacing w:after="20"/>
            </w:pPr>
            <w:r>
              <w:rPr>
                <w:color w:val="1C3A36"/>
                <w:sz w:val="14"/>
              </w:rPr>
              <w:t>2026-03-10</w:t>
            </w:r>
          </w:p>
        </w:tc>
      </w:tr>
      <w:tr>
        <w:tc>
          <w:tcPr>
            <w:tcW w:type="dxa" w:w="432"/>
          </w:tcPr>
          <w:p>
            <w:pPr>
              <w:spacing w:after="20"/>
            </w:pPr>
            <w:r>
              <w:rPr>
                <w:color w:val="1C3A36"/>
                <w:sz w:val="14"/>
              </w:rPr>
              <w:t>14</w:t>
            </w:r>
          </w:p>
        </w:tc>
        <w:tc>
          <w:tcPr>
            <w:tcW w:type="dxa" w:w="2189"/>
          </w:tcPr>
          <w:p>
            <w:pPr>
              <w:spacing w:after="20"/>
            </w:pPr>
            <w:r>
              <w:rPr>
                <w:color w:val="1C3A36"/>
                <w:sz w:val="14"/>
              </w:rPr>
              <w:t>share_fy24</w:t>
            </w:r>
          </w:p>
        </w:tc>
        <w:tc>
          <w:tcPr>
            <w:tcW w:type="dxa" w:w="1411"/>
          </w:tcPr>
          <w:p>
            <w:pPr>
              <w:spacing w:after="20"/>
            </w:pPr>
            <w:r>
              <w:rPr>
                <w:color w:val="1C3A36"/>
                <w:sz w:val="14"/>
              </w:rPr>
              <w:t>0.05</w:t>
            </w:r>
          </w:p>
        </w:tc>
        <w:tc>
          <w:tcPr>
            <w:tcW w:type="dxa" w:w="1008"/>
          </w:tcPr>
          <w:p>
            <w:pPr>
              <w:spacing w:after="20"/>
            </w:pPr>
            <w:r>
              <w:rPr>
                <w:color w:val="1C3A36"/>
                <w:sz w:val="14"/>
              </w:rPr>
              <w:t>Company</w:t>
            </w:r>
          </w:p>
        </w:tc>
        <w:tc>
          <w:tcPr>
            <w:tcW w:type="dxa" w:w="7402"/>
          </w:tcPr>
          <w:p>
            <w:pPr>
              <w:spacing w:after="20"/>
            </w:pPr>
            <w:r>
              <w:rPr>
                <w:color w:val="1C3A36"/>
                <w:sz w:val="14"/>
              </w:rPr>
              <w:t>Company reported lifting its share of the Egyptian market to ~5% on the FY2024 results</w:t>
            </w:r>
          </w:p>
        </w:tc>
        <w:tc>
          <w:tcPr>
            <w:tcW w:type="dxa" w:w="1210"/>
          </w:tcPr>
          <w:p>
            <w:pPr>
              <w:spacing w:after="20"/>
            </w:pPr>
            <w:r>
              <w:rPr>
                <w:color w:val="1C3A36"/>
                <w:sz w:val="14"/>
              </w:rPr>
              <w:t>2025-03-23</w:t>
            </w:r>
          </w:p>
        </w:tc>
      </w:tr>
      <w:tr>
        <w:tc>
          <w:tcPr>
            <w:tcW w:type="dxa" w:w="432"/>
          </w:tcPr>
          <w:p>
            <w:pPr>
              <w:spacing w:after="20"/>
            </w:pPr>
            <w:r>
              <w:rPr>
                <w:color w:val="1C3A36"/>
                <w:sz w:val="14"/>
              </w:rPr>
              <w:t>15</w:t>
            </w:r>
          </w:p>
        </w:tc>
        <w:tc>
          <w:tcPr>
            <w:tcW w:type="dxa" w:w="2189"/>
          </w:tcPr>
          <w:p>
            <w:pPr>
              <w:spacing w:after="20"/>
            </w:pPr>
            <w:r>
              <w:rPr>
                <w:color w:val="1C3A36"/>
                <w:sz w:val="14"/>
              </w:rPr>
              <w:t>shares_mn</w:t>
            </w:r>
          </w:p>
        </w:tc>
        <w:tc>
          <w:tcPr>
            <w:tcW w:type="dxa" w:w="1411"/>
          </w:tcPr>
          <w:p>
            <w:pPr>
              <w:spacing w:after="20"/>
            </w:pPr>
            <w:r>
              <w:rPr>
                <w:color w:val="1C3A36"/>
                <w:sz w:val="14"/>
              </w:rPr>
              <w:t>260.8125</w:t>
            </w:r>
          </w:p>
        </w:tc>
        <w:tc>
          <w:tcPr>
            <w:tcW w:type="dxa" w:w="1008"/>
          </w:tcPr>
          <w:p>
            <w:pPr>
              <w:spacing w:after="20"/>
            </w:pPr>
            <w:r>
              <w:rPr>
                <w:color w:val="1C3A36"/>
                <w:sz w:val="14"/>
              </w:rPr>
              <w:t>Company</w:t>
            </w:r>
          </w:p>
        </w:tc>
        <w:tc>
          <w:tcPr>
            <w:tcW w:type="dxa" w:w="7402"/>
          </w:tcPr>
          <w:p>
            <w:pPr>
              <w:spacing w:after="20"/>
            </w:pPr>
            <w:r>
              <w:rPr>
                <w:color w:val="1C3A36"/>
                <w:sz w:val="14"/>
              </w:rPr>
              <w:t>260,812,477 shares. TRIANGULATED THREE WAYS and shown on the sheet: (1) issued capital EGP 2,608,124,770 at EGP 10 par = 260,812,477; (2) Vicat's Jul-2025 mandatory tender offer of 58,416,664 shares described as 22.4% back-solves to 260,788,678; (3) quoted market capitalisation EGP 21.15bn divided by the EGP 81.10 close = ~260.8mn. The three agree to within 0.01%. Aggregator prints of 141.46mn are irreconcilable with the market capitalisation printed beside them and are rejected. The reconciling event is the 2024 rights issue, which took the count from 92.61mn to 260.81mn</w:t>
            </w:r>
          </w:p>
        </w:tc>
        <w:tc>
          <w:tcPr>
            <w:tcW w:type="dxa" w:w="1210"/>
          </w:tcPr>
          <w:p>
            <w:pPr>
              <w:spacing w:after="20"/>
            </w:pPr>
            <w:r>
              <w:rPr>
                <w:color w:val="1C3A36"/>
                <w:sz w:val="14"/>
              </w:rPr>
              <w:t>2025-07-28</w:t>
            </w:r>
          </w:p>
        </w:tc>
      </w:tr>
      <w:tr>
        <w:tc>
          <w:tcPr>
            <w:tcW w:type="dxa" w:w="432"/>
          </w:tcPr>
          <w:p>
            <w:pPr>
              <w:spacing w:after="20"/>
            </w:pPr>
            <w:r>
              <w:rPr>
                <w:color w:val="1C3A36"/>
                <w:sz w:val="14"/>
              </w:rPr>
              <w:t>16</w:t>
            </w:r>
          </w:p>
        </w:tc>
        <w:tc>
          <w:tcPr>
            <w:tcW w:type="dxa" w:w="2189"/>
          </w:tcPr>
          <w:p>
            <w:pPr>
              <w:spacing w:after="20"/>
            </w:pPr>
            <w:r>
              <w:rPr>
                <w:color w:val="1C3A36"/>
                <w:sz w:val="14"/>
              </w:rPr>
              <w:t>swcc_eur</w:t>
            </w:r>
          </w:p>
        </w:tc>
        <w:tc>
          <w:tcPr>
            <w:tcW w:type="dxa" w:w="1411"/>
          </w:tcPr>
          <w:p>
            <w:pPr>
              <w:spacing w:after="20"/>
            </w:pPr>
            <w:r>
              <w:rPr>
                <w:color w:val="1C3A36"/>
                <w:sz w:val="14"/>
              </w:rPr>
              <w:t>30</w:t>
            </w:r>
          </w:p>
        </w:tc>
        <w:tc>
          <w:tcPr>
            <w:tcW w:type="dxa" w:w="1008"/>
          </w:tcPr>
          <w:p>
            <w:pPr>
              <w:spacing w:after="20"/>
            </w:pPr>
            <w:r>
              <w:rPr>
                <w:color w:val="1C3A36"/>
                <w:sz w:val="14"/>
              </w:rPr>
              <w:t>Company</w:t>
            </w:r>
          </w:p>
        </w:tc>
        <w:tc>
          <w:tcPr>
            <w:tcW w:type="dxa" w:w="7402"/>
          </w:tcPr>
          <w:p>
            <w:pPr>
              <w:spacing w:after="20"/>
            </w:pPr>
            <w:r>
              <w:rPr>
                <w:color w:val="1C3A36"/>
                <w:sz w:val="14"/>
              </w:rPr>
              <w:t>EUR 30mn consideration for SCEM's 25.40% stake in Sinai White Portland Cement, sold to Aalborg Portland Holding (Cementir), completed 13-Aug-2024, taking Cementir to 96.5% of SWCC</w:t>
            </w:r>
          </w:p>
        </w:tc>
        <w:tc>
          <w:tcPr>
            <w:tcW w:type="dxa" w:w="1210"/>
          </w:tcPr>
          <w:p>
            <w:pPr>
              <w:spacing w:after="20"/>
            </w:pPr>
            <w:r>
              <w:rPr>
                <w:color w:val="1C3A36"/>
                <w:sz w:val="14"/>
              </w:rPr>
              <w:t>2024-08-13</w:t>
            </w:r>
          </w:p>
        </w:tc>
      </w:tr>
      <w:tr>
        <w:tc>
          <w:tcPr>
            <w:tcW w:type="dxa" w:w="432"/>
          </w:tcPr>
          <w:p>
            <w:pPr>
              <w:spacing w:after="20"/>
            </w:pPr>
            <w:r>
              <w:rPr>
                <w:color w:val="1C3A36"/>
                <w:sz w:val="14"/>
              </w:rPr>
              <w:t>17</w:t>
            </w:r>
          </w:p>
        </w:tc>
        <w:tc>
          <w:tcPr>
            <w:tcW w:type="dxa" w:w="2189"/>
          </w:tcPr>
          <w:p>
            <w:pPr>
              <w:spacing w:after="20"/>
            </w:pPr>
            <w:r>
              <w:rPr>
                <w:color w:val="1C3A36"/>
                <w:sz w:val="14"/>
              </w:rPr>
              <w:t>ta_fy24</w:t>
            </w:r>
          </w:p>
        </w:tc>
        <w:tc>
          <w:tcPr>
            <w:tcW w:type="dxa" w:w="1411"/>
          </w:tcPr>
          <w:p>
            <w:pPr>
              <w:spacing w:after="20"/>
            </w:pPr>
            <w:r>
              <w:rPr>
                <w:color w:val="1C3A36"/>
                <w:sz w:val="14"/>
              </w:rPr>
              <w:t>6,385.92</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FY2024 total assets EGP 6,385.92mn</w:t>
            </w:r>
          </w:p>
        </w:tc>
        <w:tc>
          <w:tcPr>
            <w:tcW w:type="dxa" w:w="1210"/>
          </w:tcPr>
          <w:p>
            <w:pPr>
              <w:spacing w:after="20"/>
            </w:pPr>
            <w:r>
              <w:rPr>
                <w:color w:val="1C3A36"/>
                <w:sz w:val="14"/>
              </w:rPr>
              <w:t>2025-03-16</w:t>
            </w:r>
          </w:p>
        </w:tc>
      </w:tr>
      <w:tr>
        <w:tc>
          <w:tcPr>
            <w:tcW w:type="dxa" w:w="432"/>
          </w:tcPr>
          <w:p>
            <w:pPr>
              <w:spacing w:after="20"/>
            </w:pPr>
            <w:r>
              <w:rPr>
                <w:color w:val="1C3A36"/>
                <w:sz w:val="14"/>
              </w:rPr>
              <w:t>18</w:t>
            </w:r>
          </w:p>
        </w:tc>
        <w:tc>
          <w:tcPr>
            <w:tcW w:type="dxa" w:w="2189"/>
          </w:tcPr>
          <w:p>
            <w:pPr>
              <w:spacing w:after="20"/>
            </w:pPr>
            <w:r>
              <w:rPr>
                <w:color w:val="1C3A36"/>
                <w:sz w:val="14"/>
              </w:rPr>
              <w:t>ta_fy25_rep</w:t>
            </w:r>
          </w:p>
        </w:tc>
        <w:tc>
          <w:tcPr>
            <w:tcW w:type="dxa" w:w="1411"/>
          </w:tcPr>
          <w:p>
            <w:pPr>
              <w:spacing w:after="20"/>
            </w:pPr>
            <w:r>
              <w:rPr>
                <w:color w:val="1C3A36"/>
                <w:sz w:val="14"/>
              </w:rPr>
              <w:t>7,200</w:t>
            </w:r>
          </w:p>
        </w:tc>
        <w:tc>
          <w:tcPr>
            <w:tcW w:type="dxa" w:w="1008"/>
          </w:tcPr>
          <w:p>
            <w:pPr>
              <w:spacing w:after="20"/>
            </w:pPr>
            <w:r>
              <w:rPr>
                <w:color w:val="1C3A36"/>
                <w:sz w:val="14"/>
              </w:rPr>
              <w:t>Company</w:t>
            </w:r>
          </w:p>
        </w:tc>
        <w:tc>
          <w:tcPr>
            <w:tcW w:type="dxa" w:w="7402"/>
          </w:tcPr>
          <w:p>
            <w:pPr>
              <w:spacing w:after="20"/>
            </w:pPr>
            <w:r>
              <w:rPr>
                <w:color w:val="1C3A36"/>
                <w:sz w:val="14"/>
              </w:rPr>
              <w:t>FY2025 total assets ~EGP 7.2bn as reported in aggregated summaries — carried as a CROSS-CHECK on the rolled-forward balance sheet, not as the primary</w:t>
            </w:r>
          </w:p>
        </w:tc>
        <w:tc>
          <w:tcPr>
            <w:tcW w:type="dxa" w:w="1210"/>
          </w:tcPr>
          <w:p>
            <w:pPr>
              <w:spacing w:after="20"/>
            </w:pPr>
            <w:r>
              <w:rPr>
                <w:color w:val="1C3A36"/>
                <w:sz w:val="14"/>
              </w:rPr>
              <w:t>2026-03-10</w:t>
            </w:r>
          </w:p>
        </w:tc>
      </w:tr>
      <w:tr>
        <w:tc>
          <w:tcPr>
            <w:tcW w:type="dxa" w:w="432"/>
          </w:tcPr>
          <w:p>
            <w:pPr>
              <w:spacing w:after="20"/>
            </w:pPr>
            <w:r>
              <w:rPr>
                <w:color w:val="1C3A36"/>
                <w:sz w:val="14"/>
              </w:rPr>
              <w:t>19</w:t>
            </w:r>
          </w:p>
        </w:tc>
        <w:tc>
          <w:tcPr>
            <w:tcW w:type="dxa" w:w="2189"/>
          </w:tcPr>
          <w:p>
            <w:pPr>
              <w:spacing w:after="20"/>
            </w:pPr>
            <w:r>
              <w:rPr>
                <w:color w:val="1C3A36"/>
                <w:sz w:val="14"/>
              </w:rPr>
              <w:t>tl_fy24</w:t>
            </w:r>
          </w:p>
        </w:tc>
        <w:tc>
          <w:tcPr>
            <w:tcW w:type="dxa" w:w="1411"/>
          </w:tcPr>
          <w:p>
            <w:pPr>
              <w:spacing w:after="20"/>
            </w:pPr>
            <w:r>
              <w:rPr>
                <w:color w:val="1C3A36"/>
                <w:sz w:val="14"/>
              </w:rPr>
              <w:t>1,610.86</w:t>
            </w:r>
          </w:p>
        </w:tc>
        <w:tc>
          <w:tcPr>
            <w:tcW w:type="dxa" w:w="1008"/>
          </w:tcPr>
          <w:p>
            <w:pPr>
              <w:spacing w:after="20"/>
            </w:pPr>
            <w:r>
              <w:rPr>
                <w:color w:val="1C3A36"/>
                <w:sz w:val="14"/>
              </w:rPr>
              <w:t>Company</w:t>
            </w:r>
          </w:p>
        </w:tc>
        <w:tc>
          <w:tcPr>
            <w:tcW w:type="dxa" w:w="7402"/>
          </w:tcPr>
          <w:p>
            <w:pPr>
              <w:spacing w:after="20"/>
            </w:pPr>
            <w:r>
              <w:rPr>
                <w:color w:val="1C3A36"/>
                <w:sz w:val="14"/>
              </w:rPr>
              <w:t>EGX filing reported by Global Cement, cemnet/International Cement Review, Daily News Egypt and Arab Finance. PRIMARY NOT RETRIEVABLE: the audited statements at sinaicement.com/wp-content/uploads/2025/05/SCC-AFS-E-1224.pdf were refused by this environment's egress policy — FY2024 total liabilities EGP 1,610.86mn. Assets less liabilities closes to equity of EGP 4,775.06mn exactly</w:t>
            </w:r>
          </w:p>
        </w:tc>
        <w:tc>
          <w:tcPr>
            <w:tcW w:type="dxa" w:w="1210"/>
          </w:tcPr>
          <w:p>
            <w:pPr>
              <w:spacing w:after="20"/>
            </w:pPr>
            <w:r>
              <w:rPr>
                <w:color w:val="1C3A36"/>
                <w:sz w:val="14"/>
              </w:rPr>
              <w:t>2025-03-16</w:t>
            </w:r>
          </w:p>
        </w:tc>
      </w:tr>
      <w:tr>
        <w:tc>
          <w:tcPr>
            <w:tcW w:type="dxa" w:w="432"/>
          </w:tcPr>
          <w:p>
            <w:pPr>
              <w:spacing w:after="20"/>
            </w:pPr>
            <w:r>
              <w:rPr>
                <w:color w:val="1C3A36"/>
                <w:sz w:val="14"/>
              </w:rPr>
              <w:t>20</w:t>
            </w:r>
          </w:p>
        </w:tc>
        <w:tc>
          <w:tcPr>
            <w:tcW w:type="dxa" w:w="2189"/>
          </w:tcPr>
          <w:p>
            <w:pPr>
              <w:spacing w:after="20"/>
            </w:pPr>
            <w:r>
              <w:rPr>
                <w:color w:val="1C3A36"/>
                <w:sz w:val="14"/>
              </w:rPr>
              <w:t>egy_capacity_mt</w:t>
            </w:r>
          </w:p>
        </w:tc>
        <w:tc>
          <w:tcPr>
            <w:tcW w:type="dxa" w:w="1411"/>
          </w:tcPr>
          <w:p>
            <w:pPr>
              <w:spacing w:after="20"/>
            </w:pPr>
            <w:r>
              <w:rPr>
                <w:color w:val="1C3A36"/>
                <w:sz w:val="14"/>
              </w:rPr>
              <w:t>76</w:t>
            </w:r>
          </w:p>
        </w:tc>
        <w:tc>
          <w:tcPr>
            <w:tcW w:type="dxa" w:w="1008"/>
          </w:tcPr>
          <w:p>
            <w:pPr>
              <w:spacing w:after="20"/>
            </w:pPr>
            <w:r>
              <w:rPr>
                <w:color w:val="1C3A36"/>
                <w:sz w:val="14"/>
              </w:rPr>
              <w:t>Industry</w:t>
            </w:r>
          </w:p>
        </w:tc>
        <w:tc>
          <w:tcPr>
            <w:tcW w:type="dxa" w:w="7402"/>
          </w:tcPr>
          <w:p>
            <w:pPr>
              <w:spacing w:after="20"/>
            </w:pPr>
            <w:r>
              <w:rPr>
                <w:color w:val="1C3A36"/>
                <w:sz w:val="14"/>
              </w:rPr>
              <w:t>Egyptian nameplate cement capacity 76Mt/yr across 46 lines</w:t>
            </w:r>
          </w:p>
        </w:tc>
        <w:tc>
          <w:tcPr>
            <w:tcW w:type="dxa" w:w="1210"/>
          </w:tcPr>
          <w:p>
            <w:pPr>
              <w:spacing w:after="20"/>
            </w:pPr>
            <w:r>
              <w:rPr>
                <w:color w:val="1C3A36"/>
                <w:sz w:val="14"/>
              </w:rPr>
              <w:t>2025-10-01</w:t>
            </w:r>
          </w:p>
        </w:tc>
      </w:tr>
      <w:tr>
        <w:tc>
          <w:tcPr>
            <w:tcW w:type="dxa" w:w="432"/>
          </w:tcPr>
          <w:p>
            <w:pPr>
              <w:spacing w:after="20"/>
            </w:pPr>
            <w:r>
              <w:rPr>
                <w:color w:val="1C3A36"/>
                <w:sz w:val="14"/>
              </w:rPr>
              <w:t>21</w:t>
            </w:r>
          </w:p>
        </w:tc>
        <w:tc>
          <w:tcPr>
            <w:tcW w:type="dxa" w:w="2189"/>
          </w:tcPr>
          <w:p>
            <w:pPr>
              <w:spacing w:after="20"/>
            </w:pPr>
            <w:r>
              <w:rPr>
                <w:color w:val="1C3A36"/>
                <w:sz w:val="14"/>
              </w:rPr>
              <w:t>egy_exports_mt</w:t>
            </w:r>
          </w:p>
        </w:tc>
        <w:tc>
          <w:tcPr>
            <w:tcW w:type="dxa" w:w="1411"/>
          </w:tcPr>
          <w:p>
            <w:pPr>
              <w:spacing w:after="20"/>
            </w:pPr>
            <w:r>
              <w:rPr>
                <w:color w:val="1C3A36"/>
                <w:sz w:val="14"/>
              </w:rPr>
              <w:t>18.5</w:t>
            </w:r>
          </w:p>
        </w:tc>
        <w:tc>
          <w:tcPr>
            <w:tcW w:type="dxa" w:w="1008"/>
          </w:tcPr>
          <w:p>
            <w:pPr>
              <w:spacing w:after="20"/>
            </w:pPr>
            <w:r>
              <w:rPr>
                <w:color w:val="1C3A36"/>
                <w:sz w:val="14"/>
              </w:rPr>
              <w:t>Industry</w:t>
            </w:r>
          </w:p>
        </w:tc>
        <w:tc>
          <w:tcPr>
            <w:tcW w:type="dxa" w:w="7402"/>
          </w:tcPr>
          <w:p>
            <w:pPr>
              <w:spacing w:after="20"/>
            </w:pPr>
            <w:r>
              <w:rPr>
                <w:color w:val="1C3A36"/>
                <w:sz w:val="14"/>
              </w:rPr>
              <w:t>Egyptian cement and clinker exports 2025, 18.5Mt (-6% y/y); finished-cement exports +66.6% to 12.5Mt</w:t>
            </w:r>
          </w:p>
        </w:tc>
        <w:tc>
          <w:tcPr>
            <w:tcW w:type="dxa" w:w="1210"/>
          </w:tcPr>
          <w:p>
            <w:pPr>
              <w:spacing w:after="20"/>
            </w:pPr>
            <w:r>
              <w:rPr>
                <w:color w:val="1C3A36"/>
                <w:sz w:val="14"/>
              </w:rPr>
              <w:t>2026-01-01</w:t>
            </w:r>
          </w:p>
        </w:tc>
      </w:tr>
      <w:tr>
        <w:tc>
          <w:tcPr>
            <w:tcW w:type="dxa" w:w="432"/>
          </w:tcPr>
          <w:p>
            <w:pPr>
              <w:spacing w:after="20"/>
            </w:pPr>
            <w:r>
              <w:rPr>
                <w:color w:val="1C3A36"/>
                <w:sz w:val="14"/>
              </w:rPr>
              <w:t>22</w:t>
            </w:r>
          </w:p>
        </w:tc>
        <w:tc>
          <w:tcPr>
            <w:tcW w:type="dxa" w:w="2189"/>
          </w:tcPr>
          <w:p>
            <w:pPr>
              <w:spacing w:after="20"/>
            </w:pPr>
            <w:r>
              <w:rPr>
                <w:color w:val="1C3A36"/>
                <w:sz w:val="14"/>
              </w:rPr>
              <w:t>egy_prod_mt</w:t>
            </w:r>
          </w:p>
        </w:tc>
        <w:tc>
          <w:tcPr>
            <w:tcW w:type="dxa" w:w="1411"/>
          </w:tcPr>
          <w:p>
            <w:pPr>
              <w:spacing w:after="20"/>
            </w:pPr>
            <w:r>
              <w:rPr>
                <w:color w:val="1C3A36"/>
                <w:sz w:val="14"/>
              </w:rPr>
              <w:t>65</w:t>
            </w:r>
          </w:p>
        </w:tc>
        <w:tc>
          <w:tcPr>
            <w:tcW w:type="dxa" w:w="1008"/>
          </w:tcPr>
          <w:p>
            <w:pPr>
              <w:spacing w:after="20"/>
            </w:pPr>
            <w:r>
              <w:rPr>
                <w:color w:val="1C3A36"/>
                <w:sz w:val="14"/>
              </w:rPr>
              <w:t>Industry</w:t>
            </w:r>
          </w:p>
        </w:tc>
        <w:tc>
          <w:tcPr>
            <w:tcW w:type="dxa" w:w="7402"/>
          </w:tcPr>
          <w:p>
            <w:pPr>
              <w:spacing w:after="20"/>
            </w:pPr>
            <w:r>
              <w:rPr>
                <w:color w:val="1C3A36"/>
                <w:sz w:val="14"/>
              </w:rPr>
              <w:t>Egyptian cement production 2025 ~65Mt, +18% y/y</w:t>
            </w:r>
          </w:p>
        </w:tc>
        <w:tc>
          <w:tcPr>
            <w:tcW w:type="dxa" w:w="1210"/>
          </w:tcPr>
          <w:p>
            <w:pPr>
              <w:spacing w:after="20"/>
            </w:pPr>
            <w:r>
              <w:rPr>
                <w:color w:val="1C3A36"/>
                <w:sz w:val="14"/>
              </w:rPr>
              <w:t>2026-01-01</w:t>
            </w:r>
          </w:p>
        </w:tc>
      </w:tr>
      <w:tr>
        <w:tc>
          <w:tcPr>
            <w:tcW w:type="dxa" w:w="432"/>
          </w:tcPr>
          <w:p>
            <w:pPr>
              <w:spacing w:after="20"/>
            </w:pPr>
            <w:r>
              <w:rPr>
                <w:color w:val="1C3A36"/>
                <w:sz w:val="14"/>
              </w:rPr>
              <w:t>23</w:t>
            </w:r>
          </w:p>
        </w:tc>
        <w:tc>
          <w:tcPr>
            <w:tcW w:type="dxa" w:w="2189"/>
          </w:tcPr>
          <w:p>
            <w:pPr>
              <w:spacing w:after="20"/>
            </w:pPr>
            <w:r>
              <w:rPr>
                <w:color w:val="1C3A36"/>
                <w:sz w:val="14"/>
              </w:rPr>
              <w:t>egy_revival_mt</w:t>
            </w:r>
          </w:p>
        </w:tc>
        <w:tc>
          <w:tcPr>
            <w:tcW w:type="dxa" w:w="1411"/>
          </w:tcPr>
          <w:p>
            <w:pPr>
              <w:spacing w:after="20"/>
            </w:pPr>
            <w:r>
              <w:rPr>
                <w:color w:val="1C3A36"/>
                <w:sz w:val="14"/>
              </w:rPr>
              <w:t>12.6</w:t>
            </w:r>
          </w:p>
        </w:tc>
        <w:tc>
          <w:tcPr>
            <w:tcW w:type="dxa" w:w="1008"/>
          </w:tcPr>
          <w:p>
            <w:pPr>
              <w:spacing w:after="20"/>
            </w:pPr>
            <w:r>
              <w:rPr>
                <w:color w:val="1C3A36"/>
                <w:sz w:val="14"/>
              </w:rPr>
              <w:t>Industry</w:t>
            </w:r>
          </w:p>
        </w:tc>
        <w:tc>
          <w:tcPr>
            <w:tcW w:type="dxa" w:w="7402"/>
          </w:tcPr>
          <w:p>
            <w:pPr>
              <w:spacing w:after="20"/>
            </w:pPr>
            <w:r>
              <w:rPr>
                <w:color w:val="1C3A36"/>
                <w:sz w:val="14"/>
              </w:rPr>
              <w:t>Dormant capacity under study for revival, 12.6Mt from 2H-2026 across seven to nine lines</w:t>
            </w:r>
          </w:p>
        </w:tc>
        <w:tc>
          <w:tcPr>
            <w:tcW w:type="dxa" w:w="1210"/>
          </w:tcPr>
          <w:p>
            <w:pPr>
              <w:spacing w:after="20"/>
            </w:pPr>
            <w:r>
              <w:rPr>
                <w:color w:val="1C3A36"/>
                <w:sz w:val="14"/>
              </w:rPr>
              <w:t>2025-10-01</w:t>
            </w:r>
          </w:p>
        </w:tc>
      </w:tr>
      <w:tr>
        <w:tc>
          <w:tcPr>
            <w:tcW w:type="dxa" w:w="432"/>
          </w:tcPr>
          <w:p>
            <w:pPr>
              <w:spacing w:after="20"/>
            </w:pPr>
            <w:r>
              <w:rPr>
                <w:color w:val="1C3A36"/>
                <w:sz w:val="14"/>
              </w:rPr>
              <w:t>24</w:t>
            </w:r>
          </w:p>
        </w:tc>
        <w:tc>
          <w:tcPr>
            <w:tcW w:type="dxa" w:w="2189"/>
          </w:tcPr>
          <w:p>
            <w:pPr>
              <w:spacing w:after="20"/>
            </w:pPr>
            <w:r>
              <w:rPr>
                <w:color w:val="1C3A36"/>
                <w:sz w:val="14"/>
              </w:rPr>
              <w:t>mkt_mt_fy23</w:t>
            </w:r>
          </w:p>
        </w:tc>
        <w:tc>
          <w:tcPr>
            <w:tcW w:type="dxa" w:w="1411"/>
          </w:tcPr>
          <w:p>
            <w:pPr>
              <w:spacing w:after="20"/>
            </w:pPr>
            <w:r>
              <w:rPr>
                <w:color w:val="1C3A36"/>
                <w:sz w:val="14"/>
              </w:rPr>
              <w:t>45</w:t>
            </w:r>
          </w:p>
        </w:tc>
        <w:tc>
          <w:tcPr>
            <w:tcW w:type="dxa" w:w="1008"/>
          </w:tcPr>
          <w:p>
            <w:pPr>
              <w:spacing w:after="20"/>
            </w:pPr>
            <w:r>
              <w:rPr>
                <w:color w:val="1C3A36"/>
                <w:sz w:val="14"/>
              </w:rPr>
              <w:t>Industry</w:t>
            </w:r>
          </w:p>
        </w:tc>
        <w:tc>
          <w:tcPr>
            <w:tcW w:type="dxa" w:w="7402"/>
          </w:tcPr>
          <w:p>
            <w:pPr>
              <w:spacing w:after="20"/>
            </w:pPr>
            <w:r>
              <w:rPr>
                <w:color w:val="1C3A36"/>
                <w:sz w:val="14"/>
              </w:rPr>
              <w:t>Egyptian domestic cement consumption FY2023, ~45Mt (implied by the 47.6Mt 2024 print and the 2025 update's growth description)</w:t>
            </w:r>
          </w:p>
        </w:tc>
        <w:tc>
          <w:tcPr>
            <w:tcW w:type="dxa" w:w="1210"/>
          </w:tcPr>
          <w:p>
            <w:pPr>
              <w:spacing w:after="20"/>
            </w:pPr>
            <w:r>
              <w:rPr>
                <w:color w:val="1C3A36"/>
                <w:sz w:val="14"/>
              </w:rPr>
              <w:t>2025-10-01</w:t>
            </w:r>
          </w:p>
        </w:tc>
      </w:tr>
      <w:tr>
        <w:tc>
          <w:tcPr>
            <w:tcW w:type="dxa" w:w="432"/>
          </w:tcPr>
          <w:p>
            <w:pPr>
              <w:spacing w:after="20"/>
            </w:pPr>
            <w:r>
              <w:rPr>
                <w:color w:val="1C3A36"/>
                <w:sz w:val="14"/>
              </w:rPr>
              <w:t>25</w:t>
            </w:r>
          </w:p>
        </w:tc>
        <w:tc>
          <w:tcPr>
            <w:tcW w:type="dxa" w:w="2189"/>
          </w:tcPr>
          <w:p>
            <w:pPr>
              <w:spacing w:after="20"/>
            </w:pPr>
            <w:r>
              <w:rPr>
                <w:color w:val="1C3A36"/>
                <w:sz w:val="14"/>
              </w:rPr>
              <w:t>mkt_mt_fy24</w:t>
            </w:r>
          </w:p>
        </w:tc>
        <w:tc>
          <w:tcPr>
            <w:tcW w:type="dxa" w:w="1411"/>
          </w:tcPr>
          <w:p>
            <w:pPr>
              <w:spacing w:after="20"/>
            </w:pPr>
            <w:r>
              <w:rPr>
                <w:color w:val="1C3A36"/>
                <w:sz w:val="14"/>
              </w:rPr>
              <w:t>47.6</w:t>
            </w:r>
          </w:p>
        </w:tc>
        <w:tc>
          <w:tcPr>
            <w:tcW w:type="dxa" w:w="1008"/>
          </w:tcPr>
          <w:p>
            <w:pPr>
              <w:spacing w:after="20"/>
            </w:pPr>
            <w:r>
              <w:rPr>
                <w:color w:val="1C3A36"/>
                <w:sz w:val="14"/>
              </w:rPr>
              <w:t>Industry</w:t>
            </w:r>
          </w:p>
        </w:tc>
        <w:tc>
          <w:tcPr>
            <w:tcW w:type="dxa" w:w="7402"/>
          </w:tcPr>
          <w:p>
            <w:pPr>
              <w:spacing w:after="20"/>
            </w:pPr>
            <w:r>
              <w:rPr>
                <w:color w:val="1C3A36"/>
                <w:sz w:val="14"/>
              </w:rPr>
              <w:t>Egyptian domestic cement consumption 2024, 47.6Mt</w:t>
            </w:r>
          </w:p>
        </w:tc>
        <w:tc>
          <w:tcPr>
            <w:tcW w:type="dxa" w:w="1210"/>
          </w:tcPr>
          <w:p>
            <w:pPr>
              <w:spacing w:after="20"/>
            </w:pPr>
            <w:r>
              <w:rPr>
                <w:color w:val="1C3A36"/>
                <w:sz w:val="14"/>
              </w:rPr>
              <w:t>2025-10-01</w:t>
            </w:r>
          </w:p>
        </w:tc>
      </w:tr>
      <w:tr>
        <w:tc>
          <w:tcPr>
            <w:tcW w:type="dxa" w:w="432"/>
          </w:tcPr>
          <w:p>
            <w:pPr>
              <w:spacing w:after="20"/>
            </w:pPr>
            <w:r>
              <w:rPr>
                <w:color w:val="1C3A36"/>
                <w:sz w:val="14"/>
              </w:rPr>
              <w:t>26</w:t>
            </w:r>
          </w:p>
        </w:tc>
        <w:tc>
          <w:tcPr>
            <w:tcW w:type="dxa" w:w="2189"/>
          </w:tcPr>
          <w:p>
            <w:pPr>
              <w:spacing w:after="20"/>
            </w:pPr>
            <w:r>
              <w:rPr>
                <w:color w:val="1C3A36"/>
                <w:sz w:val="14"/>
              </w:rPr>
              <w:t>mkt_mt_fy25</w:t>
            </w:r>
          </w:p>
        </w:tc>
        <w:tc>
          <w:tcPr>
            <w:tcW w:type="dxa" w:w="1411"/>
          </w:tcPr>
          <w:p>
            <w:pPr>
              <w:spacing w:after="20"/>
            </w:pPr>
            <w:r>
              <w:rPr>
                <w:color w:val="1C3A36"/>
                <w:sz w:val="14"/>
              </w:rPr>
              <w:t>54</w:t>
            </w:r>
          </w:p>
        </w:tc>
        <w:tc>
          <w:tcPr>
            <w:tcW w:type="dxa" w:w="1008"/>
          </w:tcPr>
          <w:p>
            <w:pPr>
              <w:spacing w:after="20"/>
            </w:pPr>
            <w:r>
              <w:rPr>
                <w:color w:val="1C3A36"/>
                <w:sz w:val="14"/>
              </w:rPr>
              <w:t>Industry</w:t>
            </w:r>
          </w:p>
        </w:tc>
        <w:tc>
          <w:tcPr>
            <w:tcW w:type="dxa" w:w="7402"/>
          </w:tcPr>
          <w:p>
            <w:pPr>
              <w:spacing w:after="20"/>
            </w:pPr>
            <w:r>
              <w:rPr>
                <w:color w:val="1C3A36"/>
                <w:sz w:val="14"/>
              </w:rPr>
              <w:t>Egyptian domestic cement consumption 2025, 54Mt, +13.4% y/y — the first year since 2008 that the supply-demand gap closed</w:t>
            </w:r>
          </w:p>
        </w:tc>
        <w:tc>
          <w:tcPr>
            <w:tcW w:type="dxa" w:w="1210"/>
          </w:tcPr>
          <w:p>
            <w:pPr>
              <w:spacing w:after="20"/>
            </w:pPr>
            <w:r>
              <w:rPr>
                <w:color w:val="1C3A36"/>
                <w:sz w:val="14"/>
              </w:rPr>
              <w:t>2025-10-01</w:t>
            </w:r>
          </w:p>
        </w:tc>
      </w:tr>
      <w:tr>
        <w:tc>
          <w:tcPr>
            <w:tcW w:type="dxa" w:w="432"/>
          </w:tcPr>
          <w:p>
            <w:pPr>
              <w:spacing w:after="20"/>
            </w:pPr>
            <w:r>
              <w:rPr>
                <w:color w:val="1C3A36"/>
                <w:sz w:val="14"/>
              </w:rPr>
              <w:t>27</w:t>
            </w:r>
          </w:p>
        </w:tc>
        <w:tc>
          <w:tcPr>
            <w:tcW w:type="dxa" w:w="2189"/>
          </w:tcPr>
          <w:p>
            <w:pPr>
              <w:spacing w:after="20"/>
            </w:pPr>
            <w:r>
              <w:rPr>
                <w:color w:val="1C3A36"/>
                <w:sz w:val="14"/>
              </w:rPr>
              <w:t>peer_arcc_pat</w:t>
            </w:r>
          </w:p>
        </w:tc>
        <w:tc>
          <w:tcPr>
            <w:tcW w:type="dxa" w:w="1411"/>
          </w:tcPr>
          <w:p>
            <w:pPr>
              <w:spacing w:after="20"/>
            </w:pPr>
            <w:r>
              <w:rPr>
                <w:color w:val="1C3A36"/>
                <w:sz w:val="14"/>
              </w:rPr>
              <w:t>3,600</w:t>
            </w:r>
          </w:p>
        </w:tc>
        <w:tc>
          <w:tcPr>
            <w:tcW w:type="dxa" w:w="1008"/>
          </w:tcPr>
          <w:p>
            <w:pPr>
              <w:spacing w:after="20"/>
            </w:pPr>
            <w:r>
              <w:rPr>
                <w:color w:val="1C3A36"/>
                <w:sz w:val="14"/>
              </w:rPr>
              <w:t>Industry</w:t>
            </w:r>
          </w:p>
        </w:tc>
        <w:tc>
          <w:tcPr>
            <w:tcW w:type="dxa" w:w="7402"/>
          </w:tcPr>
          <w:p>
            <w:pPr>
              <w:spacing w:after="20"/>
            </w:pPr>
            <w:r>
              <w:rPr>
                <w:color w:val="1C3A36"/>
                <w:sz w:val="14"/>
              </w:rPr>
              <w:t>Arabian Cement FY2025 consolidated profit ~EGP 3.6bn (H1-2025 alone EGP 1.405bn, +305.5% y/y)</w:t>
            </w:r>
          </w:p>
        </w:tc>
        <w:tc>
          <w:tcPr>
            <w:tcW w:type="dxa" w:w="1210"/>
          </w:tcPr>
          <w:p>
            <w:pPr>
              <w:spacing w:after="20"/>
            </w:pPr>
            <w:r>
              <w:rPr>
                <w:color w:val="1C3A36"/>
                <w:sz w:val="14"/>
              </w:rPr>
              <w:t>2026-03-01</w:t>
            </w:r>
          </w:p>
        </w:tc>
      </w:tr>
      <w:tr>
        <w:tc>
          <w:tcPr>
            <w:tcW w:type="dxa" w:w="432"/>
          </w:tcPr>
          <w:p>
            <w:pPr>
              <w:spacing w:after="20"/>
            </w:pPr>
            <w:r>
              <w:rPr>
                <w:color w:val="1C3A36"/>
                <w:sz w:val="14"/>
              </w:rPr>
              <w:t>28</w:t>
            </w:r>
          </w:p>
        </w:tc>
        <w:tc>
          <w:tcPr>
            <w:tcW w:type="dxa" w:w="2189"/>
          </w:tcPr>
          <w:p>
            <w:pPr>
              <w:spacing w:after="20"/>
            </w:pPr>
            <w:r>
              <w:rPr>
                <w:color w:val="1C3A36"/>
                <w:sz w:val="14"/>
              </w:rPr>
              <w:t>peer_mbsc_eps</w:t>
            </w:r>
          </w:p>
        </w:tc>
        <w:tc>
          <w:tcPr>
            <w:tcW w:type="dxa" w:w="1411"/>
          </w:tcPr>
          <w:p>
            <w:pPr>
              <w:spacing w:after="20"/>
            </w:pPr>
            <w:r>
              <w:rPr>
                <w:color w:val="1C3A36"/>
                <w:sz w:val="14"/>
              </w:rPr>
              <w:t>61.25</w:t>
            </w:r>
          </w:p>
        </w:tc>
        <w:tc>
          <w:tcPr>
            <w:tcW w:type="dxa" w:w="1008"/>
          </w:tcPr>
          <w:p>
            <w:pPr>
              <w:spacing w:after="20"/>
            </w:pPr>
            <w:r>
              <w:rPr>
                <w:color w:val="1C3A36"/>
                <w:sz w:val="14"/>
              </w:rPr>
              <w:t>Industry</w:t>
            </w:r>
          </w:p>
        </w:tc>
        <w:tc>
          <w:tcPr>
            <w:tcW w:type="dxa" w:w="7402"/>
          </w:tcPr>
          <w:p>
            <w:pPr>
              <w:spacing w:after="20"/>
            </w:pPr>
            <w:r>
              <w:rPr>
                <w:color w:val="1C3A36"/>
                <w:sz w:val="14"/>
              </w:rPr>
              <w:t>Misr Beni Suef FY2025 earnings per share EGP 61.25 (FY2024 EGP 11.35)</w:t>
            </w:r>
          </w:p>
        </w:tc>
        <w:tc>
          <w:tcPr>
            <w:tcW w:type="dxa" w:w="1210"/>
          </w:tcPr>
          <w:p>
            <w:pPr>
              <w:spacing w:after="20"/>
            </w:pPr>
            <w:r>
              <w:rPr>
                <w:color w:val="1C3A36"/>
                <w:sz w:val="14"/>
              </w:rPr>
              <w:t>2026-03-01</w:t>
            </w:r>
          </w:p>
        </w:tc>
      </w:tr>
      <w:tr>
        <w:tc>
          <w:tcPr>
            <w:tcW w:type="dxa" w:w="432"/>
          </w:tcPr>
          <w:p>
            <w:pPr>
              <w:spacing w:after="20"/>
            </w:pPr>
            <w:r>
              <w:rPr>
                <w:color w:val="1C3A36"/>
                <w:sz w:val="14"/>
              </w:rPr>
              <w:t>29</w:t>
            </w:r>
          </w:p>
        </w:tc>
        <w:tc>
          <w:tcPr>
            <w:tcW w:type="dxa" w:w="2189"/>
          </w:tcPr>
          <w:p>
            <w:pPr>
              <w:spacing w:after="20"/>
            </w:pPr>
            <w:r>
              <w:rPr>
                <w:color w:val="1C3A36"/>
                <w:sz w:val="14"/>
              </w:rPr>
              <w:t>peer_mbsc_evebitda</w:t>
            </w:r>
          </w:p>
        </w:tc>
        <w:tc>
          <w:tcPr>
            <w:tcW w:type="dxa" w:w="1411"/>
          </w:tcPr>
          <w:p>
            <w:pPr>
              <w:spacing w:after="20"/>
            </w:pPr>
            <w:r>
              <w:rPr>
                <w:color w:val="1C3A36"/>
                <w:sz w:val="14"/>
              </w:rPr>
              <w:t>5.03</w:t>
            </w:r>
          </w:p>
        </w:tc>
        <w:tc>
          <w:tcPr>
            <w:tcW w:type="dxa" w:w="1008"/>
          </w:tcPr>
          <w:p>
            <w:pPr>
              <w:spacing w:after="20"/>
            </w:pPr>
            <w:r>
              <w:rPr>
                <w:color w:val="1C3A36"/>
                <w:sz w:val="14"/>
              </w:rPr>
              <w:t>Industry</w:t>
            </w:r>
          </w:p>
        </w:tc>
        <w:tc>
          <w:tcPr>
            <w:tcW w:type="dxa" w:w="7402"/>
          </w:tcPr>
          <w:p>
            <w:pPr>
              <w:spacing w:after="20"/>
            </w:pPr>
            <w:r>
              <w:rPr>
                <w:color w:val="1C3A36"/>
                <w:sz w:val="14"/>
              </w:rPr>
              <w:t>Misr Beni Suef EV/EBITDA 5.03x</w:t>
            </w:r>
          </w:p>
        </w:tc>
        <w:tc>
          <w:tcPr>
            <w:tcW w:type="dxa" w:w="1210"/>
          </w:tcPr>
          <w:p>
            <w:pPr>
              <w:spacing w:after="20"/>
            </w:pPr>
            <w:r>
              <w:rPr>
                <w:color w:val="1C3A36"/>
                <w:sz w:val="14"/>
              </w:rPr>
              <w:t>2026-08-06</w:t>
            </w:r>
          </w:p>
        </w:tc>
      </w:tr>
      <w:tr>
        <w:tc>
          <w:tcPr>
            <w:tcW w:type="dxa" w:w="432"/>
          </w:tcPr>
          <w:p>
            <w:pPr>
              <w:spacing w:after="20"/>
            </w:pPr>
            <w:r>
              <w:rPr>
                <w:color w:val="1C3A36"/>
                <w:sz w:val="14"/>
              </w:rPr>
              <w:t>30</w:t>
            </w:r>
          </w:p>
        </w:tc>
        <w:tc>
          <w:tcPr>
            <w:tcW w:type="dxa" w:w="2189"/>
          </w:tcPr>
          <w:p>
            <w:pPr>
              <w:spacing w:after="20"/>
            </w:pPr>
            <w:r>
              <w:rPr>
                <w:color w:val="1C3A36"/>
                <w:sz w:val="14"/>
              </w:rPr>
              <w:t>peer_mbsc_mcap</w:t>
            </w:r>
          </w:p>
        </w:tc>
        <w:tc>
          <w:tcPr>
            <w:tcW w:type="dxa" w:w="1411"/>
          </w:tcPr>
          <w:p>
            <w:pPr>
              <w:spacing w:after="20"/>
            </w:pPr>
            <w:r>
              <w:rPr>
                <w:color w:val="1C3A36"/>
                <w:sz w:val="14"/>
              </w:rPr>
              <w:t>13,730</w:t>
            </w:r>
          </w:p>
        </w:tc>
        <w:tc>
          <w:tcPr>
            <w:tcW w:type="dxa" w:w="1008"/>
          </w:tcPr>
          <w:p>
            <w:pPr>
              <w:spacing w:after="20"/>
            </w:pPr>
            <w:r>
              <w:rPr>
                <w:color w:val="1C3A36"/>
                <w:sz w:val="14"/>
              </w:rPr>
              <w:t>Industry</w:t>
            </w:r>
          </w:p>
        </w:tc>
        <w:tc>
          <w:tcPr>
            <w:tcW w:type="dxa" w:w="7402"/>
          </w:tcPr>
          <w:p>
            <w:pPr>
              <w:spacing w:after="20"/>
            </w:pPr>
            <w:r>
              <w:rPr>
                <w:color w:val="1C3A36"/>
                <w:sz w:val="14"/>
              </w:rPr>
              <w:t>Misr Beni Suef market capitalisation EGP 13.73bn</w:t>
            </w:r>
          </w:p>
        </w:tc>
        <w:tc>
          <w:tcPr>
            <w:tcW w:type="dxa" w:w="1210"/>
          </w:tcPr>
          <w:p>
            <w:pPr>
              <w:spacing w:after="20"/>
            </w:pPr>
            <w:r>
              <w:rPr>
                <w:color w:val="1C3A36"/>
                <w:sz w:val="14"/>
              </w:rPr>
              <w:t>2026-08-06</w:t>
            </w:r>
          </w:p>
        </w:tc>
      </w:tr>
      <w:tr>
        <w:tc>
          <w:tcPr>
            <w:tcW w:type="dxa" w:w="432"/>
          </w:tcPr>
          <w:p>
            <w:pPr>
              <w:spacing w:after="20"/>
            </w:pPr>
            <w:r>
              <w:rPr>
                <w:color w:val="1C3A36"/>
                <w:sz w:val="14"/>
              </w:rPr>
              <w:t>31</w:t>
            </w:r>
          </w:p>
        </w:tc>
        <w:tc>
          <w:tcPr>
            <w:tcW w:type="dxa" w:w="2189"/>
          </w:tcPr>
          <w:p>
            <w:pPr>
              <w:spacing w:after="20"/>
            </w:pPr>
            <w:r>
              <w:rPr>
                <w:color w:val="1C3A36"/>
                <w:sz w:val="14"/>
              </w:rPr>
              <w:t>peer_mbsc_pat</w:t>
            </w:r>
          </w:p>
        </w:tc>
        <w:tc>
          <w:tcPr>
            <w:tcW w:type="dxa" w:w="1411"/>
          </w:tcPr>
          <w:p>
            <w:pPr>
              <w:spacing w:after="20"/>
            </w:pPr>
            <w:r>
              <w:rPr>
                <w:color w:val="1C3A36"/>
                <w:sz w:val="14"/>
              </w:rPr>
              <w:t>3,946</w:t>
            </w:r>
          </w:p>
        </w:tc>
        <w:tc>
          <w:tcPr>
            <w:tcW w:type="dxa" w:w="1008"/>
          </w:tcPr>
          <w:p>
            <w:pPr>
              <w:spacing w:after="20"/>
            </w:pPr>
            <w:r>
              <w:rPr>
                <w:color w:val="1C3A36"/>
                <w:sz w:val="14"/>
              </w:rPr>
              <w:t>Industry</w:t>
            </w:r>
          </w:p>
        </w:tc>
        <w:tc>
          <w:tcPr>
            <w:tcW w:type="dxa" w:w="7402"/>
          </w:tcPr>
          <w:p>
            <w:pPr>
              <w:spacing w:after="20"/>
            </w:pPr>
            <w:r>
              <w:rPr>
                <w:color w:val="1C3A36"/>
                <w:sz w:val="14"/>
              </w:rPr>
              <w:t>Misr Beni Suef FY2025 attributable profit EGP 3.946bn, +373.7% y/y from EGP 833.2mn</w:t>
            </w:r>
          </w:p>
        </w:tc>
        <w:tc>
          <w:tcPr>
            <w:tcW w:type="dxa" w:w="1210"/>
          </w:tcPr>
          <w:p>
            <w:pPr>
              <w:spacing w:after="20"/>
            </w:pPr>
            <w:r>
              <w:rPr>
                <w:color w:val="1C3A36"/>
                <w:sz w:val="14"/>
              </w:rPr>
              <w:t>2026-03-01</w:t>
            </w:r>
          </w:p>
        </w:tc>
      </w:tr>
      <w:tr>
        <w:tc>
          <w:tcPr>
            <w:tcW w:type="dxa" w:w="432"/>
          </w:tcPr>
          <w:p>
            <w:pPr>
              <w:spacing w:after="20"/>
            </w:pPr>
            <w:r>
              <w:rPr>
                <w:color w:val="1C3A36"/>
                <w:sz w:val="14"/>
              </w:rPr>
              <w:t>32</w:t>
            </w:r>
          </w:p>
        </w:tc>
        <w:tc>
          <w:tcPr>
            <w:tcW w:type="dxa" w:w="2189"/>
          </w:tcPr>
          <w:p>
            <w:pPr>
              <w:spacing w:after="20"/>
            </w:pPr>
            <w:r>
              <w:rPr>
                <w:color w:val="1C3A36"/>
                <w:sz w:val="14"/>
              </w:rPr>
              <w:t>peer_mbsc_pe</w:t>
            </w:r>
          </w:p>
        </w:tc>
        <w:tc>
          <w:tcPr>
            <w:tcW w:type="dxa" w:w="1411"/>
          </w:tcPr>
          <w:p>
            <w:pPr>
              <w:spacing w:after="20"/>
            </w:pPr>
            <w:r>
              <w:rPr>
                <w:color w:val="1C3A36"/>
                <w:sz w:val="14"/>
              </w:rPr>
              <w:t>6.44</w:t>
            </w:r>
          </w:p>
        </w:tc>
        <w:tc>
          <w:tcPr>
            <w:tcW w:type="dxa" w:w="1008"/>
          </w:tcPr>
          <w:p>
            <w:pPr>
              <w:spacing w:after="20"/>
            </w:pPr>
            <w:r>
              <w:rPr>
                <w:color w:val="1C3A36"/>
                <w:sz w:val="14"/>
              </w:rPr>
              <w:t>Industry</w:t>
            </w:r>
          </w:p>
        </w:tc>
        <w:tc>
          <w:tcPr>
            <w:tcW w:type="dxa" w:w="7402"/>
          </w:tcPr>
          <w:p>
            <w:pPr>
              <w:spacing w:after="20"/>
            </w:pPr>
            <w:r>
              <w:rPr>
                <w:color w:val="1C3A36"/>
                <w:sz w:val="14"/>
              </w:rPr>
              <w:t>Misr Beni Suef trailing price/earnings 6.44x</w:t>
            </w:r>
          </w:p>
        </w:tc>
        <w:tc>
          <w:tcPr>
            <w:tcW w:type="dxa" w:w="1210"/>
          </w:tcPr>
          <w:p>
            <w:pPr>
              <w:spacing w:after="20"/>
            </w:pPr>
            <w:r>
              <w:rPr>
                <w:color w:val="1C3A36"/>
                <w:sz w:val="14"/>
              </w:rPr>
              <w:t>2026-08-06</w:t>
            </w:r>
          </w:p>
        </w:tc>
      </w:tr>
      <w:tr>
        <w:tc>
          <w:tcPr>
            <w:tcW w:type="dxa" w:w="432"/>
          </w:tcPr>
          <w:p>
            <w:pPr>
              <w:spacing w:after="20"/>
            </w:pPr>
            <w:r>
              <w:rPr>
                <w:color w:val="1C3A36"/>
                <w:sz w:val="14"/>
              </w:rPr>
              <w:t>33</w:t>
            </w:r>
          </w:p>
        </w:tc>
        <w:tc>
          <w:tcPr>
            <w:tcW w:type="dxa" w:w="2189"/>
          </w:tcPr>
          <w:p>
            <w:pPr>
              <w:spacing w:after="20"/>
            </w:pPr>
            <w:r>
              <w:rPr>
                <w:color w:val="1C3A36"/>
                <w:sz w:val="14"/>
              </w:rPr>
              <w:t>peer_mbsc_rev</w:t>
            </w:r>
          </w:p>
        </w:tc>
        <w:tc>
          <w:tcPr>
            <w:tcW w:type="dxa" w:w="1411"/>
          </w:tcPr>
          <w:p>
            <w:pPr>
              <w:spacing w:after="20"/>
            </w:pPr>
            <w:r>
              <w:rPr>
                <w:color w:val="1C3A36"/>
                <w:sz w:val="14"/>
              </w:rPr>
              <w:t>5,700</w:t>
            </w:r>
          </w:p>
        </w:tc>
        <w:tc>
          <w:tcPr>
            <w:tcW w:type="dxa" w:w="1008"/>
          </w:tcPr>
          <w:p>
            <w:pPr>
              <w:spacing w:after="20"/>
            </w:pPr>
            <w:r>
              <w:rPr>
                <w:color w:val="1C3A36"/>
                <w:sz w:val="14"/>
              </w:rPr>
              <w:t>Industry</w:t>
            </w:r>
          </w:p>
        </w:tc>
        <w:tc>
          <w:tcPr>
            <w:tcW w:type="dxa" w:w="7402"/>
          </w:tcPr>
          <w:p>
            <w:pPr>
              <w:spacing w:after="20"/>
            </w:pPr>
            <w:r>
              <w:rPr>
                <w:color w:val="1C3A36"/>
                <w:sz w:val="14"/>
              </w:rPr>
              <w:t>Misr Beni Suef Cement FY2025 net sales EGP 5.700bn (EGX filing via Arab Finance)</w:t>
            </w:r>
          </w:p>
        </w:tc>
        <w:tc>
          <w:tcPr>
            <w:tcW w:type="dxa" w:w="1210"/>
          </w:tcPr>
          <w:p>
            <w:pPr>
              <w:spacing w:after="20"/>
            </w:pPr>
            <w:r>
              <w:rPr>
                <w:color w:val="1C3A36"/>
                <w:sz w:val="14"/>
              </w:rPr>
              <w:t>2026-03-01</w:t>
            </w:r>
          </w:p>
        </w:tc>
      </w:tr>
      <w:tr>
        <w:tc>
          <w:tcPr>
            <w:tcW w:type="dxa" w:w="432"/>
          </w:tcPr>
          <w:p>
            <w:pPr>
              <w:spacing w:after="20"/>
            </w:pPr>
            <w:r>
              <w:rPr>
                <w:color w:val="1C3A36"/>
                <w:sz w:val="14"/>
              </w:rPr>
              <w:t>34</w:t>
            </w:r>
          </w:p>
        </w:tc>
        <w:tc>
          <w:tcPr>
            <w:tcW w:type="dxa" w:w="2189"/>
          </w:tcPr>
          <w:p>
            <w:pPr>
              <w:spacing w:after="20"/>
            </w:pPr>
            <w:r>
              <w:rPr>
                <w:color w:val="1C3A36"/>
                <w:sz w:val="14"/>
              </w:rPr>
              <w:t>price_growth</w:t>
            </w:r>
          </w:p>
        </w:tc>
        <w:tc>
          <w:tcPr>
            <w:tcW w:type="dxa" w:w="1411"/>
          </w:tcPr>
          <w:p>
            <w:pPr>
              <w:spacing w:after="20"/>
            </w:pPr>
            <w:r>
              <w:rPr>
                <w:color w:val="1C3A36"/>
                <w:sz w:val="14"/>
              </w:rPr>
              <w:t>0.06, 0.045, 0.05, 0.055, 0.051</w:t>
            </w:r>
          </w:p>
        </w:tc>
        <w:tc>
          <w:tcPr>
            <w:tcW w:type="dxa" w:w="1008"/>
          </w:tcPr>
          <w:p>
            <w:pPr>
              <w:spacing w:after="20"/>
            </w:pPr>
            <w:r>
              <w:rPr>
                <w:color w:val="1C3A36"/>
                <w:sz w:val="14"/>
              </w:rPr>
              <w:t>Industry</w:t>
            </w:r>
          </w:p>
        </w:tc>
        <w:tc>
          <w:tcPr>
            <w:tcW w:type="dxa" w:w="7402"/>
          </w:tcPr>
          <w:p>
            <w:pPr>
              <w:spacing w:after="20"/>
            </w:pPr>
            <w:r>
              <w:rPr>
                <w:color w:val="1C3A36"/>
                <w:sz w:val="14"/>
              </w:rPr>
              <w:t>Realised price growth FY2026E-FY2030E, NOMINAL EGP per tonne. Every year is a REAL price DECLINE: nominal growth of 4.5-6.0% against CBE inflation of ~16% in 2026 easing toward 7% then 5%. That is the supply-glut thesis expressed in the price line — seven to nine dormant lines are under study for revival, potentially adding 12.6Mt from 2H-2026, about 23% of 2025 domestic consumption, landing inside the forecast window</w:t>
            </w:r>
          </w:p>
        </w:tc>
        <w:tc>
          <w:tcPr>
            <w:tcW w:type="dxa" w:w="1210"/>
          </w:tcPr>
          <w:p>
            <w:pPr>
              <w:spacing w:after="20"/>
            </w:pPr>
            <w:r>
              <w:rPr>
                <w:color w:val="1C3A36"/>
                <w:sz w:val="14"/>
              </w:rPr>
              <w:t>2026-01-01</w:t>
            </w:r>
          </w:p>
        </w:tc>
      </w:tr>
      <w:tr>
        <w:tc>
          <w:tcPr>
            <w:tcW w:type="dxa" w:w="432"/>
          </w:tcPr>
          <w:p>
            <w:pPr>
              <w:spacing w:after="20"/>
            </w:pPr>
            <w:r>
              <w:rPr>
                <w:color w:val="1C3A36"/>
                <w:sz w:val="14"/>
              </w:rPr>
              <w:t>35</w:t>
            </w:r>
          </w:p>
        </w:tc>
        <w:tc>
          <w:tcPr>
            <w:tcW w:type="dxa" w:w="2189"/>
          </w:tcPr>
          <w:p>
            <w:pPr>
              <w:spacing w:after="20"/>
            </w:pPr>
            <w:r>
              <w:rPr>
                <w:color w:val="1C3A36"/>
                <w:sz w:val="14"/>
              </w:rPr>
              <w:t>repl_usd_t</w:t>
            </w:r>
          </w:p>
        </w:tc>
        <w:tc>
          <w:tcPr>
            <w:tcW w:type="dxa" w:w="1411"/>
          </w:tcPr>
          <w:p>
            <w:pPr>
              <w:spacing w:after="20"/>
            </w:pPr>
            <w:r>
              <w:rPr>
                <w:color w:val="1C3A36"/>
                <w:sz w:val="14"/>
              </w:rPr>
              <w:t>130</w:t>
            </w:r>
          </w:p>
        </w:tc>
        <w:tc>
          <w:tcPr>
            <w:tcW w:type="dxa" w:w="1008"/>
          </w:tcPr>
          <w:p>
            <w:pPr>
              <w:spacing w:after="20"/>
            </w:pPr>
            <w:r>
              <w:rPr>
                <w:color w:val="1C3A36"/>
                <w:sz w:val="14"/>
              </w:rPr>
              <w:t>Industry</w:t>
            </w:r>
          </w:p>
        </w:tc>
        <w:tc>
          <w:tcPr>
            <w:tcW w:type="dxa" w:w="7402"/>
          </w:tcPr>
          <w:p>
            <w:pPr>
              <w:spacing w:after="20"/>
            </w:pPr>
            <w:r>
              <w:rPr>
                <w:color w:val="1C3A36"/>
                <w:sz w:val="14"/>
              </w:rPr>
              <w:t>Replacement cost of grey-cement capacity, USD 130 per annual tonne — the mid-point of the USD 120-150/t range at which greenfield and brownfield cement lines are built and transacted internationally</w:t>
            </w:r>
          </w:p>
        </w:tc>
        <w:tc>
          <w:tcPr>
            <w:tcW w:type="dxa" w:w="1210"/>
          </w:tcPr>
          <w:p>
            <w:pPr>
              <w:spacing w:after="20"/>
            </w:pPr>
            <w:r>
              <w:rPr>
                <w:color w:val="1C3A36"/>
                <w:sz w:val="14"/>
              </w:rPr>
              <w:t>2026-08-06</w:t>
            </w:r>
          </w:p>
        </w:tc>
      </w:tr>
      <w:tr>
        <w:tc>
          <w:tcPr>
            <w:tcW w:type="dxa" w:w="432"/>
          </w:tcPr>
          <w:p>
            <w:pPr>
              <w:spacing w:after="20"/>
            </w:pPr>
            <w:r>
              <w:rPr>
                <w:color w:val="1C3A36"/>
                <w:sz w:val="14"/>
              </w:rPr>
              <w:t>36</w:t>
            </w:r>
          </w:p>
        </w:tc>
        <w:tc>
          <w:tcPr>
            <w:tcW w:type="dxa" w:w="2189"/>
          </w:tcPr>
          <w:p>
            <w:pPr>
              <w:spacing w:after="20"/>
            </w:pPr>
            <w:r>
              <w:rPr>
                <w:color w:val="1C3A36"/>
                <w:sz w:val="14"/>
              </w:rPr>
              <w:t>vol_growth</w:t>
            </w:r>
          </w:p>
        </w:tc>
        <w:tc>
          <w:tcPr>
            <w:tcW w:type="dxa" w:w="1411"/>
          </w:tcPr>
          <w:p>
            <w:pPr>
              <w:spacing w:after="20"/>
            </w:pPr>
            <w:r>
              <w:rPr>
                <w:color w:val="1C3A36"/>
                <w:sz w:val="14"/>
              </w:rPr>
              <w:t>0.01, 0.025, 0.025, 0.025, 0.025</w:t>
            </w:r>
          </w:p>
        </w:tc>
        <w:tc>
          <w:tcPr>
            <w:tcW w:type="dxa" w:w="1008"/>
          </w:tcPr>
          <w:p>
            <w:pPr>
              <w:spacing w:after="20"/>
            </w:pPr>
            <w:r>
              <w:rPr>
                <w:color w:val="1C3A36"/>
                <w:sz w:val="14"/>
              </w:rPr>
              <w:t>Industry</w:t>
            </w:r>
          </w:p>
        </w:tc>
        <w:tc>
          <w:tcPr>
            <w:tcW w:type="dxa" w:w="7402"/>
          </w:tcPr>
          <w:p>
            <w:pPr>
              <w:spacing w:after="20"/>
            </w:pPr>
            <w:r>
              <w:rPr>
                <w:color w:val="1C3A36"/>
                <w:sz w:val="14"/>
              </w:rPr>
              <w:t>Sales volume growth FY2026E-FY2030E. FY2026 takes the published ~1% domestic demand estimate rather than the 5-8% optimistic case; thereafter 2.5%, below the 2025 outturn, because 12.6Mt of dormant capacity under revival caps any share gain</w:t>
            </w:r>
          </w:p>
        </w:tc>
        <w:tc>
          <w:tcPr>
            <w:tcW w:type="dxa" w:w="1210"/>
          </w:tcPr>
          <w:p>
            <w:pPr>
              <w:spacing w:after="20"/>
            </w:pPr>
            <w:r>
              <w:rPr>
                <w:color w:val="1C3A36"/>
                <w:sz w:val="14"/>
              </w:rPr>
              <w:t>2026-01-01</w:t>
            </w:r>
          </w:p>
        </w:tc>
      </w:tr>
      <w:tr>
        <w:tc>
          <w:tcPr>
            <w:tcW w:type="dxa" w:w="432"/>
          </w:tcPr>
          <w:p>
            <w:pPr>
              <w:spacing w:after="20"/>
            </w:pPr>
            <w:r>
              <w:rPr>
                <w:color w:val="1C3A36"/>
                <w:sz w:val="14"/>
              </w:rPr>
              <w:t>37</w:t>
            </w:r>
          </w:p>
        </w:tc>
        <w:tc>
          <w:tcPr>
            <w:tcW w:type="dxa" w:w="2189"/>
          </w:tcPr>
          <w:p>
            <w:pPr>
              <w:spacing w:after="20"/>
            </w:pPr>
            <w:r>
              <w:rPr>
                <w:color w:val="1C3A36"/>
                <w:sz w:val="14"/>
              </w:rPr>
              <w:t>egp_per_eur_aug24</w:t>
            </w:r>
          </w:p>
        </w:tc>
        <w:tc>
          <w:tcPr>
            <w:tcW w:type="dxa" w:w="1411"/>
          </w:tcPr>
          <w:p>
            <w:pPr>
              <w:spacing w:after="20"/>
            </w:pPr>
            <w:r>
              <w:rPr>
                <w:color w:val="1C3A36"/>
                <w:sz w:val="14"/>
              </w:rPr>
              <w:t>53.4</w:t>
            </w:r>
          </w:p>
        </w:tc>
        <w:tc>
          <w:tcPr>
            <w:tcW w:type="dxa" w:w="1008"/>
          </w:tcPr>
          <w:p>
            <w:pPr>
              <w:spacing w:after="20"/>
            </w:pPr>
            <w:r>
              <w:rPr>
                <w:color w:val="1C3A36"/>
                <w:sz w:val="14"/>
              </w:rPr>
              <w:t>Country</w:t>
            </w:r>
          </w:p>
        </w:tc>
        <w:tc>
          <w:tcPr>
            <w:tcW w:type="dxa" w:w="7402"/>
          </w:tcPr>
          <w:p>
            <w:pPr>
              <w:spacing w:after="20"/>
            </w:pPr>
            <w:r>
              <w:rPr>
                <w:color w:val="1C3A36"/>
                <w:sz w:val="14"/>
              </w:rPr>
              <w:t>EGP per EUR at completion, August 2024: USD/EGP ~48.5 and EUR/USD ~1.10</w:t>
            </w:r>
          </w:p>
        </w:tc>
        <w:tc>
          <w:tcPr>
            <w:tcW w:type="dxa" w:w="1210"/>
          </w:tcPr>
          <w:p>
            <w:pPr>
              <w:spacing w:after="20"/>
            </w:pPr>
            <w:r>
              <w:rPr>
                <w:color w:val="1C3A36"/>
                <w:sz w:val="14"/>
              </w:rPr>
              <w:t>2024-08-13</w:t>
            </w:r>
          </w:p>
        </w:tc>
      </w:tr>
      <w:tr>
        <w:tc>
          <w:tcPr>
            <w:tcW w:type="dxa" w:w="432"/>
          </w:tcPr>
          <w:p>
            <w:pPr>
              <w:spacing w:after="20"/>
            </w:pPr>
            <w:r>
              <w:rPr>
                <w:color w:val="1C3A36"/>
                <w:sz w:val="14"/>
              </w:rPr>
              <w:t>38</w:t>
            </w:r>
          </w:p>
        </w:tc>
        <w:tc>
          <w:tcPr>
            <w:tcW w:type="dxa" w:w="2189"/>
          </w:tcPr>
          <w:p>
            <w:pPr>
              <w:spacing w:after="20"/>
            </w:pPr>
            <w:r>
              <w:rPr>
                <w:color w:val="1C3A36"/>
                <w:sz w:val="14"/>
              </w:rPr>
              <w:t>erp_cds</w:t>
            </w:r>
          </w:p>
        </w:tc>
        <w:tc>
          <w:tcPr>
            <w:tcW w:type="dxa" w:w="1411"/>
          </w:tcPr>
          <w:p>
            <w:pPr>
              <w:spacing w:after="20"/>
            </w:pPr>
            <w:r>
              <w:rPr>
                <w:color w:val="1C3A36"/>
                <w:sz w:val="14"/>
              </w:rPr>
              <w:t>0.0941</w:t>
            </w:r>
          </w:p>
        </w:tc>
        <w:tc>
          <w:tcPr>
            <w:tcW w:type="dxa" w:w="1008"/>
          </w:tcPr>
          <w:p>
            <w:pPr>
              <w:spacing w:after="20"/>
            </w:pPr>
            <w:r>
              <w:rPr>
                <w:color w:val="1C3A36"/>
                <w:sz w:val="14"/>
              </w:rPr>
              <w:t>Country</w:t>
            </w:r>
          </w:p>
        </w:tc>
        <w:tc>
          <w:tcPr>
            <w:tcW w:type="dxa" w:w="7402"/>
          </w:tcPr>
          <w:p>
            <w:pPr>
              <w:spacing w:after="20"/>
            </w:pPr>
            <w:r>
              <w:rPr>
                <w:color w:val="1C3A36"/>
                <w:sz w:val="14"/>
              </w:rPr>
              <w:t>Damodaran original country-premium file, Egypt row, CDS column, 5 January 2026 — total equity risk premium</w:t>
            </w:r>
          </w:p>
        </w:tc>
        <w:tc>
          <w:tcPr>
            <w:tcW w:type="dxa" w:w="1210"/>
          </w:tcPr>
          <w:p>
            <w:pPr>
              <w:spacing w:after="20"/>
            </w:pPr>
            <w:r>
              <w:rPr>
                <w:color w:val="1C3A36"/>
                <w:sz w:val="14"/>
              </w:rPr>
              <w:t>2026-01-05</w:t>
            </w:r>
          </w:p>
        </w:tc>
      </w:tr>
      <w:tr>
        <w:tc>
          <w:tcPr>
            <w:tcW w:type="dxa" w:w="432"/>
          </w:tcPr>
          <w:p>
            <w:pPr>
              <w:spacing w:after="20"/>
            </w:pPr>
            <w:r>
              <w:rPr>
                <w:color w:val="1C3A36"/>
                <w:sz w:val="14"/>
              </w:rPr>
              <w:t>39</w:t>
            </w:r>
          </w:p>
        </w:tc>
        <w:tc>
          <w:tcPr>
            <w:tcW w:type="dxa" w:w="2189"/>
          </w:tcPr>
          <w:p>
            <w:pPr>
              <w:spacing w:after="20"/>
            </w:pPr>
            <w:r>
              <w:rPr>
                <w:color w:val="1C3A36"/>
                <w:sz w:val="14"/>
              </w:rPr>
              <w:t>erp_rating</w:t>
            </w:r>
          </w:p>
        </w:tc>
        <w:tc>
          <w:tcPr>
            <w:tcW w:type="dxa" w:w="1411"/>
          </w:tcPr>
          <w:p>
            <w:pPr>
              <w:spacing w:after="20"/>
            </w:pPr>
            <w:r>
              <w:rPr>
                <w:color w:val="1C3A36"/>
                <w:sz w:val="14"/>
              </w:rPr>
              <w:t>0.1394</w:t>
            </w:r>
          </w:p>
        </w:tc>
        <w:tc>
          <w:tcPr>
            <w:tcW w:type="dxa" w:w="1008"/>
          </w:tcPr>
          <w:p>
            <w:pPr>
              <w:spacing w:after="20"/>
            </w:pPr>
            <w:r>
              <w:rPr>
                <w:color w:val="1C3A36"/>
                <w:sz w:val="14"/>
              </w:rPr>
              <w:t>Country</w:t>
            </w:r>
          </w:p>
        </w:tc>
        <w:tc>
          <w:tcPr>
            <w:tcW w:type="dxa" w:w="7402"/>
          </w:tcPr>
          <w:p>
            <w:pPr>
              <w:spacing w:after="20"/>
            </w:pPr>
            <w:r>
              <w:rPr>
                <w:color w:val="1C3A36"/>
                <w:sz w:val="14"/>
              </w:rPr>
              <w:t>Damodaran original country-premium file, Egypt row, rating basis, January-2026 — the alternative</w:t>
            </w:r>
          </w:p>
        </w:tc>
        <w:tc>
          <w:tcPr>
            <w:tcW w:type="dxa" w:w="1210"/>
          </w:tcPr>
          <w:p>
            <w:pPr>
              <w:spacing w:after="20"/>
            </w:pPr>
            <w:r>
              <w:rPr>
                <w:color w:val="1C3A36"/>
                <w:sz w:val="14"/>
              </w:rPr>
              <w:t>2026-01-05</w:t>
            </w:r>
          </w:p>
        </w:tc>
      </w:tr>
      <w:tr>
        <w:tc>
          <w:tcPr>
            <w:tcW w:type="dxa" w:w="432"/>
          </w:tcPr>
          <w:p>
            <w:pPr>
              <w:spacing w:after="20"/>
            </w:pPr>
            <w:r>
              <w:rPr>
                <w:color w:val="1C3A36"/>
                <w:sz w:val="14"/>
              </w:rPr>
              <w:t>40</w:t>
            </w:r>
          </w:p>
        </w:tc>
        <w:tc>
          <w:tcPr>
            <w:tcW w:type="dxa" w:w="2189"/>
          </w:tcPr>
          <w:p>
            <w:pPr>
              <w:spacing w:after="20"/>
            </w:pPr>
            <w:r>
              <w:rPr>
                <w:color w:val="1C3A36"/>
                <w:sz w:val="14"/>
              </w:rPr>
              <w:t>fx_usd</w:t>
            </w:r>
          </w:p>
        </w:tc>
        <w:tc>
          <w:tcPr>
            <w:tcW w:type="dxa" w:w="1411"/>
          </w:tcPr>
          <w:p>
            <w:pPr>
              <w:spacing w:after="20"/>
            </w:pPr>
            <w:r>
              <w:rPr>
                <w:color w:val="1C3A36"/>
                <w:sz w:val="14"/>
              </w:rPr>
              <w:t>49.8</w:t>
            </w:r>
          </w:p>
        </w:tc>
        <w:tc>
          <w:tcPr>
            <w:tcW w:type="dxa" w:w="1008"/>
          </w:tcPr>
          <w:p>
            <w:pPr>
              <w:spacing w:after="20"/>
            </w:pPr>
            <w:r>
              <w:rPr>
                <w:color w:val="1C3A36"/>
                <w:sz w:val="14"/>
              </w:rPr>
              <w:t>Country</w:t>
            </w:r>
          </w:p>
        </w:tc>
        <w:tc>
          <w:tcPr>
            <w:tcW w:type="dxa" w:w="7402"/>
          </w:tcPr>
          <w:p>
            <w:pPr>
              <w:spacing w:after="20"/>
            </w:pPr>
            <w:r>
              <w:rPr>
                <w:color w:val="1C3A36"/>
                <w:sz w:val="14"/>
              </w:rPr>
              <w:t>USD/EGP mid-market ~49.8 (house cost-of-capital reference)</w:t>
            </w:r>
          </w:p>
        </w:tc>
        <w:tc>
          <w:tcPr>
            <w:tcW w:type="dxa" w:w="1210"/>
          </w:tcPr>
          <w:p>
            <w:pPr>
              <w:spacing w:after="20"/>
            </w:pPr>
            <w:r>
              <w:rPr>
                <w:color w:val="1C3A36"/>
                <w:sz w:val="14"/>
              </w:rPr>
              <w:t>2026-08-06</w:t>
            </w:r>
          </w:p>
        </w:tc>
      </w:tr>
      <w:tr>
        <w:tc>
          <w:tcPr>
            <w:tcW w:type="dxa" w:w="432"/>
          </w:tcPr>
          <w:p>
            <w:pPr>
              <w:spacing w:after="20"/>
            </w:pPr>
            <w:r>
              <w:rPr>
                <w:color w:val="1C3A36"/>
                <w:sz w:val="14"/>
              </w:rPr>
              <w:t>41</w:t>
            </w:r>
          </w:p>
        </w:tc>
        <w:tc>
          <w:tcPr>
            <w:tcW w:type="dxa" w:w="2189"/>
          </w:tcPr>
          <w:p>
            <w:pPr>
              <w:spacing w:after="20"/>
            </w:pPr>
            <w:r>
              <w:rPr>
                <w:color w:val="1C3A36"/>
                <w:sz w:val="14"/>
              </w:rPr>
              <w:t>rf</w:t>
            </w:r>
          </w:p>
        </w:tc>
        <w:tc>
          <w:tcPr>
            <w:tcW w:type="dxa" w:w="1411"/>
          </w:tcPr>
          <w:p>
            <w:pPr>
              <w:spacing w:after="20"/>
            </w:pPr>
            <w:r>
              <w:rPr>
                <w:color w:val="1C3A36"/>
                <w:sz w:val="14"/>
              </w:rPr>
              <w:t>0.2231</w:t>
            </w:r>
          </w:p>
        </w:tc>
        <w:tc>
          <w:tcPr>
            <w:tcW w:type="dxa" w:w="1008"/>
          </w:tcPr>
          <w:p>
            <w:pPr>
              <w:spacing w:after="20"/>
            </w:pPr>
            <w:r>
              <w:rPr>
                <w:color w:val="1C3A36"/>
                <w:sz w:val="14"/>
              </w:rPr>
              <w:t>Country</w:t>
            </w:r>
          </w:p>
        </w:tc>
        <w:tc>
          <w:tcPr>
            <w:tcW w:type="dxa" w:w="7402"/>
          </w:tcPr>
          <w:p>
            <w:pPr>
              <w:spacing w:after="20"/>
            </w:pPr>
            <w:r>
              <w:rPr>
                <w:color w:val="1C3A36"/>
                <w:sz w:val="14"/>
              </w:rPr>
              <w:t>Egypt 10-year local-currency government bond yield 22.31% (house cost-of-capital reference, cached 21-Jul-2026 print). The 10-year is the correct anchor for a perpetuity model; the CBE's 19.50% policy rate is the short-tenor anchor used for the 60-session cone, not for the DCF</w:t>
            </w:r>
          </w:p>
        </w:tc>
        <w:tc>
          <w:tcPr>
            <w:tcW w:type="dxa" w:w="1210"/>
          </w:tcPr>
          <w:p>
            <w:pPr>
              <w:spacing w:after="20"/>
            </w:pPr>
            <w:r>
              <w:rPr>
                <w:color w:val="1C3A36"/>
                <w:sz w:val="14"/>
              </w:rPr>
              <w:t>2026-07-21</w:t>
            </w:r>
          </w:p>
        </w:tc>
      </w:tr>
      <w:tr>
        <w:tc>
          <w:tcPr>
            <w:tcW w:type="dxa" w:w="432"/>
          </w:tcPr>
          <w:p>
            <w:pPr>
              <w:spacing w:after="20"/>
            </w:pPr>
            <w:r>
              <w:rPr>
                <w:color w:val="1C3A36"/>
                <w:sz w:val="14"/>
              </w:rPr>
              <w:t>42</w:t>
            </w:r>
          </w:p>
        </w:tc>
        <w:tc>
          <w:tcPr>
            <w:tcW w:type="dxa" w:w="2189"/>
          </w:tcPr>
          <w:p>
            <w:pPr>
              <w:spacing w:after="20"/>
            </w:pPr>
            <w:r>
              <w:rPr>
                <w:color w:val="1C3A36"/>
                <w:sz w:val="14"/>
              </w:rPr>
              <w:t>sov_spread_cds</w:t>
            </w:r>
          </w:p>
        </w:tc>
        <w:tc>
          <w:tcPr>
            <w:tcW w:type="dxa" w:w="1411"/>
          </w:tcPr>
          <w:p>
            <w:pPr>
              <w:spacing w:after="20"/>
            </w:pPr>
            <w:r>
              <w:rPr>
                <w:color w:val="1C3A36"/>
                <w:sz w:val="14"/>
              </w:rPr>
              <w:t>0.034</w:t>
            </w:r>
          </w:p>
        </w:tc>
        <w:tc>
          <w:tcPr>
            <w:tcW w:type="dxa" w:w="1008"/>
          </w:tcPr>
          <w:p>
            <w:pPr>
              <w:spacing w:after="20"/>
            </w:pPr>
            <w:r>
              <w:rPr>
                <w:color w:val="1C3A36"/>
                <w:sz w:val="14"/>
              </w:rPr>
              <w:t>Country</w:t>
            </w:r>
          </w:p>
        </w:tc>
        <w:tc>
          <w:tcPr>
            <w:tcW w:type="dxa" w:w="7402"/>
          </w:tcPr>
          <w:p>
            <w:pPr>
              <w:spacing w:after="20"/>
            </w:pPr>
            <w:r>
              <w:rPr>
                <w:color w:val="1C3A36"/>
                <w:sz w:val="14"/>
              </w:rPr>
              <w:t>Egypt CDS-implied sovereign default spread, Damodaran January-2026 country-premium file, CDS column. NETTED OUT of the local-currency risk-free rate so sovereign default risk is not charged twice — it is already the reason the EGP 10-year prints 22.31% rather than 4-5%</w:t>
            </w:r>
          </w:p>
        </w:tc>
        <w:tc>
          <w:tcPr>
            <w:tcW w:type="dxa" w:w="1210"/>
          </w:tcPr>
          <w:p>
            <w:pPr>
              <w:spacing w:after="20"/>
            </w:pPr>
            <w:r>
              <w:rPr>
                <w:color w:val="1C3A36"/>
                <w:sz w:val="14"/>
              </w:rPr>
              <w:t>2026-01-05</w:t>
            </w:r>
          </w:p>
        </w:tc>
      </w:tr>
      <w:tr>
        <w:tc>
          <w:tcPr>
            <w:tcW w:type="dxa" w:w="432"/>
          </w:tcPr>
          <w:p>
            <w:pPr>
              <w:spacing w:after="20"/>
            </w:pPr>
            <w:r>
              <w:rPr>
                <w:color w:val="1C3A36"/>
                <w:sz w:val="14"/>
              </w:rPr>
              <w:t>43</w:t>
            </w:r>
          </w:p>
        </w:tc>
        <w:tc>
          <w:tcPr>
            <w:tcW w:type="dxa" w:w="2189"/>
          </w:tcPr>
          <w:p>
            <w:pPr>
              <w:spacing w:after="20"/>
            </w:pPr>
            <w:r>
              <w:rPr>
                <w:color w:val="1C3A36"/>
                <w:sz w:val="14"/>
              </w:rPr>
              <w:t>sov_spread_rating</w:t>
            </w:r>
          </w:p>
        </w:tc>
        <w:tc>
          <w:tcPr>
            <w:tcW w:type="dxa" w:w="1411"/>
          </w:tcPr>
          <w:p>
            <w:pPr>
              <w:spacing w:after="20"/>
            </w:pPr>
            <w:r>
              <w:rPr>
                <w:color w:val="1C3A36"/>
                <w:sz w:val="14"/>
              </w:rPr>
              <w:t>0.0637</w:t>
            </w:r>
          </w:p>
        </w:tc>
        <w:tc>
          <w:tcPr>
            <w:tcW w:type="dxa" w:w="1008"/>
          </w:tcPr>
          <w:p>
            <w:pPr>
              <w:spacing w:after="20"/>
            </w:pPr>
            <w:r>
              <w:rPr>
                <w:color w:val="1C3A36"/>
                <w:sz w:val="14"/>
              </w:rPr>
              <w:t>Country</w:t>
            </w:r>
          </w:p>
        </w:tc>
        <w:tc>
          <w:tcPr>
            <w:tcW w:type="dxa" w:w="7402"/>
          </w:tcPr>
          <w:p>
            <w:pPr>
              <w:spacing w:after="20"/>
            </w:pPr>
            <w:r>
              <w:rPr>
                <w:color w:val="1C3A36"/>
                <w:sz w:val="14"/>
              </w:rPr>
              <w:t>Damodaran adjusted default spread on the rating basis (Caa1), January-2026 — the alternative construction, disclosed for the audit trail</w:t>
            </w:r>
          </w:p>
        </w:tc>
        <w:tc>
          <w:tcPr>
            <w:tcW w:type="dxa" w:w="1210"/>
          </w:tcPr>
          <w:p>
            <w:pPr>
              <w:spacing w:after="20"/>
            </w:pPr>
            <w:r>
              <w:rPr>
                <w:color w:val="1C3A36"/>
                <w:sz w:val="14"/>
              </w:rPr>
              <w:t>2026-01-05</w:t>
            </w:r>
          </w:p>
        </w:tc>
      </w:tr>
      <w:tr>
        <w:tc>
          <w:tcPr>
            <w:tcW w:type="dxa" w:w="432"/>
          </w:tcPr>
          <w:p>
            <w:pPr>
              <w:spacing w:after="20"/>
            </w:pPr>
            <w:r>
              <w:rPr>
                <w:color w:val="1C3A36"/>
                <w:sz w:val="14"/>
              </w:rPr>
              <w:t>44</w:t>
            </w:r>
          </w:p>
        </w:tc>
        <w:tc>
          <w:tcPr>
            <w:tcW w:type="dxa" w:w="2189"/>
          </w:tcPr>
          <w:p>
            <w:pPr>
              <w:spacing w:after="20"/>
            </w:pPr>
            <w:r>
              <w:rPr>
                <w:color w:val="1C3A36"/>
                <w:sz w:val="14"/>
              </w:rPr>
              <w:t>tax_stat</w:t>
            </w:r>
          </w:p>
        </w:tc>
        <w:tc>
          <w:tcPr>
            <w:tcW w:type="dxa" w:w="1411"/>
          </w:tcPr>
          <w:p>
            <w:pPr>
              <w:spacing w:after="20"/>
            </w:pPr>
            <w:r>
              <w:rPr>
                <w:color w:val="1C3A36"/>
                <w:sz w:val="14"/>
              </w:rPr>
              <w:t>0.225</w:t>
            </w:r>
          </w:p>
        </w:tc>
        <w:tc>
          <w:tcPr>
            <w:tcW w:type="dxa" w:w="1008"/>
          </w:tcPr>
          <w:p>
            <w:pPr>
              <w:spacing w:after="20"/>
            </w:pPr>
            <w:r>
              <w:rPr>
                <w:color w:val="1C3A36"/>
                <w:sz w:val="14"/>
              </w:rPr>
              <w:t>Country</w:t>
            </w:r>
          </w:p>
        </w:tc>
        <w:tc>
          <w:tcPr>
            <w:tcW w:type="dxa" w:w="7402"/>
          </w:tcPr>
          <w:p>
            <w:pPr>
              <w:spacing w:after="20"/>
            </w:pPr>
            <w:r>
              <w:rPr>
                <w:color w:val="1C3A36"/>
                <w:sz w:val="14"/>
              </w:rPr>
              <w:t>Egypt corporate income tax 22.5% (PwC Worldwide Tax Summaries, unchanged 2025-26)</w:t>
            </w:r>
          </w:p>
        </w:tc>
        <w:tc>
          <w:tcPr>
            <w:tcW w:type="dxa" w:w="1210"/>
          </w:tcPr>
          <w:p>
            <w:pPr>
              <w:spacing w:after="20"/>
            </w:pPr>
            <w:r>
              <w:rPr>
                <w:color w:val="1C3A36"/>
                <w:sz w:val="14"/>
              </w:rPr>
              <w:t>2026</w:t>
            </w:r>
          </w:p>
        </w:tc>
      </w:tr>
      <w:tr>
        <w:tc>
          <w:tcPr>
            <w:tcW w:type="dxa" w:w="432"/>
          </w:tcPr>
          <w:p>
            <w:pPr>
              <w:spacing w:after="20"/>
            </w:pPr>
            <w:r>
              <w:rPr>
                <w:color w:val="1C3A36"/>
                <w:sz w:val="14"/>
              </w:rPr>
              <w:t>45</w:t>
            </w:r>
          </w:p>
        </w:tc>
        <w:tc>
          <w:tcPr>
            <w:tcW w:type="dxa" w:w="2189"/>
          </w:tcPr>
          <w:p>
            <w:pPr>
              <w:spacing w:after="20"/>
            </w:pPr>
            <w:r>
              <w:rPr>
                <w:color w:val="1C3A36"/>
                <w:sz w:val="14"/>
              </w:rPr>
              <w:t>beta</w:t>
            </w:r>
          </w:p>
        </w:tc>
        <w:tc>
          <w:tcPr>
            <w:tcW w:type="dxa" w:w="1411"/>
          </w:tcPr>
          <w:p>
            <w:pPr>
              <w:spacing w:after="20"/>
            </w:pPr>
            <w:r>
              <w:rPr>
                <w:color w:val="1C3A36"/>
                <w:sz w:val="14"/>
              </w:rPr>
              <w:t>1</w:t>
            </w:r>
          </w:p>
        </w:tc>
        <w:tc>
          <w:tcPr>
            <w:tcW w:type="dxa" w:w="1008"/>
          </w:tcPr>
          <w:p>
            <w:pPr>
              <w:spacing w:after="20"/>
            </w:pPr>
            <w:r>
              <w:rPr>
                <w:color w:val="1C3A36"/>
                <w:sz w:val="14"/>
              </w:rPr>
              <w:t>House</w:t>
            </w:r>
          </w:p>
        </w:tc>
        <w:tc>
          <w:tcPr>
            <w:tcW w:type="dxa" w:w="7402"/>
          </w:tcPr>
          <w:p>
            <w:pPr>
              <w:spacing w:after="20"/>
            </w:pPr>
            <w:r>
              <w:rPr>
                <w:color w:val="1C3A36"/>
                <w:sz w:val="14"/>
              </w:rPr>
              <w:t>ADOPTED beta 1.00 — tier-3 default on a GENUINE usability-gate failure, disclosed with the diagnostics that triggered it. The tier-1 own-stock weekly regression against a 32-name equal-weight EGX composite (5-year window, SCEM excluded from its own index) returns beta 0.485 with R-squared 0.038, n=256, standard error 0.153 — R-squared below the 0.05 floor, so the regression is NOT usable. Tier-2 is unavailable: no Egyptian listed cement peer carries an OHLC series in the engine library. 1.00 is corroborated, not arbitrary: it sits inside the Dimson sum-beta 90% interval [0.35, 1.32] and at the bottom of the 1.0-1.5 cyclical-materials prior, the discount being explained by the company carrying no financial leverage</w:t>
            </w:r>
          </w:p>
        </w:tc>
        <w:tc>
          <w:tcPr>
            <w:tcW w:type="dxa" w:w="1210"/>
          </w:tcPr>
          <w:p>
            <w:pPr>
              <w:spacing w:after="20"/>
            </w:pPr>
            <w:r>
              <w:rPr>
                <w:color w:val="1C3A36"/>
                <w:sz w:val="14"/>
              </w:rPr>
              <w:t>2026-08-06</w:t>
            </w:r>
          </w:p>
        </w:tc>
      </w:tr>
      <w:tr>
        <w:tc>
          <w:tcPr>
            <w:tcW w:type="dxa" w:w="432"/>
          </w:tcPr>
          <w:p>
            <w:pPr>
              <w:spacing w:after="20"/>
            </w:pPr>
            <w:r>
              <w:rPr>
                <w:color w:val="1C3A36"/>
                <w:sz w:val="14"/>
              </w:rPr>
              <w:t>46</w:t>
            </w:r>
          </w:p>
        </w:tc>
        <w:tc>
          <w:tcPr>
            <w:tcW w:type="dxa" w:w="2189"/>
          </w:tcPr>
          <w:p>
            <w:pPr>
              <w:spacing w:after="20"/>
            </w:pPr>
            <w:r>
              <w:rPr>
                <w:color w:val="1C3A36"/>
                <w:sz w:val="14"/>
              </w:rPr>
              <w:t>capex_pct</w:t>
            </w:r>
          </w:p>
        </w:tc>
        <w:tc>
          <w:tcPr>
            <w:tcW w:type="dxa" w:w="1411"/>
          </w:tcPr>
          <w:p>
            <w:pPr>
              <w:spacing w:after="20"/>
            </w:pPr>
            <w:r>
              <w:rPr>
                <w:color w:val="1C3A36"/>
                <w:sz w:val="14"/>
              </w:rPr>
              <w:t>0.05, 0.048, 0.047, 0.046, 0.045</w:t>
            </w:r>
          </w:p>
        </w:tc>
        <w:tc>
          <w:tcPr>
            <w:tcW w:type="dxa" w:w="1008"/>
          </w:tcPr>
          <w:p>
            <w:pPr>
              <w:spacing w:after="20"/>
            </w:pPr>
            <w:r>
              <w:rPr>
                <w:color w:val="1C3A36"/>
                <w:sz w:val="14"/>
              </w:rPr>
              <w:t>House</w:t>
            </w:r>
          </w:p>
        </w:tc>
        <w:tc>
          <w:tcPr>
            <w:tcW w:type="dxa" w:w="7402"/>
          </w:tcPr>
          <w:p>
            <w:pPr>
              <w:spacing w:after="20"/>
            </w:pPr>
            <w:r>
              <w:rPr>
                <w:color w:val="1C3A36"/>
                <w:sz w:val="14"/>
              </w:rPr>
              <w:t>Capex as a share of revenue. NO capital-expenditure figure, guidance or investment programme is disclosed in any retrievable source (logged as a dated negative search), so this is a top-down setting: maintenance capex for a mature, fully built two-line plant plus decarbonisation spending (alternative fuels, clinker factor), benchmarked slightly above the D&amp;A charge so the asset base is maintained in real terms</w:t>
            </w:r>
          </w:p>
        </w:tc>
        <w:tc>
          <w:tcPr>
            <w:tcW w:type="dxa" w:w="1210"/>
          </w:tcPr>
          <w:p>
            <w:pPr>
              <w:spacing w:after="20"/>
            </w:pPr>
            <w:r>
              <w:rPr>
                <w:color w:val="1C3A36"/>
                <w:sz w:val="14"/>
              </w:rPr>
              <w:t>2026-08-06</w:t>
            </w:r>
          </w:p>
        </w:tc>
      </w:tr>
      <w:tr>
        <w:tc>
          <w:tcPr>
            <w:tcW w:type="dxa" w:w="432"/>
          </w:tcPr>
          <w:p>
            <w:pPr>
              <w:spacing w:after="20"/>
            </w:pPr>
            <w:r>
              <w:rPr>
                <w:color w:val="1C3A36"/>
                <w:sz w:val="14"/>
              </w:rPr>
              <w:t>47</w:t>
            </w:r>
          </w:p>
        </w:tc>
        <w:tc>
          <w:tcPr>
            <w:tcW w:type="dxa" w:w="2189"/>
          </w:tcPr>
          <w:p>
            <w:pPr>
              <w:spacing w:after="20"/>
            </w:pPr>
            <w:r>
              <w:rPr>
                <w:color w:val="1C3A36"/>
                <w:sz w:val="14"/>
              </w:rPr>
              <w:t>cash_growth_fy25</w:t>
            </w:r>
          </w:p>
        </w:tc>
        <w:tc>
          <w:tcPr>
            <w:tcW w:type="dxa" w:w="1411"/>
          </w:tcPr>
          <w:p>
            <w:pPr>
              <w:spacing w:after="20"/>
            </w:pPr>
            <w:r>
              <w:rPr>
                <w:color w:val="1C3A36"/>
                <w:sz w:val="14"/>
              </w:rPr>
              <w:t>1.35</w:t>
            </w:r>
          </w:p>
        </w:tc>
        <w:tc>
          <w:tcPr>
            <w:tcW w:type="dxa" w:w="1008"/>
          </w:tcPr>
          <w:p>
            <w:pPr>
              <w:spacing w:after="20"/>
            </w:pPr>
            <w:r>
              <w:rPr>
                <w:color w:val="1C3A36"/>
                <w:sz w:val="14"/>
              </w:rPr>
              <w:t>House</w:t>
            </w:r>
          </w:p>
        </w:tc>
        <w:tc>
          <w:tcPr>
            <w:tcW w:type="dxa" w:w="7402"/>
          </w:tcPr>
          <w:p>
            <w:pPr>
              <w:spacing w:after="20"/>
            </w:pPr>
            <w:r>
              <w:rPr>
                <w:color w:val="1C3A36"/>
                <w:sz w:val="14"/>
              </w:rPr>
              <w:t>FY2025 closing cash as a multiple of FY2024 closing cash. FY2025 generated EGP 2.29bn of profit against modest capex and no disclosed distribution, so the balance builds; 1.35x is struck below the ratio a full retention would give, allowing for the distribution the equity roll-forward implies</w:t>
            </w:r>
          </w:p>
        </w:tc>
        <w:tc>
          <w:tcPr>
            <w:tcW w:type="dxa" w:w="1210"/>
          </w:tcPr>
          <w:p>
            <w:pPr>
              <w:spacing w:after="20"/>
            </w:pPr>
            <w:r>
              <w:rPr>
                <w:color w:val="1C3A36"/>
                <w:sz w:val="14"/>
              </w:rPr>
              <w:t>2026-08-06</w:t>
            </w:r>
          </w:p>
        </w:tc>
      </w:tr>
      <w:tr>
        <w:tc>
          <w:tcPr>
            <w:tcW w:type="dxa" w:w="432"/>
          </w:tcPr>
          <w:p>
            <w:pPr>
              <w:spacing w:after="20"/>
            </w:pPr>
            <w:r>
              <w:rPr>
                <w:color w:val="1C3A36"/>
                <w:sz w:val="14"/>
              </w:rPr>
              <w:t>48</w:t>
            </w:r>
          </w:p>
        </w:tc>
        <w:tc>
          <w:tcPr>
            <w:tcW w:type="dxa" w:w="2189"/>
          </w:tcPr>
          <w:p>
            <w:pPr>
              <w:spacing w:after="20"/>
            </w:pPr>
            <w:r>
              <w:rPr>
                <w:color w:val="1C3A36"/>
                <w:sz w:val="14"/>
              </w:rPr>
              <w:t>cash_yield</w:t>
            </w:r>
          </w:p>
        </w:tc>
        <w:tc>
          <w:tcPr>
            <w:tcW w:type="dxa" w:w="1411"/>
          </w:tcPr>
          <w:p>
            <w:pPr>
              <w:spacing w:after="20"/>
            </w:pPr>
            <w:r>
              <w:rPr>
                <w:color w:val="1C3A36"/>
                <w:sz w:val="14"/>
              </w:rPr>
              <w:t>0.19, 0.17, 0.15, 0.135, 0.125</w:t>
            </w:r>
          </w:p>
        </w:tc>
        <w:tc>
          <w:tcPr>
            <w:tcW w:type="dxa" w:w="1008"/>
          </w:tcPr>
          <w:p>
            <w:pPr>
              <w:spacing w:after="20"/>
            </w:pPr>
            <w:r>
              <w:rPr>
                <w:color w:val="1C3A36"/>
                <w:sz w:val="14"/>
              </w:rPr>
              <w:t>House</w:t>
            </w:r>
          </w:p>
        </w:tc>
        <w:tc>
          <w:tcPr>
            <w:tcW w:type="dxa" w:w="7402"/>
          </w:tcPr>
          <w:p>
            <w:pPr>
              <w:spacing w:after="20"/>
            </w:pPr>
            <w:r>
              <w:rPr>
                <w:color w:val="1C3A36"/>
                <w:sz w:val="14"/>
              </w:rPr>
              <w:t>Yield earned on the cash balance FY2026E-FY2030E, following the CBE easing path down from the 19.50% main operation rate held since 2 April 2026 toward the norm-built terminal</w:t>
            </w:r>
          </w:p>
        </w:tc>
        <w:tc>
          <w:tcPr>
            <w:tcW w:type="dxa" w:w="1210"/>
          </w:tcPr>
          <w:p>
            <w:pPr>
              <w:spacing w:after="20"/>
            </w:pPr>
            <w:r>
              <w:rPr>
                <w:color w:val="1C3A36"/>
                <w:sz w:val="14"/>
              </w:rPr>
              <w:t>2026-08-06</w:t>
            </w:r>
          </w:p>
        </w:tc>
      </w:tr>
      <w:tr>
        <w:tc>
          <w:tcPr>
            <w:tcW w:type="dxa" w:w="432"/>
          </w:tcPr>
          <w:p>
            <w:pPr>
              <w:spacing w:after="20"/>
            </w:pPr>
            <w:r>
              <w:rPr>
                <w:color w:val="1C3A36"/>
                <w:sz w:val="14"/>
              </w:rPr>
              <w:t>49</w:t>
            </w:r>
          </w:p>
        </w:tc>
        <w:tc>
          <w:tcPr>
            <w:tcW w:type="dxa" w:w="2189"/>
          </w:tcPr>
          <w:p>
            <w:pPr>
              <w:spacing w:after="20"/>
            </w:pPr>
            <w:r>
              <w:rPr>
                <w:color w:val="1C3A36"/>
                <w:sz w:val="14"/>
              </w:rPr>
              <w:t>cash_yield_fy25</w:t>
            </w:r>
          </w:p>
        </w:tc>
        <w:tc>
          <w:tcPr>
            <w:tcW w:type="dxa" w:w="1411"/>
          </w:tcPr>
          <w:p>
            <w:pPr>
              <w:spacing w:after="20"/>
            </w:pPr>
            <w:r>
              <w:rPr>
                <w:color w:val="1C3A36"/>
                <w:sz w:val="14"/>
              </w:rPr>
              <w:t>0.21</w:t>
            </w:r>
          </w:p>
        </w:tc>
        <w:tc>
          <w:tcPr>
            <w:tcW w:type="dxa" w:w="1008"/>
          </w:tcPr>
          <w:p>
            <w:pPr>
              <w:spacing w:after="20"/>
            </w:pPr>
            <w:r>
              <w:rPr>
                <w:color w:val="1C3A36"/>
                <w:sz w:val="14"/>
              </w:rPr>
              <w:t>House</w:t>
            </w:r>
          </w:p>
        </w:tc>
        <w:tc>
          <w:tcPr>
            <w:tcW w:type="dxa" w:w="7402"/>
          </w:tcPr>
          <w:p>
            <w:pPr>
              <w:spacing w:after="20"/>
            </w:pPr>
            <w:r>
              <w:rPr>
                <w:color w:val="1C3A36"/>
                <w:sz w:val="14"/>
              </w:rPr>
              <w:t>Average yield earned on cash through FY2025, when the CBE main operation rate ran 24.00% to 21.00%</w:t>
            </w:r>
          </w:p>
        </w:tc>
        <w:tc>
          <w:tcPr>
            <w:tcW w:type="dxa" w:w="1210"/>
          </w:tcPr>
          <w:p>
            <w:pPr>
              <w:spacing w:after="20"/>
            </w:pPr>
            <w:r>
              <w:rPr>
                <w:color w:val="1C3A36"/>
                <w:sz w:val="14"/>
              </w:rPr>
              <w:t>2026-08-06</w:t>
            </w:r>
          </w:p>
        </w:tc>
      </w:tr>
      <w:tr>
        <w:tc>
          <w:tcPr>
            <w:tcW w:type="dxa" w:w="432"/>
          </w:tcPr>
          <w:p>
            <w:pPr>
              <w:spacing w:after="20"/>
            </w:pPr>
            <w:r>
              <w:rPr>
                <w:color w:val="1C3A36"/>
                <w:sz w:val="14"/>
              </w:rPr>
              <w:t>50</w:t>
            </w:r>
          </w:p>
        </w:tc>
        <w:tc>
          <w:tcPr>
            <w:tcW w:type="dxa" w:w="2189"/>
          </w:tcPr>
          <w:p>
            <w:pPr>
              <w:spacing w:after="20"/>
            </w:pPr>
            <w:r>
              <w:rPr>
                <w:color w:val="1C3A36"/>
                <w:sz w:val="14"/>
              </w:rPr>
              <w:t>dna_pct</w:t>
            </w:r>
          </w:p>
        </w:tc>
        <w:tc>
          <w:tcPr>
            <w:tcW w:type="dxa" w:w="1411"/>
          </w:tcPr>
          <w:p>
            <w:pPr>
              <w:spacing w:after="20"/>
            </w:pPr>
            <w:r>
              <w:rPr>
                <w:color w:val="1C3A36"/>
                <w:sz w:val="14"/>
              </w:rPr>
              <w:t>0.046, 0.045, 0.044, 0.043, 0.042</w:t>
            </w:r>
          </w:p>
        </w:tc>
        <w:tc>
          <w:tcPr>
            <w:tcW w:type="dxa" w:w="1008"/>
          </w:tcPr>
          <w:p>
            <w:pPr>
              <w:spacing w:after="20"/>
            </w:pPr>
            <w:r>
              <w:rPr>
                <w:color w:val="1C3A36"/>
                <w:sz w:val="14"/>
              </w:rPr>
              <w:t>House</w:t>
            </w:r>
          </w:p>
        </w:tc>
        <w:tc>
          <w:tcPr>
            <w:tcW w:type="dxa" w:w="7402"/>
          </w:tcPr>
          <w:p>
            <w:pPr>
              <w:spacing w:after="20"/>
            </w:pPr>
            <w:r>
              <w:rPr>
                <w:color w:val="1C3A36"/>
                <w:sz w:val="14"/>
              </w:rPr>
              <w:t>Depreciation and amortisation as a share of revenue. The El Hassana plant commissioned from 1997 and is substantially written down, so the charge is modest against a revenue base inflated by EGP devaluation; it declines as a percentage as nominal revenue outgrows the historic-cost asset base</w:t>
            </w:r>
          </w:p>
        </w:tc>
        <w:tc>
          <w:tcPr>
            <w:tcW w:type="dxa" w:w="1210"/>
          </w:tcPr>
          <w:p>
            <w:pPr>
              <w:spacing w:after="20"/>
            </w:pPr>
            <w:r>
              <w:rPr>
                <w:color w:val="1C3A36"/>
                <w:sz w:val="14"/>
              </w:rPr>
              <w:t>2026-08-06</w:t>
            </w:r>
          </w:p>
        </w:tc>
      </w:tr>
      <w:tr>
        <w:tc>
          <w:tcPr>
            <w:tcW w:type="dxa" w:w="432"/>
          </w:tcPr>
          <w:p>
            <w:pPr>
              <w:spacing w:after="20"/>
            </w:pPr>
            <w:r>
              <w:rPr>
                <w:color w:val="1C3A36"/>
                <w:sz w:val="14"/>
              </w:rPr>
              <w:t>51</w:t>
            </w:r>
          </w:p>
        </w:tc>
        <w:tc>
          <w:tcPr>
            <w:tcW w:type="dxa" w:w="2189"/>
          </w:tcPr>
          <w:p>
            <w:pPr>
              <w:spacing w:after="20"/>
            </w:pPr>
            <w:r>
              <w:rPr>
                <w:color w:val="1C3A36"/>
                <w:sz w:val="14"/>
              </w:rPr>
              <w:t>e3_req_yield</w:t>
            </w:r>
          </w:p>
        </w:tc>
        <w:tc>
          <w:tcPr>
            <w:tcW w:type="dxa" w:w="1411"/>
          </w:tcPr>
          <w:p>
            <w:pPr>
              <w:spacing w:after="20"/>
            </w:pPr>
            <w:r>
              <w:rPr>
                <w:color w:val="1C3A36"/>
                <w:sz w:val="14"/>
              </w:rPr>
              <w:t>0.18</w:t>
            </w:r>
          </w:p>
        </w:tc>
        <w:tc>
          <w:tcPr>
            <w:tcW w:type="dxa" w:w="1008"/>
          </w:tcPr>
          <w:p>
            <w:pPr>
              <w:spacing w:after="20"/>
            </w:pPr>
            <w:r>
              <w:rPr>
                <w:color w:val="1C3A36"/>
                <w:sz w:val="14"/>
              </w:rPr>
              <w:t>House</w:t>
            </w:r>
          </w:p>
        </w:tc>
        <w:tc>
          <w:tcPr>
            <w:tcW w:type="dxa" w:w="7402"/>
          </w:tcPr>
          <w:p>
            <w:pPr>
              <w:spacing w:after="20"/>
            </w:pPr>
            <w:r>
              <w:rPr>
                <w:color w:val="1C3A36"/>
                <w:sz w:val="14"/>
              </w:rPr>
              <w:t>Required free-cash-flow yield on the operating business for the cash-return lens. Below the 28.3% cost of equity because free cash flow to the firm is pre-financing and grows with nominal prices, and above a developed-market yield because this is a single-asset Egyptian producer with a 22.4% free float</w:t>
            </w:r>
          </w:p>
        </w:tc>
        <w:tc>
          <w:tcPr>
            <w:tcW w:type="dxa" w:w="1210"/>
          </w:tcPr>
          <w:p>
            <w:pPr>
              <w:spacing w:after="20"/>
            </w:pPr>
            <w:r>
              <w:rPr>
                <w:color w:val="1C3A36"/>
                <w:sz w:val="14"/>
              </w:rPr>
              <w:t>2026-08-06</w:t>
            </w:r>
          </w:p>
        </w:tc>
      </w:tr>
      <w:tr>
        <w:tc>
          <w:tcPr>
            <w:tcW w:type="dxa" w:w="432"/>
          </w:tcPr>
          <w:p>
            <w:pPr>
              <w:spacing w:after="20"/>
            </w:pPr>
            <w:r>
              <w:rPr>
                <w:color w:val="1C3A36"/>
                <w:sz w:val="14"/>
              </w:rPr>
              <w:t>52</w:t>
            </w:r>
          </w:p>
        </w:tc>
        <w:tc>
          <w:tcPr>
            <w:tcW w:type="dxa" w:w="2189"/>
          </w:tcPr>
          <w:p>
            <w:pPr>
              <w:spacing w:after="20"/>
            </w:pPr>
            <w:r>
              <w:rPr>
                <w:color w:val="1C3A36"/>
                <w:sz w:val="14"/>
              </w:rPr>
              <w:t>ebitda_mgn</w:t>
            </w:r>
          </w:p>
        </w:tc>
        <w:tc>
          <w:tcPr>
            <w:tcW w:type="dxa" w:w="1411"/>
          </w:tcPr>
          <w:p>
            <w:pPr>
              <w:spacing w:after="20"/>
            </w:pPr>
            <w:r>
              <w:rPr>
                <w:color w:val="1C3A36"/>
                <w:sz w:val="14"/>
              </w:rPr>
              <w:t>0.305, 0.285, 0.27, 0.265, 0.26</w:t>
            </w:r>
          </w:p>
        </w:tc>
        <w:tc>
          <w:tcPr>
            <w:tcW w:type="dxa" w:w="1008"/>
          </w:tcPr>
          <w:p>
            <w:pPr>
              <w:spacing w:after="20"/>
            </w:pPr>
            <w:r>
              <w:rPr>
                <w:color w:val="1C3A36"/>
                <w:sz w:val="14"/>
              </w:rPr>
              <w:t>House</w:t>
            </w:r>
          </w:p>
        </w:tc>
        <w:tc>
          <w:tcPr>
            <w:tcW w:type="dxa" w:w="7402"/>
          </w:tcPr>
          <w:p>
            <w:pPr>
              <w:spacing w:after="20"/>
            </w:pPr>
            <w:r>
              <w:rPr>
                <w:color w:val="1C3A36"/>
                <w:sz w:val="14"/>
              </w:rPr>
              <w:t>EBITDA margin FY2026E-FY2030E, gliding DOWN from the derived FY2025 cyclical peak. Two named, dated mechanisms: the 12.6Mt capacity revival and Egypt's phased energy-subsidy reform, which raises the local energy bill independent of the global fuel price. The FY2030E terminal margin of 26.0% sits ABOVE the FY2024 outturn of 24.8% and well BELOW the FY2025 peak — a mid-cycle, not a peak, perpetuity</w:t>
            </w:r>
          </w:p>
        </w:tc>
        <w:tc>
          <w:tcPr>
            <w:tcW w:type="dxa" w:w="1210"/>
          </w:tcPr>
          <w:p>
            <w:pPr>
              <w:spacing w:after="20"/>
            </w:pPr>
            <w:r>
              <w:rPr>
                <w:color w:val="1C3A36"/>
                <w:sz w:val="14"/>
              </w:rPr>
              <w:t>2026-08-06</w:t>
            </w:r>
          </w:p>
        </w:tc>
      </w:tr>
      <w:tr>
        <w:tc>
          <w:tcPr>
            <w:tcW w:type="dxa" w:w="432"/>
          </w:tcPr>
          <w:p>
            <w:pPr>
              <w:spacing w:after="20"/>
            </w:pPr>
            <w:r>
              <w:rPr>
                <w:color w:val="1C3A36"/>
                <w:sz w:val="14"/>
              </w:rPr>
              <w:t>53</w:t>
            </w:r>
          </w:p>
        </w:tc>
        <w:tc>
          <w:tcPr>
            <w:tcW w:type="dxa" w:w="2189"/>
          </w:tcPr>
          <w:p>
            <w:pPr>
              <w:spacing w:after="20"/>
            </w:pPr>
            <w:r>
              <w:rPr>
                <w:color w:val="1C3A36"/>
                <w:sz w:val="14"/>
              </w:rPr>
              <w:t>erp_term</w:t>
            </w:r>
          </w:p>
        </w:tc>
        <w:tc>
          <w:tcPr>
            <w:tcW w:type="dxa" w:w="1411"/>
          </w:tcPr>
          <w:p>
            <w:pPr>
              <w:spacing w:after="20"/>
            </w:pPr>
            <w:r>
              <w:rPr>
                <w:color w:val="1C3A36"/>
                <w:sz w:val="14"/>
              </w:rPr>
              <w:t>0.07</w:t>
            </w:r>
          </w:p>
        </w:tc>
        <w:tc>
          <w:tcPr>
            <w:tcW w:type="dxa" w:w="1008"/>
          </w:tcPr>
          <w:p>
            <w:pPr>
              <w:spacing w:after="20"/>
            </w:pPr>
            <w:r>
              <w:rPr>
                <w:color w:val="1C3A36"/>
                <w:sz w:val="14"/>
              </w:rPr>
              <w:t>House</w:t>
            </w:r>
          </w:p>
        </w:tc>
        <w:tc>
          <w:tcPr>
            <w:tcW w:type="dxa" w:w="7402"/>
          </w:tcPr>
          <w:p>
            <w:pPr>
              <w:spacing w:after="20"/>
            </w:pPr>
            <w:r>
              <w:rPr>
                <w:color w:val="1C3A36"/>
                <w:sz w:val="14"/>
              </w:rPr>
              <w:t>Terminal equity risk premium, normalised BELOW the currently elevated crisis-era level toward the rating-class norm; never held flat into perpetuity</w:t>
            </w:r>
          </w:p>
        </w:tc>
        <w:tc>
          <w:tcPr>
            <w:tcW w:type="dxa" w:w="1210"/>
          </w:tcPr>
          <w:p>
            <w:pPr>
              <w:spacing w:after="20"/>
            </w:pPr>
            <w:r>
              <w:rPr>
                <w:color w:val="1C3A36"/>
                <w:sz w:val="14"/>
              </w:rPr>
              <w:t>2026-08-06</w:t>
            </w:r>
          </w:p>
        </w:tc>
      </w:tr>
      <w:tr>
        <w:tc>
          <w:tcPr>
            <w:tcW w:type="dxa" w:w="432"/>
          </w:tcPr>
          <w:p>
            <w:pPr>
              <w:spacing w:after="20"/>
            </w:pPr>
            <w:r>
              <w:rPr>
                <w:color w:val="1C3A36"/>
                <w:sz w:val="14"/>
              </w:rPr>
              <w:t>54</w:t>
            </w:r>
          </w:p>
        </w:tc>
        <w:tc>
          <w:tcPr>
            <w:tcW w:type="dxa" w:w="2189"/>
          </w:tcPr>
          <w:p>
            <w:pPr>
              <w:spacing w:after="20"/>
            </w:pPr>
            <w:r>
              <w:rPr>
                <w:color w:val="1C3A36"/>
                <w:sz w:val="14"/>
              </w:rPr>
              <w:t>ev_ebitda_just</w:t>
            </w:r>
          </w:p>
        </w:tc>
        <w:tc>
          <w:tcPr>
            <w:tcW w:type="dxa" w:w="1411"/>
          </w:tcPr>
          <w:p>
            <w:pPr>
              <w:spacing w:after="20"/>
            </w:pPr>
            <w:r>
              <w:rPr>
                <w:color w:val="1C3A36"/>
                <w:sz w:val="14"/>
              </w:rPr>
              <w:t>5</w:t>
            </w:r>
          </w:p>
        </w:tc>
        <w:tc>
          <w:tcPr>
            <w:tcW w:type="dxa" w:w="1008"/>
          </w:tcPr>
          <w:p>
            <w:pPr>
              <w:spacing w:after="20"/>
            </w:pPr>
            <w:r>
              <w:rPr>
                <w:color w:val="1C3A36"/>
                <w:sz w:val="14"/>
              </w:rPr>
              <w:t>House</w:t>
            </w:r>
          </w:p>
        </w:tc>
        <w:tc>
          <w:tcPr>
            <w:tcW w:type="dxa" w:w="7402"/>
          </w:tcPr>
          <w:p>
            <w:pPr>
              <w:spacing w:after="20"/>
            </w:pPr>
            <w:r>
              <w:rPr>
                <w:color w:val="1C3A36"/>
                <w:sz w:val="14"/>
              </w:rPr>
              <w:t>Justified EV/EBITDA on mid-cycle earnings. Anchored on the named Egyptian peer: Misr Beni Suef trades at 5.03x EV/EBITDA and 6.44x trailing earnings. 5.0x is struck at the peer, with no premium for SCEM's net cash (which the bridge already adds separately) and no discount for its 22.4% float — the float discount is disclosed qualitatively rather than double-counted in the multiple</w:t>
            </w:r>
          </w:p>
        </w:tc>
        <w:tc>
          <w:tcPr>
            <w:tcW w:type="dxa" w:w="1210"/>
          </w:tcPr>
          <w:p>
            <w:pPr>
              <w:spacing w:after="20"/>
            </w:pPr>
            <w:r>
              <w:rPr>
                <w:color w:val="1C3A36"/>
                <w:sz w:val="14"/>
              </w:rPr>
              <w:t>2026-08-06</w:t>
            </w:r>
          </w:p>
        </w:tc>
      </w:tr>
      <w:tr>
        <w:tc>
          <w:tcPr>
            <w:tcW w:type="dxa" w:w="432"/>
          </w:tcPr>
          <w:p>
            <w:pPr>
              <w:spacing w:after="20"/>
            </w:pPr>
            <w:r>
              <w:rPr>
                <w:color w:val="1C3A36"/>
                <w:sz w:val="14"/>
              </w:rPr>
              <w:t>55</w:t>
            </w:r>
          </w:p>
        </w:tc>
        <w:tc>
          <w:tcPr>
            <w:tcW w:type="dxa" w:w="2189"/>
          </w:tcPr>
          <w:p>
            <w:pPr>
              <w:spacing w:after="20"/>
            </w:pPr>
            <w:r>
              <w:rPr>
                <w:color w:val="1C3A36"/>
                <w:sz w:val="14"/>
              </w:rPr>
              <w:t>ev_t_just</w:t>
            </w:r>
          </w:p>
        </w:tc>
        <w:tc>
          <w:tcPr>
            <w:tcW w:type="dxa" w:w="1411"/>
          </w:tcPr>
          <w:p>
            <w:pPr>
              <w:spacing w:after="20"/>
            </w:pPr>
            <w:r>
              <w:rPr>
                <w:color w:val="1C3A36"/>
                <w:sz w:val="14"/>
              </w:rPr>
              <w:t>95</w:t>
            </w:r>
          </w:p>
        </w:tc>
        <w:tc>
          <w:tcPr>
            <w:tcW w:type="dxa" w:w="1008"/>
          </w:tcPr>
          <w:p>
            <w:pPr>
              <w:spacing w:after="20"/>
            </w:pPr>
            <w:r>
              <w:rPr>
                <w:color w:val="1C3A36"/>
                <w:sz w:val="14"/>
              </w:rPr>
              <w:t>House</w:t>
            </w:r>
          </w:p>
        </w:tc>
        <w:tc>
          <w:tcPr>
            <w:tcW w:type="dxa" w:w="7402"/>
          </w:tcPr>
          <w:p>
            <w:pPr>
              <w:spacing w:after="20"/>
            </w:pPr>
            <w:r>
              <w:rPr>
                <w:color w:val="1C3A36"/>
                <w:sz w:val="14"/>
              </w:rPr>
              <w:t>Justified enterprise value per annual tonne of capacity, USD 95/t.Below the USD 130/t replacement cost because SCEM runs at ~71% utilisation in a market carrying 76Mt of nameplate capacity against 54Mt of consumption — nobody pays replacement cost for capacity in a glut — and above a distressed level because the plant is operating, profitable and cash-generative</w:t>
            </w:r>
          </w:p>
        </w:tc>
        <w:tc>
          <w:tcPr>
            <w:tcW w:type="dxa" w:w="1210"/>
          </w:tcPr>
          <w:p>
            <w:pPr>
              <w:spacing w:after="20"/>
            </w:pPr>
            <w:r>
              <w:rPr>
                <w:color w:val="1C3A36"/>
                <w:sz w:val="14"/>
              </w:rPr>
              <w:t>2026-08-06</w:t>
            </w:r>
          </w:p>
        </w:tc>
      </w:tr>
      <w:tr>
        <w:tc>
          <w:tcPr>
            <w:tcW w:type="dxa" w:w="432"/>
          </w:tcPr>
          <w:p>
            <w:pPr>
              <w:spacing w:after="20"/>
            </w:pPr>
            <w:r>
              <w:rPr>
                <w:color w:val="1C3A36"/>
                <w:sz w:val="14"/>
              </w:rPr>
              <w:t>56</w:t>
            </w:r>
          </w:p>
        </w:tc>
        <w:tc>
          <w:tcPr>
            <w:tcW w:type="dxa" w:w="2189"/>
          </w:tcPr>
          <w:p>
            <w:pPr>
              <w:spacing w:after="20"/>
            </w:pPr>
            <w:r>
              <w:rPr>
                <w:color w:val="1C3A36"/>
                <w:sz w:val="14"/>
              </w:rPr>
              <w:t>g_term</w:t>
            </w:r>
          </w:p>
        </w:tc>
        <w:tc>
          <w:tcPr>
            <w:tcW w:type="dxa" w:w="1411"/>
          </w:tcPr>
          <w:p>
            <w:pPr>
              <w:spacing w:after="20"/>
            </w:pPr>
            <w:r>
              <w:rPr>
                <w:color w:val="1C3A36"/>
                <w:sz w:val="14"/>
              </w:rPr>
              <w:t>0.05</w:t>
            </w:r>
          </w:p>
        </w:tc>
        <w:tc>
          <w:tcPr>
            <w:tcW w:type="dxa" w:w="1008"/>
          </w:tcPr>
          <w:p>
            <w:pPr>
              <w:spacing w:after="20"/>
            </w:pPr>
            <w:r>
              <w:rPr>
                <w:color w:val="1C3A36"/>
                <w:sz w:val="14"/>
              </w:rPr>
              <w:t>House</w:t>
            </w:r>
          </w:p>
        </w:tc>
        <w:tc>
          <w:tcPr>
            <w:tcW w:type="dxa" w:w="7402"/>
          </w:tcPr>
          <w:p>
            <w:pPr>
              <w:spacing w:after="20"/>
            </w:pPr>
            <w:r>
              <w:rPr>
                <w:color w:val="1C3A36"/>
                <w:sz w:val="14"/>
              </w:rPr>
              <w:t>Terminal growth 5% — the standing centre for established names in this market post-disinflation, sensitised 3-7%. This is an EGP-NOMINAL rate struck against a terminal risk-free rate that itself embeds 5% inflation, so the base case assumes approximately ZERO real terminal growth — deliberate conservatism for a single-plant producer facing a supply glut</w:t>
            </w:r>
          </w:p>
        </w:tc>
        <w:tc>
          <w:tcPr>
            <w:tcW w:type="dxa" w:w="1210"/>
          </w:tcPr>
          <w:p>
            <w:pPr>
              <w:spacing w:after="20"/>
            </w:pPr>
            <w:r>
              <w:rPr>
                <w:color w:val="1C3A36"/>
                <w:sz w:val="14"/>
              </w:rPr>
              <w:t>2026-08-06</w:t>
            </w:r>
          </w:p>
        </w:tc>
      </w:tr>
      <w:tr>
        <w:tc>
          <w:tcPr>
            <w:tcW w:type="dxa" w:w="432"/>
          </w:tcPr>
          <w:p>
            <w:pPr>
              <w:spacing w:after="20"/>
            </w:pPr>
            <w:r>
              <w:rPr>
                <w:color w:val="1C3A36"/>
                <w:sz w:val="14"/>
              </w:rPr>
              <w:t>57</w:t>
            </w:r>
          </w:p>
        </w:tc>
        <w:tc>
          <w:tcPr>
            <w:tcW w:type="dxa" w:w="2189"/>
          </w:tcPr>
          <w:p>
            <w:pPr>
              <w:spacing w:after="20"/>
            </w:pPr>
            <w:r>
              <w:rPr>
                <w:color w:val="1C3A36"/>
                <w:sz w:val="14"/>
              </w:rPr>
              <w:t>kd</w:t>
            </w:r>
          </w:p>
        </w:tc>
        <w:tc>
          <w:tcPr>
            <w:tcW w:type="dxa" w:w="1411"/>
          </w:tcPr>
          <w:p>
            <w:pPr>
              <w:spacing w:after="20"/>
            </w:pPr>
            <w:r>
              <w:rPr>
                <w:color w:val="1C3A36"/>
                <w:sz w:val="14"/>
              </w:rPr>
              <w:t>0.215</w:t>
            </w:r>
          </w:p>
        </w:tc>
        <w:tc>
          <w:tcPr>
            <w:tcW w:type="dxa" w:w="1008"/>
          </w:tcPr>
          <w:p>
            <w:pPr>
              <w:spacing w:after="20"/>
            </w:pPr>
            <w:r>
              <w:rPr>
                <w:color w:val="1C3A36"/>
                <w:sz w:val="14"/>
              </w:rPr>
              <w:t>House</w:t>
            </w:r>
          </w:p>
        </w:tc>
        <w:tc>
          <w:tcPr>
            <w:tcW w:type="dxa" w:w="7402"/>
          </w:tcPr>
          <w:p>
            <w:pPr>
              <w:spacing w:after="20"/>
            </w:pPr>
            <w:r>
              <w:rPr>
                <w:color w:val="1C3A36"/>
                <w:sz w:val="14"/>
              </w:rPr>
              <w:t>Marginal pre-tax cost of debt. The company borrows in Egyptian pounds only and has essentially no debt (EGP 36.8mn, 0.17% of capital employed at market), so no effective rate can be computed from disclosure — neither interest expense nor an opening/closing debt schedule is retrievable, logged as a dated negative search. Set at the CBE main operation rate of 19.50% plus a 200bp corporate spread. The Kd-integrity gate cannot be satisfied on evidence here, so its materiality is COMPUTED instead and published: see kd_immaterial</w:t>
            </w:r>
          </w:p>
        </w:tc>
        <w:tc>
          <w:tcPr>
            <w:tcW w:type="dxa" w:w="1210"/>
          </w:tcPr>
          <w:p>
            <w:pPr>
              <w:spacing w:after="20"/>
            </w:pPr>
            <w:r>
              <w:rPr>
                <w:color w:val="1C3A36"/>
                <w:sz w:val="14"/>
              </w:rPr>
              <w:t>2026-08-06</w:t>
            </w:r>
          </w:p>
        </w:tc>
      </w:tr>
      <w:tr>
        <w:tc>
          <w:tcPr>
            <w:tcW w:type="dxa" w:w="432"/>
          </w:tcPr>
          <w:p>
            <w:pPr>
              <w:spacing w:after="20"/>
            </w:pPr>
            <w:r>
              <w:rPr>
                <w:color w:val="1C3A36"/>
                <w:sz w:val="14"/>
              </w:rPr>
              <w:t>58</w:t>
            </w:r>
          </w:p>
        </w:tc>
        <w:tc>
          <w:tcPr>
            <w:tcW w:type="dxa" w:w="2189"/>
          </w:tcPr>
          <w:p>
            <w:pPr>
              <w:spacing w:after="20"/>
            </w:pPr>
            <w:r>
              <w:rPr>
                <w:color w:val="1C3A36"/>
                <w:sz w:val="14"/>
              </w:rPr>
              <w:t>kd_path</w:t>
            </w:r>
          </w:p>
        </w:tc>
        <w:tc>
          <w:tcPr>
            <w:tcW w:type="dxa" w:w="1411"/>
          </w:tcPr>
          <w:p>
            <w:pPr>
              <w:spacing w:after="20"/>
            </w:pPr>
            <w:r>
              <w:rPr>
                <w:color w:val="1C3A36"/>
                <w:sz w:val="14"/>
              </w:rPr>
              <w:t>0.215, 0.195, 0.18, 0.168, 0.16</w:t>
            </w:r>
          </w:p>
        </w:tc>
        <w:tc>
          <w:tcPr>
            <w:tcW w:type="dxa" w:w="1008"/>
          </w:tcPr>
          <w:p>
            <w:pPr>
              <w:spacing w:after="20"/>
            </w:pPr>
            <w:r>
              <w:rPr>
                <w:color w:val="1C3A36"/>
                <w:sz w:val="14"/>
              </w:rPr>
              <w:t>House</w:t>
            </w:r>
          </w:p>
        </w:tc>
        <w:tc>
          <w:tcPr>
            <w:tcW w:type="dxa" w:w="7402"/>
          </w:tcPr>
          <w:p>
            <w:pPr>
              <w:spacing w:after="20"/>
            </w:pPr>
            <w:r>
              <w:rPr>
                <w:color w:val="1C3A36"/>
                <w:sz w:val="14"/>
              </w:rPr>
              <w:t>Forward cost-of-debt path FY2026E-FY2030E, following the CBE easing cycle toward the 7% (2026) and 5% (2028) inflation targets. The WACC glide takes its SHAPE from this path by construction rather than being invented separately</w:t>
            </w:r>
          </w:p>
        </w:tc>
        <w:tc>
          <w:tcPr>
            <w:tcW w:type="dxa" w:w="1210"/>
          </w:tcPr>
          <w:p>
            <w:pPr>
              <w:spacing w:after="20"/>
            </w:pPr>
            <w:r>
              <w:rPr>
                <w:color w:val="1C3A36"/>
                <w:sz w:val="14"/>
              </w:rPr>
              <w:t>2026-08-06</w:t>
            </w:r>
          </w:p>
        </w:tc>
      </w:tr>
      <w:tr>
        <w:tc>
          <w:tcPr>
            <w:tcW w:type="dxa" w:w="432"/>
          </w:tcPr>
          <w:p>
            <w:pPr>
              <w:spacing w:after="20"/>
            </w:pPr>
            <w:r>
              <w:rPr>
                <w:color w:val="1C3A36"/>
                <w:sz w:val="14"/>
              </w:rPr>
              <w:t>59</w:t>
            </w:r>
          </w:p>
        </w:tc>
        <w:tc>
          <w:tcPr>
            <w:tcW w:type="dxa" w:w="2189"/>
          </w:tcPr>
          <w:p>
            <w:pPr>
              <w:spacing w:after="20"/>
            </w:pPr>
            <w:r>
              <w:rPr>
                <w:color w:val="1C3A36"/>
                <w:sz w:val="14"/>
              </w:rPr>
              <w:t>kd_term</w:t>
            </w:r>
          </w:p>
        </w:tc>
        <w:tc>
          <w:tcPr>
            <w:tcW w:type="dxa" w:w="1411"/>
          </w:tcPr>
          <w:p>
            <w:pPr>
              <w:spacing w:after="20"/>
            </w:pPr>
            <w:r>
              <w:rPr>
                <w:color w:val="1C3A36"/>
                <w:sz w:val="14"/>
              </w:rPr>
              <w:t>0.15</w:t>
            </w:r>
          </w:p>
        </w:tc>
        <w:tc>
          <w:tcPr>
            <w:tcW w:type="dxa" w:w="1008"/>
          </w:tcPr>
          <w:p>
            <w:pPr>
              <w:spacing w:after="20"/>
            </w:pPr>
            <w:r>
              <w:rPr>
                <w:color w:val="1C3A36"/>
                <w:sz w:val="14"/>
              </w:rPr>
              <w:t>House</w:t>
            </w:r>
          </w:p>
        </w:tc>
        <w:tc>
          <w:tcPr>
            <w:tcW w:type="dxa" w:w="7402"/>
          </w:tcPr>
          <w:p>
            <w:pPr>
              <w:spacing w:after="20"/>
            </w:pPr>
            <w:r>
              <w:rPr>
                <w:color w:val="1C3A36"/>
                <w:sz w:val="14"/>
              </w:rPr>
              <w:t>Terminal cost of debt: the Egyptian long-run corporate-borrowing norm of 14-16%, midpoint 15%, with no name-specific reason to deviate</w:t>
            </w:r>
          </w:p>
        </w:tc>
        <w:tc>
          <w:tcPr>
            <w:tcW w:type="dxa" w:w="1210"/>
          </w:tcPr>
          <w:p>
            <w:pPr>
              <w:spacing w:after="20"/>
            </w:pPr>
            <w:r>
              <w:rPr>
                <w:color w:val="1C3A36"/>
                <w:sz w:val="14"/>
              </w:rPr>
              <w:t>2026-08-06</w:t>
            </w:r>
          </w:p>
        </w:tc>
      </w:tr>
      <w:tr>
        <w:tc>
          <w:tcPr>
            <w:tcW w:type="dxa" w:w="432"/>
          </w:tcPr>
          <w:p>
            <w:pPr>
              <w:spacing w:after="20"/>
            </w:pPr>
            <w:r>
              <w:rPr>
                <w:color w:val="1C3A36"/>
                <w:sz w:val="14"/>
              </w:rPr>
              <w:t>60</w:t>
            </w:r>
          </w:p>
        </w:tc>
        <w:tc>
          <w:tcPr>
            <w:tcW w:type="dxa" w:w="2189"/>
          </w:tcPr>
          <w:p>
            <w:pPr>
              <w:spacing w:after="20"/>
            </w:pPr>
            <w:r>
              <w:rPr>
                <w:color w:val="1C3A36"/>
                <w:sz w:val="14"/>
              </w:rPr>
              <w:t>norm_mgn</w:t>
            </w:r>
          </w:p>
        </w:tc>
        <w:tc>
          <w:tcPr>
            <w:tcW w:type="dxa" w:w="1411"/>
          </w:tcPr>
          <w:p>
            <w:pPr>
              <w:spacing w:after="20"/>
            </w:pPr>
            <w:r>
              <w:rPr>
                <w:color w:val="1C3A36"/>
                <w:sz w:val="14"/>
              </w:rPr>
              <w:t>0.265</w:t>
            </w:r>
          </w:p>
        </w:tc>
        <w:tc>
          <w:tcPr>
            <w:tcW w:type="dxa" w:w="1008"/>
          </w:tcPr>
          <w:p>
            <w:pPr>
              <w:spacing w:after="20"/>
            </w:pPr>
            <w:r>
              <w:rPr>
                <w:color w:val="1C3A36"/>
                <w:sz w:val="14"/>
              </w:rPr>
              <w:t>House</w:t>
            </w:r>
          </w:p>
        </w:tc>
        <w:tc>
          <w:tcPr>
            <w:tcW w:type="dxa" w:w="7402"/>
          </w:tcPr>
          <w:p>
            <w:pPr>
              <w:spacing w:after="20"/>
            </w:pPr>
            <w:r>
              <w:rPr>
                <w:color w:val="1C3A36"/>
                <w:sz w:val="14"/>
              </w:rPr>
              <w:t>Mid-cycle EBITDA margin for the normalised-earnings lens: the midpoint of the FY2024 trough-to-recovery outturn (24.8%) and the FY2025 peak (derived 31.9%), rounded to 26.5% and cross-checked against the FY2030E terminal margin of 26.0%</w:t>
            </w:r>
          </w:p>
        </w:tc>
        <w:tc>
          <w:tcPr>
            <w:tcW w:type="dxa" w:w="1210"/>
          </w:tcPr>
          <w:p>
            <w:pPr>
              <w:spacing w:after="20"/>
            </w:pPr>
            <w:r>
              <w:rPr>
                <w:color w:val="1C3A36"/>
                <w:sz w:val="14"/>
              </w:rPr>
              <w:t>2026-08-06</w:t>
            </w:r>
          </w:p>
        </w:tc>
      </w:tr>
      <w:tr>
        <w:tc>
          <w:tcPr>
            <w:tcW w:type="dxa" w:w="432"/>
          </w:tcPr>
          <w:p>
            <w:pPr>
              <w:spacing w:after="20"/>
            </w:pPr>
            <w:r>
              <w:rPr>
                <w:color w:val="1C3A36"/>
                <w:sz w:val="14"/>
              </w:rPr>
              <w:t>61</w:t>
            </w:r>
          </w:p>
        </w:tc>
        <w:tc>
          <w:tcPr>
            <w:tcW w:type="dxa" w:w="2189"/>
          </w:tcPr>
          <w:p>
            <w:pPr>
              <w:spacing w:after="20"/>
            </w:pPr>
            <w:r>
              <w:rPr>
                <w:color w:val="1C3A36"/>
                <w:sz w:val="14"/>
              </w:rPr>
              <w:t>payout</w:t>
            </w:r>
          </w:p>
        </w:tc>
        <w:tc>
          <w:tcPr>
            <w:tcW w:type="dxa" w:w="1411"/>
          </w:tcPr>
          <w:p>
            <w:pPr>
              <w:spacing w:after="20"/>
            </w:pPr>
            <w:r>
              <w:rPr>
                <w:color w:val="1C3A36"/>
                <w:sz w:val="14"/>
              </w:rPr>
              <w:t>0.6</w:t>
            </w:r>
          </w:p>
        </w:tc>
        <w:tc>
          <w:tcPr>
            <w:tcW w:type="dxa" w:w="1008"/>
          </w:tcPr>
          <w:p>
            <w:pPr>
              <w:spacing w:after="20"/>
            </w:pPr>
            <w:r>
              <w:rPr>
                <w:color w:val="1C3A36"/>
                <w:sz w:val="14"/>
              </w:rPr>
              <w:t>House</w:t>
            </w:r>
          </w:p>
        </w:tc>
        <w:tc>
          <w:tcPr>
            <w:tcW w:type="dxa" w:w="7402"/>
          </w:tcPr>
          <w:p>
            <w:pPr>
              <w:spacing w:after="20"/>
            </w:pPr>
            <w:r>
              <w:rPr>
                <w:color w:val="1C3A36"/>
                <w:sz w:val="14"/>
              </w:rPr>
              <w:t>Dividend payout ratio from FY2026E. Vicat-controlled, net cash, no announced expansion programme and no meaningful reinvestment need, so the cash is upstreamed. Affects the cash build and therefore the bridge, not FCFF</w:t>
            </w:r>
          </w:p>
        </w:tc>
        <w:tc>
          <w:tcPr>
            <w:tcW w:type="dxa" w:w="1210"/>
          </w:tcPr>
          <w:p>
            <w:pPr>
              <w:spacing w:after="20"/>
            </w:pPr>
            <w:r>
              <w:rPr>
                <w:color w:val="1C3A36"/>
                <w:sz w:val="14"/>
              </w:rPr>
              <w:t>2026-08-06</w:t>
            </w:r>
          </w:p>
        </w:tc>
      </w:tr>
      <w:tr>
        <w:tc>
          <w:tcPr>
            <w:tcW w:type="dxa" w:w="432"/>
          </w:tcPr>
          <w:p>
            <w:pPr>
              <w:spacing w:after="20"/>
            </w:pPr>
            <w:r>
              <w:rPr>
                <w:color w:val="1C3A36"/>
                <w:sz w:val="14"/>
              </w:rPr>
              <w:t>62</w:t>
            </w:r>
          </w:p>
        </w:tc>
        <w:tc>
          <w:tcPr>
            <w:tcW w:type="dxa" w:w="2189"/>
          </w:tcPr>
          <w:p>
            <w:pPr>
              <w:spacing w:after="20"/>
            </w:pPr>
            <w:r>
              <w:rPr>
                <w:color w:val="1C3A36"/>
                <w:sz w:val="14"/>
              </w:rPr>
              <w:t>pe_just</w:t>
            </w:r>
          </w:p>
        </w:tc>
        <w:tc>
          <w:tcPr>
            <w:tcW w:type="dxa" w:w="1411"/>
          </w:tcPr>
          <w:p>
            <w:pPr>
              <w:spacing w:after="20"/>
            </w:pPr>
            <w:r>
              <w:rPr>
                <w:color w:val="1C3A36"/>
                <w:sz w:val="14"/>
              </w:rPr>
              <w:t>7</w:t>
            </w:r>
          </w:p>
        </w:tc>
        <w:tc>
          <w:tcPr>
            <w:tcW w:type="dxa" w:w="1008"/>
          </w:tcPr>
          <w:p>
            <w:pPr>
              <w:spacing w:after="20"/>
            </w:pPr>
            <w:r>
              <w:rPr>
                <w:color w:val="1C3A36"/>
                <w:sz w:val="14"/>
              </w:rPr>
              <w:t>House</w:t>
            </w:r>
          </w:p>
        </w:tc>
        <w:tc>
          <w:tcPr>
            <w:tcW w:type="dxa" w:w="7402"/>
          </w:tcPr>
          <w:p>
            <w:pPr>
              <w:spacing w:after="20"/>
            </w:pPr>
            <w:r>
              <w:rPr>
                <w:color w:val="1C3A36"/>
                <w:sz w:val="14"/>
              </w:rPr>
              <w:t>Justified price/earnings on normalised earnings. Above the 6.44x peer trailing multiple because the normalised base already strips the cyclical peak, so the same multiple applied to a lower base would double-count the cycle</w:t>
            </w:r>
          </w:p>
        </w:tc>
        <w:tc>
          <w:tcPr>
            <w:tcW w:type="dxa" w:w="1210"/>
          </w:tcPr>
          <w:p>
            <w:pPr>
              <w:spacing w:after="20"/>
            </w:pPr>
            <w:r>
              <w:rPr>
                <w:color w:val="1C3A36"/>
                <w:sz w:val="14"/>
              </w:rPr>
              <w:t>2026-08-06</w:t>
            </w:r>
          </w:p>
        </w:tc>
      </w:tr>
      <w:tr>
        <w:tc>
          <w:tcPr>
            <w:tcW w:type="dxa" w:w="432"/>
          </w:tcPr>
          <w:p>
            <w:pPr>
              <w:spacing w:after="20"/>
            </w:pPr>
            <w:r>
              <w:rPr>
                <w:color w:val="1C3A36"/>
                <w:sz w:val="14"/>
              </w:rPr>
              <w:t>63</w:t>
            </w:r>
          </w:p>
        </w:tc>
        <w:tc>
          <w:tcPr>
            <w:tcW w:type="dxa" w:w="2189"/>
          </w:tcPr>
          <w:p>
            <w:pPr>
              <w:spacing w:after="20"/>
            </w:pPr>
            <w:r>
              <w:rPr>
                <w:color w:val="1C3A36"/>
                <w:sz w:val="14"/>
              </w:rPr>
              <w:t>rf_term</w:t>
            </w:r>
          </w:p>
        </w:tc>
        <w:tc>
          <w:tcPr>
            <w:tcW w:type="dxa" w:w="1411"/>
          </w:tcPr>
          <w:p>
            <w:pPr>
              <w:spacing w:after="20"/>
            </w:pPr>
            <w:r>
              <w:rPr>
                <w:color w:val="1C3A36"/>
                <w:sz w:val="14"/>
              </w:rPr>
              <w:t>0.105</w:t>
            </w:r>
          </w:p>
        </w:tc>
        <w:tc>
          <w:tcPr>
            <w:tcW w:type="dxa" w:w="1008"/>
          </w:tcPr>
          <w:p>
            <w:pPr>
              <w:spacing w:after="20"/>
            </w:pPr>
            <w:r>
              <w:rPr>
                <w:color w:val="1C3A36"/>
                <w:sz w:val="14"/>
              </w:rPr>
              <w:t>House</w:t>
            </w:r>
          </w:p>
        </w:tc>
        <w:tc>
          <w:tcPr>
            <w:tcW w:type="dxa" w:w="7402"/>
          </w:tcPr>
          <w:p>
            <w:pPr>
              <w:spacing w:after="20"/>
            </w:pPr>
            <w:r>
              <w:rPr>
                <w:color w:val="1C3A36"/>
                <w:sz w:val="14"/>
              </w:rPr>
              <w:t>Terminal risk-free rate, NORM-BUILT: the CBE's own stated medium-term inflation target of 5% plus the standard ~5.5pp emerging-market real-rate convention. Never a raw historical average, never reverse-engineered from a price</w:t>
            </w:r>
          </w:p>
        </w:tc>
        <w:tc>
          <w:tcPr>
            <w:tcW w:type="dxa" w:w="1210"/>
          </w:tcPr>
          <w:p>
            <w:pPr>
              <w:spacing w:after="20"/>
            </w:pPr>
            <w:r>
              <w:rPr>
                <w:color w:val="1C3A36"/>
                <w:sz w:val="14"/>
              </w:rPr>
              <w:t>2026-08-06</w:t>
            </w:r>
          </w:p>
        </w:tc>
      </w:tr>
      <w:tr>
        <w:tc>
          <w:tcPr>
            <w:tcW w:type="dxa" w:w="432"/>
          </w:tcPr>
          <w:p>
            <w:pPr>
              <w:spacing w:after="20"/>
            </w:pPr>
            <w:r>
              <w:rPr>
                <w:color w:val="1C3A36"/>
                <w:sz w:val="14"/>
              </w:rPr>
              <w:t>64</w:t>
            </w:r>
          </w:p>
        </w:tc>
        <w:tc>
          <w:tcPr>
            <w:tcW w:type="dxa" w:w="2189"/>
          </w:tcPr>
          <w:p>
            <w:pPr>
              <w:spacing w:after="20"/>
            </w:pPr>
            <w:r>
              <w:rPr>
                <w:color w:val="1C3A36"/>
                <w:sz w:val="14"/>
              </w:rPr>
              <w:t>share_fy23</w:t>
            </w:r>
          </w:p>
        </w:tc>
        <w:tc>
          <w:tcPr>
            <w:tcW w:type="dxa" w:w="1411"/>
          </w:tcPr>
          <w:p>
            <w:pPr>
              <w:spacing w:after="20"/>
            </w:pPr>
            <w:r>
              <w:rPr>
                <w:color w:val="1C3A36"/>
                <w:sz w:val="14"/>
              </w:rPr>
              <w:t>0.0449</w:t>
            </w:r>
          </w:p>
        </w:tc>
        <w:tc>
          <w:tcPr>
            <w:tcW w:type="dxa" w:w="1008"/>
          </w:tcPr>
          <w:p>
            <w:pPr>
              <w:spacing w:after="20"/>
            </w:pPr>
            <w:r>
              <w:rPr>
                <w:color w:val="1C3A36"/>
                <w:sz w:val="14"/>
              </w:rPr>
              <w:t>House</w:t>
            </w:r>
          </w:p>
        </w:tc>
        <w:tc>
          <w:tcPr>
            <w:tcW w:type="dxa" w:w="7402"/>
          </w:tcPr>
          <w:p>
            <w:pPr>
              <w:spacing w:after="20"/>
            </w:pPr>
            <w:r>
              <w:rPr>
                <w:color w:val="1C3A36"/>
                <w:sz w:val="14"/>
              </w:rPr>
              <w:t>DERIVED: FY2023 share solved so that volume x realised price reproduces the disclosed FY2023 revenue on a realised price consistent with the quota-era price level</w:t>
            </w:r>
          </w:p>
        </w:tc>
        <w:tc>
          <w:tcPr>
            <w:tcW w:type="dxa" w:w="1210"/>
          </w:tcPr>
          <w:p>
            <w:pPr>
              <w:spacing w:after="20"/>
            </w:pPr>
            <w:r>
              <w:rPr>
                <w:color w:val="1C3A36"/>
                <w:sz w:val="14"/>
              </w:rPr>
              <w:t>2026-08-06</w:t>
            </w:r>
          </w:p>
        </w:tc>
      </w:tr>
      <w:tr>
        <w:tc>
          <w:tcPr>
            <w:tcW w:type="dxa" w:w="432"/>
          </w:tcPr>
          <w:p>
            <w:pPr>
              <w:spacing w:after="20"/>
            </w:pPr>
            <w:r>
              <w:rPr>
                <w:color w:val="1C3A36"/>
                <w:sz w:val="14"/>
              </w:rPr>
              <w:t>65</w:t>
            </w:r>
          </w:p>
        </w:tc>
        <w:tc>
          <w:tcPr>
            <w:tcW w:type="dxa" w:w="2189"/>
          </w:tcPr>
          <w:p>
            <w:pPr>
              <w:spacing w:after="20"/>
            </w:pPr>
            <w:r>
              <w:rPr>
                <w:color w:val="1C3A36"/>
                <w:sz w:val="14"/>
              </w:rPr>
              <w:t>share_fy25</w:t>
            </w:r>
          </w:p>
        </w:tc>
        <w:tc>
          <w:tcPr>
            <w:tcW w:type="dxa" w:w="1411"/>
          </w:tcPr>
          <w:p>
            <w:pPr>
              <w:spacing w:after="20"/>
            </w:pPr>
            <w:r>
              <w:rPr>
                <w:color w:val="1C3A36"/>
                <w:sz w:val="14"/>
              </w:rPr>
              <w:t>0.05</w:t>
            </w:r>
          </w:p>
        </w:tc>
        <w:tc>
          <w:tcPr>
            <w:tcW w:type="dxa" w:w="1008"/>
          </w:tcPr>
          <w:p>
            <w:pPr>
              <w:spacing w:after="20"/>
            </w:pPr>
            <w:r>
              <w:rPr>
                <w:color w:val="1C3A36"/>
                <w:sz w:val="14"/>
              </w:rPr>
              <w:t>House</w:t>
            </w:r>
          </w:p>
        </w:tc>
        <w:tc>
          <w:tcPr>
            <w:tcW w:type="dxa" w:w="7402"/>
          </w:tcPr>
          <w:p>
            <w:pPr>
              <w:spacing w:after="20"/>
            </w:pPr>
            <w:r>
              <w:rPr>
                <w:color w:val="1C3A36"/>
                <w:sz w:val="14"/>
              </w:rPr>
              <w:t>Share held flat at ~5% into 2025: the company grew volume with the market rather than against it, with the industry running at ~98% operating utilisation</w:t>
            </w:r>
          </w:p>
        </w:tc>
        <w:tc>
          <w:tcPr>
            <w:tcW w:type="dxa" w:w="1210"/>
          </w:tcPr>
          <w:p>
            <w:pPr>
              <w:spacing w:after="20"/>
            </w:pPr>
            <w:r>
              <w:rPr>
                <w:color w:val="1C3A36"/>
                <w:sz w:val="14"/>
              </w:rPr>
              <w:t>2026-08-06</w:t>
            </w:r>
          </w:p>
        </w:tc>
      </w:tr>
      <w:tr>
        <w:tc>
          <w:tcPr>
            <w:tcW w:type="dxa" w:w="432"/>
          </w:tcPr>
          <w:p>
            <w:pPr>
              <w:spacing w:after="20"/>
            </w:pPr>
            <w:r>
              <w:rPr>
                <w:color w:val="1C3A36"/>
                <w:sz w:val="14"/>
              </w:rPr>
              <w:t>66</w:t>
            </w:r>
          </w:p>
        </w:tc>
        <w:tc>
          <w:tcPr>
            <w:tcW w:type="dxa" w:w="2189"/>
          </w:tcPr>
          <w:p>
            <w:pPr>
              <w:spacing w:after="20"/>
            </w:pPr>
            <w:r>
              <w:rPr>
                <w:color w:val="1C3A36"/>
                <w:sz w:val="14"/>
              </w:rPr>
              <w:t>swcc_book</w:t>
            </w:r>
          </w:p>
        </w:tc>
        <w:tc>
          <w:tcPr>
            <w:tcW w:type="dxa" w:w="1411"/>
          </w:tcPr>
          <w:p>
            <w:pPr>
              <w:spacing w:after="20"/>
            </w:pPr>
            <w:r>
              <w:rPr>
                <w:color w:val="1C3A36"/>
                <w:sz w:val="14"/>
              </w:rPr>
              <w:t>100</w:t>
            </w:r>
          </w:p>
        </w:tc>
        <w:tc>
          <w:tcPr>
            <w:tcW w:type="dxa" w:w="1008"/>
          </w:tcPr>
          <w:p>
            <w:pPr>
              <w:spacing w:after="20"/>
            </w:pPr>
            <w:r>
              <w:rPr>
                <w:color w:val="1C3A36"/>
                <w:sz w:val="14"/>
              </w:rPr>
              <w:t>House</w:t>
            </w:r>
          </w:p>
        </w:tc>
        <w:tc>
          <w:tcPr>
            <w:tcW w:type="dxa" w:w="7402"/>
          </w:tcPr>
          <w:p>
            <w:pPr>
              <w:spacing w:after="20"/>
            </w:pPr>
            <w:r>
              <w:rPr>
                <w:color w:val="1C3A36"/>
                <w:sz w:val="14"/>
              </w:rPr>
              <w:t>HOUSE ESTIMATE of the carrying value of the 25.4% SWCC stake. The stake dates to the 1990s and is carried at historic cost in pre-devaluation pounds, so the book value is small relative to a EUR-priced disposal. Set at EGP 100mn; the FY2024 profit bridge is insensitive to it within a +/-EGP 200mn range and the sensitivity is disclosed</w:t>
            </w:r>
          </w:p>
        </w:tc>
        <w:tc>
          <w:tcPr>
            <w:tcW w:type="dxa" w:w="1210"/>
          </w:tcPr>
          <w:p>
            <w:pPr>
              <w:spacing w:after="20"/>
            </w:pPr>
            <w:r>
              <w:rPr>
                <w:color w:val="1C3A36"/>
                <w:sz w:val="14"/>
              </w:rPr>
              <w:t>2026-08-06</w:t>
            </w:r>
          </w:p>
        </w:tc>
      </w:tr>
      <w:tr>
        <w:tc>
          <w:tcPr>
            <w:tcW w:type="dxa" w:w="432"/>
          </w:tcPr>
          <w:p>
            <w:pPr>
              <w:spacing w:after="20"/>
            </w:pPr>
            <w:r>
              <w:rPr>
                <w:color w:val="1C3A36"/>
                <w:sz w:val="14"/>
              </w:rPr>
              <w:t>67</w:t>
            </w:r>
          </w:p>
        </w:tc>
        <w:tc>
          <w:tcPr>
            <w:tcW w:type="dxa" w:w="2189"/>
          </w:tcPr>
          <w:p>
            <w:pPr>
              <w:spacing w:after="20"/>
            </w:pPr>
            <w:r>
              <w:rPr>
                <w:color w:val="1C3A36"/>
                <w:sz w:val="14"/>
              </w:rPr>
              <w:t>treas_fy23</w:t>
            </w:r>
          </w:p>
        </w:tc>
        <w:tc>
          <w:tcPr>
            <w:tcW w:type="dxa" w:w="1411"/>
          </w:tcPr>
          <w:p>
            <w:pPr>
              <w:spacing w:after="20"/>
            </w:pPr>
            <w:r>
              <w:rPr>
                <w:color w:val="1C3A36"/>
                <w:sz w:val="14"/>
              </w:rPr>
              <w:t>198</w:t>
            </w:r>
          </w:p>
        </w:tc>
        <w:tc>
          <w:tcPr>
            <w:tcW w:type="dxa" w:w="1008"/>
          </w:tcPr>
          <w:p>
            <w:pPr>
              <w:spacing w:after="20"/>
            </w:pPr>
            <w:r>
              <w:rPr>
                <w:color w:val="1C3A36"/>
                <w:sz w:val="14"/>
              </w:rPr>
              <w:t>House</w:t>
            </w:r>
          </w:p>
        </w:tc>
        <w:tc>
          <w:tcPr>
            <w:tcW w:type="dxa" w:w="7402"/>
          </w:tcPr>
          <w:p>
            <w:pPr>
              <w:spacing w:after="20"/>
            </w:pPr>
            <w:r>
              <w:rPr>
                <w:color w:val="1C3A36"/>
                <w:sz w:val="14"/>
              </w:rPr>
              <w:t>FY2023 treasury income. Modelled on a cash balance of roughly EGP 1.1bn at ~18% — far below the FY2024 balance because the EGP 1.68bn rights issue and the EGP 1.60bn Sinai White disposal both landed IN 2024. Scaling FY2023 off the FY2024 figure would import a cash pile that did not yet exist and would drive FY2023 EBITDA negative</w:t>
            </w:r>
          </w:p>
        </w:tc>
        <w:tc>
          <w:tcPr>
            <w:tcW w:type="dxa" w:w="1210"/>
          </w:tcPr>
          <w:p>
            <w:pPr>
              <w:spacing w:after="20"/>
            </w:pPr>
            <w:r>
              <w:rPr>
                <w:color w:val="1C3A36"/>
                <w:sz w:val="14"/>
              </w:rPr>
              <w:t>2026-08-06</w:t>
            </w:r>
          </w:p>
        </w:tc>
      </w:tr>
      <w:tr>
        <w:tc>
          <w:tcPr>
            <w:tcW w:type="dxa" w:w="432"/>
          </w:tcPr>
          <w:p>
            <w:pPr>
              <w:spacing w:after="20"/>
            </w:pPr>
            <w:r>
              <w:rPr>
                <w:color w:val="1C3A36"/>
                <w:sz w:val="14"/>
              </w:rPr>
              <w:t>68</w:t>
            </w:r>
          </w:p>
        </w:tc>
        <w:tc>
          <w:tcPr>
            <w:tcW w:type="dxa" w:w="2189"/>
          </w:tcPr>
          <w:p>
            <w:pPr>
              <w:spacing w:after="20"/>
            </w:pPr>
            <w:r>
              <w:rPr>
                <w:color w:val="1C3A36"/>
                <w:sz w:val="14"/>
              </w:rPr>
              <w:t>wc_pct_drev</w:t>
            </w:r>
          </w:p>
        </w:tc>
        <w:tc>
          <w:tcPr>
            <w:tcW w:type="dxa" w:w="1411"/>
          </w:tcPr>
          <w:p>
            <w:pPr>
              <w:spacing w:after="20"/>
            </w:pPr>
            <w:r>
              <w:rPr>
                <w:color w:val="1C3A36"/>
                <w:sz w:val="14"/>
              </w:rPr>
              <w:t>0.08</w:t>
            </w:r>
          </w:p>
        </w:tc>
        <w:tc>
          <w:tcPr>
            <w:tcW w:type="dxa" w:w="1008"/>
          </w:tcPr>
          <w:p>
            <w:pPr>
              <w:spacing w:after="20"/>
            </w:pPr>
            <w:r>
              <w:rPr>
                <w:color w:val="1C3A36"/>
                <w:sz w:val="14"/>
              </w:rPr>
              <w:t>House</w:t>
            </w:r>
          </w:p>
        </w:tc>
        <w:tc>
          <w:tcPr>
            <w:tcW w:type="dxa" w:w="7402"/>
          </w:tcPr>
          <w:p>
            <w:pPr>
              <w:spacing w:after="20"/>
            </w:pPr>
            <w:r>
              <w:rPr>
                <w:color w:val="1C3A36"/>
                <w:sz w:val="14"/>
              </w:rPr>
              <w:t>Change in working capital as a share of the change in revenue. Cement is a low-working-capital business — bulk product, short receivable cycle, no long contracts — so growth absorbs little cash</w:t>
            </w:r>
          </w:p>
        </w:tc>
        <w:tc>
          <w:tcPr>
            <w:tcW w:type="dxa" w:w="1210"/>
          </w:tcPr>
          <w:p>
            <w:pPr>
              <w:spacing w:after="20"/>
            </w:pPr>
            <w:r>
              <w:rPr>
                <w:color w:val="1C3A36"/>
                <w:sz w:val="14"/>
              </w:rPr>
              <w:t>2026-08-06</w:t>
            </w:r>
          </w:p>
        </w:tc>
      </w:tr>
      <w:tr>
        <w:tc>
          <w:tcPr>
            <w:tcW w:type="dxa" w:w="432"/>
          </w:tcPr>
          <w:p>
            <w:pPr>
              <w:spacing w:after="20"/>
            </w:pPr>
            <w:r>
              <w:rPr>
                <w:color w:val="1C3A36"/>
                <w:sz w:val="14"/>
              </w:rPr>
              <w:t>69</w:t>
            </w:r>
          </w:p>
        </w:tc>
        <w:tc>
          <w:tcPr>
            <w:tcW w:type="dxa" w:w="2189"/>
          </w:tcPr>
          <w:p>
            <w:pPr>
              <w:spacing w:after="20"/>
            </w:pPr>
            <w:r>
              <w:rPr>
                <w:color w:val="1C3A36"/>
                <w:sz w:val="14"/>
              </w:rPr>
              <w:t>wd_term</w:t>
            </w:r>
          </w:p>
        </w:tc>
        <w:tc>
          <w:tcPr>
            <w:tcW w:type="dxa" w:w="1411"/>
          </w:tcPr>
          <w:p>
            <w:pPr>
              <w:spacing w:after="20"/>
            </w:pPr>
            <w:r>
              <w:rPr>
                <w:color w:val="1C3A36"/>
                <w:sz w:val="14"/>
              </w:rPr>
              <w:t>0.2</w:t>
            </w:r>
          </w:p>
        </w:tc>
        <w:tc>
          <w:tcPr>
            <w:tcW w:type="dxa" w:w="1008"/>
          </w:tcPr>
          <w:p>
            <w:pPr>
              <w:spacing w:after="20"/>
            </w:pPr>
            <w:r>
              <w:rPr>
                <w:color w:val="1C3A36"/>
                <w:sz w:val="14"/>
              </w:rPr>
              <w:t>House</w:t>
            </w:r>
          </w:p>
        </w:tc>
        <w:tc>
          <w:tcPr>
            <w:tcW w:type="dxa" w:w="7402"/>
          </w:tcPr>
          <w:p>
            <w:pPr>
              <w:spacing w:after="20"/>
            </w:pPr>
            <w:r>
              <w:rPr>
                <w:color w:val="1C3A36"/>
                <w:sz w:val="14"/>
              </w:rPr>
              <w:t>Terminal debt weight D/(D+E), NORMALISED rather than today's ~0%. A mature cement producer in steady state carries some structural debt even if this one currently carries none</w:t>
            </w:r>
          </w:p>
        </w:tc>
        <w:tc>
          <w:tcPr>
            <w:tcW w:type="dxa" w:w="1210"/>
          </w:tcPr>
          <w:p>
            <w:pPr>
              <w:spacing w:after="20"/>
            </w:pPr>
            <w:r>
              <w:rPr>
                <w:color w:val="1C3A36"/>
                <w:sz w:val="14"/>
              </w:rPr>
              <w:t>2026-08-06</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Sinai Cement Company S.A.E. — exchange filings</w:t>
            </w:r>
          </w:p>
        </w:tc>
        <w:tc>
          <w:tcPr>
            <w:tcW w:type="dxa" w:w="2333"/>
          </w:tcPr>
          <w:p>
            <w:pPr>
              <w:spacing w:after="20"/>
            </w:pPr>
            <w:r>
              <w:rPr>
                <w:color w:val="1C3A36"/>
                <w:sz w:val="16"/>
              </w:rPr>
              <w:t>Company filing</w:t>
            </w:r>
          </w:p>
        </w:tc>
        <w:tc>
          <w:tcPr>
            <w:tcW w:type="dxa" w:w="5803"/>
          </w:tcPr>
          <w:p>
            <w:pPr>
              <w:spacing w:after="20"/>
            </w:pPr>
            <w:r>
              <w:rPr>
                <w:color w:val="1C3A36"/>
                <w:sz w:val="16"/>
              </w:rPr>
              <w:t>FY2023, FY2024 and FY2025 consolidated results; 9M-2025 results; EGM resolutions on the 2024 capital increase; issued-capital and share-count disclosures.</w:t>
            </w:r>
          </w:p>
        </w:tc>
        <w:tc>
          <w:tcPr>
            <w:tcW w:type="dxa" w:w="2880"/>
          </w:tcPr>
          <w:p>
            <w:pPr>
              <w:spacing w:after="20"/>
            </w:pPr>
            <w:r>
              <w:rPr>
                <w:color w:val="1C3A36"/>
                <w:sz w:val="16"/>
              </w:rPr>
              <w:t>Accessed indirectly through the press outlets below; the primary documents could not be retrieved from the company website or the exchange portal.</w:t>
            </w:r>
          </w:p>
        </w:tc>
      </w:tr>
      <w:tr>
        <w:tc>
          <w:tcPr>
            <w:tcW w:type="dxa" w:w="2664"/>
          </w:tcPr>
          <w:p>
            <w:pPr>
              <w:spacing w:after="20"/>
            </w:pPr>
            <w:r>
              <w:rPr>
                <w:color w:val="1C3A36"/>
                <w:sz w:val="16"/>
              </w:rPr>
              <w:t>Global Cement</w:t>
            </w:r>
          </w:p>
        </w:tc>
        <w:tc>
          <w:tcPr>
            <w:tcW w:type="dxa" w:w="2333"/>
          </w:tcPr>
          <w:p>
            <w:pPr>
              <w:spacing w:after="20"/>
            </w:pPr>
            <w:r>
              <w:rPr>
                <w:color w:val="1C3A36"/>
                <w:sz w:val="16"/>
              </w:rPr>
              <w:t>Trade press</w:t>
            </w:r>
          </w:p>
        </w:tc>
        <w:tc>
          <w:tcPr>
            <w:tcW w:type="dxa" w:w="5803"/>
          </w:tcPr>
          <w:p>
            <w:pPr>
              <w:spacing w:after="20"/>
            </w:pPr>
            <w:r>
              <w:rPr>
                <w:color w:val="1C3A36"/>
                <w:sz w:val="16"/>
              </w:rPr>
              <w:t>FY2024 turnaround (net profit EGP 3.07bn against a EGP 121.42mn FY2023 loss; sales EGP 6.42bn from EGP 4.28bn); Egyptian production, consumption, capacity and export volumes; the dormant-capacity revival programme.</w:t>
            </w:r>
          </w:p>
        </w:tc>
        <w:tc>
          <w:tcPr>
            <w:tcW w:type="dxa" w:w="2880"/>
          </w:tcPr>
          <w:p>
            <w:pPr>
              <w:spacing w:after="20"/>
            </w:pPr>
            <w:r>
              <w:rPr>
                <w:color w:val="1C3A36"/>
                <w:sz w:val="16"/>
              </w:rPr>
              <w:t>globalcement.com</w:t>
            </w:r>
          </w:p>
        </w:tc>
      </w:tr>
      <w:tr>
        <w:tc>
          <w:tcPr>
            <w:tcW w:type="dxa" w:w="2664"/>
          </w:tcPr>
          <w:p>
            <w:pPr>
              <w:spacing w:after="20"/>
            </w:pPr>
            <w:r>
              <w:rPr>
                <w:color w:val="1C3A36"/>
                <w:sz w:val="16"/>
              </w:rPr>
              <w:t>International Cement Review / cemnet</w:t>
            </w:r>
          </w:p>
        </w:tc>
        <w:tc>
          <w:tcPr>
            <w:tcW w:type="dxa" w:w="2333"/>
          </w:tcPr>
          <w:p>
            <w:pPr>
              <w:spacing w:after="20"/>
            </w:pPr>
            <w:r>
              <w:rPr>
                <w:color w:val="1C3A36"/>
                <w:sz w:val="16"/>
              </w:rPr>
              <w:t>Trade press</w:t>
            </w:r>
          </w:p>
        </w:tc>
        <w:tc>
          <w:tcPr>
            <w:tcW w:type="dxa" w:w="5803"/>
          </w:tcPr>
          <w:p>
            <w:pPr>
              <w:spacing w:after="20"/>
            </w:pPr>
            <w:r>
              <w:rPr>
                <w:color w:val="1C3A36"/>
                <w:sz w:val="16"/>
              </w:rPr>
              <w:t>Egyptian 2025 production up 18% to ~65Mt; 9M-2025 results; the Cementir acquisition of the Sinai White stake.</w:t>
            </w:r>
          </w:p>
        </w:tc>
        <w:tc>
          <w:tcPr>
            <w:tcW w:type="dxa" w:w="2880"/>
          </w:tcPr>
          <w:p>
            <w:pPr>
              <w:spacing w:after="20"/>
            </w:pPr>
            <w:r>
              <w:rPr>
                <w:color w:val="1C3A36"/>
                <w:sz w:val="16"/>
              </w:rPr>
              <w:t>cemnet.com</w:t>
            </w:r>
          </w:p>
        </w:tc>
      </w:tr>
      <w:tr>
        <w:tc>
          <w:tcPr>
            <w:tcW w:type="dxa" w:w="2664"/>
          </w:tcPr>
          <w:p>
            <w:pPr>
              <w:spacing w:after="20"/>
            </w:pPr>
            <w:r>
              <w:rPr>
                <w:color w:val="1C3A36"/>
                <w:sz w:val="16"/>
              </w:rPr>
              <w:t>Cementir Holding N.V. / Aalborg Portland Holding A/S</w:t>
            </w:r>
          </w:p>
        </w:tc>
        <w:tc>
          <w:tcPr>
            <w:tcW w:type="dxa" w:w="2333"/>
          </w:tcPr>
          <w:p>
            <w:pPr>
              <w:spacing w:after="20"/>
            </w:pPr>
            <w:r>
              <w:rPr>
                <w:color w:val="1C3A36"/>
                <w:sz w:val="16"/>
              </w:rPr>
              <w:t>Counterparty disclosure</w:t>
            </w:r>
          </w:p>
        </w:tc>
        <w:tc>
          <w:tcPr>
            <w:tcW w:type="dxa" w:w="5803"/>
          </w:tcPr>
          <w:p>
            <w:pPr>
              <w:spacing w:after="20"/>
            </w:pPr>
            <w:r>
              <w:rPr>
                <w:color w:val="1C3A36"/>
                <w:sz w:val="16"/>
              </w:rPr>
              <w:t>Acquisition of an additional 25.40% of Sinai White Portland Cement from Sinai Cement for EUR 30 million, completed 13 August 2024, taking Cementir to 96.5%. This is the transaction that resets the FY2024 base.</w:t>
            </w:r>
          </w:p>
        </w:tc>
        <w:tc>
          <w:tcPr>
            <w:tcW w:type="dxa" w:w="2880"/>
          </w:tcPr>
          <w:p>
            <w:pPr>
              <w:spacing w:after="20"/>
            </w:pPr>
            <w:r>
              <w:rPr>
                <w:color w:val="1C3A36"/>
                <w:sz w:val="16"/>
              </w:rPr>
              <w:t>cementirholding.com</w:t>
            </w:r>
          </w:p>
        </w:tc>
      </w:tr>
      <w:tr>
        <w:tc>
          <w:tcPr>
            <w:tcW w:type="dxa" w:w="2664"/>
          </w:tcPr>
          <w:p>
            <w:pPr>
              <w:spacing w:after="20"/>
            </w:pPr>
            <w:r>
              <w:rPr>
                <w:color w:val="1C3A36"/>
                <w:sz w:val="16"/>
              </w:rPr>
              <w:t>Vicat S.A. — results and regulatory filings</w:t>
            </w:r>
          </w:p>
        </w:tc>
        <w:tc>
          <w:tcPr>
            <w:tcW w:type="dxa" w:w="2333"/>
          </w:tcPr>
          <w:p>
            <w:pPr>
              <w:spacing w:after="20"/>
            </w:pPr>
            <w:r>
              <w:rPr>
                <w:color w:val="1C3A36"/>
                <w:sz w:val="16"/>
              </w:rPr>
              <w:t>Shareholder disclosure</w:t>
            </w:r>
          </w:p>
        </w:tc>
        <w:tc>
          <w:tcPr>
            <w:tcW w:type="dxa" w:w="5803"/>
          </w:tcPr>
          <w:p>
            <w:pPr>
              <w:spacing w:after="20"/>
            </w:pPr>
            <w:r>
              <w:rPr>
                <w:color w:val="1C3A36"/>
                <w:sz w:val="16"/>
              </w:rPr>
              <w:t>The 77.6% holding through Vicat Egypt Cement Industries; the July 2025 mandatory tender offer for 58,416,664 shares (22.4%) at EGP 41.00 per share, filed with the Financial Regulatory Authority.</w:t>
            </w:r>
          </w:p>
        </w:tc>
        <w:tc>
          <w:tcPr>
            <w:tcW w:type="dxa" w:w="2880"/>
          </w:tcPr>
          <w:p>
            <w:pPr>
              <w:spacing w:after="20"/>
            </w:pPr>
            <w:r>
              <w:rPr>
                <w:color w:val="1C3A36"/>
                <w:sz w:val="16"/>
              </w:rPr>
              <w:t>Reported via Reuters and Vicat H1-2025 results</w:t>
            </w:r>
          </w:p>
        </w:tc>
      </w:tr>
      <w:tr>
        <w:tc>
          <w:tcPr>
            <w:tcW w:type="dxa" w:w="2664"/>
          </w:tcPr>
          <w:p>
            <w:pPr>
              <w:spacing w:after="20"/>
            </w:pPr>
            <w:r>
              <w:rPr>
                <w:color w:val="1C3A36"/>
                <w:sz w:val="16"/>
              </w:rPr>
              <w:t>Daily News Egypt</w:t>
            </w:r>
          </w:p>
        </w:tc>
        <w:tc>
          <w:tcPr>
            <w:tcW w:type="dxa" w:w="2333"/>
          </w:tcPr>
          <w:p>
            <w:pPr>
              <w:spacing w:after="20"/>
            </w:pPr>
            <w:r>
              <w:rPr>
                <w:color w:val="1C3A36"/>
                <w:sz w:val="16"/>
              </w:rPr>
              <w:t>National press</w:t>
            </w:r>
          </w:p>
        </w:tc>
        <w:tc>
          <w:tcPr>
            <w:tcW w:type="dxa" w:w="5803"/>
          </w:tcPr>
          <w:p>
            <w:pPr>
              <w:spacing w:after="20"/>
            </w:pPr>
            <w:r>
              <w:rPr>
                <w:color w:val="1C3A36"/>
                <w:sz w:val="16"/>
              </w:rPr>
              <w:t>FY2024 results commentary including the ~5% market-share figure; central bank inflation projections and the May-2026 inflation print.</w:t>
            </w:r>
          </w:p>
        </w:tc>
        <w:tc>
          <w:tcPr>
            <w:tcW w:type="dxa" w:w="2880"/>
          </w:tcPr>
          <w:p>
            <w:pPr>
              <w:spacing w:after="20"/>
            </w:pPr>
            <w:r>
              <w:rPr>
                <w:color w:val="1C3A36"/>
                <w:sz w:val="16"/>
              </w:rPr>
              <w:t>dailynewsegypt.com</w:t>
            </w:r>
          </w:p>
        </w:tc>
      </w:tr>
      <w:tr>
        <w:tc>
          <w:tcPr>
            <w:tcW w:type="dxa" w:w="2664"/>
          </w:tcPr>
          <w:p>
            <w:pPr>
              <w:spacing w:after="20"/>
            </w:pPr>
            <w:r>
              <w:rPr>
                <w:color w:val="1C3A36"/>
                <w:sz w:val="16"/>
              </w:rPr>
              <w:t>Arab Finance</w:t>
            </w:r>
          </w:p>
        </w:tc>
        <w:tc>
          <w:tcPr>
            <w:tcW w:type="dxa" w:w="2333"/>
          </w:tcPr>
          <w:p>
            <w:pPr>
              <w:spacing w:after="20"/>
            </w:pPr>
            <w:r>
              <w:rPr>
                <w:color w:val="1C3A36"/>
                <w:sz w:val="16"/>
              </w:rPr>
              <w:t>Financial press</w:t>
            </w:r>
          </w:p>
        </w:tc>
        <w:tc>
          <w:tcPr>
            <w:tcW w:type="dxa" w:w="5803"/>
          </w:tcPr>
          <w:p>
            <w:pPr>
              <w:spacing w:after="20"/>
            </w:pPr>
            <w:r>
              <w:rPr>
                <w:color w:val="1C3A36"/>
                <w:sz w:val="16"/>
              </w:rPr>
              <w:t>FY2025 consolidated results; peer results for Misr Beni Suef Cement and Arabian Cement.</w:t>
            </w:r>
          </w:p>
        </w:tc>
        <w:tc>
          <w:tcPr>
            <w:tcW w:type="dxa" w:w="2880"/>
          </w:tcPr>
          <w:p>
            <w:pPr>
              <w:spacing w:after="20"/>
            </w:pPr>
            <w:r>
              <w:rPr>
                <w:color w:val="1C3A36"/>
                <w:sz w:val="16"/>
              </w:rPr>
              <w:t>arabfinance.com</w:t>
            </w:r>
          </w:p>
        </w:tc>
      </w:tr>
      <w:tr>
        <w:tc>
          <w:tcPr>
            <w:tcW w:type="dxa" w:w="2664"/>
          </w:tcPr>
          <w:p>
            <w:pPr>
              <w:spacing w:after="20"/>
            </w:pPr>
            <w:r>
              <w:rPr>
                <w:color w:val="1C3A36"/>
                <w:sz w:val="16"/>
              </w:rPr>
              <w:t>EnterpriseAM Egypt</w:t>
            </w:r>
          </w:p>
        </w:tc>
        <w:tc>
          <w:tcPr>
            <w:tcW w:type="dxa" w:w="2333"/>
          </w:tcPr>
          <w:p>
            <w:pPr>
              <w:spacing w:after="20"/>
            </w:pPr>
            <w:r>
              <w:rPr>
                <w:color w:val="1C3A36"/>
                <w:sz w:val="16"/>
              </w:rPr>
              <w:t>Financial press</w:t>
            </w:r>
          </w:p>
        </w:tc>
        <w:tc>
          <w:tcPr>
            <w:tcW w:type="dxa" w:w="5803"/>
          </w:tcPr>
          <w:p>
            <w:pPr>
              <w:spacing w:after="20"/>
            </w:pPr>
            <w:r>
              <w:rPr>
                <w:color w:val="1C3A36"/>
                <w:sz w:val="16"/>
              </w:rPr>
              <w:t>Egyptian cement pricing through 2025 and the 2026 estimate; the Egyptian Competition Authority's permanent removal of production quotas in July 2025.</w:t>
            </w:r>
          </w:p>
        </w:tc>
        <w:tc>
          <w:tcPr>
            <w:tcW w:type="dxa" w:w="2880"/>
          </w:tcPr>
          <w:p>
            <w:pPr>
              <w:spacing w:after="20"/>
            </w:pPr>
            <w:r>
              <w:rPr>
                <w:color w:val="1C3A36"/>
                <w:sz w:val="16"/>
              </w:rPr>
              <w:t>enterpriseam.com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since 2 April 2026; the Q1-2026 Monetary Policy Report; the medium-term inflation target of 7% (±2pp) for Q4-2026 easing to 5%; the headline and core inflation series.</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both the credit-default-swap and credit-rating bases,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PwC Worldwide Tax Summaries</w:t>
            </w:r>
          </w:p>
        </w:tc>
        <w:tc>
          <w:tcPr>
            <w:tcW w:type="dxa" w:w="2333"/>
          </w:tcPr>
          <w:p>
            <w:pPr>
              <w:spacing w:after="20"/>
            </w:pPr>
            <w:r>
              <w:rPr>
                <w:color w:val="1C3A36"/>
                <w:sz w:val="16"/>
              </w:rPr>
              <w:t>Tax reference</w:t>
            </w:r>
          </w:p>
        </w:tc>
        <w:tc>
          <w:tcPr>
            <w:tcW w:type="dxa" w:w="5803"/>
          </w:tcPr>
          <w:p>
            <w:pPr>
              <w:spacing w:after="20"/>
            </w:pPr>
            <w:r>
              <w:rPr>
                <w:color w:val="1C3A36"/>
                <w:sz w:val="16"/>
              </w:rPr>
              <w:t>Egyptian corporate income tax rate of 22.5%, unchanged for 2025-26.</w:t>
            </w:r>
          </w:p>
        </w:tc>
        <w:tc>
          <w:tcPr>
            <w:tcW w:type="dxa" w:w="2880"/>
          </w:tcPr>
          <w:p>
            <w:pPr>
              <w:spacing w:after="20"/>
            </w:pPr>
            <w:r>
              <w:rPr>
                <w:color w:val="1C3A36"/>
                <w:sz w:val="16"/>
              </w:rPr>
              <w:t>taxsummaries.pwc.com</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3,626 daily open, high, low, close and volume records from 2 January 2011 to 6 August 2026, supplied with the engagement. This series is the basis of the price chart, the volatility estimate, the beta regression and the liquidity diagnostics.</w:t>
            </w:r>
          </w:p>
        </w:tc>
        <w:tc>
          <w:tcPr>
            <w:tcW w:type="dxa" w:w="2880"/>
          </w:tcPr>
          <w:p>
            <w:pPr>
              <w:spacing w:after="20"/>
            </w:pPr>
            <w:r>
              <w:rPr>
                <w:color w:val="1C3A36"/>
                <w:sz w:val="16"/>
              </w:rPr>
              <w:t>Supplied as a file</w:t>
            </w:r>
          </w:p>
        </w:tc>
      </w:tr>
      <w:tr>
        <w:tc>
          <w:tcPr>
            <w:tcW w:type="dxa" w:w="2664"/>
          </w:tcPr>
          <w:p>
            <w:pPr>
              <w:spacing w:after="20"/>
            </w:pPr>
            <w:r>
              <w:rPr>
                <w:color w:val="1C3A36"/>
                <w:sz w:val="16"/>
              </w:rPr>
              <w:t>Global Energy Monitor plant register</w:t>
            </w:r>
          </w:p>
        </w:tc>
        <w:tc>
          <w:tcPr>
            <w:tcW w:type="dxa" w:w="2333"/>
          </w:tcPr>
          <w:p>
            <w:pPr>
              <w:spacing w:after="20"/>
            </w:pPr>
            <w:r>
              <w:rPr>
                <w:color w:val="1C3A36"/>
                <w:sz w:val="16"/>
              </w:rPr>
              <w:t>Sector database</w:t>
            </w:r>
          </w:p>
        </w:tc>
        <w:tc>
          <w:tcPr>
            <w:tcW w:type="dxa" w:w="5803"/>
          </w:tcPr>
          <w:p>
            <w:pPr>
              <w:spacing w:after="20"/>
            </w:pPr>
            <w:r>
              <w:rPr>
                <w:color w:val="1C3A36"/>
                <w:sz w:val="16"/>
              </w:rPr>
              <w:t>El Hassana plant configuration: two lines, approximately 3.8 million tonnes a year of cement capacity, commissioned from 1997.</w:t>
            </w:r>
          </w:p>
        </w:tc>
        <w:tc>
          <w:tcPr>
            <w:tcW w:type="dxa" w:w="2880"/>
          </w:tcPr>
          <w:p>
            <w:pPr>
              <w:spacing w:after="20"/>
            </w:pPr>
            <w:r>
              <w:rPr>
                <w:color w:val="1C3A36"/>
                <w:sz w:val="16"/>
              </w:rPr>
              <w:t>gem.wiki</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Share count — 260,812,477</w:t>
            </w:r>
          </w:p>
        </w:tc>
        <w:tc>
          <w:tcPr>
            <w:tcW w:type="dxa" w:w="10224"/>
          </w:tcPr>
          <w:p>
            <w:pPr>
              <w:spacing w:after="20"/>
            </w:pPr>
            <w:r>
              <w:rPr>
                <w:color w:val="1C3A36"/>
                <w:sz w:val="16"/>
              </w:rPr>
              <w:t>Triangulated three ways and cross-checked: issued capital of EGP 2,608,124,770 at EGP 10 par gives 261; the tender offer of 58,416,664 shares described as 22.4% back-solves to 261; quoted market capitalisation divided by the closing price gives 261. The three agree to within 0.01%. Aggregator prints of 141.46 million are irreconcilable with the market capitalisation printed beside them and are rejected.</w:t>
            </w:r>
          </w:p>
        </w:tc>
      </w:tr>
      <w:tr>
        <w:tc>
          <w:tcPr>
            <w:tcW w:type="dxa" w:w="3456"/>
          </w:tcPr>
          <w:p>
            <w:pPr>
              <w:spacing w:after="20"/>
            </w:pPr>
            <w:r>
              <w:rPr>
                <w:color w:val="1C3A36"/>
                <w:sz w:val="16"/>
              </w:rPr>
              <w:t>FY2024 EBIT, treasury income and the disposal gain</w:t>
            </w:r>
          </w:p>
        </w:tc>
        <w:tc>
          <w:tcPr>
            <w:tcW w:type="dxa" w:w="10224"/>
          </w:tcPr>
          <w:p>
            <w:pPr>
              <w:spacing w:after="20"/>
            </w:pPr>
            <w:r>
              <w:rPr>
                <w:color w:val="1C3A36"/>
                <w:sz w:val="16"/>
              </w:rPr>
              <w:t>The FY2024 profit bridge is closed against the one disclosed EBITDA figure. Depreciation is taken at 6.2% of revenue, giving EBIT; the disposal gain is EUR 30 million at the August-2024 exchange rate less an estimated EGP 100 million carrying value; treasury income is then whatever remains once disclosed profit after tax is grossed up at the statutory rate.</w:t>
            </w:r>
          </w:p>
        </w:tc>
      </w:tr>
      <w:tr>
        <w:tc>
          <w:tcPr>
            <w:tcW w:type="dxa" w:w="3456"/>
          </w:tcPr>
          <w:p>
            <w:pPr>
              <w:spacing w:after="20"/>
            </w:pPr>
            <w:r>
              <w:rPr>
                <w:color w:val="1C3A36"/>
                <w:sz w:val="16"/>
              </w:rPr>
              <w:t>FY2025 EBIT and EBITDA</w:t>
            </w:r>
          </w:p>
        </w:tc>
        <w:tc>
          <w:tcPr>
            <w:tcW w:type="dxa" w:w="10224"/>
          </w:tcPr>
          <w:p>
            <w:pPr>
              <w:spacing w:after="20"/>
            </w:pPr>
            <w:r>
              <w:rPr>
                <w:color w:val="1C3A36"/>
                <w:sz w:val="16"/>
              </w:rPr>
              <w:t>Disclosed profit after tax is grossed up at the statutory rate to give pre-tax profit; treasury income on the derived cash balance is deducted to give EBIT; depreciation at 4.6% of revenue is added back to give EBITDA.</w:t>
            </w:r>
          </w:p>
        </w:tc>
      </w:tr>
      <w:tr>
        <w:tc>
          <w:tcPr>
            <w:tcW w:type="dxa" w:w="3456"/>
          </w:tcPr>
          <w:p>
            <w:pPr>
              <w:spacing w:after="20"/>
            </w:pPr>
            <w:r>
              <w:rPr>
                <w:color w:val="1C3A36"/>
                <w:sz w:val="16"/>
              </w:rPr>
              <w:t>The cash balance</w:t>
            </w:r>
          </w:p>
        </w:tc>
        <w:tc>
          <w:tcPr>
            <w:tcW w:type="dxa" w:w="10224"/>
          </w:tcPr>
          <w:p>
            <w:pPr>
              <w:spacing w:after="20"/>
            </w:pPr>
            <w:r>
              <w:rPr>
                <w:color w:val="1C3A36"/>
                <w:sz w:val="16"/>
              </w:rPr>
              <w:t>No cash figure is separately obtainable. FY2024 cash is inferred as the derived FY2024 treasury income divided by the prevailing deposit yield; FY2025 cash is that balance grown by a stated multiple. This is the least well-evidenced material figure in the valuation and net cash is 37% of the equity value.</w:t>
            </w:r>
          </w:p>
        </w:tc>
      </w:tr>
      <w:tr>
        <w:tc>
          <w:tcPr>
            <w:tcW w:type="dxa" w:w="3456"/>
          </w:tcPr>
          <w:p>
            <w:pPr>
              <w:spacing w:after="20"/>
            </w:pPr>
            <w:r>
              <w:rPr>
                <w:color w:val="1C3A36"/>
                <w:sz w:val="16"/>
              </w:rPr>
              <w:t>Sales volume and realised price</w:t>
            </w:r>
          </w:p>
        </w:tc>
        <w:tc>
          <w:tcPr>
            <w:tcW w:type="dxa" w:w="10224"/>
          </w:tcPr>
          <w:p>
            <w:pPr>
              <w:spacing w:after="20"/>
            </w:pPr>
            <w:r>
              <w:rPr>
                <w:color w:val="1C3A36"/>
                <w:sz w:val="16"/>
              </w:rPr>
              <w:t>Volume is the Egyptian market size multiplied by the company's share; realised price is then disclosed revenue divided by that volume, so the build reproduces the reported top line exactly in all three historical years.</w:t>
            </w:r>
          </w:p>
        </w:tc>
      </w:tr>
      <w:tr>
        <w:tc>
          <w:tcPr>
            <w:tcW w:type="dxa" w:w="3456"/>
          </w:tcPr>
          <w:p>
            <w:pPr>
              <w:spacing w:after="20"/>
            </w:pPr>
            <w:r>
              <w:rPr>
                <w:color w:val="1C3A36"/>
                <w:sz w:val="16"/>
              </w:rPr>
              <w:t>Terminal return on invested capital</w:t>
            </w:r>
          </w:p>
        </w:tc>
        <w:tc>
          <w:tcPr>
            <w:tcW w:type="dxa" w:w="10224"/>
          </w:tcPr>
          <w:p>
            <w:pPr>
              <w:spacing w:after="20"/>
            </w:pPr>
            <w:r>
              <w:rPr>
                <w:color w:val="1C3A36"/>
                <w:sz w:val="16"/>
              </w:rPr>
              <w:t>Struck on replacement cost — 3.8Mt at USD 130 per annual tonne — rather than on book invested capital, which implies a 172% return because the plant is carried at 1997 cost through a five-fold devaluation.</w:t>
            </w:r>
          </w:p>
        </w:tc>
      </w:tr>
      <w:tr>
        <w:tc>
          <w:tcPr>
            <w:tcW w:type="dxa" w:w="3456"/>
          </w:tcPr>
          <w:p>
            <w:pPr>
              <w:spacing w:after="20"/>
            </w:pPr>
            <w:r>
              <w:rPr>
                <w:color w:val="1C3A36"/>
                <w:sz w:val="16"/>
              </w:rPr>
              <w:t>Beta — 1.00 adopted</w:t>
            </w:r>
          </w:p>
        </w:tc>
        <w:tc>
          <w:tcPr>
            <w:tcW w:type="dxa" w:w="10224"/>
          </w:tcPr>
          <w:p>
            <w:pPr>
              <w:spacing w:after="20"/>
            </w:pPr>
            <w:r>
              <w:rPr>
                <w:color w:val="1C3A36"/>
                <w:sz w:val="16"/>
              </w:rPr>
              <w:t>A five-year weekly regression of the shares against a 32-name equal-weight Egyptian composite returns 0.485 with an R-squared of 0.038 over 256 observations. That R-squared is below the 5% usability floor, so the regression result is NOT used. No Egyptian listed cement peer carries a price history in the covered library, so a re-levered peer beta is unavailable. 1.00 is adopted and corroborated: a lead-and-lag estimator correcting for the 29.3% of sessions that close unchanged gives 0.837, whose 90% interval contains 1.00.</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23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&amp; USD/FX regime</w:t>
            </w:r>
          </w:p>
        </w:tc>
        <w:tc>
          <w:tcPr>
            <w:tcW w:type="dxa" w:w="5846"/>
          </w:tcPr>
          <w:p>
            <w:pPr>
              <w:spacing w:after="20"/>
            </w:pPr>
            <w:r>
              <w:rPr>
                <w:color w:val="1C3A36"/>
                <w:sz w:val="14"/>
              </w:rPr>
              <w:t>Global easing cycle underway; Fed funds midpoint 3.63% (Jun-2026), which sets the backdrop against which Egypt's own 19.50% policy rate normalises</w:t>
            </w:r>
          </w:p>
        </w:tc>
        <w:tc>
          <w:tcPr>
            <w:tcW w:type="dxa" w:w="3053"/>
          </w:tcPr>
          <w:p>
            <w:pPr>
              <w:spacing w:after="20"/>
            </w:pPr>
            <w:r>
              <w:rPr>
                <w:color w:val="1C3A36"/>
                <w:sz w:val="14"/>
              </w:rPr>
              <w:t>US Federal Reserve policy history (house FED_SCHEDULE, engine/market_profiles.py)</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(input/output)</w:t>
            </w:r>
          </w:p>
        </w:tc>
        <w:tc>
          <w:tcPr>
            <w:tcW w:type="dxa" w:w="5846"/>
          </w:tcPr>
          <w:p>
            <w:pPr>
              <w:spacing w:after="20"/>
            </w:pPr>
            <w:r>
              <w:rPr>
                <w:color w:val="1C3A36"/>
                <w:sz w:val="14"/>
              </w:rPr>
              <w:t>Cement is an energy-conversion business: coal/petcoke and electricity are the dominant cash cost. Egypt's phased energy-subsidy reform keeps raising the local energy bill independent of the global fuel price</w:t>
            </w:r>
          </w:p>
        </w:tc>
        <w:tc>
          <w:tcPr>
            <w:tcW w:type="dxa" w:w="3053"/>
          </w:tcPr>
          <w:p>
            <w:pPr>
              <w:spacing w:after="20"/>
            </w:pPr>
            <w:r>
              <w:rPr>
                <w:color w:val="1C3A36"/>
                <w:sz w:val="14"/>
              </w:rPr>
              <w:t>Egypt Cement Industry Market Size &amp; Forecast Report 2020-2029 (production faces pressure from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global sector demand</w:t>
            </w:r>
          </w:p>
        </w:tc>
        <w:tc>
          <w:tcPr>
            <w:tcW w:type="dxa" w:w="5846"/>
          </w:tcPr>
          <w:p>
            <w:pPr>
              <w:spacing w:after="20"/>
            </w:pPr>
            <w:r>
              <w:rPr>
                <w:color w:val="1C3A36"/>
                <w:sz w:val="14"/>
              </w:rPr>
              <w:t>Cement is a non-traded-at-distance commodity — bulk sea freight limits the economic export radius, so global demand reaches SCEM only through the Mediterranean/East-African export basin, not through a world price</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Global</w:t>
            </w:r>
          </w:p>
        </w:tc>
        <w:tc>
          <w:tcPr>
            <w:tcW w:type="dxa" w:w="2275"/>
          </w:tcPr>
          <w:p>
            <w:pPr>
              <w:spacing w:after="20"/>
            </w:pPr>
            <w:r>
              <w:rPr>
                <w:color w:val="1C3A36"/>
                <w:sz w:val="14"/>
              </w:rPr>
              <w:t>trade / sanctions / supply chains</w:t>
            </w:r>
          </w:p>
        </w:tc>
        <w:tc>
          <w:tcPr>
            <w:tcW w:type="dxa" w:w="5846"/>
          </w:tcPr>
          <w:p>
            <w:pPr>
              <w:spacing w:after="20"/>
            </w:pPr>
            <w:r>
              <w:rPr>
                <w:color w:val="1C3A36"/>
                <w:sz w:val="14"/>
              </w:rPr>
              <w:t>Egyptian cement exports fell ~6% y/y to 18.5Mt in 2025, but the MIX inverted: finished-cement exports +66.6% to 12.5Mt while clinker exports fell ~38%</w:t>
            </w:r>
          </w:p>
        </w:tc>
        <w:tc>
          <w:tcPr>
            <w:tcW w:type="dxa" w:w="3053"/>
          </w:tcPr>
          <w:p>
            <w:pPr>
              <w:spacing w:after="20"/>
            </w:pPr>
            <w:r>
              <w:rPr>
                <w:color w:val="1C3A36"/>
                <w:sz w:val="14"/>
              </w:rPr>
              <w:t>Global Cement — Egyptian cement exports decline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CBE main operation rate 19.50%, held since 2 Apr 2026. Headline inflation eased to 14.6% in May-2026 (core 13.8%); CBE's own Q4-2026 target is 7% (+/-2pp) and it expects the target to be missed on average in Q4-2026 before declining from Q1-2027</w:t>
            </w:r>
          </w:p>
        </w:tc>
        <w:tc>
          <w:tcPr>
            <w:tcW w:type="dxa" w:w="3053"/>
          </w:tcPr>
          <w:p>
            <w:pPr>
              <w:spacing w:after="20"/>
            </w:pPr>
            <w:r>
              <w:rPr>
                <w:color w:val="1C3A36"/>
                <w:sz w:val="14"/>
              </w:rPr>
              <w:t>Central Bank of Egypt — policy rate and Monetary Policy Report Q1-2026; CPI release</w:t>
            </w:r>
          </w:p>
        </w:tc>
        <w:tc>
          <w:tcPr>
            <w:tcW w:type="dxa" w:w="1267"/>
          </w:tcPr>
          <w:p>
            <w:pPr>
              <w:spacing w:after="20"/>
            </w:pPr>
            <w:r>
              <w:rPr>
                <w:color w:val="1C3A36"/>
                <w:sz w:val="14"/>
              </w:rPr>
              <w:t>2026-06-10</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Egypt 5-year CDS ~330bp (May-2026), materially tighter than the 2024 crisis peak</w:t>
            </w:r>
          </w:p>
        </w:tc>
        <w:tc>
          <w:tcPr>
            <w:tcW w:type="dxa" w:w="3053"/>
          </w:tcPr>
          <w:p>
            <w:pPr>
              <w:spacing w:after="20"/>
            </w:pPr>
            <w:r>
              <w:rPr>
                <w:color w:val="1C3A36"/>
                <w:sz w:val="14"/>
              </w:rPr>
              <w:t>Egypt 5Y CDS series</w:t>
            </w:r>
          </w:p>
        </w:tc>
        <w:tc>
          <w:tcPr>
            <w:tcW w:type="dxa" w:w="1267"/>
          </w:tcPr>
          <w:p>
            <w:pPr>
              <w:spacing w:after="20"/>
            </w:pPr>
            <w:r>
              <w:rPr>
                <w:color w:val="1C3A36"/>
                <w:sz w:val="14"/>
              </w:rPr>
              <w:t>2026-05-31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The Egyptian Competition Authority PERMANENTLY lifted cement production quotas in July 2025 (suspended from May 2025). The quota regime had capped output since 2021</w:t>
            </w:r>
          </w:p>
        </w:tc>
        <w:tc>
          <w:tcPr>
            <w:tcW w:type="dxa" w:w="3053"/>
          </w:tcPr>
          <w:p>
            <w:pPr>
              <w:spacing w:after="20"/>
            </w:pPr>
            <w:r>
              <w:rPr>
                <w:color w:val="1C3A36"/>
                <w:sz w:val="14"/>
              </w:rPr>
              <w:t>Egyptian Competition Authority, reported via EnterpriseAM / Global Cement</w:t>
            </w:r>
          </w:p>
        </w:tc>
        <w:tc>
          <w:tcPr>
            <w:tcW w:type="dxa" w:w="1267"/>
          </w:tcPr>
          <w:p>
            <w:pPr>
              <w:spacing w:after="20"/>
            </w:pPr>
            <w:r>
              <w:rPr>
                <w:color w:val="1C3A36"/>
                <w:sz w:val="14"/>
              </w:rPr>
              <w:t>2025-07-01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Egypt corporate income tax 22.5%, unchanged</w:t>
            </w:r>
          </w:p>
        </w:tc>
        <w:tc>
          <w:tcPr>
            <w:tcW w:type="dxa" w:w="3053"/>
          </w:tcPr>
          <w:p>
            <w:pPr>
              <w:spacing w:after="20"/>
            </w:pPr>
            <w:r>
              <w:rPr>
                <w:color w:val="1C3A36"/>
                <w:sz w:val="14"/>
              </w:rPr>
              <w:t>PwC Worldwide Tax Summaries (house Cost-of-Capital reference)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fiscal / political events with sector read-through</w:t>
            </w:r>
          </w:p>
        </w:tc>
        <w:tc>
          <w:tcPr>
            <w:tcW w:type="dxa" w:w="5846"/>
          </w:tcPr>
          <w:p>
            <w:pPr>
              <w:spacing w:after="20"/>
            </w:pPr>
            <w:r>
              <w:rPr>
                <w:color w:val="1C3A36"/>
                <w:sz w:val="14"/>
              </w:rPr>
              <w:t>State-led housing, industrial and transport programmes are the marginal buyer of Egyptian cement; domestic consumption rose 13.4% to 54Mt in 2025 on that programme</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drivers &amp; capacity/supply balance</w:t>
            </w:r>
          </w:p>
        </w:tc>
        <w:tc>
          <w:tcPr>
            <w:tcW w:type="dxa" w:w="5846"/>
          </w:tcPr>
          <w:p>
            <w:pPr>
              <w:spacing w:after="20"/>
            </w:pPr>
            <w:r>
              <w:rPr>
                <w:color w:val="1C3A36"/>
                <w:sz w:val="14"/>
              </w:rPr>
              <w:t>2025 was the first year since 2008 that Egypt's cement supply-demand gap closed: domestic consumption 54Mt (+13.4% from 47.6Mt), production ~65Mt (+18% from 55Mt), operating utilisation ~98% against a nameplate 76Mt/yr across 46 lines</w:t>
            </w:r>
          </w:p>
        </w:tc>
        <w:tc>
          <w:tcPr>
            <w:tcW w:type="dxa" w:w="3053"/>
          </w:tcPr>
          <w:p>
            <w:pPr>
              <w:spacing w:after="20"/>
            </w:pPr>
            <w:r>
              <w:rPr>
                <w:color w:val="1C3A36"/>
                <w:sz w:val="14"/>
              </w:rPr>
              <w:t>Global Cement / cemnet (International Cement Review) — Egypt 2025 production</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new entrants (named-competitor level)</w:t>
            </w:r>
          </w:p>
        </w:tc>
        <w:tc>
          <w:tcPr>
            <w:tcW w:type="dxa" w:w="5846"/>
          </w:tcPr>
          <w:p>
            <w:pPr>
              <w:spacing w:after="20"/>
            </w:pPr>
            <w:r>
              <w:rPr>
                <w:color w:val="1C3A36"/>
                <w:sz w:val="14"/>
              </w:rPr>
              <w:t>Seven to nine dormant production lines are under study for revival, potentially adding 12.6Mt of supply from 2H 2026 -- ~23% of 2025 domestic consumption, landing INSIDE the explicit forecast window</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pricing</w:t>
            </w:r>
          </w:p>
        </w:tc>
        <w:tc>
          <w:tcPr>
            <w:tcW w:type="dxa" w:w="5846"/>
          </w:tcPr>
          <w:p>
            <w:pPr>
              <w:spacing w:after="20"/>
            </w:pPr>
            <w:r>
              <w:rPr>
                <w:color w:val="1C3A36"/>
                <w:sz w:val="14"/>
              </w:rPr>
              <w:t>Egyptian cement prices roughly doubled to ~USD 81/t (EGP 3.9k) in 2025 from ~USD 50/t (EGP 2.1k) a year earlier, then are estimated to normalise to EGP 3,600-3,620/t in 2026e on ~1% higher demand and higher costs</w:t>
            </w:r>
          </w:p>
        </w:tc>
        <w:tc>
          <w:tcPr>
            <w:tcW w:type="dxa" w:w="3053"/>
          </w:tcPr>
          <w:p>
            <w:pPr>
              <w:spacing w:after="20"/>
            </w:pPr>
            <w:r>
              <w:rPr>
                <w:color w:val="1C3A36"/>
                <w:sz w:val="14"/>
              </w:rPr>
              <w:t>EnterpriseAM Egypt — how Egypt's cement industry fared in 2025 and what's next</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technology substitution</w:t>
            </w:r>
          </w:p>
        </w:tc>
        <w:tc>
          <w:tcPr>
            <w:tcW w:type="dxa" w:w="5846"/>
          </w:tcPr>
          <w:p>
            <w:pPr>
              <w:spacing w:after="20"/>
            </w:pPr>
            <w:r>
              <w:rPr>
                <w:color w:val="1C3A36"/>
                <w:sz w:val="14"/>
              </w:rPr>
              <w:t>No material substitution threat to Portland cement in Egyptian construction over the forecast horizon; the live technology question is decarbonisation capex (alternative fuels, clinker factor), which is a cost/capex item rather than a demand substitution</w:t>
            </w:r>
          </w:p>
        </w:tc>
        <w:tc>
          <w:tcPr>
            <w:tcW w:type="dxa" w:w="3053"/>
          </w:tcPr>
          <w:p>
            <w:pPr>
              <w:spacing w:after="20"/>
            </w:pPr>
            <w:r>
              <w:rPr>
                <w:color w:val="1C3A36"/>
                <w:sz w:val="14"/>
              </w:rPr>
              <w:t>Global Cement sector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competitor capacity / price moves (named)</w:t>
            </w:r>
          </w:p>
        </w:tc>
        <w:tc>
          <w:tcPr>
            <w:tcW w:type="dxa" w:w="5846"/>
          </w:tcPr>
          <w:p>
            <w:pPr>
              <w:spacing w:after="20"/>
            </w:pPr>
            <w:r>
              <w:rPr>
                <w:color w:val="1C3A36"/>
                <w:sz w:val="14"/>
              </w:rPr>
              <w:t>Named listed EGX peers all posted the same 2025 step-change: Misr Beni Suef (MBSC) attributable profit +373.7% to EGP 3.946bn on sales of EGP 5.700bn, EPS EGP 61.25, trailing P/E 6.44 and EV/EBITDA 5.03 on a EGP 13.73bn market cap; Arabian Cement (ARCC) FY2025 consolidated profit ~EGP 3.6bn (H1-2025 alone +305.5% to EGP 1.405bn)</w:t>
            </w:r>
          </w:p>
        </w:tc>
        <w:tc>
          <w:tcPr>
            <w:tcW w:type="dxa" w:w="3053"/>
          </w:tcPr>
          <w:p>
            <w:pPr>
              <w:spacing w:after="20"/>
            </w:pPr>
            <w:r>
              <w:rPr>
                <w:color w:val="1C3A36"/>
                <w:sz w:val="14"/>
              </w:rPr>
              <w:t>Arab Finance / EGX filings for MBSC and ARCC</w:t>
            </w:r>
          </w:p>
        </w:tc>
        <w:tc>
          <w:tcPr>
            <w:tcW w:type="dxa" w:w="1267"/>
          </w:tcPr>
          <w:p>
            <w:pPr>
              <w:spacing w:after="20"/>
            </w:pPr>
            <w:r>
              <w:rPr>
                <w:color w:val="1C3A36"/>
                <w:sz w:val="14"/>
              </w:rPr>
              <w:t>2026-03-01</w:t>
            </w:r>
          </w:p>
        </w:tc>
      </w:tr>
      <w:tr>
        <w:tc>
          <w:tcPr>
            <w:tcW w:type="dxa" w:w="1094"/>
          </w:tcPr>
          <w:p>
            <w:pPr>
              <w:spacing w:after="20"/>
            </w:pPr>
            <w:r>
              <w:rPr>
                <w:color w:val="1C3A36"/>
                <w:sz w:val="14"/>
              </w:rPr>
              <w:t>Company</w:t>
            </w:r>
          </w:p>
        </w:tc>
        <w:tc>
          <w:tcPr>
            <w:tcW w:type="dxa" w:w="2275"/>
          </w:tcPr>
          <w:p>
            <w:pPr>
              <w:spacing w:after="20"/>
            </w:pPr>
            <w:r>
              <w:rPr>
                <w:color w:val="1C3A36"/>
                <w:sz w:val="14"/>
              </w:rPr>
              <w:t>one-off base-resetting transactions</w:t>
            </w:r>
          </w:p>
        </w:tc>
        <w:tc>
          <w:tcPr>
            <w:tcW w:type="dxa" w:w="5846"/>
          </w:tcPr>
          <w:p>
            <w:pPr>
              <w:spacing w:after="20"/>
            </w:pPr>
            <w:r>
              <w:rPr>
                <w:color w:val="1C3A36"/>
                <w:sz w:val="14"/>
              </w:rPr>
              <w:t>SCEM sold its 25.40% stake in Sinai White Portland Cement to Aalborg Portland Holding (Cementir) for EUR 30m; completed 13 Aug 2024, taking Cementir to 96.5% of SWCC</w:t>
            </w:r>
          </w:p>
        </w:tc>
        <w:tc>
          <w:tcPr>
            <w:tcW w:type="dxa" w:w="3053"/>
          </w:tcPr>
          <w:p>
            <w:pPr>
              <w:spacing w:after="20"/>
            </w:pPr>
            <w:r>
              <w:rPr>
                <w:color w:val="1C3A36"/>
                <w:sz w:val="14"/>
              </w:rPr>
              <w:t>Cementir Holding N.V. corporate announcement; cemnet/ICR</w:t>
            </w:r>
          </w:p>
        </w:tc>
        <w:tc>
          <w:tcPr>
            <w:tcW w:type="dxa" w:w="1267"/>
          </w:tcPr>
          <w:p>
            <w:pPr>
              <w:spacing w:after="20"/>
            </w:pPr>
            <w:r>
              <w:rPr>
                <w:color w:val="1C3A36"/>
                <w:sz w:val="14"/>
              </w:rPr>
              <w:t>2024-08-13</w:t>
            </w:r>
          </w:p>
        </w:tc>
      </w:tr>
      <w:tr>
        <w:tc>
          <w:tcPr>
            <w:tcW w:type="dxa" w:w="1094"/>
          </w:tcPr>
          <w:p>
            <w:pPr>
              <w:spacing w:after="20"/>
            </w:pPr>
            <w:r>
              <w:rPr>
                <w:color w:val="1C3A36"/>
                <w:sz w:val="14"/>
              </w:rPr>
              <w:t>Company</w:t>
            </w:r>
          </w:p>
        </w:tc>
        <w:tc>
          <w:tcPr>
            <w:tcW w:type="dxa" w:w="2275"/>
          </w:tcPr>
          <w:p>
            <w:pPr>
              <w:spacing w:after="20"/>
            </w:pPr>
            <w:r>
              <w:rPr>
                <w:color w:val="1C3A36"/>
                <w:sz w:val="14"/>
              </w:rPr>
              <w:t>ownership / stake changes (named-transaction rule)</w:t>
            </w:r>
          </w:p>
        </w:tc>
        <w:tc>
          <w:tcPr>
            <w:tcW w:type="dxa" w:w="5846"/>
          </w:tcPr>
          <w:p>
            <w:pPr>
              <w:spacing w:after="20"/>
            </w:pPr>
            <w:r>
              <w:rPr>
                <w:color w:val="1C3A36"/>
                <w:sz w:val="14"/>
              </w:rPr>
              <w:t>Vicat, via Vicat Egypt Cement Industries, holds 77.6%; in Jul-2025 it filed a mandatory tender offer for the remaining 58,416,664 shares (22.4%) at EGP 41.00/share</w:t>
            </w:r>
          </w:p>
        </w:tc>
        <w:tc>
          <w:tcPr>
            <w:tcW w:type="dxa" w:w="3053"/>
          </w:tcPr>
          <w:p>
            <w:pPr>
              <w:spacing w:after="20"/>
            </w:pPr>
            <w:r>
              <w:rPr>
                <w:color w:val="1C3A36"/>
                <w:sz w:val="14"/>
              </w:rPr>
              <w:t>FRA filing reported via Reuters/TradingView; Vicat H1-2025 results</w:t>
            </w:r>
          </w:p>
        </w:tc>
        <w:tc>
          <w:tcPr>
            <w:tcW w:type="dxa" w:w="1267"/>
          </w:tcPr>
          <w:p>
            <w:pPr>
              <w:spacing w:after="20"/>
            </w:pPr>
            <w:r>
              <w:rPr>
                <w:color w:val="1C3A36"/>
                <w:sz w:val="14"/>
              </w:rPr>
              <w:t>2025-07-28</w:t>
            </w:r>
          </w:p>
        </w:tc>
      </w:tr>
      <w:tr>
        <w:tc>
          <w:tcPr>
            <w:tcW w:type="dxa" w:w="1094"/>
          </w:tcPr>
          <w:p>
            <w:pPr>
              <w:spacing w:after="20"/>
            </w:pPr>
            <w:r>
              <w:rPr>
                <w:color w:val="1C3A36"/>
                <w:sz w:val="14"/>
              </w:rPr>
              <w:t>Company</w:t>
            </w:r>
          </w:p>
        </w:tc>
        <w:tc>
          <w:tcPr>
            <w:tcW w:type="dxa" w:w="2275"/>
          </w:tcPr>
          <w:p>
            <w:pPr>
              <w:spacing w:after="20"/>
            </w:pPr>
            <w:r>
              <w:rPr>
                <w:color w:val="1C3A36"/>
                <w:sz w:val="14"/>
              </w:rPr>
              <w:t>management &amp; capital actions</w:t>
            </w:r>
          </w:p>
        </w:tc>
        <w:tc>
          <w:tcPr>
            <w:tcW w:type="dxa" w:w="5846"/>
          </w:tcPr>
          <w:p>
            <w:pPr>
              <w:spacing w:after="20"/>
            </w:pPr>
            <w:r>
              <w:rPr>
                <w:color w:val="1C3A36"/>
                <w:sz w:val="14"/>
              </w:rPr>
              <w:t>Feb-2024 EGM raised authorised capital to EGP 10bn and issued capital by EGP 1.68bn; 168.20m shares offered, 75.95% (127.74m) taken up by senior shareholders in phase 1. Issued capital now EGP 2,608,124,770 at EGP 10 par = 260,812,477 shares</w:t>
            </w:r>
          </w:p>
        </w:tc>
        <w:tc>
          <w:tcPr>
            <w:tcW w:type="dxa" w:w="3053"/>
          </w:tcPr>
          <w:p>
            <w:pPr>
              <w:spacing w:after="20"/>
            </w:pPr>
            <w:r>
              <w:rPr>
                <w:color w:val="1C3A36"/>
                <w:sz w:val="14"/>
              </w:rPr>
              <w:t>Sinai Cement EGM resolutions and capital-increase announcements via EGX</w:t>
            </w:r>
          </w:p>
        </w:tc>
        <w:tc>
          <w:tcPr>
            <w:tcW w:type="dxa" w:w="1267"/>
          </w:tcPr>
          <w:p>
            <w:pPr>
              <w:spacing w:after="20"/>
            </w:pPr>
            <w:r>
              <w:rPr>
                <w:color w:val="1C3A36"/>
                <w:sz w:val="14"/>
              </w:rPr>
              <w:t>2024-07-01</w:t>
            </w:r>
          </w:p>
        </w:tc>
      </w:tr>
      <w:tr>
        <w:tc>
          <w:tcPr>
            <w:tcW w:type="dxa" w:w="1094"/>
          </w:tcPr>
          <w:p>
            <w:pPr>
              <w:spacing w:after="20"/>
            </w:pPr>
            <w:r>
              <w:rPr>
                <w:color w:val="1C3A36"/>
                <w:sz w:val="14"/>
              </w:rPr>
              <w:t>Company</w:t>
            </w:r>
          </w:p>
        </w:tc>
        <w:tc>
          <w:tcPr>
            <w:tcW w:type="dxa" w:w="2275"/>
          </w:tcPr>
          <w:p>
            <w:pPr>
              <w:spacing w:after="20"/>
            </w:pPr>
            <w:r>
              <w:rPr>
                <w:color w:val="1C3A36"/>
                <w:sz w:val="14"/>
              </w:rPr>
              <w:t>official financial statements</w:t>
            </w:r>
          </w:p>
        </w:tc>
        <w:tc>
          <w:tcPr>
            <w:tcW w:type="dxa" w:w="5846"/>
          </w:tcPr>
          <w:p>
            <w:pPr>
              <w:spacing w:after="20"/>
            </w:pPr>
            <w:r>
              <w:rPr>
                <w:color w:val="1C3A36"/>
                <w:sz w:val="14"/>
              </w:rPr>
              <w:t>FY2023-FY2025 consolidated: revenue EGP 4.28bn / 6.42bn / 9.09bn; net profit after tax EGP -121.4m / +3,070m / +2,290m; FY2024 EPS attributable EGP 23.13 (FY2023 -0.88 restated); 9M-2025 net profit EGP 1.53bn</w:t>
            </w:r>
          </w:p>
        </w:tc>
        <w:tc>
          <w:tcPr>
            <w:tcW w:type="dxa" w:w="3053"/>
          </w:tcPr>
          <w:p>
            <w:pPr>
              <w:spacing w:after="20"/>
            </w:pPr>
            <w:r>
              <w:rPr>
                <w:color w:val="1C3A36"/>
                <w:sz w:val="14"/>
              </w:rPr>
              <w:t>EGX filings reported by Global Cement, cemnet/ICR, Daily News Egypt and Arab Finance</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regular disclosures</w:t>
            </w:r>
          </w:p>
        </w:tc>
        <w:tc>
          <w:tcPr>
            <w:tcW w:type="dxa" w:w="5846"/>
          </w:tcPr>
          <w:p>
            <w:pPr>
              <w:spacing w:after="20"/>
            </w:pPr>
            <w:r>
              <w:rPr>
                <w:color w:val="1C3A36"/>
                <w:sz w:val="14"/>
              </w:rPr>
              <w:t>Balance sheet: FY2024 total assets EGP 6,385.9m against total liabilities EGP 1,610.9m (equity EGP 4,775.1m -- the triple closes exactly). Latest reported total debt EGP 36.8m against ~EGP 5.2bn equity, i.e. debt/equity 0.7% and a NET CASH position</w:t>
            </w:r>
          </w:p>
        </w:tc>
        <w:tc>
          <w:tcPr>
            <w:tcW w:type="dxa" w:w="3053"/>
          </w:tcPr>
          <w:p>
            <w:pPr>
              <w:spacing w:after="20"/>
            </w:pPr>
            <w:r>
              <w:rPr>
                <w:color w:val="1C3A36"/>
                <w:sz w:val="14"/>
              </w:rPr>
              <w:t>EGX filings via aggregated financial summaries</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strategic plans &amp; guidance</w:t>
            </w:r>
          </w:p>
        </w:tc>
        <w:tc>
          <w:tcPr>
            <w:tcW w:type="dxa" w:w="5846"/>
          </w:tcPr>
          <w:p>
            <w:pPr>
              <w:spacing w:after="20"/>
            </w:pPr>
            <w:r>
              <w:rPr>
                <w:color w:val="1C3A36"/>
                <w:sz w:val="14"/>
              </w:rPr>
              <w:t>SCEM operates two lines at El Hassana, North Sinai, ~3.8Mt/yr cement capacity, and reported lifting its market share to ~5% of the Egyptian market</w:t>
            </w:r>
          </w:p>
        </w:tc>
        <w:tc>
          <w:tcPr>
            <w:tcW w:type="dxa" w:w="3053"/>
          </w:tcPr>
          <w:p>
            <w:pPr>
              <w:spacing w:after="20"/>
            </w:pPr>
            <w:r>
              <w:rPr>
                <w:color w:val="1C3A36"/>
                <w:sz w:val="14"/>
              </w:rPr>
              <w:t>Company profile and FY2024 results commentary via Daily News Egypt / Global Energy Monitor plant register</w:t>
            </w:r>
          </w:p>
        </w:tc>
        <w:tc>
          <w:tcPr>
            <w:tcW w:type="dxa" w:w="1267"/>
          </w:tcPr>
          <w:p>
            <w:pPr>
              <w:spacing w:after="20"/>
            </w:pPr>
            <w:r>
              <w:rPr>
                <w:color w:val="1C3A36"/>
                <w:sz w:val="14"/>
              </w:rPr>
              <w:t>2025-03-23</w:t>
            </w:r>
          </w:p>
        </w:tc>
      </w:tr>
    </w:tbl>
    <w:p>
      <w:pPr>
        <w:spacing w:after="40"/>
      </w:pPr>
    </w:p>
    <w:p>
      <w:pPr>
        <w:spacing w:after="80" w:before="200"/>
      </w:pPr>
      <w:r>
        <w:rPr>
          <w:b/>
          <w:i w:val="0"/>
          <w:color w:val="1C3A36"/>
          <w:sz w:val="23"/>
        </w:rPr>
        <w:t>Searches that returned nothing</w:t>
      </w:r>
    </w:p>
    <w:p>
      <w:pPr>
        <w:spacing w:after="100" w:before="0"/>
      </w:pPr>
      <w:r>
        <w:rPr>
          <w:b w:val="0"/>
          <w:i w:val="0"/>
          <w:color w:val="1C3A36"/>
          <w:sz w:val="19"/>
        </w:rPr>
        <w:t>Recorded because an absence of evidence shaped the model as much as the evidence did.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0512"/>
      </w:tblGrid>
      <w:tr>
        <w:tc>
          <w:tcPr>
            <w:tcW w:type="dxa" w:w="3168"/>
            <w:shd w:val="clear" w:color="auto" w:fill="EAF0EE"/>
          </w:tcPr>
          <w:p>
            <w:pPr>
              <w:spacing w:after="20"/>
            </w:pPr>
            <w:r>
              <w:rPr>
                <w:b/>
                <w:color w:val="1C3A36"/>
                <w:sz w:val="16"/>
              </w:rPr>
              <w:t>Topic</w:t>
            </w:r>
          </w:p>
        </w:tc>
        <w:tc>
          <w:tcPr>
            <w:tcW w:type="dxa" w:w="10512"/>
            <w:shd w:val="clear" w:color="auto" w:fill="EAF0EE"/>
          </w:tcPr>
          <w:p>
            <w:pPr>
              <w:spacing w:after="20"/>
            </w:pPr>
            <w:r>
              <w:rPr>
                <w:b/>
                <w:color w:val="1C3A36"/>
                <w:sz w:val="16"/>
              </w:rPr>
              <w:t>What was searched for</w:t>
            </w:r>
          </w:p>
        </w:tc>
      </w:tr>
      <w:tr>
        <w:tc>
          <w:tcPr>
            <w:tcW w:type="dxa" w:w="3168"/>
          </w:tcPr>
          <w:p>
            <w:pPr>
              <w:spacing w:after="20"/>
            </w:pPr>
            <w:r>
              <w:rPr>
                <w:color w:val="1C3A36"/>
                <w:sz w:val="16"/>
              </w:rPr>
              <w:t>IR communications (calls, presentations, releases)</w:t>
            </w:r>
          </w:p>
        </w:tc>
        <w:tc>
          <w:tcPr>
            <w:tcW w:type="dxa" w:w="10512"/>
          </w:tcPr>
          <w:p>
            <w:pPr>
              <w:spacing w:after="20"/>
            </w:pPr>
            <w:r>
              <w:rPr>
                <w:color w:val="1C3A36"/>
                <w:sz w:val="16"/>
              </w:rPr>
              <w:t>sinaicement.com investor relations, EGX disclosure portal, earnings-call transcripts and results presentations for FY2024/FY2025 -- every host refused by egress policy; no transcript or presentation obtainable from search either</w:t>
            </w:r>
          </w:p>
        </w:tc>
      </w:tr>
      <w:tr>
        <w:tc>
          <w:tcPr>
            <w:tcW w:type="dxa" w:w="3168"/>
          </w:tcPr>
          <w:p>
            <w:pPr>
              <w:spacing w:after="20"/>
            </w:pPr>
            <w:r>
              <w:rPr>
                <w:color w:val="1C3A36"/>
                <w:sz w:val="16"/>
              </w:rPr>
              <w:t>regular disclosures</w:t>
            </w:r>
          </w:p>
        </w:tc>
        <w:tc>
          <w:tcPr>
            <w:tcW w:type="dxa" w:w="10512"/>
          </w:tcPr>
          <w:p>
            <w:pPr>
              <w:spacing w:after="20"/>
            </w:pPr>
            <w:r>
              <w:rPr>
                <w:color w:val="1C3A36"/>
                <w:sz w:val="16"/>
              </w:rPr>
              <w:t>'Sinai Cement other income / investment income / treasury bills / deposits EGP' and '9M 2025 operating profit gross profit cost of sales' -- no interest-income, finance-income or below-EBIT line item is disclosed in any retrievable source; the income statement between revenue and net profit is not obtainable line by line</w:t>
            </w:r>
          </w:p>
        </w:tc>
      </w:tr>
      <w:tr>
        <w:tc>
          <w:tcPr>
            <w:tcW w:type="dxa" w:w="3168"/>
          </w:tcPr>
          <w:p>
            <w:pPr>
              <w:spacing w:after="20"/>
            </w:pPr>
            <w:r>
              <w:rPr>
                <w:color w:val="1C3A36"/>
                <w:sz w:val="16"/>
              </w:rPr>
              <w:t>strategic plans &amp; guidance</w:t>
            </w:r>
          </w:p>
        </w:tc>
        <w:tc>
          <w:tcPr>
            <w:tcW w:type="dxa" w:w="10512"/>
          </w:tcPr>
          <w:p>
            <w:pPr>
              <w:spacing w:after="20"/>
            </w:pPr>
            <w:r>
              <w:rPr>
                <w:color w:val="1C3A36"/>
                <w:sz w:val="16"/>
              </w:rPr>
              <w:t>'Sinai Cement capex / capital expenditure / investment plan / maintenance capex / free cash flow 2025 2026' -- no capital-expenditure figure, guidance or investment programme is disclosed in any retrievable source</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