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Calibri" w:cs="Calibri" w:eastAsia="Calibri" w:hAnsi="Calibri"/>
          <w:b/>
          <w:bCs/>
          <w:sz w:val="40"/>
          <w:szCs w:val="40"/>
        </w:rPr>
        <w:t xml:space="preserve">Jordan Park</w:t>
      </w:r>
    </w:p>
    <w:p>
      <w:pPr>
        <w:spacing w:after="80"/>
        <w:jc w:val="center"/>
      </w:pPr>
      <w:r>
        <w:rPr>
          <w:rFonts w:ascii="Calibri" w:cs="Calibri" w:eastAsia="Calibri" w:hAnsi="Calibri"/>
          <w:b/>
          <w:bCs/>
          <w:color w:val="C0392B"/>
          <w:sz w:val="22"/>
          <w:szCs w:val="22"/>
        </w:rPr>
        <w:t xml:space="preserve">Senior Product Manager  |  Activation · Workflow Automation · B2B SaaS</w:t>
      </w:r>
    </w:p>
    <w:p>
      <w:pPr>
        <w:spacing w:after="40"/>
        <w:jc w:val="center"/>
      </w:pPr>
      <w:r>
        <w:rPr>
          <w:rFonts w:ascii="Calibri" w:cs="Calibri" w:eastAsia="Calibri" w:hAnsi="Calibri"/>
          <w:sz w:val="20"/>
          <w:szCs w:val="20"/>
        </w:rPr>
        <w:t xml:space="preserve">Brooklyn, NY  |  +1 718 555 0142  |  jordan.park@example.com</w:t>
      </w:r>
    </w:p>
    <w:p>
      <w:pPr>
        <w:spacing w:after="160"/>
        <w:jc w:val="center"/>
      </w:pPr>
      <w:hyperlink w:history="1" r:id="rIdl8ylpfskg4pjm-brcx3va">
        <w:r>
          <w:rPr>
            <w:rStyle w:val="Hyperlink"/>
            <w:rFonts w:ascii="Calibri" w:cs="Calibri" w:eastAsia="Calibri" w:hAnsi="Calibri"/>
            <w:sz w:val="20"/>
            <w:szCs w:val="20"/>
          </w:rPr>
          <w:t xml:space="preserve">jordanpark.me</w:t>
        </w:r>
      </w:hyperlink>
      <w:r>
        <w:rPr>
          <w:rFonts w:ascii="Calibri" w:cs="Calibri" w:eastAsia="Calibri" w:hAnsi="Calibri"/>
          <w:sz w:val="20"/>
          <w:szCs w:val="20"/>
        </w:rPr>
        <w:t xml:space="preserve">  |  </w:t>
      </w:r>
      <w:hyperlink w:history="1" r:id="rIdquo2p7jg1dg1knvztxav9">
        <w:r>
          <w:rPr>
            <w:rStyle w:val="Hyperlink"/>
            <w:rFonts w:ascii="Calibri" w:cs="Calibri" w:eastAsia="Calibri" w:hAnsi="Calibri"/>
            <w:sz w:val="20"/>
            <w:szCs w:val="20"/>
          </w:rPr>
          <w:t xml:space="preserve">linkedin.com/in/jordanpark</w:t>
        </w:r>
      </w:hyperlink>
      <w:r>
        <w:rPr>
          <w:rFonts w:ascii="Calibri" w:cs="Calibri" w:eastAsia="Calibri" w:hAnsi="Calibri"/>
          <w:sz w:val="20"/>
          <w:szCs w:val="20"/>
        </w:rPr>
        <w:t xml:space="preserve">  |  Available immediately</w:t>
      </w:r>
    </w:p>
    <w:p>
      <w:pPr>
        <w:pBdr>
          <w:bottom w:val="single" w:color="C0392B" w:sz="6" w:space="2"/>
        </w:pBdr>
        <w:spacing w:after="80" w:before="160"/>
      </w:pPr>
      <w:r>
        <w:rPr>
          <w:rFonts w:ascii="Calibri" w:cs="Calibri" w:eastAsia="Calibri" w:hAnsi="Calibri"/>
          <w:b/>
          <w:bCs/>
          <w:color w:val="C0392B"/>
          <w:sz w:val="24"/>
          <w:szCs w:val="24"/>
        </w:rPr>
        <w:t xml:space="preserve">PROFESSIONAL SUMMARY</w:t>
      </w:r>
    </w:p>
    <w:p>
      <w:pPr>
        <w:spacing w:after="80"/>
      </w:pPr>
      <w:r>
        <w:rPr>
          <w:rFonts w:ascii="Calibri" w:cs="Calibri" w:eastAsia="Calibri" w:hAnsi="Calibri"/>
          <w:sz w:val="20"/>
          <w:szCs w:val="20"/>
        </w:rPr>
        <w:t xml:space="preserve">Senior product manager with eight years shipping consumer and enterprise products across mobile and web. Most recent work rebuilt an onboarding funnel for a 15-million-user product, lifting 7-day activation from 32% to 38% in a single quarter and earning a TechCrunch case study. Strong at turning quantitative funnel insight into roadmap priorities that cross-functional teams will defend, now aimed at mid-market B2B SaaS.</w:t>
      </w:r>
    </w:p>
    <w:p>
      <w:pPr>
        <w:pBdr>
          <w:bottom w:val="single" w:color="C0392B" w:sz="6" w:space="2"/>
        </w:pBdr>
        <w:spacing w:after="80" w:before="160"/>
      </w:pPr>
      <w:r>
        <w:rPr>
          <w:rFonts w:ascii="Calibri" w:cs="Calibri" w:eastAsia="Calibri" w:hAnsi="Calibri"/>
          <w:b/>
          <w:bCs/>
          <w:color w:val="C0392B"/>
          <w:sz w:val="24"/>
          <w:szCs w:val="24"/>
        </w:rPr>
        <w:t xml:space="preserve">CORE SKILLS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Product-Led Growth: </w:t>
      </w: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activation funnels, retention loops, and experimentation platform design for B2B SaaS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Roadmap Ownership: </w:t>
      </w: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quarterly OKRs and prioritization with stakeholder management across engineering, design, and go-to-market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User Research: </w:t>
      </w: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qualitative interviewing, usability testing, and jobs-to-be-done frameworks run as a practice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Cross-Functional Delivery: </w:t>
      </w: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shipping in two-week iterations across async, distributed product &amp; engineering teams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Tools: </w:t>
      </w: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Amplitude, Mixpanel, Looker, Linear, Figma, dbt</w:t>
      </w:r>
    </w:p>
    <w:p>
      <w:pPr>
        <w:pBdr>
          <w:bottom w:val="single" w:color="C0392B" w:sz="6" w:space="2"/>
        </w:pBdr>
        <w:spacing w:after="80" w:before="160"/>
      </w:pPr>
      <w:r>
        <w:rPr>
          <w:rFonts w:ascii="Calibri" w:cs="Calibri" w:eastAsia="Calibri" w:hAnsi="Calibri"/>
          <w:b/>
          <w:bCs/>
          <w:color w:val="C0392B"/>
          <w:sz w:val="24"/>
          <w:szCs w:val="24"/>
        </w:rPr>
        <w:t xml:space="preserve">PROFESSIONAL EXPERIENCE</w:t>
      </w:r>
    </w:p>
    <w:p>
      <w:pPr>
        <w:tabs>
          <w:tab w:val="right" w:pos="9626"/>
        </w:tabs>
        <w:spacing w:after="20" w:before="140"/>
        <w:ind w:left="12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Senior Product Manager, Activation</w:t>
      </w:r>
      <w:r>
        <w:rPr>
          <w:rFonts w:ascii="Calibri" w:cs="Calibri" w:eastAsia="Calibri" w:hAnsi="Calibri"/>
          <w:i/>
          <w:iCs/>
          <w:color w:val="666666"/>
          <w:sz w:val="20"/>
          <w:szCs w:val="20"/>
        </w:rPr>
        <w:t xml:space="preserve"/>
      </w:r>
      <w:r>
        <w:rPr>
          <w:rFonts w:ascii="Calibri" w:cs="Calibri" w:eastAsia="Calibri" w:hAnsi="Calibri"/>
          <w:i/>
          <w:iCs/>
          <w:color w:val="666666"/>
          <w:sz w:val="20"/>
          <w:szCs w:val="20"/>
        </w:rPr>
        <w:tab/>
      </w:r>
      <w:r>
        <w:rPr>
          <w:rFonts w:ascii="Calibri" w:cs="Calibri" w:eastAsia="Calibri" w:hAnsi="Calibri"/>
          <w:i/>
          <w:iCs/>
          <w:color w:val="666666"/>
          <w:sz w:val="20"/>
          <w:szCs w:val="20"/>
        </w:rPr>
        <w:t xml:space="preserve">March 2024 – Present</w:t>
      </w:r>
    </w:p>
    <w:p>
      <w:pPr>
        <w:spacing w:after="60"/>
        <w:ind w:left="120"/>
      </w:pPr>
      <w:r>
        <w:rPr>
          <w:rFonts w:ascii="Calibri" w:cs="Calibri" w:eastAsia="Calibri" w:hAnsi="Calibri"/>
          <w:b/>
          <w:bCs/>
          <w:color w:val="C0392B"/>
          <w:sz w:val="20"/>
          <w:szCs w:val="20"/>
        </w:rPr>
        <w:t xml:space="preserve">Beta Inc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 ·  Brooklyn, NY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Led the onboarding redesign that lifted </w:t>
      </w:r>
      <w:r>
        <w:rPr>
          <w:rFonts w:ascii="Calibri" w:cs="Calibri" w:eastAsia="Calibri" w:hAnsi="Calibri"/>
          <w:b/>
          <w:bCs/>
          <w:sz w:val="20"/>
          <w:szCs w:val="20"/>
        </w:rPr>
        <w:t>7-day activation from 32% to 38%</w:t>
      </w: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 in one quarter: a full funnel teardown that surfaced three drop-off points, prioritized a mistimed permissions prompt, and shipped a re-sequenced flow that </w:t>
      </w:r>
      <w:r>
        <w:rPr>
          <w:rFonts w:ascii="Calibri" w:cs="Calibri" w:eastAsia="Calibri" w:hAnsi="Calibri"/>
          <w:b/>
          <w:bCs/>
          <w:sz w:val="20"/>
          <w:szCs w:val="20"/>
        </w:rPr>
        <w:t>TechCrunch</w:t>
      </w: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 covered as a case study in product-led growth.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Built the experimentation platform the product team now runs on, cutting test turnaround from roughly </w:t>
      </w:r>
      <w:r>
        <w:rPr>
          <w:rFonts w:ascii="Calibri" w:cs="Calibri" w:eastAsia="Calibri" w:hAnsi="Calibri"/>
          <w:b/>
          <w:bCs/>
          <w:sz w:val="20"/>
          <w:szCs w:val="20"/>
        </w:rPr>
        <w:t>three weeks to six days</w:t>
      </w: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 and supporting 40+ concurrent tests across 7 product surfaces, the infrastructure that keeps activation work measured rather than argued.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Owned the activation roadmap end to end, including quarterly OKRs, prioritization, and cross-functional coordination across engineering, design, marketing, and analytics, an operating rhythm of stakeholder management across four functions.</w:t>
      </w:r>
    </w:p>
    <w:p>
      <w:pPr>
        <w:tabs>
          <w:tab w:val="right" w:pos="9626"/>
        </w:tabs>
        <w:spacing w:after="20" w:before="140"/>
        <w:ind w:left="12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Product Manager</w:t>
      </w:r>
      <w:r>
        <w:rPr>
          <w:rFonts w:ascii="Calibri" w:cs="Calibri" w:eastAsia="Calibri" w:hAnsi="Calibri"/>
          <w:i/>
          <w:iCs/>
          <w:color w:val="666666"/>
          <w:sz w:val="20"/>
          <w:szCs w:val="20"/>
        </w:rPr>
        <w:t xml:space="preserve"/>
      </w:r>
      <w:r>
        <w:rPr>
          <w:rFonts w:ascii="Calibri" w:cs="Calibri" w:eastAsia="Calibri" w:hAnsi="Calibri"/>
          <w:i/>
          <w:iCs/>
          <w:color w:val="666666"/>
          <w:sz w:val="20"/>
          <w:szCs w:val="20"/>
        </w:rPr>
        <w:tab/>
      </w:r>
      <w:r>
        <w:rPr>
          <w:rFonts w:ascii="Calibri" w:cs="Calibri" w:eastAsia="Calibri" w:hAnsi="Calibri"/>
          <w:i/>
          <w:iCs/>
          <w:color w:val="666666"/>
          <w:sz w:val="20"/>
          <w:szCs w:val="20"/>
        </w:rPr>
        <w:t xml:space="preserve">June 2022 – March 2024</w:t>
      </w:r>
    </w:p>
    <w:p>
      <w:pPr>
        <w:spacing w:after="60"/>
        <w:ind w:left="120"/>
      </w:pPr>
      <w:r>
        <w:rPr>
          <w:rFonts w:ascii="Calibri" w:cs="Calibri" w:eastAsia="Calibri" w:hAnsi="Calibri"/>
          <w:b/>
          <w:bCs/>
          <w:color w:val="C0392B"/>
          <w:sz w:val="20"/>
          <w:szCs w:val="20"/>
        </w:rPr>
        <w:t xml:space="preserve">Beta Inc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 ·  Brooklyn, NY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Ran the notifications and re-engagement surface and shipped a digest redesign that cut notification opt-outs by </w:t>
      </w:r>
      <w:r>
        <w:rPr>
          <w:rFonts w:ascii="Calibri" w:cs="Calibri" w:eastAsia="Calibri" w:hAnsi="Calibri"/>
          <w:b/>
          <w:bCs/>
          <w:sz w:val="20"/>
          <w:szCs w:val="20"/>
        </w:rPr>
        <w:t>22%</w:t>
      </w: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 while holding re-engagement flat, a quality-over-quantity bet made and defended with user-behavior data.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Owned the mobile-web feature parity program, coordinating a cross-functional backlog across two engineering pods over two quarters and reporting trade-offs directly to founders and functional leads.</w:t>
      </w:r>
    </w:p>
    <w:p>
      <w:pPr>
        <w:tabs>
          <w:tab w:val="right" w:pos="9626"/>
        </w:tabs>
        <w:spacing w:after="20" w:before="140"/>
        <w:ind w:left="12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Product Manager</w:t>
      </w:r>
      <w:r>
        <w:rPr>
          <w:rFonts w:ascii="Calibri" w:cs="Calibri" w:eastAsia="Calibri" w:hAnsi="Calibri"/>
          <w:i/>
          <w:iCs/>
          <w:color w:val="666666"/>
          <w:sz w:val="20"/>
          <w:szCs w:val="20"/>
        </w:rPr>
        <w:t xml:space="preserve"/>
      </w:r>
      <w:r>
        <w:rPr>
          <w:rFonts w:ascii="Calibri" w:cs="Calibri" w:eastAsia="Calibri" w:hAnsi="Calibri"/>
          <w:i/>
          <w:iCs/>
          <w:color w:val="666666"/>
          <w:sz w:val="20"/>
          <w:szCs w:val="20"/>
        </w:rPr>
        <w:tab/>
      </w:r>
      <w:r>
        <w:rPr>
          <w:rFonts w:ascii="Calibri" w:cs="Calibri" w:eastAsia="Calibri" w:hAnsi="Calibri"/>
          <w:i/>
          <w:iCs/>
          <w:color w:val="666666"/>
          <w:sz w:val="20"/>
          <w:szCs w:val="20"/>
        </w:rPr>
        <w:t xml:space="preserve">August 2018 – May 2022</w:t>
      </w:r>
    </w:p>
    <w:p>
      <w:pPr>
        <w:spacing w:after="60"/>
        <w:ind w:left="120"/>
      </w:pPr>
      <w:r>
        <w:rPr>
          <w:rFonts w:ascii="Calibri" w:cs="Calibri" w:eastAsia="Calibri" w:hAnsi="Calibri"/>
          <w:b/>
          <w:bCs/>
          <w:color w:val="C0392B"/>
          <w:sz w:val="20"/>
          <w:szCs w:val="20"/>
        </w:rPr>
        <w:t xml:space="preserve">Alpha Apps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 ·  San Francisco, 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Owned the creator-tools surface, the publishing and audience-growth features the app's power users relied on, translating heavy-user feedback into a prioritized roadmap the team could commit 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Built and ran the product org's user research practice for 2 years: the interview cadence, the usability-testing rhythm, and the jobs-to-be-done framework the team still uses today.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Shipped the collaborative-albums feature that became the </w:t>
      </w:r>
      <w:r>
        <w:rPr>
          <w:rFonts w:ascii="Calibri" w:cs="Calibri" w:eastAsia="Calibri" w:hAnsi="Calibri"/>
          <w:b/>
          <w:bCs/>
          <w:sz w:val="20"/>
          <w:szCs w:val="20"/>
        </w:rPr>
        <w:t>second-most-used feature</w:t>
      </w: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 in the app within 6 months of launch, validated end to end through that user research pipeline.</w:t>
      </w:r>
    </w:p>
    <w:p>
      <w:pPr>
        <w:pBdr>
          <w:bottom w:val="single" w:color="C0392B" w:sz="6" w:space="2"/>
        </w:pBdr>
        <w:spacing w:after="80" w:before="160"/>
      </w:pPr>
      <w:r>
        <w:rPr>
          <w:rFonts w:ascii="Calibri" w:cs="Calibri" w:eastAsia="Calibri" w:hAnsi="Calibri"/>
          <w:b/>
          <w:bCs/>
          <w:color w:val="C0392B"/>
          <w:sz w:val="24"/>
          <w:szCs w:val="24"/>
        </w:rPr>
        <w:t xml:space="preserve">EDUCATION</w:t>
      </w:r>
    </w:p>
    <w:p>
      <w:pPr>
        <w:tabs>
          <w:tab w:val="right" w:pos="9626"/>
        </w:tabs>
        <w:spacing w:after="20" w:before="140"/>
        <w:ind w:left="12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MSc, Quantitative Psychology</w:t>
      </w:r>
      <w:r>
        <w:rPr>
          <w:rFonts w:ascii="Calibri" w:cs="Calibri" w:eastAsia="Calibri" w:hAnsi="Calibri"/>
          <w:i/>
          <w:iCs/>
          <w:color w:val="666666"/>
          <w:sz w:val="20"/>
          <w:szCs w:val="20"/>
        </w:rPr>
        <w:tab/>
        <w:t xml:space="preserve">2018</w:t>
      </w:r>
    </w:p>
    <w:p>
      <w:pPr>
        <w:spacing w:after="60"/>
        <w:ind w:left="120"/>
      </w:pPr>
      <w:r>
        <w:rPr>
          <w:rFonts w:ascii="Calibri" w:cs="Calibri" w:eastAsia="Calibri" w:hAnsi="Calibri"/>
          <w:b/>
          <w:bCs/>
          <w:color w:val="C0392B"/>
          <w:sz w:val="20"/>
          <w:szCs w:val="20"/>
        </w:rPr>
        <w:t xml:space="preserve">University of Michigan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 ·  Ann Arbor, MI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Coursework in panel data econometrics, mixed-effects modeling, and research methodology; thesis on attention and engagement patterns in consumer mobile apps, the academic root of the activation and user research work since.</w:t>
      </w:r>
    </w:p>
    <w:p>
      <w:pPr>
        <w:tabs>
          <w:tab w:val="right" w:pos="9626"/>
        </w:tabs>
        <w:spacing w:after="20" w:before="140"/>
        <w:ind w:left="12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BA, Cognitive Science</w:t>
      </w:r>
      <w:r>
        <w:rPr>
          <w:rFonts w:ascii="Calibri" w:cs="Calibri" w:eastAsia="Calibri" w:hAnsi="Calibri"/>
          <w:i/>
          <w:iCs/>
          <w:color w:val="666666"/>
          <w:sz w:val="20"/>
          <w:szCs w:val="20"/>
        </w:rPr>
        <w:tab/>
        <w:t xml:space="preserve">2016</w:t>
      </w:r>
    </w:p>
    <w:p>
      <w:pPr>
        <w:spacing w:after="60"/>
        <w:ind w:left="120"/>
      </w:pPr>
      <w:r>
        <w:rPr>
          <w:rFonts w:ascii="Calibri" w:cs="Calibri" w:eastAsia="Calibri" w:hAnsi="Calibri"/>
          <w:b/>
          <w:bCs/>
          <w:color w:val="C0392B"/>
          <w:sz w:val="20"/>
          <w:szCs w:val="20"/>
        </w:rPr>
        <w:t xml:space="preserve">UC Berkeley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 ·  Berkeley, 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Concentrations in human-computer interaction and decision theory, the foundation for reading user-behavior data and designing experiments that connect interface decisions to measured outcomes.</w:t>
      </w:r>
    </w:p>
    <w:p>
      <w:pPr>
        <w:pBdr>
          <w:bottom w:val="single" w:color="C0392B" w:sz="6" w:space="2"/>
        </w:pBdr>
        <w:spacing w:after="80" w:before="160"/>
      </w:pPr>
      <w:r>
        <w:rPr>
          <w:rFonts w:ascii="Calibri" w:cs="Calibri" w:eastAsia="Calibri" w:hAnsi="Calibri"/>
          <w:b/>
          <w:bCs/>
          <w:color w:val="C0392B"/>
          <w:sz w:val="24"/>
          <w:szCs w:val="24"/>
        </w:rPr>
        <w:t xml:space="preserve">ADDITIONAL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Work Authorization: </w:t>
      </w: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US Citizen, available immediately.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Languages: </w:t>
      </w: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English (native), Korean (conversational).</w:t>
      </w:r>
    </w:p>
    <w:sectPr>
      <w:pgSz w:w="11906" w:h="16838" w:orient="portrait"/>
      <w:pgMar w:top="900" w:right="1080" w:bottom="90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spacing w:after="60"/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l8ylpfskg4pjm-brcx3va" Type="http://schemas.openxmlformats.org/officeDocument/2006/relationships/hyperlink" Target="https://asherif.me" TargetMode="External"/><Relationship Id="rIdquo2p7jg1dg1knvztxav9" Type="http://schemas.openxmlformats.org/officeDocument/2006/relationships/hyperlink" Target="https://linkedin.com/in/asheriif" TargetMode="Externa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2026-04-26T13:57:52.267Z</dcterms:created>
  <dcterms:modified xsi:type="dcterms:W3CDTF">2026-04-26T13:57:52.267Z</dcterms:modified>
  <dc:description/>
  <dc:identifier/>
  <dc:language/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