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Jordan Park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Senior Product Manager  |  Activation · Workflow Automation · B2B SaaS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Brooklyn, NY  |  +1 718 555 0142  |  jordan.park@example.com</w:t>
      </w:r>
    </w:p>
    <w:p>
      <w:pPr>
        <w:spacing w:after="160"/>
        <w:jc w:val="center"/>
      </w:pPr>
      <w:hyperlink w:history="1" r:id="rIdl8ylpfskg4pjm-brcx3v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jordanpark.example.com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uo2p7jg1dg1knvztxav9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linkedin.example.com/in/jordanpark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Available immediately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Senior product manager with eight years shipping consumer and enterprise products across mobile and web. Most recent work rebuilt an onboarding funnel for a 15-million-user product, lifting 7-day activation from 32% to 38% in a single quarter and earning a TechCrunch case study. Strong at turning quantitative funnel insight into roadmap priorities that cross-functional teams will defend, now aimed at mid-market B2B SaaS.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CORE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Product-Led Growth: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activation funnels, retention loops, and experimentation platform design for B2B SaaS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Roadmap Ownership: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quarterly OKRs and prioritization with stakeholder management across engineering, design, and go-to-market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User Research: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qualitative interviewing, usability testing, and jobs-to-be-done frameworks run as a practice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Cross-Functional Delivery: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shipping in two-week iterations across async, distributed product &amp; engineering teams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Tools: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Amplitude, Mixpanel, Looker, Linear, Figma, dbt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PROFESSIONAL EXPERIENCE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Senior Product Manager, Activation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March 2024 – Present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Beta Inc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Brooklyn, 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Led the onboarding redesign that lifted </w:t>
      </w:r>
      <w:r>
        <w:rPr>
          <w:rFonts w:ascii="Calibri" w:cs="Calibri" w:eastAsia="Calibri" w:hAnsi="Calibri"/>
          <w:b/>
          <w:bCs/>
          <w:sz w:val="20"/>
          <w:szCs w:val="20"/>
        </w:rPr>
        <w:t>7-day activation from 32% to 38%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in one quarter: a full funnel teardown that surfaced three drop-off points, prioritized a mistimed permissions prompt, and shipped a re-sequenced flow that </w:t>
      </w:r>
      <w:r>
        <w:rPr>
          <w:rFonts w:ascii="Calibri" w:cs="Calibri" w:eastAsia="Calibri" w:hAnsi="Calibri"/>
          <w:b/>
          <w:bCs/>
          <w:sz w:val="20"/>
          <w:szCs w:val="20"/>
        </w:rPr>
        <w:t>TechCrunch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covered as a case study in product-led growth.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the experimentation platform the product team now runs on, cutting test turnaround from roughly </w:t>
      </w:r>
      <w:r>
        <w:rPr>
          <w:rFonts w:ascii="Calibri" w:cs="Calibri" w:eastAsia="Calibri" w:hAnsi="Calibri"/>
          <w:b/>
          <w:bCs/>
          <w:sz w:val="20"/>
          <w:szCs w:val="20"/>
        </w:rPr>
        <w:t>three weeks to six days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and supporting 40+ concurrent tests across 7 product surfaces, the infrastructure that keeps activation work measured rather than argued.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Owned the activation roadmap end to end, including quarterly OKRs, prioritization, and cross-functional coordination across engineering, design, marketing, and analytics, an operating rhythm of stakeholder management across four functions.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Product Manager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June 2022 – March 2024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Beta Inc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Brooklyn, NY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Ran the notifications and re-engagement surface and shipped a digest redesign that cut notification opt-outs by </w:t>
      </w:r>
      <w:r>
        <w:rPr>
          <w:rFonts w:ascii="Calibri" w:cs="Calibri" w:eastAsia="Calibri" w:hAnsi="Calibri"/>
          <w:b/>
          <w:bCs/>
          <w:sz w:val="20"/>
          <w:szCs w:val="20"/>
        </w:rPr>
        <w:t>22%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while holding re-engagement flat, a quality-over-quantity bet made and defended with user-behavior data.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Owned the mobile-web feature parity program, coordinating a cross-functional backlog across two engineering pods over two quarters and reporting trade-offs directly to founders and functional leads.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Product Manager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August 2018 – May 2022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Alpha Apps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San Francisco,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Owned the creator-tools surface, the publishing and audience-growth features the app's power users relied on, translating heavy-user feedback into a prioritized roadmap the team could commit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Built and ran the product org's user research practice for 2 years: the interview cadence, the usability-testing rhythm, and the jobs-to-be-done framework the team still uses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Shipped the collaborative-albums feature that became the </w:t>
      </w:r>
      <w:r>
        <w:rPr>
          <w:rFonts w:ascii="Calibri" w:cs="Calibri" w:eastAsia="Calibri" w:hAnsi="Calibri"/>
          <w:b/>
          <w:bCs/>
          <w:sz w:val="20"/>
          <w:szCs w:val="20"/>
        </w:rPr>
        <w:t>second-most-used feature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in the app within 6 months of launch, validated end to end through that user research pipeline.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EDUCATION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MSc, Quantitative Psychology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  <w:t xml:space="preserve">2018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University of Michigan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Ann Arbor, MI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Coursework in panel data econometrics, mixed-effects modeling, and research methodology; thesis on attention and engagement patterns in consumer mobile apps, the academic root of the activation and user research work since.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BA, Cognitive Science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  <w:t xml:space="preserve">2016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UC Berkeley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Berkeley, CA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Concentrations in human-computer interaction and decision theory, the foundation for reading user-behavior data and designing experiments that connect interface decisions to measured outcomes.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ADDITIONAL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Work Authorization: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US Citizen, available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English (native), Korean (conversational).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8ylpfskg4pjm-brcx3va" Type="http://schemas.openxmlformats.org/officeDocument/2006/relationships/hyperlink" Target="https://jordanpark.example.com" TargetMode="External"/><Relationship Id="rIdquo2p7jg1dg1knvztxav9" Type="http://schemas.openxmlformats.org/officeDocument/2006/relationships/hyperlink" Target="https://linkedin.example.com/in/jordanpark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2026-04-26T13:57:52.267Z</dcterms:created>
  <dcterms:modified xsi:type="dcterms:W3CDTF">2026-04-26T13:57:52.267Z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